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28"/>
          <w:szCs w:val="28"/>
          <w:lang w:eastAsia="zh-CN"/>
        </w:rPr>
      </w:pPr>
      <w:r>
        <w:rPr>
          <w:rFonts w:hint="eastAsia" w:ascii="华文中宋" w:hAnsi="华文中宋" w:eastAsia="华文中宋"/>
          <w:sz w:val="28"/>
          <w:szCs w:val="28"/>
          <w:lang w:eastAsia="zh-CN"/>
        </w:rPr>
        <w:t>(资产出租类)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bookmarkStart w:id="0" w:name="OLE_LINK1"/>
      <w:bookmarkStart w:id="1" w:name="OLE_LINK2"/>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广州南沙资产经营有限公司</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 </w:t>
      </w:r>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bookmarkEnd w:id="0"/>
      <w:bookmarkEnd w:id="1"/>
    </w:p>
    <w:p>
      <w:pPr>
        <w:ind w:firstLine="480" w:firstLineChars="150"/>
        <w:rPr>
          <w:rFonts w:ascii="仿宋_GB2312" w:hAnsi="宋体" w:eastAsia="仿宋_GB2312"/>
          <w:sz w:val="32"/>
          <w:szCs w:val="32"/>
          <w:lang w:eastAsia="zh-CN"/>
        </w:rPr>
      </w:pPr>
    </w:p>
    <w:p>
      <w:pPr>
        <w:ind w:left="1919" w:leftChars="133" w:hanging="1600" w:hangingChars="50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hint="eastAsia" w:ascii="仿宋_GB2312" w:hAnsi="宋体" w:eastAsia="仿宋_GB2312"/>
          <w:sz w:val="32"/>
          <w:szCs w:val="32"/>
          <w:u w:val="single"/>
          <w:lang w:eastAsia="zh-CN"/>
        </w:rPr>
        <w:t>出租广州市南沙区海滨路171号金融大厦</w:t>
      </w:r>
      <w:r>
        <w:rPr>
          <w:rFonts w:hint="eastAsia" w:ascii="仿宋_GB2312" w:hAnsi="宋体" w:eastAsia="仿宋_GB2312"/>
          <w:sz w:val="32"/>
          <w:szCs w:val="32"/>
          <w:u w:val="single"/>
          <w:lang w:val="en-US" w:eastAsia="zh-CN"/>
        </w:rPr>
        <w:t>13</w:t>
      </w:r>
      <w:r>
        <w:rPr>
          <w:rFonts w:hint="eastAsia" w:ascii="仿宋_GB2312" w:hAnsi="宋体" w:eastAsia="仿宋_GB2312"/>
          <w:sz w:val="32"/>
          <w:szCs w:val="32"/>
          <w:u w:val="single"/>
          <w:lang w:eastAsia="zh-CN"/>
        </w:rPr>
        <w:t>楼</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李春燕                     </w:t>
      </w:r>
      <w:r>
        <w:rPr>
          <w:rFonts w:hint="eastAsia" w:ascii="仿宋_GB2312" w:hAnsi="宋体" w:eastAsia="仿宋_GB2312"/>
          <w:sz w:val="32"/>
          <w:szCs w:val="32"/>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13826109704                 </w:t>
      </w:r>
      <w:r>
        <w:rPr>
          <w:rFonts w:hint="eastAsia" w:ascii="仿宋_GB2312" w:hAnsi="宋体" w:eastAsia="仿宋_GB2312"/>
          <w:sz w:val="32"/>
          <w:szCs w:val="32"/>
          <w:lang w:eastAsia="zh-CN"/>
        </w:rPr>
        <w:t xml:space="preserve">  </w:t>
      </w:r>
      <w:r>
        <w:rPr>
          <w:rFonts w:hint="eastAsia" w:ascii="仿宋_GB2312" w:hAnsi="宋体" w:eastAsia="仿宋_GB2312"/>
          <w:sz w:val="32"/>
          <w:szCs w:val="32"/>
          <w:u w:val="single"/>
          <w:lang w:eastAsia="zh-CN"/>
        </w:rPr>
        <w:t xml:space="preserve">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20"/>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2" w:name="OLE_LINK8"/>
      <w:bookmarkStart w:id="3" w:name="OLE_LINK7"/>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2"/>
    <w:bookmarkEnd w:id="3"/>
    <w:tbl>
      <w:tblPr>
        <w:tblStyle w:val="20"/>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8"/>
        <w:gridCol w:w="288"/>
        <w:gridCol w:w="709"/>
        <w:gridCol w:w="431"/>
        <w:gridCol w:w="1276"/>
        <w:gridCol w:w="404"/>
        <w:gridCol w:w="21"/>
        <w:gridCol w:w="22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4" w:name="OLE_LINK9"/>
            <w:bookmarkStart w:id="5" w:name="OLE_LINK10"/>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eastAsia="zh-CN"/>
              </w:rPr>
            </w:pPr>
            <w:r>
              <w:rPr>
                <w:rFonts w:hint="eastAsia"/>
                <w:szCs w:val="21"/>
                <w:lang w:eastAsia="zh-CN"/>
              </w:rPr>
              <w:t>广州市南沙区海滨路171号金融大厦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房屋  □其他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t>□其他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hint="eastAsia" w:ascii="宋体" w:hAnsi="宋体"/>
                <w:szCs w:val="20"/>
                <w:lang w:eastAsia="zh-CN"/>
              </w:rPr>
              <w:t>■</w:t>
            </w:r>
            <w:r>
              <w:rPr>
                <w:rFonts w:hint="eastAsia"/>
                <w:szCs w:val="21"/>
                <w:u w:val="single"/>
                <w:lang w:eastAsia="zh-CN"/>
              </w:rPr>
              <w:t xml:space="preserve">   1215.1698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u w:val="single"/>
                <w:lang w:eastAsia="zh-CN"/>
              </w:rPr>
              <w:t>套内面积823.464平方米 ，分摊面积391.7058平方米。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Times New Roman" w:hAnsi="Times New Roman"/>
                <w:szCs w:val="20"/>
                <w:lang w:eastAsia="zh-CN"/>
              </w:rPr>
              <w:t>☑</w:t>
            </w:r>
            <w:r>
              <w:rPr>
                <w:rFonts w:hint="eastAsia"/>
                <w:lang w:eastAsia="zh-CN"/>
              </w:rPr>
              <w:t xml:space="preserve">租赁期限             </w:t>
            </w:r>
            <w:r>
              <w:rPr>
                <w:rFonts w:hint="eastAsia" w:ascii="Times New Roman" w:hAnsi="Times New Roman"/>
                <w:szCs w:val="20"/>
                <w:u w:val="single"/>
                <w:lang w:eastAsia="zh-CN"/>
              </w:rPr>
              <w:t xml:space="preserve">  3年  </w:t>
            </w:r>
            <w:r>
              <w:rPr>
                <w:rFonts w:hint="eastAsia" w:ascii="Times New Roman" w:hAnsi="Times New Roman"/>
                <w:szCs w:val="20"/>
                <w:lang w:eastAsia="zh-CN"/>
              </w:rPr>
              <w:t>□月□季□年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1996" w:type="dxa"/>
            <w:gridSpan w:val="4"/>
            <w:vAlign w:val="center"/>
          </w:tcPr>
          <w:p>
            <w:pPr>
              <w:jc w:val="center"/>
              <w:rPr>
                <w:lang w:eastAsia="zh-CN"/>
              </w:rPr>
            </w:pPr>
            <w:r>
              <w:rPr>
                <w:rFonts w:hint="eastAsia"/>
                <w:lang w:eastAsia="zh-CN"/>
              </w:rPr>
              <w:t>房产证</w:t>
            </w:r>
          </w:p>
        </w:tc>
        <w:tc>
          <w:tcPr>
            <w:tcW w:w="1680"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eastAsia="zh-CN"/>
              </w:rPr>
            </w:pPr>
            <w:r>
              <w:rPr>
                <w:rFonts w:hint="eastAsia"/>
                <w:lang w:eastAsia="zh-CN"/>
              </w:rPr>
              <w:t>粤</w:t>
            </w:r>
            <w:r>
              <w:rPr>
                <w:lang w:eastAsia="zh-CN"/>
              </w:rPr>
              <w:t>房地权证穗字第</w:t>
            </w:r>
            <w:r>
              <w:rPr>
                <w:rFonts w:hint="eastAsia"/>
                <w:lang w:eastAsia="zh-CN"/>
              </w:rPr>
              <w:t>0450024535号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74" w:type="dxa"/>
            <w:gridSpan w:val="2"/>
            <w:vAlign w:val="center"/>
          </w:tcPr>
          <w:p>
            <w:pPr>
              <w:jc w:val="center"/>
              <w:rPr>
                <w:lang w:eastAsia="zh-CN"/>
              </w:rPr>
            </w:pPr>
            <w:r>
              <w:rPr>
                <w:rFonts w:hint="eastAsia"/>
                <w:lang w:eastAsia="zh-CN"/>
              </w:rPr>
              <w:t>权证所列示的建筑面积（平方米）</w:t>
            </w:r>
          </w:p>
        </w:tc>
        <w:tc>
          <w:tcPr>
            <w:tcW w:w="1428" w:type="dxa"/>
            <w:gridSpan w:val="3"/>
            <w:vAlign w:val="center"/>
          </w:tcPr>
          <w:p>
            <w:pPr>
              <w:jc w:val="center"/>
              <w:rPr>
                <w:lang w:eastAsia="zh-CN"/>
              </w:rPr>
            </w:pPr>
            <w:r>
              <w:rPr>
                <w:rFonts w:hint="eastAsia"/>
                <w:lang w:eastAsia="zh-CN"/>
              </w:rPr>
              <w:t>30465.95</w:t>
            </w:r>
          </w:p>
        </w:tc>
        <w:tc>
          <w:tcPr>
            <w:tcW w:w="1701" w:type="dxa"/>
            <w:gridSpan w:val="3"/>
            <w:vAlign w:val="center"/>
          </w:tcPr>
          <w:p>
            <w:pPr>
              <w:jc w:val="center"/>
              <w:rPr>
                <w:lang w:eastAsia="zh-CN"/>
              </w:rPr>
            </w:pPr>
            <w:r>
              <w:rPr>
                <w:rFonts w:hint="eastAsia"/>
                <w:lang w:eastAsia="zh-CN"/>
              </w:rPr>
              <w:t>权证所列示的规划用途</w:t>
            </w:r>
          </w:p>
        </w:tc>
        <w:tc>
          <w:tcPr>
            <w:tcW w:w="2267" w:type="dxa"/>
            <w:vAlign w:val="center"/>
          </w:tcPr>
          <w:p>
            <w:pPr>
              <w:jc w:val="center"/>
              <w:rPr>
                <w:lang w:eastAsia="zh-CN"/>
              </w:rPr>
            </w:pPr>
            <w:r>
              <w:rPr>
                <w:rFonts w:hint="eastAsia"/>
                <w:lang w:eastAsia="zh-CN"/>
              </w:rPr>
              <w:t>办公业务用房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val="en-US" w:eastAsia="zh-CN"/>
              </w:rPr>
            </w:pPr>
            <w:r>
              <w:rPr>
                <w:rFonts w:hint="eastAsia" w:ascii="Segoe UI Symbol" w:hAnsi="Segoe UI Symbol" w:cs="Segoe UI Symbol"/>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r>
              <w:rPr>
                <w:rFonts w:hint="eastAsia" w:ascii="宋体" w:hAnsi="宋体"/>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Times New Roman" w:hAnsi="Times New Roman"/>
                <w:szCs w:val="20"/>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t>☑否：A、</w:t>
            </w:r>
            <w:bookmarkStart w:id="6" w:name="_GoBack"/>
            <w:bookmarkEnd w:id="6"/>
            <w:r>
              <w:rPr>
                <w:rFonts w:hint="eastAsia" w:ascii="Times New Roman" w:hAnsi="Times New Roman"/>
                <w:szCs w:val="20"/>
                <w:lang w:eastAsia="zh-CN"/>
              </w:rPr>
              <w:t>☑不涉及优先权</w:t>
            </w:r>
            <w:r>
              <w:rPr>
                <w:rFonts w:hint="eastAsia" w:ascii="宋体"/>
                <w:lang w:eastAsia="zh-CN"/>
              </w:rPr>
              <w:t xml:space="preserve">     B、</w:t>
            </w:r>
            <w:r>
              <w:rPr>
                <w:rFonts w:hint="eastAsia" w:ascii="Segoe UI Symbol" w:hAnsi="Segoe UI Symbol" w:cs="Segoe UI Symbol"/>
                <w:szCs w:val="20"/>
                <w:lang w:eastAsia="zh-CN"/>
              </w:rPr>
              <w:t>□</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r>
              <w:rPr>
                <w:rFonts w:hint="eastAsia"/>
                <w:lang w:eastAsia="zh-CN"/>
              </w:rPr>
              <w:t>广东信德资产评估与房地产土地估价有限公司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eastAsia="zh-CN"/>
              </w:rPr>
            </w:pPr>
            <w:r>
              <w:rPr>
                <w:rFonts w:hint="eastAsia"/>
                <w:lang w:eastAsia="zh-CN"/>
              </w:rPr>
              <w:t>2018年9月27日</w:t>
            </w: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eastAsia="zh-CN"/>
              </w:rPr>
            </w:pPr>
            <w:r>
              <w:rPr>
                <w:rFonts w:hint="eastAsia"/>
                <w:lang w:eastAsia="zh-CN"/>
              </w:rPr>
              <w:t>信评字Z1811104004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r>
              <w:rPr>
                <w:rFonts w:hint="eastAsia"/>
                <w:lang w:eastAsia="zh-CN"/>
              </w:rPr>
              <w:t>广东信德资产评估与房地产土地估价有限公司</w:t>
            </w: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lang w:eastAsia="zh-CN"/>
              </w:rPr>
            </w:pPr>
            <w:r>
              <w:rPr>
                <w:rFonts w:hint="eastAsia"/>
                <w:lang w:eastAsia="zh-CN"/>
              </w:rPr>
              <w:t>127593元/月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r>
              <w:rPr>
                <w:rFonts w:hint="eastAsia"/>
                <w:lang w:eastAsia="zh-CN"/>
              </w:rPr>
              <w:t>广州市南沙区海滨路成卓世纪中心10楼</w:t>
            </w: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lang w:eastAsia="zh-CN"/>
              </w:rPr>
            </w:pPr>
            <w:r>
              <w:rPr>
                <w:rFonts w:hint="eastAsia"/>
                <w:lang w:eastAsia="zh-CN"/>
              </w:rPr>
              <w:t>110元/平方米/月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eastAsia="zh-CN"/>
              </w:rPr>
            </w:pPr>
            <w:r>
              <w:rPr>
                <w:rFonts w:hint="eastAsia"/>
                <w:lang w:eastAsia="zh-CN"/>
              </w:rPr>
              <w:t>5184000元/3年</w:t>
            </w:r>
          </w:p>
        </w:tc>
      </w:tr>
      <w:bookmarkEnd w:id="4"/>
      <w:bookmarkEnd w:id="5"/>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20"/>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1"/>
              <w:adjustRightInd w:val="0"/>
              <w:snapToGrid w:val="0"/>
              <w:spacing w:before="0" w:after="0"/>
              <w:ind w:firstLine="360" w:firstLineChars="150"/>
              <w:rPr>
                <w:rFonts w:ascii="宋体"/>
                <w:u w:val="single"/>
                <w:lang w:eastAsia="zh-CN"/>
              </w:rPr>
            </w:pP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1"/>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center"/>
          </w:tcPr>
          <w:p>
            <w:pPr>
              <w:pStyle w:val="41"/>
              <w:adjustRightInd w:val="0"/>
              <w:snapToGrid w:val="0"/>
              <w:spacing w:before="0" w:after="0"/>
              <w:rPr>
                <w:rFonts w:ascii="宋体"/>
                <w:u w:val="single"/>
                <w:lang w:eastAsia="zh-CN"/>
              </w:rPr>
            </w:pPr>
            <w:r>
              <w:rPr>
                <w:rFonts w:hint="eastAsia" w:ascii="宋体"/>
                <w:u w:val="single"/>
                <w:lang w:eastAsia="zh-CN"/>
              </w:rPr>
              <w:t>9144010174358449XE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1"/>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1"/>
              <w:adjustRightInd w:val="0"/>
              <w:snapToGrid w:val="0"/>
              <w:spacing w:before="0" w:after="0"/>
              <w:rPr>
                <w:rFonts w:ascii="宋体"/>
                <w:u w:val="single"/>
                <w:lang w:eastAsia="zh-CN"/>
              </w:rPr>
            </w:pPr>
            <w:r>
              <w:rPr>
                <w:rFonts w:hint="eastAsia" w:ascii="宋体"/>
                <w:lang w:eastAsia="zh-CN"/>
              </w:rPr>
              <w:t>国有企业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rPr>
                <w:rFonts w:ascii="宋体"/>
                <w:lang w:eastAsia="zh-CN"/>
              </w:rPr>
            </w:pPr>
            <w:r>
              <w:rPr>
                <w:rFonts w:hint="eastAsia" w:ascii="宋体"/>
                <w:lang w:eastAsia="zh-CN"/>
              </w:rPr>
              <w:t>陈家园</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1"/>
              <w:adjustRightInd w:val="0"/>
              <w:snapToGrid w:val="0"/>
              <w:spacing w:before="0" w:after="0"/>
              <w:rPr>
                <w:rFonts w:ascii="宋体"/>
                <w:u w:val="single"/>
                <w:lang w:eastAsia="zh-CN"/>
              </w:rPr>
            </w:pPr>
            <w:r>
              <w:rPr>
                <w:rFonts w:hint="eastAsia" w:ascii="宋体"/>
                <w:u w:val="single"/>
                <w:lang w:eastAsia="zh-CN"/>
              </w:rPr>
              <w:t>商务服务业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lang w:eastAsia="zh-CN"/>
              </w:rPr>
            </w:pPr>
            <w:r>
              <w:rPr>
                <w:rFonts w:hint="eastAsia" w:ascii="宋体"/>
                <w:lang w:eastAsia="zh-CN"/>
              </w:rPr>
              <w:t>广州市工商行政管理局</w:t>
            </w: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center"/>
              <w:rPr>
                <w:rFonts w:ascii="宋体"/>
                <w:lang w:eastAsia="zh-CN"/>
              </w:rPr>
            </w:pPr>
            <w:r>
              <w:rPr>
                <w:rFonts w:hint="eastAsia" w:ascii="宋体"/>
                <w:lang w:eastAsia="zh-CN"/>
              </w:rPr>
              <w:t>2017年2月24日</w:t>
            </w: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20"/>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559"/>
        <w:gridCol w:w="425"/>
        <w:gridCol w:w="567"/>
        <w:gridCol w:w="1552"/>
        <w:gridCol w:w="716"/>
        <w:gridCol w:w="76"/>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1"/>
              <w:spacing w:before="0" w:after="0"/>
              <w:jc w:val="center"/>
              <w:rPr>
                <w:rFonts w:ascii="宋体"/>
                <w:lang w:eastAsia="zh-CN"/>
              </w:rPr>
            </w:pPr>
          </w:p>
          <w:p>
            <w:pPr>
              <w:pStyle w:val="41"/>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559" w:type="dxa"/>
            <w:vMerge w:val="restart"/>
            <w:vAlign w:val="center"/>
          </w:tcPr>
          <w:p>
            <w:pPr>
              <w:jc w:val="center"/>
              <w:rPr>
                <w:rFonts w:ascii="宋体"/>
                <w:lang w:eastAsia="zh-CN"/>
              </w:rPr>
            </w:pPr>
            <w:r>
              <w:rPr>
                <w:rFonts w:hint="eastAsia" w:ascii="宋体" w:hAnsi="宋体"/>
                <w:lang w:eastAsia="zh-CN"/>
              </w:rPr>
              <w:t>挂牌价格</w:t>
            </w:r>
          </w:p>
        </w:tc>
        <w:tc>
          <w:tcPr>
            <w:tcW w:w="3336" w:type="dxa"/>
            <w:gridSpan w:val="5"/>
            <w:vAlign w:val="center"/>
          </w:tcPr>
          <w:p>
            <w:pPr>
              <w:rPr>
                <w:rFonts w:ascii="宋体" w:hAnsi="宋体"/>
                <w:lang w:eastAsia="zh-CN"/>
              </w:rPr>
            </w:pPr>
            <w:r>
              <w:rPr>
                <w:rFonts w:hint="eastAsia" w:ascii="宋体" w:hAnsi="宋体"/>
                <w:lang w:eastAsia="zh-CN"/>
              </w:rPr>
              <w:t>☑</w:t>
            </w:r>
            <w:r>
              <w:rPr>
                <w:rFonts w:hint="eastAsia"/>
                <w:szCs w:val="21"/>
                <w:u w:val="single"/>
                <w:lang w:eastAsia="zh-CN"/>
              </w:rPr>
              <w:t>1458</w:t>
            </w:r>
            <w:r>
              <w:rPr>
                <w:szCs w:val="21"/>
                <w:u w:val="single"/>
                <w:lang w:eastAsia="zh-CN"/>
              </w:rPr>
              <w:t>20.38</w:t>
            </w:r>
            <w:r>
              <w:rPr>
                <w:rFonts w:hint="eastAsia" w:ascii="宋体"/>
                <w:lang w:eastAsia="zh-CN"/>
              </w:rPr>
              <w:t xml:space="preserve">元/月（总面积）  </w:t>
            </w:r>
            <w:r>
              <w:rPr>
                <w:rFonts w:hint="eastAsia" w:ascii="宋体" w:hAnsi="宋体"/>
                <w:lang w:eastAsia="zh-CN"/>
              </w:rPr>
              <w:t xml:space="preserve">□ </w:t>
            </w:r>
            <w:r>
              <w:rPr>
                <w:rFonts w:ascii="宋体" w:hAnsi="宋体"/>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 xml:space="preserve">□ </w:t>
            </w:r>
            <w:r>
              <w:rPr>
                <w:rFonts w:ascii="宋体" w:hAnsi="宋体"/>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3" w:type="dxa"/>
            <w:vAlign w:val="center"/>
          </w:tcPr>
          <w:p>
            <w:pPr>
              <w:jc w:val="center"/>
              <w:rPr>
                <w:rFonts w:ascii="宋体"/>
                <w:lang w:eastAsia="zh-CN"/>
              </w:rPr>
            </w:pPr>
            <w:r>
              <w:rPr>
                <w:rFonts w:hint="eastAsia" w:ascii="宋体" w:hAnsi="宋体"/>
                <w:lang w:eastAsia="zh-CN"/>
              </w:rPr>
              <w:t xml:space="preserve">□ </w:t>
            </w:r>
            <w:r>
              <w:rPr>
                <w:rFonts w:hint="eastAsia"/>
                <w:szCs w:val="21"/>
                <w:u w:val="single"/>
                <w:lang w:eastAsia="zh-CN"/>
              </w:rPr>
              <w:t xml:space="preserve">  </w:t>
            </w:r>
            <w:r>
              <w:rPr>
                <w:szCs w:val="21"/>
                <w:u w:val="single"/>
                <w:lang w:eastAsia="zh-CN"/>
              </w:rPr>
              <w:t xml:space="preserve">   </w:t>
            </w:r>
            <w:r>
              <w:rPr>
                <w:rFonts w:hint="eastAsia" w:ascii="宋体"/>
                <w:lang w:eastAsia="zh-CN"/>
              </w:rPr>
              <w:t xml:space="preserve">元/月（每平方米） </w:t>
            </w:r>
          </w:p>
          <w:p>
            <w:pPr>
              <w:jc w:val="both"/>
              <w:rPr>
                <w:rFonts w:ascii="宋体"/>
                <w:lang w:eastAsia="zh-CN"/>
              </w:rPr>
            </w:pPr>
            <w:r>
              <w:rPr>
                <w:rFonts w:hint="eastAsia" w:ascii="宋体" w:hAnsi="宋体"/>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 xml:space="preserve">□ </w:t>
            </w:r>
            <w:r>
              <w:rPr>
                <w:rFonts w:hint="eastAsia"/>
                <w:szCs w:val="21"/>
                <w:u w:val="single"/>
                <w:lang w:eastAsia="zh-CN"/>
              </w:rPr>
              <w:t xml:space="preserve">  </w:t>
            </w:r>
            <w:r>
              <w:rPr>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1"/>
              <w:spacing w:before="0" w:after="0"/>
              <w:jc w:val="center"/>
              <w:rPr>
                <w:rFonts w:ascii="宋体"/>
                <w:lang w:eastAsia="zh-CN"/>
              </w:rPr>
            </w:pPr>
          </w:p>
        </w:tc>
        <w:tc>
          <w:tcPr>
            <w:tcW w:w="1559" w:type="dxa"/>
            <w:vMerge w:val="continue"/>
            <w:vAlign w:val="center"/>
          </w:tcPr>
          <w:p>
            <w:pPr>
              <w:jc w:val="center"/>
              <w:rPr>
                <w:rFonts w:ascii="宋体" w:hAnsi="宋体"/>
                <w:lang w:eastAsia="zh-CN"/>
              </w:rPr>
            </w:pPr>
          </w:p>
        </w:tc>
        <w:tc>
          <w:tcPr>
            <w:tcW w:w="6519" w:type="dxa"/>
            <w:gridSpan w:val="6"/>
            <w:vAlign w:val="center"/>
          </w:tcPr>
          <w:p>
            <w:pPr>
              <w:jc w:val="center"/>
              <w:rPr>
                <w:rFonts w:ascii="宋体" w:hAnsi="宋体"/>
                <w:lang w:eastAsia="zh-CN"/>
              </w:rPr>
            </w:pPr>
            <w:r>
              <w:rPr>
                <w:rFonts w:ascii="宋体" w:hAnsi="宋体"/>
                <w:bCs/>
                <w:lang w:eastAsia="zh-CN"/>
              </w:rPr>
              <w:t>*</w:t>
            </w:r>
            <w:r>
              <w:rPr>
                <w:rFonts w:hint="eastAsia" w:ascii="宋体" w:hAnsi="宋体"/>
                <w:lang w:eastAsia="zh-CN"/>
              </w:rPr>
              <w:t>□</w:t>
            </w:r>
            <w:r>
              <w:rPr>
                <w:rFonts w:hint="eastAsia"/>
                <w:szCs w:val="21"/>
                <w:u w:val="single"/>
                <w:lang w:eastAsia="zh-CN"/>
              </w:rPr>
              <w:t xml:space="preserve">   5516384.82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753" w:type="dxa"/>
            <w:vMerge w:val="continue"/>
            <w:vAlign w:val="center"/>
          </w:tcPr>
          <w:p>
            <w:pPr>
              <w:pStyle w:val="41"/>
              <w:spacing w:before="0" w:after="0"/>
              <w:jc w:val="center"/>
              <w:rPr>
                <w:rFonts w:ascii="宋体"/>
                <w:lang w:eastAsia="zh-CN"/>
              </w:rPr>
            </w:pPr>
          </w:p>
        </w:tc>
        <w:tc>
          <w:tcPr>
            <w:tcW w:w="1559" w:type="dxa"/>
            <w:vAlign w:val="center"/>
          </w:tcPr>
          <w:p>
            <w:pPr>
              <w:jc w:val="center"/>
              <w:rPr>
                <w:rFonts w:ascii="宋体"/>
                <w:lang w:eastAsia="zh-CN"/>
              </w:rPr>
            </w:pPr>
            <w:r>
              <w:rPr>
                <w:rFonts w:hint="eastAsia" w:ascii="宋体" w:hAnsi="宋体"/>
                <w:lang w:eastAsia="zh-CN"/>
              </w:rPr>
              <w:t>价格说明</w:t>
            </w:r>
          </w:p>
        </w:tc>
        <w:tc>
          <w:tcPr>
            <w:tcW w:w="6519" w:type="dxa"/>
            <w:gridSpan w:val="6"/>
            <w:vAlign w:val="center"/>
          </w:tcPr>
          <w:p>
            <w:pPr>
              <w:jc w:val="center"/>
              <w:rPr>
                <w:rFonts w:ascii="宋体"/>
                <w:u w:val="single"/>
                <w:lang w:eastAsia="zh-CN"/>
              </w:rPr>
            </w:pPr>
            <w:r>
              <w:rPr>
                <w:rFonts w:hint="eastAsia" w:ascii="宋体" w:hAnsi="宋体" w:cs="仿宋_GB2312"/>
                <w:szCs w:val="28"/>
                <w:shd w:val="clear" w:color="auto" w:fill="FFFFFF"/>
                <w:lang w:eastAsia="zh-CN"/>
              </w:rPr>
              <w:t>租金逐年递增5%。租金不含</w:t>
            </w:r>
            <w:r>
              <w:rPr>
                <w:rFonts w:ascii="宋体" w:hAnsi="宋体" w:cs="仿宋_GB2312"/>
                <w:szCs w:val="28"/>
                <w:shd w:val="clear" w:color="auto" w:fill="FFFFFF"/>
                <w:lang w:eastAsia="zh-CN"/>
              </w:rPr>
              <w:t>物业管理费，</w:t>
            </w:r>
            <w:r>
              <w:rPr>
                <w:rFonts w:hint="eastAsia" w:ascii="宋体" w:hAnsi="宋体" w:cs="仿宋_GB2312"/>
                <w:szCs w:val="28"/>
                <w:shd w:val="clear" w:color="auto" w:fill="FFFFFF"/>
                <w:lang w:eastAsia="zh-CN"/>
              </w:rPr>
              <w:t>物业管理费</w:t>
            </w:r>
            <w:r>
              <w:rPr>
                <w:rFonts w:ascii="宋体" w:hAnsi="宋体" w:cs="仿宋_GB2312"/>
                <w:szCs w:val="28"/>
                <w:shd w:val="clear" w:color="auto" w:fill="FFFFFF"/>
                <w:lang w:eastAsia="zh-CN"/>
              </w:rPr>
              <w:t>30</w:t>
            </w:r>
            <w:r>
              <w:rPr>
                <w:rFonts w:hint="eastAsia" w:ascii="宋体" w:hAnsi="宋体" w:cs="仿宋_GB2312"/>
                <w:szCs w:val="28"/>
                <w:shd w:val="clear" w:color="auto" w:fill="FFFFFF"/>
                <w:lang w:eastAsia="zh-CN"/>
              </w:rPr>
              <w:t>元</w:t>
            </w:r>
            <w:r>
              <w:rPr>
                <w:rFonts w:ascii="宋体" w:hAnsi="宋体" w:cs="仿宋_GB2312"/>
                <w:szCs w:val="28"/>
                <w:shd w:val="clear" w:color="auto" w:fill="FFFFFF"/>
                <w:lang w:eastAsia="zh-CN"/>
              </w:rPr>
              <w:t>/</w:t>
            </w:r>
            <w:r>
              <w:rPr>
                <w:rFonts w:hint="eastAsia" w:ascii="宋体" w:hAnsi="宋体" w:cs="仿宋_GB2312"/>
                <w:szCs w:val="28"/>
                <w:shd w:val="clear" w:color="auto" w:fill="FFFFFF"/>
                <w:lang w:eastAsia="zh-CN"/>
              </w:rPr>
              <w:t>平方米</w:t>
            </w:r>
            <w:r>
              <w:rPr>
                <w:rFonts w:ascii="宋体" w:hAnsi="宋体" w:cs="仿宋_GB2312"/>
                <w:szCs w:val="28"/>
                <w:shd w:val="clear" w:color="auto" w:fill="FFFFFF"/>
                <w:lang w:eastAsia="zh-CN"/>
              </w:rPr>
              <w:t>/</w:t>
            </w:r>
            <w:r>
              <w:rPr>
                <w:rFonts w:hint="eastAsia" w:ascii="宋体" w:hAnsi="宋体" w:cs="仿宋_GB2312"/>
                <w:szCs w:val="28"/>
                <w:shd w:val="clear" w:color="auto" w:fill="FFFFFF"/>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1"/>
              <w:spacing w:before="0" w:after="0"/>
              <w:jc w:val="center"/>
              <w:rPr>
                <w:rFonts w:ascii="宋体"/>
                <w:lang w:eastAsia="zh-CN"/>
              </w:rPr>
            </w:pPr>
          </w:p>
        </w:tc>
        <w:tc>
          <w:tcPr>
            <w:tcW w:w="1559" w:type="dxa"/>
            <w:vAlign w:val="center"/>
          </w:tcPr>
          <w:p>
            <w:pPr>
              <w:pStyle w:val="39"/>
              <w:ind w:firstLine="0"/>
              <w:jc w:val="center"/>
              <w:rPr>
                <w:rFonts w:ascii="宋体"/>
                <w:lang w:eastAsia="zh-CN"/>
              </w:rPr>
            </w:pPr>
            <w:r>
              <w:rPr>
                <w:rFonts w:hint="eastAsia" w:ascii="宋体" w:hAnsi="宋体"/>
                <w:lang w:eastAsia="zh-CN"/>
              </w:rPr>
              <w:t>支付方式</w:t>
            </w:r>
          </w:p>
        </w:tc>
        <w:tc>
          <w:tcPr>
            <w:tcW w:w="6519" w:type="dxa"/>
            <w:gridSpan w:val="6"/>
            <w:vAlign w:val="center"/>
          </w:tcPr>
          <w:p>
            <w:pPr>
              <w:rPr>
                <w:rFonts w:ascii="宋体"/>
                <w:lang w:eastAsia="zh-CN"/>
              </w:rPr>
            </w:pPr>
            <w:r>
              <w:rPr>
                <w:rFonts w:hint="eastAsia" w:ascii="宋体"/>
                <w:lang w:eastAsia="zh-CN"/>
              </w:rPr>
              <w:t>银行划账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8" w:type="dxa"/>
            <w:gridSpan w:val="7"/>
            <w:vAlign w:val="center"/>
          </w:tcPr>
          <w:p>
            <w:pPr>
              <w:pStyle w:val="39"/>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 xml:space="preserve"> </w:t>
            </w:r>
            <w:r>
              <w:rPr>
                <w:rFonts w:ascii="宋体" w:hAnsi="宋体"/>
                <w:bCs/>
                <w:u w:val="single"/>
                <w:lang w:eastAsia="zh-CN"/>
              </w:rPr>
              <w:t>10</w:t>
            </w:r>
            <w:r>
              <w:rPr>
                <w:rFonts w:hint="eastAsia" w:ascii="宋体" w:hAnsi="宋体"/>
                <w:bCs/>
                <w:u w:val="single"/>
                <w:lang w:eastAsia="zh-CN"/>
              </w:rPr>
              <w:t xml:space="preserve"> </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restart"/>
            <w:vAlign w:val="center"/>
          </w:tcPr>
          <w:p>
            <w:pPr>
              <w:jc w:val="center"/>
              <w:rPr>
                <w:rFonts w:ascii="宋体"/>
                <w:lang w:eastAsia="zh-CN"/>
              </w:rPr>
            </w:pPr>
            <w:r>
              <w:rPr>
                <w:rFonts w:ascii="宋体" w:hAnsi="宋体"/>
                <w:lang w:eastAsia="zh-CN"/>
              </w:rPr>
              <w:t>*</w:t>
            </w:r>
            <w:r>
              <w:rPr>
                <w:rFonts w:hint="eastAsia" w:ascii="宋体" w:hAnsi="宋体"/>
                <w:lang w:eastAsia="zh-CN"/>
              </w:rPr>
              <w:t>延牌规则</w:t>
            </w: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■市属国有企业（含参照）</w:t>
            </w:r>
          </w:p>
          <w:p>
            <w:pPr>
              <w:pStyle w:val="39"/>
              <w:ind w:left="38" w:leftChars="16" w:firstLineChars="177"/>
              <w:rPr>
                <w:rFonts w:ascii="宋体" w:hAnsi="宋体"/>
                <w:bCs/>
                <w:lang w:eastAsia="zh-CN"/>
              </w:rPr>
            </w:pPr>
          </w:p>
        </w:tc>
        <w:tc>
          <w:tcPr>
            <w:tcW w:w="6094" w:type="dxa"/>
            <w:gridSpan w:val="5"/>
            <w:vAlign w:val="center"/>
          </w:tcPr>
          <w:p>
            <w:pPr>
              <w:pStyle w:val="39"/>
              <w:ind w:left="464" w:leftChars="17" w:hanging="423"/>
              <w:rPr>
                <w:rFonts w:ascii="宋体" w:hAnsi="宋体"/>
                <w:bCs/>
                <w:lang w:eastAsia="zh-CN"/>
              </w:rPr>
            </w:pPr>
            <w:r>
              <w:rPr>
                <w:rFonts w:hint="eastAsia" w:ascii="宋体" w:hAnsi="宋体"/>
                <w:bCs/>
                <w:lang w:eastAsia="zh-CN"/>
              </w:rPr>
              <w:t>■ 信息发布延长：</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首个挂牌期满结束时，如征集到的意向方不足（</w:t>
            </w:r>
            <w:r>
              <w:rPr>
                <w:rFonts w:ascii="宋体" w:hAnsi="宋体"/>
                <w:bCs/>
                <w:lang w:eastAsia="zh-CN"/>
              </w:rPr>
              <w:t>1</w:t>
            </w:r>
            <w:r>
              <w:rPr>
                <w:rFonts w:hint="eastAsia" w:ascii="宋体" w:hAnsi="宋体"/>
                <w:bCs/>
                <w:lang w:eastAsia="zh-CN"/>
              </w:rPr>
              <w:t>）个，按照（</w:t>
            </w:r>
            <w:r>
              <w:rPr>
                <w:rFonts w:ascii="宋体" w:hAnsi="宋体"/>
                <w:bCs/>
                <w:lang w:eastAsia="zh-CN"/>
              </w:rPr>
              <w:t>10</w:t>
            </w:r>
            <w:r>
              <w:rPr>
                <w:rFonts w:hint="eastAsia" w:ascii="宋体" w:hAnsi="宋体"/>
                <w:bCs/>
                <w:lang w:eastAsia="zh-CN"/>
              </w:rPr>
              <w:t xml:space="preserve">）个工作日为一个延长周期，最多延长（ </w:t>
            </w:r>
            <w:r>
              <w:rPr>
                <w:rFonts w:hint="eastAsia" w:ascii="宋体" w:hAnsi="宋体"/>
                <w:bCs/>
                <w:lang w:val="en-US" w:eastAsia="zh-CN"/>
              </w:rPr>
              <w:t>7</w:t>
            </w:r>
            <w:r>
              <w:rPr>
                <w:rFonts w:hint="eastAsia" w:ascii="宋体" w:hAnsi="宋体"/>
                <w:bCs/>
                <w:lang w:eastAsia="zh-CN"/>
              </w:rPr>
              <w:t>）个周期。</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首个挂牌期满结束时，如征集到的意向方为（1）个，按照（10）个工作日为一个延长周期，最多延长（</w:t>
            </w:r>
            <w:r>
              <w:rPr>
                <w:rFonts w:hint="eastAsia" w:ascii="宋体" w:hAnsi="宋体"/>
                <w:bCs/>
                <w:lang w:val="en-US" w:eastAsia="zh-CN"/>
              </w:rPr>
              <w:t>1</w:t>
            </w:r>
            <w:r>
              <w:rPr>
                <w:rFonts w:hint="eastAsia" w:ascii="宋体" w:hAnsi="宋体"/>
                <w:bCs/>
                <w:lang w:eastAsia="zh-CN"/>
              </w:rPr>
              <w:t>）个周期。</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为（2）个或以上，但经资格审核后仅有1家符合资格的，则项目不变更条件重新挂牌，第二次挂牌的公告期为10个工作日。首次挂牌符合资格的意向方资格将保留至第二次挂牌。</w:t>
            </w:r>
          </w:p>
          <w:p>
            <w:pPr>
              <w:pStyle w:val="39"/>
              <w:ind w:left="464" w:leftChars="17" w:hanging="423"/>
              <w:rPr>
                <w:rFonts w:asci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□行政事业单位及其他</w:t>
            </w:r>
          </w:p>
        </w:tc>
        <w:tc>
          <w:tcPr>
            <w:tcW w:w="6094" w:type="dxa"/>
            <w:gridSpan w:val="5"/>
            <w:vAlign w:val="center"/>
          </w:tcPr>
          <w:p>
            <w:pPr>
              <w:pStyle w:val="39"/>
              <w:ind w:left="464" w:leftChars="17" w:hanging="423"/>
              <w:rPr>
                <w:rFonts w:ascii="宋体" w:hAnsi="宋体"/>
                <w:bCs/>
                <w:lang w:eastAsia="zh-CN"/>
              </w:rPr>
            </w:pPr>
            <w:r>
              <w:rPr>
                <w:rFonts w:hint="eastAsia" w:ascii="宋体" w:hAnsi="宋体"/>
                <w:bCs/>
                <w:lang w:eastAsia="zh-CN"/>
              </w:rPr>
              <w:t>□信息发布延长：</w:t>
            </w:r>
          </w:p>
          <w:p>
            <w:pPr>
              <w:pStyle w:val="39"/>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 xml:space="preserve">       </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bCs/>
                <w:lang w:eastAsia="zh-CN"/>
              </w:rPr>
              <w:t>个周期。</w:t>
            </w:r>
          </w:p>
          <w:p>
            <w:pPr>
              <w:pStyle w:val="39"/>
              <w:ind w:left="464" w:leftChars="17" w:hanging="423"/>
              <w:rPr>
                <w:rFonts w:ascii="宋体" w:hAns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8" w:type="dxa"/>
            <w:gridSpan w:val="7"/>
            <w:vAlign w:val="center"/>
          </w:tcPr>
          <w:p>
            <w:pPr>
              <w:pStyle w:val="39"/>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A</w:t>
            </w:r>
            <w:r>
              <w:rPr>
                <w:rFonts w:hint="eastAsia" w:ascii="宋体" w:hAnsi="宋体"/>
                <w:bCs/>
                <w:lang w:eastAsia="zh-CN"/>
              </w:rPr>
              <w:t>、公告期满后，由广州产权交易所另行通知</w:t>
            </w:r>
          </w:p>
          <w:p>
            <w:pPr>
              <w:pStyle w:val="39"/>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restart"/>
            <w:vAlign w:val="center"/>
          </w:tcPr>
          <w:p>
            <w:pPr>
              <w:jc w:val="center"/>
              <w:rPr>
                <w:rFonts w:ascii="宋体" w:hAnsi="宋体"/>
                <w:lang w:eastAsia="zh-CN"/>
              </w:rPr>
            </w:pPr>
            <w:r>
              <w:rPr>
                <w:rFonts w:ascii="宋体" w:hAnsi="宋体"/>
                <w:lang w:eastAsia="zh-CN"/>
              </w:rPr>
              <w:t>*</w:t>
            </w:r>
            <w:r>
              <w:rPr>
                <w:rFonts w:hint="eastAsia" w:ascii="宋体" w:hAnsi="宋体"/>
                <w:lang w:eastAsia="zh-CN"/>
              </w:rPr>
              <w:t>交易方式</w:t>
            </w: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■市属国有企业（含参照）</w:t>
            </w:r>
          </w:p>
          <w:p>
            <w:pPr>
              <w:pStyle w:val="39"/>
              <w:ind w:firstLine="463" w:firstLineChars="193"/>
              <w:rPr>
                <w:rFonts w:ascii="宋体"/>
                <w:bCs/>
                <w:lang w:eastAsia="zh-CN"/>
              </w:rPr>
            </w:pPr>
          </w:p>
        </w:tc>
        <w:tc>
          <w:tcPr>
            <w:tcW w:w="6094" w:type="dxa"/>
            <w:gridSpan w:val="5"/>
            <w:vAlign w:val="center"/>
          </w:tcPr>
          <w:p>
            <w:pPr>
              <w:ind w:firstLine="463" w:firstLineChars="193"/>
              <w:rPr>
                <w:lang w:eastAsia="zh-CN"/>
              </w:rPr>
            </w:pPr>
            <w:r>
              <w:rPr>
                <w:rFonts w:hint="eastAsia"/>
                <w:lang w:eastAsia="zh-CN"/>
              </w:rPr>
              <w:t>如不变更条件进行两次信息发布（含延长周期和第二次挂牌）后仅有1家符合资格且缴纳交易保证金的意向方，经批准及公示5个工作日无异议后协议交易。</w:t>
            </w:r>
          </w:p>
          <w:p>
            <w:pPr>
              <w:pStyle w:val="39"/>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如征集到符合资格的意向方为2家或以上且至少1个意向方缴纳</w:t>
            </w:r>
            <w:r>
              <w:rPr>
                <w:rFonts w:hint="eastAsia"/>
                <w:lang w:eastAsia="zh-CN"/>
              </w:rPr>
              <w:t>交易</w:t>
            </w:r>
            <w:r>
              <w:rPr>
                <w:rFonts w:hint="eastAsia" w:ascii="宋体" w:hAnsi="宋体"/>
                <w:bCs/>
                <w:lang w:eastAsia="zh-CN"/>
              </w:rPr>
              <w:t>保证金的，选择以下交易方式：</w:t>
            </w:r>
          </w:p>
          <w:p>
            <w:pPr>
              <w:pStyle w:val="39"/>
              <w:ind w:firstLine="463" w:firstLineChars="19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 xml:space="preserve"> ☑网络一次性报价）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rPr>
                <w:lang w:eastAsia="zh-CN"/>
              </w:rPr>
            </w:pPr>
            <w:r>
              <w:rPr>
                <w:rFonts w:hint="eastAsia" w:ascii="宋体" w:hAnsi="宋体"/>
                <w:bCs/>
                <w:lang w:eastAsia="zh-CN"/>
              </w:rPr>
              <w:t>□行政事业单位及其他</w:t>
            </w:r>
          </w:p>
        </w:tc>
        <w:tc>
          <w:tcPr>
            <w:tcW w:w="6094" w:type="dxa"/>
            <w:gridSpan w:val="5"/>
            <w:vAlign w:val="center"/>
          </w:tcPr>
          <w:p>
            <w:pPr>
              <w:ind w:firstLine="463" w:firstLineChars="193"/>
              <w:rPr>
                <w:lang w:eastAsia="zh-CN"/>
              </w:rPr>
            </w:pPr>
            <w:r>
              <w:rPr>
                <w:rFonts w:ascii="宋体" w:hAnsi="宋体"/>
                <w:lang w:eastAsia="zh-CN"/>
              </w:rPr>
              <w:t>*</w:t>
            </w:r>
            <w:r>
              <w:rPr>
                <w:rFonts w:hint="eastAsia"/>
                <w:lang w:eastAsia="zh-CN"/>
              </w:rPr>
              <w:t>仅征集到1家符合资格且缴纳交易保证金的意向方，选择协议交易。</w:t>
            </w:r>
          </w:p>
          <w:p>
            <w:pPr>
              <w:pStyle w:val="39"/>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如征集到符合资格且缴纳</w:t>
            </w:r>
            <w:r>
              <w:rPr>
                <w:rFonts w:hint="eastAsia"/>
                <w:lang w:eastAsia="zh-CN"/>
              </w:rPr>
              <w:t>交易</w:t>
            </w:r>
            <w:r>
              <w:rPr>
                <w:rFonts w:hint="eastAsia" w:ascii="宋体" w:hAnsi="宋体"/>
                <w:bCs/>
                <w:lang w:eastAsia="zh-CN"/>
              </w:rPr>
              <w:t>保证金的意向方为2家或以上的，选择以下交易方式：</w:t>
            </w:r>
          </w:p>
          <w:p>
            <w:pPr>
              <w:pStyle w:val="39"/>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8" w:hRule="atLeast"/>
          <w:jc w:val="center"/>
        </w:trPr>
        <w:tc>
          <w:tcPr>
            <w:tcW w:w="1753" w:type="dxa"/>
            <w:vAlign w:val="center"/>
          </w:tcPr>
          <w:p>
            <w:pPr>
              <w:pStyle w:val="41"/>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8" w:type="dxa"/>
            <w:gridSpan w:val="7"/>
            <w:vAlign w:val="center"/>
          </w:tcPr>
          <w:p>
            <w:pPr>
              <w:rPr>
                <w:rFonts w:ascii="宋体"/>
                <w:bCs/>
                <w:lang w:eastAsia="zh-CN"/>
              </w:rPr>
            </w:pPr>
            <w:r>
              <w:rPr>
                <w:rFonts w:hint="eastAsia" w:ascii="宋体"/>
                <w:bCs/>
                <w:lang w:eastAsia="zh-CN"/>
              </w:rPr>
              <w:t>1、出租方按出租标的现状</w:t>
            </w:r>
            <w:r>
              <w:rPr>
                <w:rFonts w:ascii="宋体"/>
                <w:bCs/>
                <w:lang w:eastAsia="zh-CN"/>
              </w:rPr>
              <w:t>（</w:t>
            </w:r>
            <w:r>
              <w:rPr>
                <w:rFonts w:hint="eastAsia" w:ascii="宋体"/>
                <w:bCs/>
                <w:lang w:eastAsia="zh-CN"/>
              </w:rPr>
              <w:t>包括</w:t>
            </w:r>
            <w:r>
              <w:rPr>
                <w:rFonts w:ascii="宋体"/>
                <w:bCs/>
                <w:lang w:eastAsia="zh-CN"/>
              </w:rPr>
              <w:t>但不限于</w:t>
            </w:r>
            <w:r>
              <w:rPr>
                <w:rFonts w:hint="eastAsia" w:ascii="宋体"/>
                <w:bCs/>
                <w:lang w:eastAsia="zh-CN"/>
              </w:rPr>
              <w:t>现有质量、消防状况</w:t>
            </w:r>
            <w:r>
              <w:rPr>
                <w:rFonts w:ascii="宋体"/>
                <w:bCs/>
                <w:lang w:eastAsia="zh-CN"/>
              </w:rPr>
              <w:t>、</w:t>
            </w:r>
            <w:r>
              <w:rPr>
                <w:rFonts w:hint="eastAsia" w:ascii="宋体"/>
                <w:bCs/>
                <w:lang w:eastAsia="zh-CN"/>
              </w:rPr>
              <w:t>房屋结构、交付使用时依附于出租标的的装修装饰状况</w:t>
            </w:r>
            <w:r>
              <w:rPr>
                <w:rFonts w:ascii="宋体"/>
                <w:bCs/>
                <w:lang w:eastAsia="zh-CN"/>
              </w:rPr>
              <w:t>）</w:t>
            </w:r>
            <w:r>
              <w:rPr>
                <w:rFonts w:hint="eastAsia" w:ascii="宋体"/>
                <w:bCs/>
                <w:lang w:eastAsia="zh-CN"/>
              </w:rPr>
              <w:t>和指定用途出租，不包括出租标的内可移动的设施、设备和物品，并承诺出租房屋不存在共有、抵押、查封情况。</w:t>
            </w:r>
          </w:p>
          <w:p>
            <w:pPr>
              <w:rPr>
                <w:rFonts w:ascii="宋体"/>
                <w:bCs/>
                <w:lang w:eastAsia="zh-CN"/>
              </w:rPr>
            </w:pPr>
            <w:r>
              <w:rPr>
                <w:rFonts w:hint="eastAsia" w:ascii="宋体"/>
                <w:bCs/>
                <w:lang w:eastAsia="zh-CN"/>
              </w:rPr>
              <w:t>2、</w:t>
            </w:r>
            <w:r>
              <w:rPr>
                <w:rFonts w:ascii="宋体"/>
                <w:bCs/>
                <w:lang w:eastAsia="zh-CN"/>
              </w:rPr>
              <w:t>出租标的</w:t>
            </w:r>
            <w:r>
              <w:rPr>
                <w:rFonts w:hint="eastAsia" w:ascii="宋体"/>
                <w:bCs/>
                <w:lang w:eastAsia="zh-CN"/>
              </w:rPr>
              <w:t>于2013年3月15日竣工验收，为钢筋混凝土结构楼房。已办理消防验收意见书，消防系统现使用正常。目前已带天花、地板间隔及排管风机、日光灯、插座等设备。入驻即可正常使用。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1"/>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1"/>
              <w:spacing w:before="0" w:after="0"/>
              <w:ind w:left="-2" w:leftChars="-1"/>
              <w:jc w:val="center"/>
              <w:rPr>
                <w:rFonts w:ascii="宋体"/>
                <w:lang w:eastAsia="zh-CN"/>
              </w:rPr>
            </w:pPr>
            <w:r>
              <w:rPr>
                <w:rFonts w:hint="eastAsia"/>
                <w:lang w:eastAsia="zh-CN"/>
              </w:rPr>
              <w:t>交易保证金/诚意金</w:t>
            </w:r>
          </w:p>
        </w:tc>
        <w:tc>
          <w:tcPr>
            <w:tcW w:w="2551" w:type="dxa"/>
            <w:gridSpan w:val="3"/>
            <w:vMerge w:val="restart"/>
            <w:vAlign w:val="center"/>
          </w:tcPr>
          <w:p>
            <w:pPr>
              <w:rPr>
                <w:rFonts w:ascii="宋体"/>
                <w:lang w:eastAsia="zh-CN"/>
              </w:rPr>
            </w:pP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59" w:type="dxa"/>
            <w:gridSpan w:val="2"/>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交易</w:t>
            </w:r>
            <w:r>
              <w:rPr>
                <w:rFonts w:hint="eastAsia" w:ascii="宋体"/>
                <w:lang w:eastAsia="zh-CN"/>
              </w:rPr>
              <w:t xml:space="preserve">保证金金额 </w:t>
            </w:r>
            <w:r>
              <w:rPr>
                <w:rFonts w:hint="eastAsia" w:ascii="宋体"/>
                <w:u w:val="single"/>
                <w:lang w:eastAsia="zh-CN"/>
              </w:rPr>
              <w:t xml:space="preserve">291638元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1"/>
              <w:spacing w:before="0" w:after="0"/>
              <w:ind w:left="-2" w:leftChars="-1"/>
              <w:jc w:val="center"/>
              <w:rPr>
                <w:rFonts w:ascii="宋体" w:hAnsi="宋体"/>
                <w:lang w:eastAsia="zh-CN"/>
              </w:rPr>
            </w:pPr>
          </w:p>
        </w:tc>
        <w:tc>
          <w:tcPr>
            <w:tcW w:w="2551" w:type="dxa"/>
            <w:gridSpan w:val="3"/>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59"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8" w:type="dxa"/>
            <w:gridSpan w:val="7"/>
            <w:vAlign w:val="center"/>
          </w:tcPr>
          <w:p>
            <w:pPr>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经资格确认后</w:t>
            </w:r>
            <w:r>
              <w:rPr>
                <w:rFonts w:ascii="宋体" w:hAnsi="宋体"/>
                <w:bCs/>
                <w:u w:val="single"/>
                <w:lang w:eastAsia="zh-CN"/>
              </w:rPr>
              <w:t xml:space="preserve"> 5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r>
              <w:rPr>
                <w:rFonts w:hint="eastAsia"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9"/>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8" w:type="dxa"/>
            <w:gridSpan w:val="7"/>
            <w:vAlign w:val="center"/>
          </w:tcPr>
          <w:p>
            <w:pPr>
              <w:pStyle w:val="39"/>
              <w:ind w:firstLine="0"/>
              <w:rPr>
                <w:lang w:eastAsia="zh-CN"/>
              </w:rPr>
            </w:pPr>
            <w:r>
              <w:rPr>
                <w:rFonts w:hint="eastAsia"/>
                <w:bCs/>
                <w:lang w:eastAsia="zh-CN"/>
              </w:rPr>
              <w:t>■</w:t>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9"/>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8" w:type="dxa"/>
            <w:gridSpan w:val="7"/>
            <w:vAlign w:val="center"/>
          </w:tcPr>
          <w:p>
            <w:pPr>
              <w:pStyle w:val="39"/>
              <w:ind w:firstLine="0"/>
              <w:rPr>
                <w:bCs/>
                <w:lang w:eastAsia="zh-CN"/>
              </w:rPr>
            </w:pPr>
            <w:r>
              <w:rPr>
                <w:rFonts w:hint="eastAsia"/>
                <w:bCs/>
                <w:lang w:eastAsia="zh-CN"/>
              </w:rPr>
              <w:t>账户名称：广州产权交易所</w:t>
            </w:r>
            <w:r>
              <w:rPr>
                <w:bCs/>
                <w:lang w:eastAsia="zh-CN"/>
              </w:rPr>
              <w:t xml:space="preserve"> </w:t>
            </w:r>
          </w:p>
          <w:p>
            <w:pPr>
              <w:pStyle w:val="39"/>
              <w:ind w:firstLine="0"/>
              <w:rPr>
                <w:lang w:eastAsia="zh-CN"/>
              </w:rPr>
            </w:pPr>
            <w:r>
              <w:rPr>
                <w:rFonts w:hint="eastAsia"/>
                <w:lang w:eastAsia="zh-CN"/>
              </w:rPr>
              <w:t>账号</w:t>
            </w:r>
            <w:r>
              <w:rPr>
                <w:lang w:eastAsia="zh-CN"/>
              </w:rPr>
              <w:t xml:space="preserve">: </w:t>
            </w:r>
            <w:r>
              <w:rPr>
                <w:bCs/>
                <w:lang w:eastAsia="zh-CN"/>
              </w:rPr>
              <w:t>1500 0015 7532 75</w:t>
            </w:r>
          </w:p>
          <w:p>
            <w:pPr>
              <w:pStyle w:val="39"/>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8" w:type="dxa"/>
            <w:gridSpan w:val="7"/>
            <w:vAlign w:val="center"/>
          </w:tcPr>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（1）意向方向广州产权交易所递交和上传的资料须保证其真实、完整、有效；</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（2）意向方不得使用作弊、欺诈、强迫等有违公平的手续参与竞价；</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（3）意向方须按照公告和通知，按时参与广州产权交易所组织的交易活动（包括但不限于协议交易、网络竞价、评审、拍卖、招投标等）；</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（4）意向方参与竞价应保证至少有一家意向方报价，使该项目能产生有效报价；如项目存在优先权人，在未产生有效报价的情况下，优先权人应以挂牌价行权；</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（5）意向方被确定为承租方后，应按照公告要求签订《成交确认书》、《租赁合同》，并按约定足额支付交易服务费；</w:t>
            </w:r>
          </w:p>
          <w:p>
            <w:pPr>
              <w:adjustRightInd w:val="0"/>
              <w:snapToGrid w:val="0"/>
              <w:ind w:firstLine="0" w:firstLineChars="0"/>
              <w:jc w:val="both"/>
              <w:rPr>
                <w:rFonts w:ascii="宋体"/>
                <w:bCs/>
                <w:sz w:val="18"/>
                <w:szCs w:val="18"/>
                <w:lang w:eastAsia="zh-CN"/>
              </w:rPr>
            </w:pPr>
            <w:r>
              <w:rPr>
                <w:rFonts w:hint="eastAsia" w:ascii="宋体" w:hAnsi="宋体"/>
                <w:bCs/>
                <w:sz w:val="18"/>
                <w:szCs w:val="18"/>
                <w:lang w:eastAsia="zh-CN"/>
              </w:rPr>
              <w:t>（6）遵守项目公告、项目须知的约定，以及广州产权交易所操作规程和竞价实施办法等制度要求。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1"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8" w:type="dxa"/>
            <w:gridSpan w:val="7"/>
            <w:vAlign w:val="center"/>
          </w:tcPr>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237" w:firstLineChars="132"/>
              <w:jc w:val="both"/>
              <w:rPr>
                <w:rFonts w:ascii="宋体"/>
                <w:bCs/>
                <w:sz w:val="18"/>
                <w:szCs w:val="18"/>
                <w:lang w:eastAsia="zh-CN"/>
              </w:rPr>
            </w:pPr>
            <w:r>
              <w:rPr>
                <w:rFonts w:hint="eastAsia" w:ascii="宋体" w:hAnsi="宋体"/>
                <w:bCs/>
                <w:sz w:val="18"/>
                <w:szCs w:val="18"/>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1"/>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8" w:type="dxa"/>
            <w:gridSpan w:val="7"/>
            <w:vAlign w:val="center"/>
          </w:tcPr>
          <w:p>
            <w:pPr>
              <w:ind w:left="240" w:hanging="240" w:hangingChars="100"/>
              <w:jc w:val="both"/>
              <w:rPr>
                <w:rFonts w:ascii="宋体"/>
                <w:bCs/>
                <w:lang w:eastAsia="zh-CN"/>
              </w:rPr>
            </w:pPr>
            <w:r>
              <w:rPr>
                <w:rFonts w:hint="eastAsia" w:ascii="宋体"/>
                <w:bCs/>
                <w:lang w:eastAsia="zh-CN"/>
              </w:rPr>
              <w:t>1.承租方须于广州产权交易所发出《签订合同通知书》/《签订&lt;成交确认书&gt;通知书》或竞价/报价活动结束之日起</w:t>
            </w:r>
            <w:r>
              <w:rPr>
                <w:rFonts w:ascii="宋体"/>
                <w:bCs/>
                <w:u w:val="single"/>
                <w:lang w:eastAsia="zh-CN"/>
              </w:rPr>
              <w:t>2</w:t>
            </w:r>
            <w:r>
              <w:rPr>
                <w:rFonts w:hint="eastAsia" w:ascii="宋体"/>
                <w:bCs/>
                <w:lang w:eastAsia="zh-CN"/>
              </w:rPr>
              <w:t>个工作日内与广州产权交易所、出租方签订《成交确认书》。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bCs/>
                <w:lang w:eastAsia="zh-CN"/>
              </w:rPr>
              <w:t>承租方须于签订《成交确认书》之日起</w:t>
            </w:r>
            <w:r>
              <w:rPr>
                <w:rFonts w:hint="eastAsia" w:ascii="宋体"/>
                <w:bCs/>
                <w:u w:val="single"/>
                <w:lang w:eastAsia="zh-CN"/>
              </w:rPr>
              <w:t xml:space="preserve"> </w:t>
            </w:r>
            <w:r>
              <w:rPr>
                <w:rFonts w:ascii="宋体"/>
                <w:bCs/>
                <w:u w:val="single"/>
                <w:lang w:eastAsia="zh-CN"/>
              </w:rPr>
              <w:t>10</w:t>
            </w:r>
            <w:r>
              <w:rPr>
                <w:rFonts w:hint="eastAsia" w:ascii="宋体"/>
                <w:bCs/>
                <w:u w:val="single"/>
                <w:lang w:eastAsia="zh-CN"/>
              </w:rPr>
              <w:t xml:space="preserve"> </w:t>
            </w:r>
            <w:r>
              <w:rPr>
                <w:rFonts w:hint="eastAsia" w:ascii="宋体"/>
                <w:bCs/>
                <w:lang w:eastAsia="zh-CN"/>
              </w:rPr>
              <w:t>个工作日内与出租方签订租赁合同。（适用于国有企业出租、部分行政事业单位出租类）</w:t>
            </w:r>
          </w:p>
          <w:p>
            <w:pPr>
              <w:ind w:left="600" w:leftChars="150" w:hanging="240" w:hangingChars="100"/>
              <w:jc w:val="both"/>
              <w:rPr>
                <w:rFonts w:ascii="宋体"/>
                <w:bCs/>
                <w:lang w:eastAsia="zh-CN"/>
              </w:rPr>
            </w:pPr>
            <w:r>
              <w:rPr>
                <w:rFonts w:hint="eastAsia" w:ascii="宋体" w:hAnsi="宋体"/>
                <w:bCs/>
                <w:lang w:eastAsia="zh-CN"/>
              </w:rPr>
              <w:t>□</w:t>
            </w:r>
            <w:r>
              <w:rPr>
                <w:rFonts w:hint="eastAsia" w:ascii="宋体"/>
                <w:bCs/>
                <w:lang w:eastAsia="zh-CN"/>
              </w:rPr>
              <w:t>承租方须于签订《成交确认书》且在成交结果公示期满无人对本次交易提出异议之日起</w:t>
            </w:r>
            <w:r>
              <w:rPr>
                <w:rFonts w:hint="eastAsia" w:ascii="宋体"/>
                <w:bCs/>
                <w:u w:val="single"/>
                <w:lang w:eastAsia="zh-CN"/>
              </w:rPr>
              <w:t xml:space="preserve">    </w:t>
            </w:r>
            <w:r>
              <w:rPr>
                <w:rFonts w:hint="eastAsia" w:ascii="宋体"/>
                <w:bCs/>
                <w:lang w:eastAsia="zh-CN"/>
              </w:rPr>
              <w:t>个工作日内与出租方签订租赁合同。（适用于市属行政事业单位出租类）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240" w:hanging="240" w:hangingChars="100"/>
              <w:jc w:val="both"/>
              <w:rPr>
                <w:rFonts w:ascii="宋体"/>
                <w:bCs/>
                <w:u w:val="single"/>
                <w:lang w:eastAsia="zh-CN"/>
              </w:rPr>
            </w:pPr>
            <w:r>
              <w:rPr>
                <w:rFonts w:hint="eastAsia" w:ascii="宋体"/>
                <w:bCs/>
                <w:lang w:eastAsia="zh-CN"/>
              </w:rPr>
              <w:t>3.承租方须于签订《成交确认书》之日起</w:t>
            </w:r>
            <w:r>
              <w:rPr>
                <w:rFonts w:hint="eastAsia" w:ascii="宋体"/>
                <w:bCs/>
                <w:u w:val="single"/>
                <w:lang w:eastAsia="zh-CN"/>
              </w:rPr>
              <w:t xml:space="preserve"> </w:t>
            </w:r>
            <w:r>
              <w:rPr>
                <w:rFonts w:ascii="宋体"/>
                <w:bCs/>
                <w:u w:val="single"/>
                <w:lang w:eastAsia="zh-CN"/>
              </w:rPr>
              <w:t>3</w:t>
            </w:r>
            <w:r>
              <w:rPr>
                <w:rFonts w:hint="eastAsia" w:ascii="宋体"/>
                <w:bCs/>
                <w:u w:val="single"/>
                <w:lang w:eastAsia="zh-CN"/>
              </w:rPr>
              <w:t xml:space="preserve"> </w:t>
            </w:r>
            <w:r>
              <w:rPr>
                <w:rFonts w:hint="eastAsia" w:ascii="宋体"/>
                <w:bCs/>
                <w:lang w:eastAsia="zh-CN"/>
              </w:rPr>
              <w:t>个工作日内向广州产权交易所支付交易服务费，交易服务费标准如下：</w:t>
            </w:r>
            <w:r>
              <w:rPr>
                <w:rFonts w:hint="eastAsia" w:ascii="宋体"/>
                <w:bCs/>
                <w:u w:val="single"/>
                <w:lang w:eastAsia="zh-CN"/>
              </w:rPr>
              <w:t>相当于首年租金（按12个月计算）成交价格的</w:t>
            </w:r>
            <w:r>
              <w:rPr>
                <w:rFonts w:ascii="宋体"/>
                <w:bCs/>
                <w:u w:val="single"/>
                <w:lang w:eastAsia="zh-CN"/>
              </w:rPr>
              <w:t>0.5%</w:t>
            </w:r>
            <w:r>
              <w:rPr>
                <w:rFonts w:hint="eastAsia" w:ascii="宋体"/>
                <w:bCs/>
                <w:u w:val="single"/>
                <w:lang w:eastAsia="zh-CN"/>
              </w:rPr>
              <w:t>向本所支付交易服务费。</w:t>
            </w:r>
          </w:p>
          <w:p>
            <w:pPr>
              <w:ind w:left="240" w:hanging="240" w:hangingChars="100"/>
              <w:jc w:val="both"/>
              <w:rPr>
                <w:rFonts w:ascii="宋体"/>
                <w:bCs/>
                <w:lang w:eastAsia="zh-CN"/>
              </w:rPr>
            </w:pPr>
            <w:r>
              <w:rPr>
                <w:rFonts w:hint="eastAsia" w:ascii="宋体"/>
                <w:bCs/>
                <w:lang w:eastAsia="zh-CN"/>
              </w:rPr>
              <w:t xml:space="preserve">  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3"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rPr>
                <w:rFonts w:ascii="宋体"/>
                <w:bCs/>
                <w:lang w:eastAsia="zh-CN"/>
              </w:rPr>
            </w:pPr>
            <w:r>
              <w:rPr>
                <w:rFonts w:hint="eastAsia" w:ascii="宋体"/>
                <w:bCs/>
                <w:lang w:eastAsia="zh-CN"/>
              </w:rPr>
              <w:t>4.承租方</w:t>
            </w:r>
            <w:r>
              <w:rPr>
                <w:rFonts w:ascii="宋体"/>
                <w:bCs/>
                <w:lang w:eastAsia="zh-CN"/>
              </w:rPr>
              <w:t>须按出租方提供的租赁合同版本签署。</w:t>
            </w:r>
          </w:p>
          <w:p>
            <w:pPr>
              <w:rPr>
                <w:rFonts w:ascii="宋体"/>
                <w:bCs/>
                <w:lang w:eastAsia="zh-CN"/>
              </w:rPr>
            </w:pPr>
            <w:r>
              <w:rPr>
                <w:rFonts w:hint="eastAsia" w:ascii="宋体"/>
                <w:bCs/>
                <w:lang w:eastAsia="zh-CN"/>
              </w:rPr>
              <w:t>5.意向方应仔细阅读标的信息公告，充分了解标的交易相关的披露事项。意向方应自行对标的进行必要和适当的独立调查和分析，对标的现状进行充分的了解，认同交易标的现状</w:t>
            </w:r>
            <w:r>
              <w:rPr>
                <w:rFonts w:ascii="宋体"/>
                <w:bCs/>
                <w:lang w:eastAsia="zh-CN"/>
              </w:rPr>
              <w:t>，</w:t>
            </w:r>
            <w:r>
              <w:rPr>
                <w:rFonts w:hint="eastAsia" w:ascii="宋体"/>
                <w:bCs/>
                <w:lang w:eastAsia="zh-CN"/>
              </w:rPr>
              <w:t>并对承租交易标的后可能发生的费用和存在的风险进行充分评估。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1"/>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出租方是否进行资格审核</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5"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3" w:hRule="atLeast"/>
          <w:jc w:val="center"/>
        </w:trPr>
        <w:tc>
          <w:tcPr>
            <w:tcW w:w="1753" w:type="dxa"/>
            <w:vMerge w:val="continue"/>
            <w:vAlign w:val="center"/>
          </w:tcPr>
          <w:p>
            <w:pPr>
              <w:pStyle w:val="41"/>
              <w:spacing w:before="0" w:after="0"/>
              <w:jc w:val="center"/>
              <w:rPr>
                <w:rFonts w:ascii="宋体"/>
                <w:b/>
                <w:lang w:eastAsia="zh-CN"/>
              </w:rPr>
            </w:pPr>
          </w:p>
        </w:tc>
        <w:tc>
          <w:tcPr>
            <w:tcW w:w="8078" w:type="dxa"/>
            <w:gridSpan w:val="7"/>
            <w:vAlign w:val="center"/>
          </w:tcPr>
          <w:p>
            <w:pPr>
              <w:rPr>
                <w:rFonts w:ascii="宋体"/>
                <w:bCs/>
                <w:lang w:eastAsia="zh-CN"/>
              </w:rPr>
            </w:pPr>
          </w:p>
          <w:p>
            <w:pPr>
              <w:rPr>
                <w:rFonts w:ascii="宋体"/>
                <w:bCs/>
                <w:lang w:eastAsia="zh-CN"/>
              </w:rPr>
            </w:pPr>
            <w:r>
              <w:rPr>
                <w:rFonts w:ascii="宋体"/>
                <w:bCs/>
                <w:lang w:eastAsia="zh-CN"/>
              </w:rPr>
              <w:t xml:space="preserve">1. </w:t>
            </w:r>
            <w:r>
              <w:rPr>
                <w:rFonts w:hint="eastAsia" w:ascii="宋体"/>
                <w:bCs/>
                <w:lang w:eastAsia="zh-CN"/>
              </w:rPr>
              <w:t>意向方须于公告期内（截止日17时之前）在广州产权交易所官网（www.gemas.com.cn）点击“注册用户”完成网上报名流程。</w:t>
            </w:r>
          </w:p>
          <w:p>
            <w:pPr>
              <w:rPr>
                <w:rFonts w:ascii="宋体"/>
                <w:bCs/>
                <w:lang w:eastAsia="zh-CN"/>
              </w:rPr>
            </w:pPr>
            <w:r>
              <w:rPr>
                <w:rFonts w:hint="eastAsia" w:ascii="宋体"/>
                <w:bCs/>
                <w:lang w:eastAsia="zh-CN"/>
              </w:rPr>
              <w:t>2. 意向承租方必须为中华人民共和国境内注册成立、合法存续的法人。</w:t>
            </w:r>
          </w:p>
          <w:p>
            <w:pPr>
              <w:rPr>
                <w:rFonts w:ascii="宋体"/>
                <w:bCs/>
                <w:lang w:eastAsia="zh-CN"/>
              </w:rPr>
            </w:pPr>
          </w:p>
          <w:p>
            <w:pPr>
              <w:rPr>
                <w:rFonts w:ascii="宋体"/>
                <w:bCs/>
                <w:lang w:eastAsia="zh-CN"/>
              </w:rPr>
            </w:pP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1"/>
              <w:jc w:val="center"/>
              <w:rPr>
                <w:rFonts w:ascii="宋体"/>
                <w:lang w:eastAsia="zh-CN"/>
              </w:rPr>
            </w:pP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5" w:type="dxa"/>
            <w:gridSpan w:val="3"/>
            <w:vAlign w:val="center"/>
          </w:tcPr>
          <w:p>
            <w:pPr>
              <w:rPr>
                <w:rFonts w:ascii="宋体"/>
                <w:lang w:eastAsia="zh-CN"/>
              </w:rPr>
            </w:pPr>
            <w:r>
              <w:rPr>
                <w:rFonts w:ascii="Times New Roman" w:hAnsi="Times New Roman"/>
                <w:szCs w:val="20"/>
                <w:lang w:eastAsia="zh-CN"/>
              </w:rPr>
              <w:sym w:font="Wingdings" w:char="F0FE"/>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1"/>
              <w:spacing w:before="0" w:after="0"/>
              <w:jc w:val="center"/>
              <w:rPr>
                <w:rFonts w:ascii="宋体"/>
                <w:b/>
                <w:lang w:eastAsia="zh-CN"/>
              </w:rPr>
            </w:pPr>
          </w:p>
        </w:tc>
        <w:tc>
          <w:tcPr>
            <w:tcW w:w="8078" w:type="dxa"/>
            <w:gridSpan w:val="7"/>
            <w:vAlign w:val="center"/>
          </w:tcPr>
          <w:p>
            <w:pPr>
              <w:ind w:firstLine="480" w:firstLineChars="200"/>
              <w:rPr>
                <w:rFonts w:ascii="宋体"/>
                <w:bCs/>
                <w:lang w:eastAsia="zh-CN"/>
              </w:rPr>
            </w:pPr>
            <w:r>
              <w:rPr>
                <w:rFonts w:hint="eastAsia" w:ascii="宋体"/>
                <w:bCs/>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lang w:eastAsia="zh-CN"/>
              </w:rPr>
            </w:pPr>
            <w:r>
              <w:rPr>
                <w:rFonts w:hint="eastAsia" w:ascii="宋体"/>
                <w:bCs/>
                <w:lang w:eastAsia="zh-CN"/>
              </w:rPr>
              <w:t>意向方如被确认为承租方，须于签订成交文件时将报名登记时所上传文件的原件或加盖公章（自然人应签名确认）的复印件提交至广州产权交易所；否则，视为其违约。广州产权交易所和出租方有权单方面解除已签署的成交确认书和租赁合同等成交文件。该意向方须承担缔约过失责任，其交纳的保证金不予退回，作为违约金归广州产权交易所和出租方所有。</w:t>
            </w:r>
          </w:p>
          <w:p>
            <w:pPr>
              <w:ind w:firstLine="480" w:firstLineChars="200"/>
              <w:rPr>
                <w:rFonts w:ascii="宋体"/>
                <w:bCs/>
                <w:lang w:eastAsia="zh-CN"/>
              </w:rPr>
            </w:pPr>
            <w:r>
              <w:rPr>
                <w:rFonts w:hint="eastAsia" w:ascii="宋体"/>
                <w:bCs/>
                <w:lang w:eastAsia="zh-CN"/>
              </w:rPr>
              <w:t>根据项目公告要求，意向方须上传以下资料（如无特殊说明的，上传的资料须为彩色扫描件或照片）：</w:t>
            </w:r>
          </w:p>
          <w:p>
            <w:pPr>
              <w:rPr>
                <w:rFonts w:ascii="宋体"/>
                <w:bCs/>
                <w:lang w:eastAsia="zh-CN"/>
              </w:rPr>
            </w:pPr>
            <w:r>
              <w:rPr>
                <w:rFonts w:hint="eastAsia" w:ascii="宋体"/>
                <w:bCs/>
                <w:lang w:eastAsia="zh-CN"/>
              </w:rPr>
              <w:t>法人应提交：</w:t>
            </w:r>
          </w:p>
          <w:p>
            <w:pPr>
              <w:rPr>
                <w:rFonts w:ascii="宋体"/>
                <w:bCs/>
                <w:lang w:eastAsia="zh-CN"/>
              </w:rPr>
            </w:pPr>
            <w:r>
              <w:rPr>
                <w:rFonts w:hint="eastAsia" w:ascii="宋体"/>
                <w:bCs/>
                <w:lang w:eastAsia="zh-CN"/>
              </w:rPr>
              <w:t>（1）法人资格证明、法定代表人身份证、法定代表人身份证明书；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5" w:hRule="atLeast"/>
          <w:jc w:val="center"/>
        </w:trPr>
        <w:tc>
          <w:tcPr>
            <w:tcW w:w="1753" w:type="dxa"/>
            <w:vAlign w:val="center"/>
          </w:tcPr>
          <w:p>
            <w:pPr>
              <w:pStyle w:val="41"/>
              <w:spacing w:before="0" w:after="0"/>
              <w:jc w:val="center"/>
              <w:rPr>
                <w:rFonts w:ascii="宋体"/>
                <w:b/>
                <w:lang w:eastAsia="zh-CN"/>
              </w:rPr>
            </w:pPr>
            <w:r>
              <w:rPr>
                <w:rFonts w:hint="eastAsia" w:ascii="宋体"/>
                <w:bCs/>
                <w:lang w:eastAsia="zh-CN"/>
              </w:rPr>
              <w:t>*承诺书</w:t>
            </w:r>
          </w:p>
        </w:tc>
        <w:tc>
          <w:tcPr>
            <w:tcW w:w="8078" w:type="dxa"/>
            <w:gridSpan w:val="7"/>
            <w:vAlign w:val="center"/>
          </w:tcPr>
          <w:p>
            <w:pPr>
              <w:rPr>
                <w:rFonts w:ascii="宋体"/>
                <w:bCs/>
                <w:lang w:eastAsia="zh-CN"/>
              </w:rPr>
            </w:pPr>
            <w:r>
              <w:rPr>
                <w:rFonts w:hint="eastAsia" w:ascii="宋体"/>
                <w:bCs/>
                <w:lang w:eastAsia="zh-CN"/>
              </w:rPr>
              <w:t>我方如被确认为承租方，同意按照出租方提交的《</w:t>
            </w:r>
            <w:r>
              <w:rPr>
                <w:rFonts w:hint="eastAsia" w:ascii="宋体"/>
                <w:bCs/>
                <w:u w:val="single"/>
                <w:lang w:eastAsia="zh-CN"/>
              </w:rPr>
              <w:t>物业</w:t>
            </w:r>
            <w:r>
              <w:rPr>
                <w:rFonts w:hint="eastAsia" w:ascii="宋体"/>
                <w:bCs/>
                <w:lang w:eastAsia="zh-CN"/>
              </w:rPr>
              <w:t>租赁合同》版本签署合同。</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rPr>
      <w:fldChar w:fldCharType="begin"/>
    </w:r>
    <w:r>
      <w:rPr>
        <w:b/>
      </w:rPr>
      <w:instrText xml:space="preserve">PAGE</w:instrText>
    </w:r>
    <w:r>
      <w:rPr>
        <w:b/>
      </w:rPr>
      <w:fldChar w:fldCharType="separate"/>
    </w:r>
    <w:r>
      <w:rPr>
        <w:b/>
      </w:rPr>
      <w:t>5</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28B"/>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70326"/>
    <w:rsid w:val="00070D70"/>
    <w:rsid w:val="0007123F"/>
    <w:rsid w:val="000713FB"/>
    <w:rsid w:val="000722CA"/>
    <w:rsid w:val="000739B4"/>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AB2"/>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6E5A"/>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D6C83"/>
    <w:rsid w:val="004E1C27"/>
    <w:rsid w:val="004E1CD1"/>
    <w:rsid w:val="004E1D70"/>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27E"/>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09D"/>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D7A47"/>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2262"/>
    <w:rsid w:val="006934B0"/>
    <w:rsid w:val="0069579D"/>
    <w:rsid w:val="00696669"/>
    <w:rsid w:val="006969D1"/>
    <w:rsid w:val="00696B69"/>
    <w:rsid w:val="006A0DD1"/>
    <w:rsid w:val="006A1920"/>
    <w:rsid w:val="006A3D72"/>
    <w:rsid w:val="006A670F"/>
    <w:rsid w:val="006A67FE"/>
    <w:rsid w:val="006A6CC2"/>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3D06"/>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E7955"/>
    <w:rsid w:val="007F1366"/>
    <w:rsid w:val="007F17DB"/>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14F0"/>
    <w:rsid w:val="008349E5"/>
    <w:rsid w:val="00835949"/>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5ECB"/>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BBD"/>
    <w:rsid w:val="00957861"/>
    <w:rsid w:val="009606DA"/>
    <w:rsid w:val="009621E0"/>
    <w:rsid w:val="009632CB"/>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4CA0"/>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9AA"/>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0BA"/>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6F02"/>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008B"/>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4D6"/>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2763E"/>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2AF2"/>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DF6C30"/>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5826"/>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100267D"/>
    <w:rsid w:val="035442CA"/>
    <w:rsid w:val="03E34144"/>
    <w:rsid w:val="04C868BF"/>
    <w:rsid w:val="05D31A85"/>
    <w:rsid w:val="06E1659C"/>
    <w:rsid w:val="07DD4899"/>
    <w:rsid w:val="0C7B5D97"/>
    <w:rsid w:val="0D725A30"/>
    <w:rsid w:val="0DF6614D"/>
    <w:rsid w:val="0E6843D2"/>
    <w:rsid w:val="0FA6113E"/>
    <w:rsid w:val="10BC0CDA"/>
    <w:rsid w:val="11861808"/>
    <w:rsid w:val="149C15FA"/>
    <w:rsid w:val="15096B37"/>
    <w:rsid w:val="152E2DFD"/>
    <w:rsid w:val="16B86B63"/>
    <w:rsid w:val="19304C99"/>
    <w:rsid w:val="19672C5E"/>
    <w:rsid w:val="1B610C9F"/>
    <w:rsid w:val="1C7E6B83"/>
    <w:rsid w:val="1CA714E1"/>
    <w:rsid w:val="1D9C50EE"/>
    <w:rsid w:val="1DD443E2"/>
    <w:rsid w:val="20357E98"/>
    <w:rsid w:val="233E64CA"/>
    <w:rsid w:val="25A03399"/>
    <w:rsid w:val="27B47723"/>
    <w:rsid w:val="2BFA0B76"/>
    <w:rsid w:val="2C02664D"/>
    <w:rsid w:val="2C0B395F"/>
    <w:rsid w:val="2C553452"/>
    <w:rsid w:val="2CBE59FB"/>
    <w:rsid w:val="33646CB8"/>
    <w:rsid w:val="34D62D08"/>
    <w:rsid w:val="35654447"/>
    <w:rsid w:val="35681EE0"/>
    <w:rsid w:val="37773C67"/>
    <w:rsid w:val="397D07B0"/>
    <w:rsid w:val="39DA3FB3"/>
    <w:rsid w:val="3B3C064E"/>
    <w:rsid w:val="3C754865"/>
    <w:rsid w:val="3CF56D80"/>
    <w:rsid w:val="3FA60F13"/>
    <w:rsid w:val="401E532A"/>
    <w:rsid w:val="40257A39"/>
    <w:rsid w:val="427746FF"/>
    <w:rsid w:val="440E58A9"/>
    <w:rsid w:val="44B24D7C"/>
    <w:rsid w:val="47044CDF"/>
    <w:rsid w:val="477A5425"/>
    <w:rsid w:val="4AEF1287"/>
    <w:rsid w:val="4B093482"/>
    <w:rsid w:val="4BA120FE"/>
    <w:rsid w:val="4C1918D3"/>
    <w:rsid w:val="4C5C11BB"/>
    <w:rsid w:val="4CBE0A35"/>
    <w:rsid w:val="4E981A7A"/>
    <w:rsid w:val="4EE13245"/>
    <w:rsid w:val="4F492653"/>
    <w:rsid w:val="50C64D00"/>
    <w:rsid w:val="51660F8F"/>
    <w:rsid w:val="533528B7"/>
    <w:rsid w:val="541E684E"/>
    <w:rsid w:val="547F7E14"/>
    <w:rsid w:val="57CD15D5"/>
    <w:rsid w:val="5C0E4FF6"/>
    <w:rsid w:val="5D6648EE"/>
    <w:rsid w:val="5DFA002A"/>
    <w:rsid w:val="5FED41CE"/>
    <w:rsid w:val="626C0567"/>
    <w:rsid w:val="644D5D36"/>
    <w:rsid w:val="673448AB"/>
    <w:rsid w:val="67AC1685"/>
    <w:rsid w:val="692F686B"/>
    <w:rsid w:val="694978D3"/>
    <w:rsid w:val="6A072245"/>
    <w:rsid w:val="6A2E25FF"/>
    <w:rsid w:val="6BA26951"/>
    <w:rsid w:val="6C6657ED"/>
    <w:rsid w:val="6F117D43"/>
    <w:rsid w:val="72B91379"/>
    <w:rsid w:val="733B7A4E"/>
    <w:rsid w:val="74F124F2"/>
    <w:rsid w:val="76941F35"/>
    <w:rsid w:val="76E30732"/>
    <w:rsid w:val="770A3352"/>
    <w:rsid w:val="7ABC68AF"/>
    <w:rsid w:val="7C9008FA"/>
    <w:rsid w:val="7E4E25F1"/>
    <w:rsid w:val="7FB254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8"/>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9"/>
    <w:qFormat/>
    <w:uiPriority w:val="99"/>
    <w:pPr>
      <w:keepNext/>
      <w:spacing w:before="240" w:after="60"/>
      <w:outlineLvl w:val="1"/>
    </w:pPr>
    <w:rPr>
      <w:rFonts w:ascii="Cambria" w:hAnsi="Cambria"/>
      <w:b/>
      <w:bCs/>
      <w:i/>
      <w:iCs/>
      <w:sz w:val="28"/>
      <w:szCs w:val="28"/>
    </w:rPr>
  </w:style>
  <w:style w:type="paragraph" w:styleId="4">
    <w:name w:val="heading 3"/>
    <w:basedOn w:val="1"/>
    <w:next w:val="1"/>
    <w:link w:val="30"/>
    <w:qFormat/>
    <w:uiPriority w:val="99"/>
    <w:pPr>
      <w:keepNext/>
      <w:spacing w:before="240" w:after="60"/>
      <w:outlineLvl w:val="2"/>
    </w:pPr>
    <w:rPr>
      <w:rFonts w:ascii="Cambria" w:hAnsi="Cambria"/>
      <w:b/>
      <w:bCs/>
      <w:sz w:val="26"/>
      <w:szCs w:val="26"/>
    </w:rPr>
  </w:style>
  <w:style w:type="paragraph" w:styleId="5">
    <w:name w:val="heading 4"/>
    <w:basedOn w:val="1"/>
    <w:next w:val="1"/>
    <w:link w:val="31"/>
    <w:qFormat/>
    <w:uiPriority w:val="99"/>
    <w:pPr>
      <w:keepNext/>
      <w:spacing w:before="240" w:after="60"/>
      <w:outlineLvl w:val="3"/>
    </w:pPr>
    <w:rPr>
      <w:b/>
      <w:bCs/>
      <w:sz w:val="28"/>
      <w:szCs w:val="28"/>
    </w:rPr>
  </w:style>
  <w:style w:type="paragraph" w:styleId="6">
    <w:name w:val="heading 5"/>
    <w:basedOn w:val="1"/>
    <w:next w:val="1"/>
    <w:link w:val="32"/>
    <w:qFormat/>
    <w:uiPriority w:val="99"/>
    <w:pPr>
      <w:spacing w:before="240" w:after="60"/>
      <w:outlineLvl w:val="4"/>
    </w:pPr>
    <w:rPr>
      <w:b/>
      <w:bCs/>
      <w:i/>
      <w:iCs/>
      <w:sz w:val="26"/>
      <w:szCs w:val="26"/>
    </w:rPr>
  </w:style>
  <w:style w:type="paragraph" w:styleId="7">
    <w:name w:val="heading 6"/>
    <w:basedOn w:val="1"/>
    <w:next w:val="1"/>
    <w:link w:val="33"/>
    <w:qFormat/>
    <w:uiPriority w:val="99"/>
    <w:pPr>
      <w:spacing w:before="240" w:after="60"/>
      <w:outlineLvl w:val="5"/>
    </w:pPr>
    <w:rPr>
      <w:b/>
      <w:bCs/>
      <w:sz w:val="22"/>
      <w:szCs w:val="22"/>
    </w:rPr>
  </w:style>
  <w:style w:type="paragraph" w:styleId="8">
    <w:name w:val="heading 7"/>
    <w:basedOn w:val="1"/>
    <w:next w:val="1"/>
    <w:link w:val="34"/>
    <w:qFormat/>
    <w:uiPriority w:val="99"/>
    <w:pPr>
      <w:spacing w:before="240" w:after="60"/>
      <w:outlineLvl w:val="6"/>
    </w:pPr>
  </w:style>
  <w:style w:type="paragraph" w:styleId="9">
    <w:name w:val="heading 8"/>
    <w:basedOn w:val="1"/>
    <w:next w:val="1"/>
    <w:link w:val="35"/>
    <w:qFormat/>
    <w:uiPriority w:val="99"/>
    <w:pPr>
      <w:spacing w:before="240" w:after="60"/>
      <w:outlineLvl w:val="7"/>
    </w:pPr>
    <w:rPr>
      <w:i/>
      <w:iCs/>
    </w:rPr>
  </w:style>
  <w:style w:type="paragraph" w:styleId="10">
    <w:name w:val="heading 9"/>
    <w:basedOn w:val="1"/>
    <w:next w:val="1"/>
    <w:link w:val="36"/>
    <w:qFormat/>
    <w:uiPriority w:val="99"/>
    <w:pPr>
      <w:spacing w:before="240" w:after="60"/>
      <w:outlineLvl w:val="8"/>
    </w:pPr>
    <w:rPr>
      <w:rFonts w:ascii="Cambria" w:hAnsi="Cambria"/>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44"/>
    <w:semiHidden/>
    <w:qFormat/>
    <w:uiPriority w:val="99"/>
  </w:style>
  <w:style w:type="paragraph" w:styleId="12">
    <w:name w:val="Body Text Indent 2"/>
    <w:basedOn w:val="1"/>
    <w:link w:val="42"/>
    <w:qFormat/>
    <w:uiPriority w:val="99"/>
    <w:pPr>
      <w:spacing w:after="120" w:line="480" w:lineRule="auto"/>
      <w:ind w:left="420" w:leftChars="200"/>
    </w:pPr>
  </w:style>
  <w:style w:type="paragraph" w:styleId="13">
    <w:name w:val="Balloon Text"/>
    <w:basedOn w:val="1"/>
    <w:link w:val="37"/>
    <w:semiHidden/>
    <w:qFormat/>
    <w:uiPriority w:val="99"/>
    <w:rPr>
      <w:sz w:val="18"/>
      <w:szCs w:val="18"/>
    </w:rPr>
  </w:style>
  <w:style w:type="paragraph" w:styleId="14">
    <w:name w:val="footer"/>
    <w:basedOn w:val="1"/>
    <w:link w:val="38"/>
    <w:qFormat/>
    <w:uiPriority w:val="99"/>
    <w:pPr>
      <w:tabs>
        <w:tab w:val="center" w:pos="4153"/>
        <w:tab w:val="right" w:pos="8306"/>
      </w:tabs>
      <w:snapToGrid w:val="0"/>
    </w:pPr>
    <w:rPr>
      <w:sz w:val="18"/>
      <w:szCs w:val="18"/>
    </w:rPr>
  </w:style>
  <w:style w:type="paragraph" w:styleId="15">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9"/>
    <w:qFormat/>
    <w:uiPriority w:val="99"/>
    <w:pPr>
      <w:spacing w:after="60"/>
      <w:jc w:val="center"/>
      <w:outlineLvl w:val="1"/>
    </w:pPr>
    <w:rPr>
      <w:rFonts w:ascii="Cambria" w:hAnsi="Cambria"/>
    </w:rPr>
  </w:style>
  <w:style w:type="paragraph" w:styleId="17">
    <w:name w:val="Normal (Web)"/>
    <w:basedOn w:val="1"/>
    <w:qFormat/>
    <w:locked/>
    <w:uiPriority w:val="0"/>
    <w:pPr>
      <w:spacing w:before="100" w:beforeAutospacing="1" w:after="100" w:afterAutospacing="1"/>
    </w:pPr>
    <w:rPr>
      <w:rFonts w:ascii="宋体" w:hAnsi="宋体" w:cs="宋体"/>
    </w:rPr>
  </w:style>
  <w:style w:type="paragraph" w:styleId="18">
    <w:name w:val="Title"/>
    <w:basedOn w:val="1"/>
    <w:next w:val="1"/>
    <w:link w:val="48"/>
    <w:qFormat/>
    <w:uiPriority w:val="99"/>
    <w:pPr>
      <w:spacing w:before="240" w:after="60"/>
      <w:jc w:val="center"/>
      <w:outlineLvl w:val="0"/>
    </w:pPr>
    <w:rPr>
      <w:rFonts w:ascii="Cambria" w:hAnsi="Cambria"/>
      <w:b/>
      <w:bCs/>
      <w:kern w:val="28"/>
      <w:sz w:val="32"/>
      <w:szCs w:val="32"/>
    </w:rPr>
  </w:style>
  <w:style w:type="paragraph" w:styleId="19">
    <w:name w:val="annotation subject"/>
    <w:basedOn w:val="11"/>
    <w:next w:val="11"/>
    <w:link w:val="45"/>
    <w:semiHidden/>
    <w:qFormat/>
    <w:uiPriority w:val="99"/>
    <w:rPr>
      <w:b/>
      <w:bCs/>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basedOn w:val="22"/>
    <w:qFormat/>
    <w:uiPriority w:val="99"/>
    <w:rPr>
      <w:rFonts w:cs="Times New Roman"/>
      <w:b/>
      <w:bCs/>
    </w:rPr>
  </w:style>
  <w:style w:type="character" w:styleId="24">
    <w:name w:val="page number"/>
    <w:basedOn w:val="22"/>
    <w:qFormat/>
    <w:uiPriority w:val="99"/>
    <w:rPr>
      <w:rFonts w:cs="Times New Roman"/>
    </w:rPr>
  </w:style>
  <w:style w:type="character" w:styleId="25">
    <w:name w:val="Emphasis"/>
    <w:basedOn w:val="22"/>
    <w:qFormat/>
    <w:uiPriority w:val="99"/>
    <w:rPr>
      <w:rFonts w:ascii="Calibri" w:hAnsi="Calibri" w:cs="Times New Roman"/>
      <w:b/>
      <w:i/>
      <w:iCs/>
    </w:rPr>
  </w:style>
  <w:style w:type="character" w:styleId="26">
    <w:name w:val="Hyperlink"/>
    <w:basedOn w:val="22"/>
    <w:qFormat/>
    <w:uiPriority w:val="99"/>
    <w:rPr>
      <w:rFonts w:cs="Times New Roman"/>
      <w:color w:val="0000FF"/>
      <w:u w:val="single"/>
    </w:rPr>
  </w:style>
  <w:style w:type="character" w:styleId="27">
    <w:name w:val="annotation reference"/>
    <w:basedOn w:val="22"/>
    <w:semiHidden/>
    <w:qFormat/>
    <w:uiPriority w:val="99"/>
    <w:rPr>
      <w:rFonts w:cs="Times New Roman"/>
      <w:sz w:val="21"/>
      <w:szCs w:val="21"/>
    </w:rPr>
  </w:style>
  <w:style w:type="character" w:customStyle="1" w:styleId="28">
    <w:name w:val="标题 1 Char"/>
    <w:basedOn w:val="22"/>
    <w:link w:val="2"/>
    <w:qFormat/>
    <w:locked/>
    <w:uiPriority w:val="99"/>
    <w:rPr>
      <w:rFonts w:ascii="Cambria" w:hAnsi="Cambria" w:eastAsia="宋体" w:cs="Times New Roman"/>
      <w:b/>
      <w:bCs/>
      <w:kern w:val="32"/>
      <w:sz w:val="32"/>
      <w:szCs w:val="32"/>
    </w:rPr>
  </w:style>
  <w:style w:type="character" w:customStyle="1" w:styleId="29">
    <w:name w:val="标题 2 Char"/>
    <w:basedOn w:val="22"/>
    <w:link w:val="3"/>
    <w:semiHidden/>
    <w:qFormat/>
    <w:locked/>
    <w:uiPriority w:val="99"/>
    <w:rPr>
      <w:rFonts w:ascii="Cambria" w:hAnsi="Cambria" w:eastAsia="宋体" w:cs="Times New Roman"/>
      <w:b/>
      <w:bCs/>
      <w:i/>
      <w:iCs/>
      <w:sz w:val="28"/>
      <w:szCs w:val="28"/>
    </w:rPr>
  </w:style>
  <w:style w:type="character" w:customStyle="1" w:styleId="30">
    <w:name w:val="标题 3 Char"/>
    <w:basedOn w:val="22"/>
    <w:link w:val="4"/>
    <w:semiHidden/>
    <w:qFormat/>
    <w:locked/>
    <w:uiPriority w:val="99"/>
    <w:rPr>
      <w:rFonts w:ascii="Cambria" w:hAnsi="Cambria" w:eastAsia="宋体" w:cs="Times New Roman"/>
      <w:b/>
      <w:bCs/>
      <w:sz w:val="26"/>
      <w:szCs w:val="26"/>
    </w:rPr>
  </w:style>
  <w:style w:type="character" w:customStyle="1" w:styleId="31">
    <w:name w:val="标题 4 Char"/>
    <w:basedOn w:val="22"/>
    <w:link w:val="5"/>
    <w:qFormat/>
    <w:locked/>
    <w:uiPriority w:val="99"/>
    <w:rPr>
      <w:rFonts w:cs="Times New Roman"/>
      <w:b/>
      <w:bCs/>
      <w:sz w:val="28"/>
      <w:szCs w:val="28"/>
    </w:rPr>
  </w:style>
  <w:style w:type="character" w:customStyle="1" w:styleId="32">
    <w:name w:val="标题 5 Char"/>
    <w:basedOn w:val="22"/>
    <w:link w:val="6"/>
    <w:semiHidden/>
    <w:qFormat/>
    <w:locked/>
    <w:uiPriority w:val="99"/>
    <w:rPr>
      <w:rFonts w:cs="Times New Roman"/>
      <w:b/>
      <w:bCs/>
      <w:i/>
      <w:iCs/>
      <w:sz w:val="26"/>
      <w:szCs w:val="26"/>
    </w:rPr>
  </w:style>
  <w:style w:type="character" w:customStyle="1" w:styleId="33">
    <w:name w:val="标题 6 Char"/>
    <w:basedOn w:val="22"/>
    <w:link w:val="7"/>
    <w:semiHidden/>
    <w:qFormat/>
    <w:locked/>
    <w:uiPriority w:val="99"/>
    <w:rPr>
      <w:rFonts w:cs="Times New Roman"/>
      <w:b/>
      <w:bCs/>
    </w:rPr>
  </w:style>
  <w:style w:type="character" w:customStyle="1" w:styleId="34">
    <w:name w:val="标题 7 Char"/>
    <w:basedOn w:val="22"/>
    <w:link w:val="8"/>
    <w:semiHidden/>
    <w:qFormat/>
    <w:locked/>
    <w:uiPriority w:val="99"/>
    <w:rPr>
      <w:rFonts w:cs="Times New Roman"/>
      <w:sz w:val="24"/>
      <w:szCs w:val="24"/>
    </w:rPr>
  </w:style>
  <w:style w:type="character" w:customStyle="1" w:styleId="35">
    <w:name w:val="标题 8 Char"/>
    <w:basedOn w:val="22"/>
    <w:link w:val="9"/>
    <w:semiHidden/>
    <w:qFormat/>
    <w:locked/>
    <w:uiPriority w:val="99"/>
    <w:rPr>
      <w:rFonts w:cs="Times New Roman"/>
      <w:i/>
      <w:iCs/>
      <w:sz w:val="24"/>
      <w:szCs w:val="24"/>
    </w:rPr>
  </w:style>
  <w:style w:type="character" w:customStyle="1" w:styleId="36">
    <w:name w:val="标题 9 Char"/>
    <w:basedOn w:val="22"/>
    <w:link w:val="10"/>
    <w:semiHidden/>
    <w:qFormat/>
    <w:locked/>
    <w:uiPriority w:val="99"/>
    <w:rPr>
      <w:rFonts w:ascii="Cambria" w:hAnsi="Cambria" w:eastAsia="宋体" w:cs="Times New Roman"/>
    </w:rPr>
  </w:style>
  <w:style w:type="character" w:customStyle="1" w:styleId="37">
    <w:name w:val="批注框文本 Char"/>
    <w:basedOn w:val="22"/>
    <w:link w:val="13"/>
    <w:semiHidden/>
    <w:qFormat/>
    <w:locked/>
    <w:uiPriority w:val="99"/>
    <w:rPr>
      <w:rFonts w:cs="Times New Roman"/>
      <w:kern w:val="0"/>
      <w:sz w:val="2"/>
      <w:lang w:eastAsia="en-US"/>
    </w:rPr>
  </w:style>
  <w:style w:type="character" w:customStyle="1" w:styleId="38">
    <w:name w:val="页脚 Char"/>
    <w:basedOn w:val="22"/>
    <w:link w:val="14"/>
    <w:qFormat/>
    <w:locked/>
    <w:uiPriority w:val="99"/>
    <w:rPr>
      <w:rFonts w:cs="Times New Roman"/>
      <w:sz w:val="18"/>
      <w:szCs w:val="18"/>
      <w:lang w:eastAsia="en-US"/>
    </w:rPr>
  </w:style>
  <w:style w:type="paragraph" w:customStyle="1" w:styleId="39">
    <w:name w:val="1"/>
    <w:basedOn w:val="1"/>
    <w:next w:val="12"/>
    <w:qFormat/>
    <w:uiPriority w:val="0"/>
    <w:pPr>
      <w:spacing w:before="60" w:after="60"/>
      <w:ind w:firstLine="425"/>
    </w:pPr>
  </w:style>
  <w:style w:type="paragraph" w:customStyle="1" w:styleId="40">
    <w:name w:val="样式 标题 1 + 首行缩进:  2 字符"/>
    <w:basedOn w:val="2"/>
    <w:next w:val="1"/>
    <w:qFormat/>
    <w:uiPriority w:val="99"/>
    <w:pPr>
      <w:jc w:val="center"/>
      <w:outlineLvl w:val="9"/>
    </w:pPr>
  </w:style>
  <w:style w:type="paragraph" w:customStyle="1" w:styleId="41">
    <w:name w:val="正文表格"/>
    <w:basedOn w:val="1"/>
    <w:qFormat/>
    <w:uiPriority w:val="99"/>
    <w:pPr>
      <w:spacing w:before="60" w:after="60"/>
    </w:pPr>
  </w:style>
  <w:style w:type="character" w:customStyle="1" w:styleId="42">
    <w:name w:val="正文文本缩进 2 Char"/>
    <w:basedOn w:val="22"/>
    <w:link w:val="12"/>
    <w:semiHidden/>
    <w:qFormat/>
    <w:locked/>
    <w:uiPriority w:val="99"/>
    <w:rPr>
      <w:rFonts w:cs="Times New Roman"/>
      <w:kern w:val="0"/>
      <w:sz w:val="24"/>
      <w:szCs w:val="24"/>
      <w:lang w:eastAsia="en-US"/>
    </w:rPr>
  </w:style>
  <w:style w:type="character" w:customStyle="1" w:styleId="43">
    <w:name w:val="页眉 Char"/>
    <w:basedOn w:val="22"/>
    <w:link w:val="15"/>
    <w:semiHidden/>
    <w:qFormat/>
    <w:locked/>
    <w:uiPriority w:val="99"/>
    <w:rPr>
      <w:rFonts w:cs="Times New Roman"/>
      <w:kern w:val="2"/>
      <w:sz w:val="18"/>
      <w:szCs w:val="18"/>
    </w:rPr>
  </w:style>
  <w:style w:type="character" w:customStyle="1" w:styleId="44">
    <w:name w:val="批注文字 Char"/>
    <w:basedOn w:val="22"/>
    <w:link w:val="11"/>
    <w:semiHidden/>
    <w:qFormat/>
    <w:locked/>
    <w:uiPriority w:val="99"/>
    <w:rPr>
      <w:rFonts w:cs="Times New Roman"/>
      <w:kern w:val="2"/>
      <w:sz w:val="21"/>
    </w:rPr>
  </w:style>
  <w:style w:type="character" w:customStyle="1" w:styleId="45">
    <w:name w:val="批注主题 Char"/>
    <w:basedOn w:val="44"/>
    <w:link w:val="19"/>
    <w:semiHidden/>
    <w:qFormat/>
    <w:locked/>
    <w:uiPriority w:val="99"/>
    <w:rPr>
      <w:rFonts w:cs="Times New Roman"/>
      <w:b/>
      <w:bCs/>
      <w:kern w:val="2"/>
      <w:sz w:val="21"/>
    </w:rPr>
  </w:style>
  <w:style w:type="paragraph" w:customStyle="1" w:styleId="46">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7">
    <w:name w:val="style1"/>
    <w:basedOn w:val="22"/>
    <w:qFormat/>
    <w:uiPriority w:val="99"/>
    <w:rPr>
      <w:rFonts w:cs="Times New Roman"/>
    </w:rPr>
  </w:style>
  <w:style w:type="character" w:customStyle="1" w:styleId="48">
    <w:name w:val="标题 Char"/>
    <w:basedOn w:val="22"/>
    <w:link w:val="18"/>
    <w:qFormat/>
    <w:locked/>
    <w:uiPriority w:val="99"/>
    <w:rPr>
      <w:rFonts w:ascii="Cambria" w:hAnsi="Cambria" w:eastAsia="宋体" w:cs="Times New Roman"/>
      <w:b/>
      <w:bCs/>
      <w:kern w:val="28"/>
      <w:sz w:val="32"/>
      <w:szCs w:val="32"/>
    </w:rPr>
  </w:style>
  <w:style w:type="character" w:customStyle="1" w:styleId="49">
    <w:name w:val="副标题 Char"/>
    <w:basedOn w:val="22"/>
    <w:link w:val="16"/>
    <w:qFormat/>
    <w:locked/>
    <w:uiPriority w:val="99"/>
    <w:rPr>
      <w:rFonts w:ascii="Cambria" w:hAnsi="Cambria" w:eastAsia="宋体" w:cs="Times New Roman"/>
      <w:sz w:val="24"/>
      <w:szCs w:val="24"/>
    </w:rPr>
  </w:style>
  <w:style w:type="paragraph" w:styleId="50">
    <w:name w:val="No Spacing"/>
    <w:basedOn w:val="1"/>
    <w:qFormat/>
    <w:uiPriority w:val="99"/>
    <w:rPr>
      <w:szCs w:val="32"/>
    </w:rPr>
  </w:style>
  <w:style w:type="paragraph" w:styleId="51">
    <w:name w:val="List Paragraph"/>
    <w:basedOn w:val="1"/>
    <w:qFormat/>
    <w:uiPriority w:val="99"/>
    <w:pPr>
      <w:ind w:left="720"/>
      <w:contextualSpacing/>
    </w:pPr>
  </w:style>
  <w:style w:type="paragraph" w:styleId="52">
    <w:name w:val="Quote"/>
    <w:basedOn w:val="1"/>
    <w:next w:val="1"/>
    <w:link w:val="53"/>
    <w:qFormat/>
    <w:uiPriority w:val="99"/>
    <w:rPr>
      <w:i/>
    </w:rPr>
  </w:style>
  <w:style w:type="character" w:customStyle="1" w:styleId="53">
    <w:name w:val="引用 Char"/>
    <w:basedOn w:val="22"/>
    <w:link w:val="52"/>
    <w:qFormat/>
    <w:locked/>
    <w:uiPriority w:val="99"/>
    <w:rPr>
      <w:rFonts w:cs="Times New Roman"/>
      <w:i/>
      <w:sz w:val="24"/>
      <w:szCs w:val="24"/>
    </w:rPr>
  </w:style>
  <w:style w:type="paragraph" w:styleId="54">
    <w:name w:val="Intense Quote"/>
    <w:basedOn w:val="1"/>
    <w:next w:val="1"/>
    <w:link w:val="55"/>
    <w:qFormat/>
    <w:uiPriority w:val="99"/>
    <w:pPr>
      <w:ind w:left="720" w:right="720"/>
    </w:pPr>
    <w:rPr>
      <w:b/>
      <w:i/>
      <w:szCs w:val="22"/>
    </w:rPr>
  </w:style>
  <w:style w:type="character" w:customStyle="1" w:styleId="55">
    <w:name w:val="明显引用 Char"/>
    <w:basedOn w:val="22"/>
    <w:link w:val="54"/>
    <w:qFormat/>
    <w:locked/>
    <w:uiPriority w:val="99"/>
    <w:rPr>
      <w:rFonts w:cs="Times New Roman"/>
      <w:b/>
      <w:i/>
      <w:sz w:val="24"/>
    </w:rPr>
  </w:style>
  <w:style w:type="character" w:customStyle="1" w:styleId="56">
    <w:name w:val="不明显强调1"/>
    <w:basedOn w:val="22"/>
    <w:qFormat/>
    <w:uiPriority w:val="99"/>
    <w:rPr>
      <w:rFonts w:cs="Times New Roman"/>
      <w:i/>
      <w:color w:val="5A5A5A"/>
    </w:rPr>
  </w:style>
  <w:style w:type="character" w:customStyle="1" w:styleId="57">
    <w:name w:val="明显强调1"/>
    <w:basedOn w:val="22"/>
    <w:qFormat/>
    <w:uiPriority w:val="99"/>
    <w:rPr>
      <w:rFonts w:cs="Times New Roman"/>
      <w:b/>
      <w:i/>
      <w:sz w:val="24"/>
      <w:szCs w:val="24"/>
      <w:u w:val="single"/>
    </w:rPr>
  </w:style>
  <w:style w:type="character" w:customStyle="1" w:styleId="58">
    <w:name w:val="不明显参考1"/>
    <w:basedOn w:val="22"/>
    <w:qFormat/>
    <w:uiPriority w:val="99"/>
    <w:rPr>
      <w:rFonts w:cs="Times New Roman"/>
      <w:sz w:val="24"/>
      <w:szCs w:val="24"/>
      <w:u w:val="single"/>
    </w:rPr>
  </w:style>
  <w:style w:type="character" w:customStyle="1" w:styleId="59">
    <w:name w:val="明显参考1"/>
    <w:basedOn w:val="22"/>
    <w:qFormat/>
    <w:uiPriority w:val="99"/>
    <w:rPr>
      <w:rFonts w:cs="Times New Roman"/>
      <w:b/>
      <w:sz w:val="24"/>
      <w:u w:val="single"/>
    </w:rPr>
  </w:style>
  <w:style w:type="character" w:customStyle="1" w:styleId="60">
    <w:name w:val="书籍标题1"/>
    <w:basedOn w:val="22"/>
    <w:qFormat/>
    <w:uiPriority w:val="99"/>
    <w:rPr>
      <w:rFonts w:ascii="Cambria" w:hAnsi="Cambria" w:eastAsia="宋体" w:cs="Times New Roman"/>
      <w:b/>
      <w:i/>
      <w:sz w:val="24"/>
      <w:szCs w:val="24"/>
    </w:rPr>
  </w:style>
  <w:style w:type="paragraph" w:customStyle="1" w:styleId="61">
    <w:name w:val="TOC 标题1"/>
    <w:basedOn w:val="2"/>
    <w:next w:val="1"/>
    <w:qFormat/>
    <w:uiPriority w:val="99"/>
    <w:pPr>
      <w:outlineLvl w:val="9"/>
    </w:pPr>
  </w:style>
  <w:style w:type="character" w:customStyle="1" w:styleId="62">
    <w:name w:val="apple-converted-space"/>
    <w:basedOn w:val="22"/>
    <w:qFormat/>
    <w:uiPriority w:val="0"/>
  </w:style>
  <w:style w:type="character" w:styleId="63">
    <w:name w:val="Placeholder Text"/>
    <w:basedOn w:val="22"/>
    <w:semiHidden/>
    <w:qFormat/>
    <w:uiPriority w:val="99"/>
    <w:rPr>
      <w:color w:val="808080"/>
    </w:rPr>
  </w:style>
  <w:style w:type="paragraph" w:customStyle="1" w:styleId="64">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1036</Words>
  <Characters>5911</Characters>
  <Lines>49</Lines>
  <Paragraphs>13</Paragraphs>
  <TotalTime>16</TotalTime>
  <ScaleCrop>false</ScaleCrop>
  <LinksUpToDate>false</LinksUpToDate>
  <CharactersWithSpaces>6934</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燕子</cp:lastModifiedBy>
  <cp:lastPrinted>2018-02-24T03:15:00Z</cp:lastPrinted>
  <dcterms:modified xsi:type="dcterms:W3CDTF">2019-02-14T07:53:55Z</dcterms:modified>
  <dc:title>信息发布申请书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