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bookmarkStart w:id="6" w:name="_GoBack"/>
      <w:bookmarkEnd w:id="6"/>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28"/>
          <w:szCs w:val="28"/>
          <w:lang w:eastAsia="zh-CN"/>
        </w:rPr>
      </w:pPr>
      <w:r>
        <w:rPr>
          <w:rFonts w:hint="eastAsia" w:ascii="华文中宋" w:hAnsi="华文中宋" w:eastAsia="华文中宋"/>
          <w:sz w:val="28"/>
          <w:szCs w:val="28"/>
          <w:lang w:eastAsia="zh-CN"/>
        </w:rPr>
        <w:t>(资产出租类)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bookmarkStart w:id="0" w:name="OLE_LINK2"/>
      <w:bookmarkStart w:id="1" w:name="OLE_LINK1"/>
      <w:r>
        <w:rPr>
          <w:rFonts w:ascii="仿宋_GB2312" w:hAnsi="宋体" w:eastAsia="仿宋_GB2312"/>
          <w:sz w:val="32"/>
          <w:szCs w:val="32"/>
          <w:lang w:eastAsia="zh-CN"/>
        </w:rPr>
        <w:t xml:space="preserve"> </w:t>
      </w:r>
      <w:r>
        <w:rPr>
          <w:rFonts w:ascii="仿宋_GB2312" w:hAnsi="宋体" w:eastAsia="仿宋_GB2312"/>
          <w:sz w:val="32"/>
          <w:szCs w:val="32"/>
          <w:u w:val="single"/>
          <w:lang w:eastAsia="zh-CN"/>
        </w:rPr>
        <w:t xml:space="preserve">    </w:t>
      </w:r>
      <w:r>
        <w:rPr>
          <w:rFonts w:hint="eastAsia" w:ascii="仿宋_GB2312" w:hAnsi="宋体" w:eastAsia="仿宋_GB2312"/>
          <w:sz w:val="32"/>
          <w:szCs w:val="32"/>
          <w:u w:val="single"/>
          <w:lang w:eastAsia="zh-CN"/>
        </w:rPr>
        <w:t>广州南沙国际物流有限公司</w:t>
      </w:r>
      <w:r>
        <w:rPr>
          <w:rFonts w:ascii="仿宋_GB2312" w:hAnsi="宋体" w:eastAsia="仿宋_GB2312"/>
          <w:sz w:val="32"/>
          <w:szCs w:val="32"/>
          <w:u w:val="single"/>
          <w:lang w:eastAsia="zh-CN"/>
        </w:rPr>
        <w:t xml:space="preserve">                           </w:t>
      </w:r>
      <w:bookmarkEnd w:id="0"/>
      <w:bookmarkEnd w:id="1"/>
    </w:p>
    <w:p>
      <w:pPr>
        <w:ind w:firstLine="480" w:firstLineChars="150"/>
        <w:rPr>
          <w:rFonts w:ascii="仿宋_GB2312" w:hAnsi="宋体" w:eastAsia="仿宋_GB2312"/>
          <w:sz w:val="32"/>
          <w:szCs w:val="32"/>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hint="eastAsia" w:ascii="仿宋_GB2312" w:hAnsi="宋体" w:eastAsia="仿宋_GB2312"/>
          <w:sz w:val="32"/>
          <w:szCs w:val="32"/>
          <w:u w:val="single"/>
          <w:lang w:eastAsia="zh-CN"/>
        </w:rPr>
        <w:t>出租广州市南沙区龙穴大道中9号南沙保税港区物流区2号仓库东</w:t>
      </w:r>
      <w:r>
        <w:rPr>
          <w:rFonts w:hint="eastAsia" w:ascii="仿宋_GB2312" w:hAnsi="宋体" w:eastAsia="仿宋_GB2312"/>
          <w:sz w:val="32"/>
          <w:szCs w:val="32"/>
          <w:u w:val="single"/>
          <w:lang w:val="en-US" w:eastAsia="zh-CN"/>
        </w:rPr>
        <w:t>8-11门2540㎡区域</w:t>
      </w:r>
      <w:r>
        <w:rPr>
          <w:rFonts w:ascii="仿宋_GB2312" w:hAnsi="宋体" w:eastAsia="仿宋_GB2312"/>
          <w:sz w:val="32"/>
          <w:szCs w:val="32"/>
          <w:u w:val="single"/>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覃海峰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18620204808/39058832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19"/>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2" w:name="OLE_LINK7"/>
      <w:bookmarkStart w:id="3"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2"/>
    <w:bookmarkEnd w:id="3"/>
    <w:tbl>
      <w:tblPr>
        <w:tblStyle w:val="19"/>
        <w:tblW w:w="98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1445"/>
        <w:gridCol w:w="568"/>
        <w:gridCol w:w="288"/>
        <w:gridCol w:w="324"/>
        <w:gridCol w:w="1092"/>
        <w:gridCol w:w="1008"/>
        <w:gridCol w:w="330"/>
        <w:gridCol w:w="605"/>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4" w:name="OLE_LINK9"/>
            <w:bookmarkStart w:id="5" w:name="OLE_LINK10"/>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409" w:type="dxa"/>
            <w:gridSpan w:val="9"/>
            <w:vAlign w:val="center"/>
          </w:tcPr>
          <w:p>
            <w:pPr>
              <w:jc w:val="center"/>
              <w:rPr>
                <w:szCs w:val="21"/>
                <w:lang w:eastAsia="zh-CN"/>
              </w:rPr>
            </w:pPr>
            <w:r>
              <w:rPr>
                <w:rFonts w:hint="eastAsia"/>
                <w:szCs w:val="21"/>
                <w:lang w:eastAsia="zh-CN"/>
              </w:rPr>
              <w:t>广州市南沙区龙穴大道中9号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409"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409"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ascii="Segoe UI Symbol" w:hAnsi="Segoe UI Symbol" w:cs="Segoe UI Symbol"/>
                <w:szCs w:val="20"/>
                <w:lang w:eastAsia="zh-CN"/>
              </w:rPr>
              <w:t>☑</w:t>
            </w:r>
            <w:r>
              <w:rPr>
                <w:rFonts w:hint="eastAsia" w:ascii="Times New Roman" w:hAnsi="Times New Roman"/>
                <w:szCs w:val="20"/>
                <w:lang w:eastAsia="zh-CN"/>
              </w:rPr>
              <w:t>房屋  □其他</w:t>
            </w:r>
            <w:r>
              <w:rPr>
                <w:rFonts w:hint="eastAsia" w:ascii="Times New Roman" w:hAnsi="Times New Roman"/>
                <w:szCs w:val="20"/>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lang w:eastAsia="zh-CN"/>
              </w:rPr>
            </w:pPr>
            <w:r>
              <w:rPr>
                <w:rFonts w:ascii="宋体" w:hAnsi="宋体"/>
              </w:rPr>
              <w:t>*</w:t>
            </w:r>
            <w:r>
              <w:rPr>
                <w:rFonts w:hint="eastAsia"/>
                <w:lang w:eastAsia="zh-CN"/>
              </w:rPr>
              <w:t>出租用途</w:t>
            </w:r>
          </w:p>
        </w:tc>
        <w:tc>
          <w:tcPr>
            <w:tcW w:w="7409"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t>☑其他</w:t>
            </w:r>
            <w:r>
              <w:rPr>
                <w:rFonts w:hint="eastAsia" w:ascii="Times New Roman" w:hAnsi="Times New Roman"/>
                <w:szCs w:val="20"/>
                <w:u w:val="single"/>
                <w:lang w:eastAsia="zh-CN"/>
              </w:rPr>
              <w:t xml:space="preserve">  保税仓储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409" w:type="dxa"/>
            <w:gridSpan w:val="9"/>
            <w:vAlign w:val="center"/>
          </w:tcPr>
          <w:p>
            <w:pPr>
              <w:jc w:val="center"/>
              <w:rPr>
                <w:szCs w:val="21"/>
                <w:lang w:eastAsia="zh-CN"/>
              </w:rPr>
            </w:pPr>
            <w:r>
              <w:rPr>
                <w:rFonts w:hint="eastAsia" w:ascii="宋体" w:hAnsi="宋体"/>
                <w:szCs w:val="20"/>
                <w:lang w:eastAsia="zh-CN"/>
              </w:rPr>
              <w:t>■</w:t>
            </w:r>
            <w:r>
              <w:rPr>
                <w:rFonts w:hint="eastAsia"/>
                <w:szCs w:val="21"/>
                <w:u w:val="single"/>
                <w:lang w:eastAsia="zh-CN"/>
              </w:rPr>
              <w:t xml:space="preserve">  </w:t>
            </w:r>
            <w:r>
              <w:rPr>
                <w:rFonts w:hint="eastAsia"/>
                <w:szCs w:val="21"/>
                <w:u w:val="single"/>
                <w:lang w:val="en-US" w:eastAsia="zh-CN"/>
              </w:rPr>
              <w:t>2540</w:t>
            </w:r>
            <w:r>
              <w:rPr>
                <w:rFonts w:hint="eastAsia"/>
                <w:szCs w:val="21"/>
                <w:u w:val="single"/>
                <w:lang w:eastAsia="zh-CN"/>
              </w:rPr>
              <w:t xml:space="preserve">     </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hAnsi="宋体"/>
                <w:lang w:eastAsia="zh-CN"/>
              </w:rPr>
            </w:pPr>
            <w:r>
              <w:rPr>
                <w:rFonts w:hint="eastAsia" w:ascii="宋体" w:hAnsi="宋体"/>
                <w:lang w:eastAsia="zh-CN"/>
              </w:rPr>
              <w:t>出租面积描述</w:t>
            </w:r>
          </w:p>
        </w:tc>
        <w:tc>
          <w:tcPr>
            <w:tcW w:w="7409" w:type="dxa"/>
            <w:gridSpan w:val="9"/>
            <w:vAlign w:val="center"/>
          </w:tcPr>
          <w:p>
            <w:pPr>
              <w:jc w:val="both"/>
              <w:rPr>
                <w:szCs w:val="21"/>
                <w:u w:val="single"/>
                <w:lang w:eastAsia="zh-CN"/>
              </w:rPr>
            </w:pPr>
            <w:r>
              <w:rPr>
                <w:rFonts w:hint="eastAsia"/>
                <w:szCs w:val="21"/>
                <w:u w:val="single"/>
                <w:lang w:eastAsia="zh-CN"/>
              </w:rPr>
              <w:t>包括仓库面积以及相应的公摊面积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exact"/>
          <w:jc w:val="center"/>
        </w:trPr>
        <w:tc>
          <w:tcPr>
            <w:tcW w:w="2422" w:type="dxa"/>
            <w:vAlign w:val="center"/>
          </w:tcPr>
          <w:p>
            <w:pPr>
              <w:jc w:val="center"/>
              <w:rPr>
                <w:lang w:eastAsia="zh-CN"/>
              </w:rPr>
            </w:pPr>
            <w:r>
              <w:rPr>
                <w:rFonts w:ascii="宋体" w:hAnsi="宋体"/>
              </w:rPr>
              <w:t>*</w:t>
            </w:r>
            <w:r>
              <w:rPr>
                <w:rFonts w:hint="eastAsia"/>
                <w:lang w:eastAsia="zh-CN"/>
              </w:rPr>
              <w:t>免租期限</w:t>
            </w:r>
          </w:p>
        </w:tc>
        <w:tc>
          <w:tcPr>
            <w:tcW w:w="7409" w:type="dxa"/>
            <w:gridSpan w:val="9"/>
            <w:vAlign w:val="center"/>
          </w:tcPr>
          <w:p>
            <w:pPr>
              <w:rPr>
                <w:lang w:val="en-US" w:eastAsia="zh-CN"/>
              </w:rPr>
            </w:pPr>
            <w:r>
              <w:rPr>
                <w:rFonts w:hint="eastAsia"/>
                <w:lang w:val="en-US" w:eastAsia="zh-CN"/>
              </w:rPr>
              <w:t>10天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5" w:hRule="atLeast"/>
          <w:jc w:val="center"/>
        </w:trPr>
        <w:tc>
          <w:tcPr>
            <w:tcW w:w="2422"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409" w:type="dxa"/>
            <w:gridSpan w:val="9"/>
            <w:vAlign w:val="center"/>
          </w:tcPr>
          <w:p>
            <w:pPr>
              <w:rPr>
                <w:lang w:eastAsia="zh-CN"/>
              </w:rPr>
            </w:pPr>
            <w:r>
              <w:rPr>
                <w:rFonts w:hint="eastAsia" w:ascii="Times New Roman" w:hAnsi="Times New Roman"/>
                <w:szCs w:val="20"/>
                <w:lang w:eastAsia="zh-CN"/>
              </w:rPr>
              <w:t>☑</w:t>
            </w:r>
            <w:r>
              <w:rPr>
                <w:rFonts w:hint="eastAsia"/>
                <w:lang w:eastAsia="zh-CN"/>
              </w:rPr>
              <w:t xml:space="preserve">租赁期限           </w:t>
            </w:r>
            <w:r>
              <w:rPr>
                <w:rFonts w:hint="eastAsia"/>
                <w:u w:val="single"/>
                <w:lang w:eastAsia="zh-CN"/>
              </w:rPr>
              <w:t xml:space="preserve">  </w:t>
            </w:r>
            <w:r>
              <w:rPr>
                <w:rFonts w:hint="eastAsia"/>
                <w:u w:val="single"/>
                <w:lang w:val="en-US" w:eastAsia="zh-CN"/>
              </w:rPr>
              <w:t>2</w:t>
            </w:r>
            <w:r>
              <w:rPr>
                <w:rFonts w:hint="eastAsia" w:ascii="Times New Roman" w:hAnsi="Times New Roman"/>
                <w:szCs w:val="20"/>
                <w:u w:val="single"/>
                <w:lang w:eastAsia="zh-CN"/>
              </w:rPr>
              <w:t xml:space="preserve"> ☑年□季□日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8" w:hRule="exact"/>
          <w:jc w:val="center"/>
        </w:trPr>
        <w:tc>
          <w:tcPr>
            <w:tcW w:w="2422" w:type="dxa"/>
            <w:vMerge w:val="continue"/>
            <w:vAlign w:val="center"/>
          </w:tcPr>
          <w:p>
            <w:pPr>
              <w:jc w:val="center"/>
              <w:rPr>
                <w:rFonts w:ascii="宋体" w:hAnsi="宋体"/>
                <w:lang w:eastAsia="zh-CN"/>
              </w:rPr>
            </w:pPr>
          </w:p>
        </w:tc>
        <w:tc>
          <w:tcPr>
            <w:tcW w:w="7409"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u w:val="single"/>
                <w:lang w:eastAsia="zh-CN"/>
              </w:rPr>
              <w:t xml:space="preserve"> </w:t>
            </w:r>
            <w:r>
              <w:rPr>
                <w:rFonts w:hint="eastAsia" w:ascii="Times New Roman" w:hAnsi="Times New Roman"/>
                <w:szCs w:val="20"/>
                <w:u w:val="single"/>
                <w:lang w:eastAsia="zh-CN"/>
              </w:rPr>
              <w:t xml:space="preserve">    □年□月□日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3" w:hRule="exact"/>
          <w:jc w:val="center"/>
        </w:trPr>
        <w:tc>
          <w:tcPr>
            <w:tcW w:w="2422" w:type="dxa"/>
            <w:vAlign w:val="center"/>
          </w:tcPr>
          <w:p>
            <w:pPr>
              <w:jc w:val="center"/>
              <w:rPr>
                <w:rFonts w:ascii="宋体" w:hAnsi="宋体"/>
                <w:lang w:eastAsia="zh-CN"/>
              </w:rPr>
            </w:pPr>
            <w:r>
              <w:rPr>
                <w:rFonts w:hint="eastAsia" w:ascii="宋体" w:hAnsi="宋体"/>
                <w:lang w:eastAsia="zh-CN"/>
              </w:rPr>
              <w:t>特色</w:t>
            </w:r>
          </w:p>
        </w:tc>
        <w:tc>
          <w:tcPr>
            <w:tcW w:w="7409"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Merge w:val="restart"/>
            <w:vAlign w:val="center"/>
          </w:tcPr>
          <w:p>
            <w:pPr>
              <w:jc w:val="center"/>
              <w:rPr>
                <w:lang w:eastAsia="zh-CN"/>
              </w:rPr>
            </w:pPr>
            <w:r>
              <w:rPr>
                <w:rFonts w:hint="eastAsia"/>
              </w:rPr>
              <w:t>权证</w:t>
            </w:r>
            <w:r>
              <w:rPr>
                <w:rFonts w:hint="eastAsia"/>
                <w:lang w:eastAsia="zh-CN"/>
              </w:rPr>
              <w:t>信息</w:t>
            </w:r>
          </w:p>
        </w:tc>
        <w:tc>
          <w:tcPr>
            <w:tcW w:w="1445"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r>
              <w:rPr>
                <w:rFonts w:hint="eastAsia"/>
                <w:lang w:eastAsia="zh-CN"/>
              </w:rPr>
              <w:t>房产证</w:t>
            </w:r>
          </w:p>
        </w:tc>
        <w:tc>
          <w:tcPr>
            <w:tcW w:w="1338" w:type="dxa"/>
            <w:gridSpan w:val="2"/>
            <w:vAlign w:val="center"/>
          </w:tcPr>
          <w:p>
            <w:pPr>
              <w:jc w:val="center"/>
              <w:rPr>
                <w:lang w:eastAsia="zh-CN"/>
              </w:rPr>
            </w:pPr>
            <w:r>
              <w:rPr>
                <w:rFonts w:hint="eastAsia"/>
                <w:lang w:eastAsia="zh-CN"/>
              </w:rPr>
              <w:t>权证编号</w:t>
            </w:r>
          </w:p>
        </w:tc>
        <w:tc>
          <w:tcPr>
            <w:tcW w:w="2354" w:type="dxa"/>
            <w:gridSpan w:val="2"/>
            <w:vAlign w:val="center"/>
          </w:tcPr>
          <w:p>
            <w:pPr>
              <w:jc w:val="center"/>
              <w:rPr>
                <w:lang w:eastAsia="zh-CN"/>
              </w:rPr>
            </w:pPr>
            <w:r>
              <w:rPr>
                <w:rFonts w:hint="eastAsia"/>
                <w:sz w:val="18"/>
                <w:szCs w:val="18"/>
                <w:lang w:eastAsia="zh-CN"/>
              </w:rPr>
              <w:t>粤房地权证穗字第0440005670号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9" w:hRule="exact"/>
          <w:jc w:val="center"/>
        </w:trPr>
        <w:tc>
          <w:tcPr>
            <w:tcW w:w="2422" w:type="dxa"/>
            <w:vMerge w:val="continue"/>
            <w:vAlign w:val="center"/>
          </w:tcPr>
          <w:p>
            <w:pPr>
              <w:jc w:val="center"/>
            </w:pPr>
          </w:p>
        </w:tc>
        <w:tc>
          <w:tcPr>
            <w:tcW w:w="2013"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lang w:eastAsia="zh-CN"/>
              </w:rPr>
            </w:pPr>
            <w:r>
              <w:rPr>
                <w:rFonts w:hint="eastAsia"/>
                <w:lang w:eastAsia="zh-CN"/>
              </w:rPr>
              <w:t>20279.35</w:t>
            </w: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r>
              <w:rPr>
                <w:rFonts w:hint="eastAsia"/>
                <w:lang w:eastAsia="zh-CN"/>
              </w:rPr>
              <w:t>工业用途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exact"/>
          <w:jc w:val="center"/>
        </w:trPr>
        <w:tc>
          <w:tcPr>
            <w:tcW w:w="2422"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409" w:type="dxa"/>
            <w:gridSpan w:val="9"/>
            <w:vAlign w:val="center"/>
          </w:tcPr>
          <w:p>
            <w:pPr>
              <w:ind w:firstLine="240" w:firstLineChars="100"/>
            </w:pP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2422" w:type="dxa"/>
            <w:vMerge w:val="continue"/>
            <w:vAlign w:val="center"/>
          </w:tcPr>
          <w:p>
            <w:pPr>
              <w:jc w:val="center"/>
              <w:rPr>
                <w:rFonts w:ascii="宋体"/>
              </w:rPr>
            </w:pPr>
          </w:p>
        </w:tc>
        <w:tc>
          <w:tcPr>
            <w:tcW w:w="1445"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2422" w:type="dxa"/>
            <w:vMerge w:val="continue"/>
            <w:vAlign w:val="center"/>
          </w:tcPr>
          <w:p>
            <w:pPr>
              <w:jc w:val="center"/>
              <w:rPr>
                <w:rFonts w:ascii="宋体"/>
                <w:lang w:eastAsia="zh-CN"/>
              </w:rPr>
            </w:pPr>
          </w:p>
        </w:tc>
        <w:tc>
          <w:tcPr>
            <w:tcW w:w="1445"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exact"/>
          <w:jc w:val="center"/>
        </w:trPr>
        <w:tc>
          <w:tcPr>
            <w:tcW w:w="2422" w:type="dxa"/>
            <w:vMerge w:val="restart"/>
            <w:vAlign w:val="center"/>
          </w:tcPr>
          <w:p>
            <w:pPr>
              <w:jc w:val="center"/>
              <w:rPr>
                <w:rFonts w:ascii="宋体"/>
                <w:lang w:eastAsia="zh-CN"/>
              </w:rPr>
            </w:pPr>
            <w:r>
              <w:rPr>
                <w:rFonts w:hint="eastAsia" w:ascii="宋体"/>
                <w:lang w:eastAsia="zh-CN"/>
              </w:rPr>
              <w:t>*是否涉及优先权</w:t>
            </w:r>
          </w:p>
        </w:tc>
        <w:tc>
          <w:tcPr>
            <w:tcW w:w="7409"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exact"/>
          <w:jc w:val="center"/>
        </w:trPr>
        <w:tc>
          <w:tcPr>
            <w:tcW w:w="2422" w:type="dxa"/>
            <w:vMerge w:val="continue"/>
            <w:vAlign w:val="center"/>
          </w:tcPr>
          <w:p>
            <w:pPr>
              <w:jc w:val="center"/>
              <w:rPr>
                <w:rFonts w:ascii="宋体"/>
                <w:highlight w:val="yellow"/>
                <w:lang w:eastAsia="zh-CN"/>
              </w:rPr>
            </w:pPr>
          </w:p>
        </w:tc>
        <w:tc>
          <w:tcPr>
            <w:tcW w:w="7409"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t>☑否：A、☑不涉及优先权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exact"/>
          <w:jc w:val="center"/>
        </w:trPr>
        <w:tc>
          <w:tcPr>
            <w:tcW w:w="2422" w:type="dxa"/>
            <w:vAlign w:val="center"/>
          </w:tcPr>
          <w:p>
            <w:pPr>
              <w:jc w:val="center"/>
              <w:rPr>
                <w:rFonts w:ascii="宋体"/>
                <w:lang w:eastAsia="zh-CN"/>
              </w:rPr>
            </w:pPr>
            <w:commentRangeStart w:id="0"/>
            <w:r>
              <w:rPr>
                <w:rFonts w:hint="eastAsia" w:ascii="宋体"/>
                <w:lang w:eastAsia="zh-CN"/>
              </w:rPr>
              <w:t>优先权人名称</w:t>
            </w:r>
            <w:commentRangeEnd w:id="0"/>
            <w:r>
              <w:rPr>
                <w:rStyle w:val="26"/>
              </w:rPr>
              <w:commentReference w:id="0"/>
            </w:r>
          </w:p>
        </w:tc>
        <w:tc>
          <w:tcPr>
            <w:tcW w:w="2301" w:type="dxa"/>
            <w:gridSpan w:val="3"/>
            <w:vAlign w:val="center"/>
          </w:tcPr>
          <w:p>
            <w:pPr>
              <w:jc w:val="center"/>
              <w:rPr>
                <w:rFonts w:ascii="Times New Roman" w:hAnsi="Times New Roman"/>
                <w:szCs w:val="20"/>
                <w:lang w:eastAsia="zh-CN"/>
              </w:rPr>
            </w:pPr>
          </w:p>
        </w:tc>
        <w:tc>
          <w:tcPr>
            <w:tcW w:w="2424" w:type="dxa"/>
            <w:gridSpan w:val="3"/>
            <w:vAlign w:val="center"/>
          </w:tcPr>
          <w:p>
            <w:pPr>
              <w:rPr>
                <w:rFonts w:ascii="宋体"/>
                <w:lang w:eastAsia="zh-CN"/>
              </w:rPr>
            </w:pPr>
            <w:r>
              <w:rPr>
                <w:rFonts w:hint="eastAsia" w:ascii="宋体"/>
                <w:lang w:eastAsia="zh-CN"/>
              </w:rPr>
              <w:t>优先权人证件号码</w:t>
            </w:r>
          </w:p>
        </w:tc>
        <w:tc>
          <w:tcPr>
            <w:tcW w:w="2684"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exact"/>
          <w:jc w:val="center"/>
        </w:trPr>
        <w:tc>
          <w:tcPr>
            <w:tcW w:w="2422" w:type="dxa"/>
            <w:vAlign w:val="center"/>
          </w:tcPr>
          <w:p>
            <w:pPr>
              <w:jc w:val="center"/>
              <w:rPr>
                <w:lang w:eastAsia="zh-CN"/>
              </w:rPr>
            </w:pPr>
            <w:r>
              <w:rPr>
                <w:rFonts w:hint="eastAsia"/>
                <w:lang w:eastAsia="zh-CN"/>
              </w:rPr>
              <w:t>评估机构</w:t>
            </w:r>
          </w:p>
        </w:tc>
        <w:tc>
          <w:tcPr>
            <w:tcW w:w="7409" w:type="dxa"/>
            <w:gridSpan w:val="9"/>
            <w:vAlign w:val="center"/>
          </w:tcPr>
          <w:p>
            <w:pPr>
              <w:rPr>
                <w:lang w:eastAsia="zh-CN"/>
              </w:rPr>
            </w:pPr>
            <w:r>
              <w:rPr>
                <w:rFonts w:hint="eastAsia"/>
                <w:lang w:eastAsia="zh-CN"/>
              </w:rPr>
              <w:t>广东联信资产评估土地房地产估价有限公司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5" w:hRule="exact"/>
          <w:jc w:val="center"/>
        </w:trPr>
        <w:tc>
          <w:tcPr>
            <w:tcW w:w="2422" w:type="dxa"/>
            <w:vAlign w:val="center"/>
          </w:tcPr>
          <w:p>
            <w:pPr>
              <w:jc w:val="center"/>
              <w:rPr>
                <w:lang w:eastAsia="zh-CN"/>
              </w:rPr>
            </w:pPr>
            <w:r>
              <w:rPr>
                <w:rFonts w:hint="eastAsia"/>
                <w:lang w:eastAsia="zh-CN"/>
              </w:rPr>
              <w:t>评估基准日</w:t>
            </w:r>
          </w:p>
        </w:tc>
        <w:tc>
          <w:tcPr>
            <w:tcW w:w="2625" w:type="dxa"/>
            <w:gridSpan w:val="4"/>
            <w:vAlign w:val="center"/>
          </w:tcPr>
          <w:p>
            <w:pPr>
              <w:rPr>
                <w:lang w:eastAsia="zh-CN"/>
              </w:rPr>
            </w:pPr>
            <w:r>
              <w:rPr>
                <w:rFonts w:hint="eastAsia"/>
                <w:lang w:eastAsia="zh-CN"/>
              </w:rPr>
              <w:t>2018年5月18日</w:t>
            </w:r>
          </w:p>
        </w:tc>
        <w:tc>
          <w:tcPr>
            <w:tcW w:w="2100" w:type="dxa"/>
            <w:gridSpan w:val="2"/>
            <w:vAlign w:val="center"/>
          </w:tcPr>
          <w:p>
            <w:pPr>
              <w:jc w:val="center"/>
              <w:rPr>
                <w:lang w:eastAsia="zh-CN"/>
              </w:rPr>
            </w:pPr>
            <w:r>
              <w:rPr>
                <w:rFonts w:hint="eastAsia"/>
                <w:lang w:eastAsia="zh-CN"/>
              </w:rPr>
              <w:t>评估报告文号</w:t>
            </w:r>
          </w:p>
        </w:tc>
        <w:tc>
          <w:tcPr>
            <w:tcW w:w="2684" w:type="dxa"/>
            <w:gridSpan w:val="3"/>
            <w:vAlign w:val="center"/>
          </w:tcPr>
          <w:p>
            <w:pPr>
              <w:rPr>
                <w:rFonts w:ascii="宋体" w:hAnsi="宋体" w:cs="宋体"/>
                <w:lang w:eastAsia="zh-CN"/>
              </w:rPr>
            </w:pPr>
            <w:r>
              <w:rPr>
                <w:rFonts w:hint="eastAsia"/>
                <w:sz w:val="18"/>
                <w:szCs w:val="18"/>
                <w:lang w:eastAsia="zh-CN"/>
              </w:rPr>
              <w:t>联信评报字</w:t>
            </w:r>
            <w:r>
              <w:rPr>
                <w:rFonts w:hint="eastAsia" w:ascii="宋体" w:hAnsi="宋体" w:cs="宋体"/>
                <w:sz w:val="18"/>
                <w:szCs w:val="18"/>
                <w:lang w:eastAsia="zh-CN"/>
              </w:rPr>
              <w:t>[2018]第Z0428号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exact"/>
          <w:jc w:val="center"/>
        </w:trPr>
        <w:tc>
          <w:tcPr>
            <w:tcW w:w="2422" w:type="dxa"/>
            <w:vAlign w:val="center"/>
          </w:tcPr>
          <w:p>
            <w:pPr>
              <w:jc w:val="center"/>
              <w:rPr>
                <w:rFonts w:ascii="宋体"/>
                <w:lang w:eastAsia="zh-CN"/>
              </w:rPr>
            </w:pPr>
            <w:r>
              <w:rPr>
                <w:rFonts w:hint="eastAsia" w:ascii="宋体" w:hAnsi="宋体"/>
                <w:lang w:eastAsia="zh-CN"/>
              </w:rPr>
              <w:t>核准（备案）机构</w:t>
            </w:r>
          </w:p>
        </w:tc>
        <w:tc>
          <w:tcPr>
            <w:tcW w:w="2625" w:type="dxa"/>
            <w:gridSpan w:val="4"/>
            <w:tcBorders>
              <w:right w:val="single" w:color="auto" w:sz="4" w:space="0"/>
            </w:tcBorders>
            <w:vAlign w:val="center"/>
          </w:tcPr>
          <w:p>
            <w:pPr>
              <w:rPr>
                <w:rFonts w:ascii="宋体"/>
                <w:lang w:eastAsia="zh-CN"/>
              </w:rPr>
            </w:pPr>
            <w:r>
              <w:rPr>
                <w:rFonts w:hint="eastAsia" w:ascii="宋体"/>
                <w:sz w:val="18"/>
                <w:szCs w:val="18"/>
                <w:lang w:eastAsia="zh-CN"/>
              </w:rPr>
              <w:t>广州市南沙区人民政府国有资产监督管理局</w:t>
            </w:r>
          </w:p>
        </w:tc>
        <w:tc>
          <w:tcPr>
            <w:tcW w:w="2100"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84" w:type="dxa"/>
            <w:gridSpan w:val="3"/>
            <w:vAlign w:val="center"/>
          </w:tcPr>
          <w:p>
            <w:pPr>
              <w:rPr>
                <w:lang w:val="en-US" w:eastAsia="zh-CN"/>
              </w:rPr>
            </w:pPr>
            <w:r>
              <w:rPr>
                <w:rFonts w:hint="eastAsia"/>
                <w:lang w:eastAsia="zh-CN"/>
              </w:rPr>
              <w:t>25元/平方米</w:t>
            </w:r>
            <w:r>
              <w:rPr>
                <w:rFonts w:hint="eastAsia"/>
                <w:lang w:val="en-US" w:eastAsia="zh-C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lang w:eastAsia="zh-CN"/>
              </w:rPr>
            </w:pPr>
            <w:r>
              <w:rPr>
                <w:rFonts w:hint="eastAsia" w:ascii="宋体" w:hAnsi="宋体"/>
                <w:lang w:eastAsia="zh-CN"/>
              </w:rPr>
              <w:t>参考地段</w:t>
            </w:r>
          </w:p>
        </w:tc>
        <w:tc>
          <w:tcPr>
            <w:tcW w:w="2625" w:type="dxa"/>
            <w:gridSpan w:val="4"/>
            <w:tcBorders>
              <w:right w:val="single" w:color="auto" w:sz="4" w:space="0"/>
            </w:tcBorders>
            <w:vAlign w:val="center"/>
          </w:tcPr>
          <w:p>
            <w:pPr>
              <w:rPr>
                <w:lang w:eastAsia="zh-CN"/>
              </w:rPr>
            </w:pPr>
            <w:r>
              <w:rPr>
                <w:rFonts w:hint="eastAsia"/>
                <w:lang w:eastAsia="zh-CN"/>
              </w:rPr>
              <w:t>南沙保税港区物流区</w:t>
            </w:r>
          </w:p>
        </w:tc>
        <w:tc>
          <w:tcPr>
            <w:tcW w:w="2100"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84" w:type="dxa"/>
            <w:gridSpan w:val="3"/>
            <w:tcBorders>
              <w:left w:val="single" w:color="auto" w:sz="4" w:space="0"/>
            </w:tcBorders>
            <w:vAlign w:val="center"/>
          </w:tcPr>
          <w:p>
            <w:pPr>
              <w:tabs>
                <w:tab w:val="left" w:pos="702"/>
              </w:tabs>
              <w:rPr>
                <w:lang w:val="en-US" w:eastAsia="zh-CN"/>
              </w:rPr>
            </w:pPr>
            <w:r>
              <w:rPr>
                <w:rFonts w:hint="eastAsia"/>
                <w:lang w:val="en-US" w:eastAsia="zh-CN"/>
              </w:rPr>
              <w:t>33元/平方米/月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2422" w:type="dxa"/>
            <w:vAlign w:val="center"/>
          </w:tcPr>
          <w:p>
            <w:pPr>
              <w:jc w:val="center"/>
              <w:rPr>
                <w:rFonts w:ascii="宋体"/>
                <w:lang w:eastAsia="zh-CN"/>
              </w:rPr>
            </w:pPr>
            <w:r>
              <w:rPr>
                <w:rFonts w:hint="eastAsia" w:ascii="宋体"/>
                <w:lang w:eastAsia="zh-CN"/>
              </w:rPr>
              <w:t>原租赁合同租金（元）</w:t>
            </w:r>
          </w:p>
        </w:tc>
        <w:tc>
          <w:tcPr>
            <w:tcW w:w="7409" w:type="dxa"/>
            <w:gridSpan w:val="9"/>
            <w:vAlign w:val="center"/>
          </w:tcPr>
          <w:p>
            <w:pPr>
              <w:rPr>
                <w:lang w:eastAsia="zh-CN"/>
              </w:rPr>
            </w:pPr>
          </w:p>
        </w:tc>
      </w:tr>
      <w:bookmarkEnd w:id="4"/>
      <w:bookmarkEnd w:id="5"/>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19"/>
        <w:tblW w:w="98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center"/>
          </w:tcPr>
          <w:p>
            <w:pPr>
              <w:pStyle w:val="40"/>
              <w:adjustRightInd w:val="0"/>
              <w:snapToGrid w:val="0"/>
              <w:spacing w:before="0" w:after="0"/>
              <w:rPr>
                <w:rFonts w:ascii="宋体"/>
                <w:u w:val="single"/>
                <w:lang w:eastAsia="zh-CN"/>
              </w:rPr>
            </w:pPr>
            <w:r>
              <w:rPr>
                <w:rFonts w:hint="eastAsia" w:ascii="宋体"/>
                <w:u w:val="single"/>
                <w:lang w:eastAsia="zh-CN"/>
              </w:rPr>
              <w:t>91440115747565587Q</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u w:val="single"/>
                <w:lang w:eastAsia="zh-CN"/>
              </w:rPr>
              <w:t>国有经济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u w:val="single"/>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lang w:eastAsia="zh-CN"/>
              </w:rPr>
            </w:pPr>
            <w:r>
              <w:rPr>
                <w:rFonts w:hint="eastAsia" w:ascii="宋体"/>
                <w:lang w:eastAsia="zh-CN"/>
              </w:rPr>
              <w:t>广州南沙资产经营有限公司</w:t>
            </w: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19"/>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142"/>
        <w:gridCol w:w="567"/>
        <w:gridCol w:w="1552"/>
        <w:gridCol w:w="433"/>
        <w:gridCol w:w="35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571" w:type="dxa"/>
            <w:gridSpan w:val="8"/>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5"/>
            <w:vAlign w:val="center"/>
          </w:tcPr>
          <w:p>
            <w:pPr>
              <w:rPr>
                <w:rFonts w:ascii="宋体" w:hAnsi="宋体"/>
                <w:lang w:eastAsia="zh-CN"/>
              </w:rPr>
            </w:pPr>
            <w:r>
              <w:rPr>
                <w:rFonts w:hint="eastAsia" w:ascii="宋体" w:hAnsi="宋体"/>
                <w:sz w:val="21"/>
                <w:szCs w:val="21"/>
                <w:lang w:eastAsia="zh-CN"/>
              </w:rPr>
              <w:t>□</w:t>
            </w:r>
            <w:r>
              <w:rPr>
                <w:rFonts w:hint="eastAsia"/>
                <w:sz w:val="21"/>
                <w:szCs w:val="21"/>
                <w:u w:val="single"/>
                <w:lang w:val="en-US" w:eastAsia="zh-CN"/>
              </w:rPr>
              <w:t xml:space="preserve">       </w:t>
            </w:r>
            <w:r>
              <w:rPr>
                <w:rFonts w:hint="eastAsia" w:ascii="宋体"/>
                <w:sz w:val="21"/>
                <w:szCs w:val="21"/>
                <w:lang w:eastAsia="zh-CN"/>
              </w:rPr>
              <w:t>元/月（总面积）</w:t>
            </w:r>
            <w:r>
              <w:rPr>
                <w:rFonts w:hint="eastAsia" w:ascii="宋体"/>
                <w:lang w:eastAsia="zh-CN"/>
              </w:rPr>
              <w:t xml:space="preserve">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2923" w:type="dxa"/>
            <w:vAlign w:val="center"/>
          </w:tcPr>
          <w:p>
            <w:pPr>
              <w:jc w:val="both"/>
              <w:rPr>
                <w:rFonts w:ascii="宋体"/>
                <w:lang w:eastAsia="zh-CN"/>
              </w:rPr>
            </w:pPr>
            <w:r>
              <w:rPr>
                <w:rFonts w:hint="eastAsia" w:ascii="宋体" w:hAnsi="宋体"/>
                <w:lang w:eastAsia="zh-CN"/>
              </w:rPr>
              <w:t>☑</w:t>
            </w:r>
            <w:r>
              <w:rPr>
                <w:rFonts w:hint="eastAsia"/>
                <w:szCs w:val="21"/>
                <w:u w:val="single"/>
                <w:lang w:eastAsia="zh-CN"/>
              </w:rPr>
              <w:t xml:space="preserve">  3</w:t>
            </w:r>
            <w:r>
              <w:rPr>
                <w:rFonts w:hint="eastAsia"/>
                <w:szCs w:val="21"/>
                <w:u w:val="single"/>
                <w:lang w:val="en-US" w:eastAsia="zh-CN"/>
              </w:rPr>
              <w:t>9</w:t>
            </w:r>
            <w:r>
              <w:rPr>
                <w:rFonts w:hint="eastAsia"/>
                <w:szCs w:val="21"/>
                <w:u w:val="single"/>
                <w:lang w:eastAsia="zh-CN"/>
              </w:rPr>
              <w:t xml:space="preserve">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5976" w:type="dxa"/>
            <w:gridSpan w:val="6"/>
            <w:vAlign w:val="center"/>
          </w:tcPr>
          <w:p>
            <w:pPr>
              <w:jc w:val="cente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5976" w:type="dxa"/>
            <w:gridSpan w:val="6"/>
            <w:vAlign w:val="center"/>
          </w:tcPr>
          <w:p>
            <w:pPr>
              <w:jc w:val="both"/>
              <w:rPr>
                <w:rFonts w:ascii="宋体"/>
                <w:u w:val="single"/>
                <w:lang w:eastAsia="zh-CN"/>
              </w:rPr>
            </w:pPr>
            <w:r>
              <w:rPr>
                <w:rFonts w:hint="eastAsia" w:ascii="宋体"/>
                <w:u w:val="single"/>
                <w:lang w:val="en-US" w:eastAsia="zh-CN"/>
              </w:rPr>
              <w:t>1.</w:t>
            </w:r>
            <w:r>
              <w:rPr>
                <w:rFonts w:hint="eastAsia" w:ascii="宋体"/>
                <w:u w:val="single"/>
                <w:lang w:eastAsia="zh-CN"/>
              </w:rPr>
              <w:t>该出租价格含租金和园区运营管理费。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highlight w:val="yellow"/>
                <w:lang w:eastAsia="zh-CN"/>
              </w:rPr>
            </w:pPr>
            <w:r>
              <w:rPr>
                <w:rFonts w:hint="eastAsia" w:ascii="宋体" w:hAnsi="宋体"/>
                <w:lang w:eastAsia="zh-CN"/>
              </w:rPr>
              <w:t>支付方式</w:t>
            </w:r>
          </w:p>
        </w:tc>
        <w:tc>
          <w:tcPr>
            <w:tcW w:w="5976" w:type="dxa"/>
            <w:gridSpan w:val="6"/>
            <w:vAlign w:val="center"/>
          </w:tcPr>
          <w:p>
            <w:pPr>
              <w:rPr>
                <w:rFonts w:hint="eastAsia" w:ascii="宋体"/>
                <w:highlight w:val="yellow"/>
                <w:lang w:eastAsia="zh-CN"/>
              </w:rPr>
            </w:pPr>
            <w:r>
              <w:rPr>
                <w:rFonts w:hint="eastAsia" w:ascii="宋体"/>
                <w:highlight w:val="yellow"/>
                <w:lang w:eastAsia="zh-CN"/>
              </w:rPr>
              <w:t>按</w:t>
            </w:r>
            <w:r>
              <w:rPr>
                <w:rFonts w:ascii="宋体"/>
                <w:highlight w:val="yellow"/>
                <w:lang w:eastAsia="zh-CN"/>
              </w:rPr>
              <w:t>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7818" w:type="dxa"/>
            <w:gridSpan w:val="7"/>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 xml:space="preserve"> </w:t>
            </w:r>
            <w:r>
              <w:rPr>
                <w:rFonts w:ascii="宋体" w:hAnsi="宋体"/>
                <w:bCs/>
                <w:u w:val="single"/>
                <w:lang w:eastAsia="zh-CN"/>
              </w:rPr>
              <w:t>10</w:t>
            </w:r>
            <w:r>
              <w:rPr>
                <w:rFonts w:hint="eastAsia" w:ascii="宋体" w:hAnsi="宋体"/>
                <w:bCs/>
                <w:u w:val="single"/>
                <w:lang w:eastAsia="zh-CN"/>
              </w:rPr>
              <w:t xml:space="preserve"> </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restart"/>
            <w:vAlign w:val="center"/>
          </w:tcPr>
          <w:p>
            <w:pPr>
              <w:jc w:val="center"/>
              <w:rPr>
                <w:rFonts w:ascii="宋体"/>
                <w:lang w:eastAsia="zh-CN"/>
              </w:rPr>
            </w:pPr>
            <w:r>
              <w:rPr>
                <w:rFonts w:ascii="宋体" w:hAnsi="宋体"/>
                <w:lang w:eastAsia="zh-CN"/>
              </w:rPr>
              <w:t>*</w:t>
            </w:r>
            <w:r>
              <w:rPr>
                <w:rFonts w:hint="eastAsia" w:ascii="宋体" w:hAnsi="宋体"/>
                <w:lang w:eastAsia="zh-CN"/>
              </w:rPr>
              <w:t>延牌规则</w:t>
            </w:r>
          </w:p>
        </w:tc>
        <w:tc>
          <w:tcPr>
            <w:tcW w:w="1984" w:type="dxa"/>
            <w:gridSpan w:val="2"/>
            <w:vAlign w:val="center"/>
          </w:tcPr>
          <w:p>
            <w:pPr>
              <w:pStyle w:val="38"/>
              <w:ind w:left="464" w:leftChars="17" w:hanging="423"/>
              <w:rPr>
                <w:rFonts w:ascii="宋体" w:hAnsi="宋体"/>
                <w:bCs/>
                <w:color w:val="FF0000"/>
                <w:lang w:eastAsia="zh-CN"/>
              </w:rPr>
            </w:pPr>
            <w:r>
              <w:rPr>
                <w:rFonts w:hint="eastAsia" w:ascii="宋体" w:hAnsi="宋体"/>
                <w:bCs/>
                <w:color w:val="FF0000"/>
                <w:lang w:eastAsia="zh-CN"/>
              </w:rPr>
              <w:t>■市属国有企业（含参照）</w:t>
            </w:r>
          </w:p>
          <w:p>
            <w:pPr>
              <w:pStyle w:val="38"/>
              <w:ind w:left="38" w:leftChars="16" w:firstLineChars="177"/>
              <w:rPr>
                <w:rFonts w:ascii="宋体" w:hAnsi="宋体"/>
                <w:bCs/>
                <w:lang w:eastAsia="zh-CN"/>
              </w:rPr>
            </w:pPr>
          </w:p>
        </w:tc>
        <w:tc>
          <w:tcPr>
            <w:tcW w:w="5834" w:type="dxa"/>
            <w:gridSpan w:val="5"/>
            <w:vAlign w:val="center"/>
          </w:tcPr>
          <w:p>
            <w:pPr>
              <w:pStyle w:val="38"/>
              <w:ind w:left="464" w:leftChars="17" w:hanging="423"/>
              <w:rPr>
                <w:rFonts w:ascii="宋体" w:hAnsi="宋体"/>
                <w:bCs/>
                <w:lang w:eastAsia="zh-CN"/>
              </w:rPr>
            </w:pPr>
            <w:r>
              <w:rPr>
                <w:rFonts w:hint="eastAsia" w:ascii="宋体" w:hAnsi="宋体"/>
                <w:bCs/>
                <w:lang w:eastAsia="zh-CN"/>
              </w:rPr>
              <w:t>■ 信息发布延长：</w:t>
            </w:r>
          </w:p>
          <w:p>
            <w:pPr>
              <w:pStyle w:val="38"/>
              <w:ind w:left="38" w:leftChars="16" w:firstLineChars="177"/>
              <w:rPr>
                <w:rFonts w:ascii="宋体" w:hAnsi="宋体"/>
                <w:bCs/>
                <w:lang w:eastAsia="zh-CN"/>
              </w:rPr>
            </w:pPr>
            <w:r>
              <w:rPr>
                <w:rFonts w:hint="eastAsia" w:ascii="宋体" w:hAnsi="宋体"/>
                <w:bCs/>
                <w:lang w:eastAsia="zh-CN"/>
              </w:rPr>
              <w:t>首个挂牌期满结束时，如征集到的意向方不足（</w:t>
            </w:r>
            <w:r>
              <w:rPr>
                <w:rFonts w:ascii="宋体" w:hAnsi="宋体"/>
                <w:bCs/>
                <w:lang w:eastAsia="zh-CN"/>
              </w:rPr>
              <w:t>1</w:t>
            </w:r>
            <w:r>
              <w:rPr>
                <w:rFonts w:hint="eastAsia" w:ascii="宋体" w:hAnsi="宋体"/>
                <w:bCs/>
                <w:lang w:eastAsia="zh-CN"/>
              </w:rPr>
              <w:t>）个，按照（</w:t>
            </w:r>
            <w:r>
              <w:rPr>
                <w:rFonts w:ascii="宋体" w:hAnsi="宋体"/>
                <w:bCs/>
                <w:lang w:eastAsia="zh-CN"/>
              </w:rPr>
              <w:t>10</w:t>
            </w:r>
            <w:r>
              <w:rPr>
                <w:rFonts w:hint="eastAsia" w:ascii="宋体" w:hAnsi="宋体"/>
                <w:bCs/>
                <w:lang w:eastAsia="zh-CN"/>
              </w:rPr>
              <w:t>）个工作日为一个延长周期，最多延长（</w:t>
            </w:r>
            <w:r>
              <w:rPr>
                <w:rFonts w:ascii="宋体" w:hAnsi="宋体"/>
                <w:bCs/>
                <w:lang w:eastAsia="zh-CN"/>
              </w:rPr>
              <w:t>1</w:t>
            </w:r>
            <w:r>
              <w:rPr>
                <w:rFonts w:hint="eastAsia" w:ascii="宋体" w:hAnsi="宋体"/>
                <w:bCs/>
                <w:lang w:eastAsia="zh-CN"/>
              </w:rPr>
              <w:t>）个周期。</w:t>
            </w:r>
          </w:p>
          <w:p>
            <w:pPr>
              <w:pStyle w:val="38"/>
              <w:ind w:left="38" w:leftChars="16" w:firstLineChars="177"/>
              <w:rPr>
                <w:rFonts w:ascii="宋体" w:hAnsi="宋体"/>
                <w:bCs/>
                <w:lang w:eastAsia="zh-CN"/>
              </w:rPr>
            </w:pPr>
            <w:r>
              <w:rPr>
                <w:rFonts w:hint="eastAsia" w:ascii="宋体" w:hAnsi="宋体"/>
                <w:bCs/>
                <w:lang w:eastAsia="zh-CN"/>
              </w:rPr>
              <w:t>首个挂牌期满结束时，如征集到的意向方为（1）个，按照（10）个工作日为一个延长周期，最多延长（1）个周期。</w:t>
            </w:r>
          </w:p>
          <w:p>
            <w:pPr>
              <w:pStyle w:val="38"/>
              <w:ind w:left="38" w:leftChars="16" w:firstLineChars="177"/>
              <w:rPr>
                <w:rFonts w:ascii="宋体" w:hAnsi="宋体"/>
                <w:bCs/>
                <w:lang w:eastAsia="zh-CN"/>
              </w:rPr>
            </w:pPr>
            <w:r>
              <w:rPr>
                <w:rFonts w:hint="eastAsia" w:ascii="宋体" w:hAnsi="宋体"/>
                <w:bCs/>
                <w:lang w:eastAsia="zh-CN"/>
              </w:rPr>
              <w:t>首个挂牌期满结束时，如征集到的意向方为（2）个或以上，但经资格审核后仅有1家符合资格的，则项目不变更条件重新挂牌，第二次挂牌的公告期为10个工作日。首次挂牌符合资格的意向方资格将保留至第二次挂牌。</w:t>
            </w:r>
          </w:p>
          <w:p>
            <w:pPr>
              <w:pStyle w:val="38"/>
              <w:ind w:left="464" w:leftChars="17" w:hanging="423"/>
              <w:rPr>
                <w:rFonts w:asci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pStyle w:val="38"/>
              <w:ind w:left="464" w:leftChars="17" w:hanging="423"/>
              <w:rPr>
                <w:rFonts w:ascii="宋体" w:hAnsi="宋体"/>
                <w:bCs/>
                <w:lang w:eastAsia="zh-CN"/>
              </w:rPr>
            </w:pPr>
            <w:r>
              <w:rPr>
                <w:rFonts w:hint="eastAsia" w:ascii="宋体" w:hAnsi="宋体"/>
                <w:bCs/>
                <w:lang w:eastAsia="zh-CN"/>
              </w:rPr>
              <w:t>□行政事业单位及其他</w:t>
            </w:r>
          </w:p>
        </w:tc>
        <w:tc>
          <w:tcPr>
            <w:tcW w:w="5834" w:type="dxa"/>
            <w:gridSpan w:val="5"/>
            <w:vAlign w:val="center"/>
          </w:tcPr>
          <w:p>
            <w:pPr>
              <w:pStyle w:val="38"/>
              <w:ind w:left="464" w:leftChars="17" w:hanging="423"/>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 xml:space="preserve">       </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t>□首个挂牌期满结束时，如征集到的意向方不足（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7818" w:type="dxa"/>
            <w:gridSpan w:val="7"/>
            <w:vAlign w:val="center"/>
          </w:tcPr>
          <w:p>
            <w:pPr>
              <w:pStyle w:val="38"/>
              <w:ind w:left="163" w:leftChars="68" w:firstLine="2"/>
              <w:rPr>
                <w:rFonts w:ascii="宋体"/>
                <w:bCs/>
                <w:lang w:eastAsia="zh-CN"/>
              </w:rPr>
            </w:pPr>
            <w:r>
              <w:rPr>
                <w:rFonts w:hint="eastAsia" w:ascii="宋体" w:hAnsi="宋体"/>
                <w:bCs/>
                <w:lang w:eastAsia="zh-CN"/>
              </w:rPr>
              <w:t>□</w:t>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ascii="Segoe UI Symbol" w:hAnsi="Segoe UI Symbol" w:cs="Segoe UI Symbol"/>
                <w:bCs/>
                <w:lang w:eastAsia="zh-CN"/>
              </w:rPr>
              <w:t>☑</w:t>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hint="eastAsia" w:ascii="宋体" w:hAnsi="宋体"/>
                <w:bCs/>
                <w:u w:val="single"/>
                <w:lang w:eastAsia="zh-CN"/>
              </w:rPr>
              <w:t>意向方在挂牌期间自行联系出租方看样，出租方</w:t>
            </w:r>
            <w:r>
              <w:rPr>
                <w:rFonts w:ascii="宋体" w:hAnsi="宋体"/>
                <w:bCs/>
                <w:u w:val="single"/>
                <w:lang w:eastAsia="zh-CN"/>
              </w:rPr>
              <w:t>联系方式：</w:t>
            </w:r>
            <w:r>
              <w:rPr>
                <w:rFonts w:hint="eastAsia" w:ascii="宋体" w:hAnsi="宋体"/>
                <w:bCs/>
                <w:u w:val="single"/>
                <w:lang w:eastAsia="zh-CN"/>
              </w:rPr>
              <w:t>覃先生</w:t>
            </w:r>
            <w:r>
              <w:rPr>
                <w:rFonts w:hint="eastAsia" w:ascii="宋体" w:hAnsi="宋体"/>
                <w:bCs/>
                <w:u w:val="single"/>
                <w:lang w:val="en-US" w:eastAsia="zh-CN"/>
              </w:rPr>
              <w:t>18620204808/39058832</w:t>
            </w:r>
            <w:r>
              <w:rPr>
                <w:rFonts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restart"/>
            <w:vAlign w:val="center"/>
          </w:tcPr>
          <w:p>
            <w:pPr>
              <w:jc w:val="center"/>
              <w:rPr>
                <w:rFonts w:ascii="宋体" w:hAnsi="宋体"/>
                <w:lang w:eastAsia="zh-CN"/>
              </w:rPr>
            </w:pPr>
            <w:r>
              <w:rPr>
                <w:rFonts w:ascii="宋体" w:hAnsi="宋体"/>
                <w:lang w:eastAsia="zh-CN"/>
              </w:rPr>
              <w:t>*</w:t>
            </w:r>
            <w:r>
              <w:rPr>
                <w:rFonts w:hint="eastAsia" w:ascii="宋体" w:hAnsi="宋体"/>
                <w:lang w:eastAsia="zh-CN"/>
              </w:rPr>
              <w:t>交易方式</w:t>
            </w:r>
          </w:p>
        </w:tc>
        <w:tc>
          <w:tcPr>
            <w:tcW w:w="1984" w:type="dxa"/>
            <w:gridSpan w:val="2"/>
            <w:vAlign w:val="center"/>
          </w:tcPr>
          <w:p>
            <w:pPr>
              <w:pStyle w:val="38"/>
              <w:ind w:left="464" w:leftChars="17" w:hanging="423"/>
              <w:rPr>
                <w:rFonts w:ascii="宋体" w:hAnsi="宋体"/>
                <w:bCs/>
                <w:color w:val="FF0000"/>
                <w:lang w:eastAsia="zh-CN"/>
              </w:rPr>
            </w:pPr>
            <w:r>
              <w:rPr>
                <w:rFonts w:hint="eastAsia" w:ascii="宋体" w:hAnsi="宋体"/>
                <w:bCs/>
                <w:color w:val="FF0000"/>
                <w:lang w:eastAsia="zh-CN"/>
              </w:rPr>
              <w:t>■市属国有企业（含参照）</w:t>
            </w:r>
          </w:p>
          <w:p>
            <w:pPr>
              <w:pStyle w:val="38"/>
              <w:ind w:firstLine="463" w:firstLineChars="193"/>
              <w:rPr>
                <w:rFonts w:ascii="宋体"/>
                <w:bCs/>
                <w:lang w:eastAsia="zh-CN"/>
              </w:rPr>
            </w:pPr>
          </w:p>
        </w:tc>
        <w:tc>
          <w:tcPr>
            <w:tcW w:w="5834" w:type="dxa"/>
            <w:gridSpan w:val="5"/>
            <w:vAlign w:val="center"/>
          </w:tcPr>
          <w:p>
            <w:pPr>
              <w:ind w:firstLine="463" w:firstLineChars="193"/>
              <w:rPr>
                <w:lang w:eastAsia="zh-CN"/>
              </w:rPr>
            </w:pPr>
            <w:r>
              <w:rPr>
                <w:rFonts w:hint="eastAsia"/>
                <w:lang w:eastAsia="zh-CN"/>
              </w:rPr>
              <w:t>如不变更条件进行两次信息发布（含延长周期和第二次挂牌）后仅有1家符合资格且缴纳交易保证金的意向方，经公示5个工作日无异议后协议交易。</w:t>
            </w:r>
          </w:p>
          <w:p>
            <w:pPr>
              <w:pStyle w:val="38"/>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如征集到符合资格的意向方为2家或以上且至少1个意向方缴纳</w:t>
            </w:r>
            <w:r>
              <w:rPr>
                <w:rFonts w:hint="eastAsia"/>
                <w:lang w:eastAsia="zh-CN"/>
              </w:rPr>
              <w:t>交易</w:t>
            </w:r>
            <w:r>
              <w:rPr>
                <w:rFonts w:hint="eastAsia" w:ascii="宋体" w:hAnsi="宋体"/>
                <w:bCs/>
                <w:lang w:eastAsia="zh-CN"/>
              </w:rPr>
              <w:t>保证金的，选择以下交易方式：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 xml:space="preserve"> □网络一次性报价）</w:t>
            </w:r>
          </w:p>
          <w:p>
            <w:pPr>
              <w:pStyle w:val="38"/>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1753" w:type="dxa"/>
            <w:vMerge w:val="continue"/>
            <w:vAlign w:val="center"/>
          </w:tcPr>
          <w:p>
            <w:pPr>
              <w:jc w:val="center"/>
              <w:rPr>
                <w:rFonts w:ascii="宋体" w:hAnsi="宋体"/>
                <w:lang w:eastAsia="zh-CN"/>
              </w:rPr>
            </w:pPr>
          </w:p>
        </w:tc>
        <w:tc>
          <w:tcPr>
            <w:tcW w:w="1984" w:type="dxa"/>
            <w:gridSpan w:val="2"/>
            <w:vAlign w:val="center"/>
          </w:tcPr>
          <w:p>
            <w:pPr>
              <w:rPr>
                <w:lang w:eastAsia="zh-CN"/>
              </w:rPr>
            </w:pPr>
            <w:r>
              <w:rPr>
                <w:rFonts w:hint="eastAsia" w:ascii="宋体" w:hAnsi="宋体"/>
                <w:bCs/>
                <w:lang w:eastAsia="zh-CN"/>
              </w:rPr>
              <w:t>□行政事业单位及其他</w:t>
            </w:r>
          </w:p>
        </w:tc>
        <w:tc>
          <w:tcPr>
            <w:tcW w:w="5834" w:type="dxa"/>
            <w:gridSpan w:val="5"/>
            <w:vAlign w:val="center"/>
          </w:tcPr>
          <w:p>
            <w:pPr>
              <w:ind w:firstLine="463" w:firstLineChars="193"/>
              <w:rPr>
                <w:lang w:eastAsia="zh-CN"/>
              </w:rPr>
            </w:pPr>
            <w:r>
              <w:rPr>
                <w:rFonts w:ascii="宋体" w:hAnsi="宋体"/>
                <w:lang w:eastAsia="zh-CN"/>
              </w:rPr>
              <w:t>*</w:t>
            </w:r>
            <w:r>
              <w:rPr>
                <w:rFonts w:hint="eastAsia"/>
                <w:lang w:eastAsia="zh-CN"/>
              </w:rPr>
              <w:t>仅征集到1家符合资格且缴纳交易保证金的意向方，选择协议交易。</w:t>
            </w:r>
          </w:p>
          <w:p>
            <w:pPr>
              <w:pStyle w:val="38"/>
              <w:ind w:left="34" w:leftChars="14" w:firstLine="463" w:firstLineChars="193"/>
              <w:rPr>
                <w:rFonts w:ascii="宋体"/>
                <w:bCs/>
                <w:lang w:eastAsia="zh-CN"/>
              </w:rPr>
            </w:pPr>
            <w:r>
              <w:rPr>
                <w:rFonts w:ascii="宋体" w:hAnsi="宋体"/>
                <w:lang w:eastAsia="zh-CN"/>
              </w:rPr>
              <w:t>*</w:t>
            </w:r>
            <w:r>
              <w:rPr>
                <w:rFonts w:hint="eastAsia" w:ascii="宋体" w:hAnsi="宋体"/>
                <w:bCs/>
                <w:lang w:eastAsia="zh-CN"/>
              </w:rPr>
              <w:t>如征集到符合资格且缴纳</w:t>
            </w:r>
            <w:r>
              <w:rPr>
                <w:rFonts w:hint="eastAsia"/>
                <w:lang w:eastAsia="zh-CN"/>
              </w:rPr>
              <w:t>交易</w:t>
            </w:r>
            <w:r>
              <w:rPr>
                <w:rFonts w:hint="eastAsia" w:ascii="宋体" w:hAnsi="宋体"/>
                <w:bCs/>
                <w:lang w:eastAsia="zh-CN"/>
              </w:rPr>
              <w:t>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left="2503" w:leftChars="193" w:hanging="2040" w:hangingChars="850"/>
              <w:rPr>
                <w:rFonts w:ascii="宋体" w:hAnsi="宋体"/>
                <w:bCs/>
                <w:lang w:eastAsia="zh-CN"/>
              </w:rPr>
            </w:pPr>
            <w:r>
              <w:rPr>
                <w:rFonts w:hint="eastAsia" w:ascii="宋体" w:hAnsi="宋体"/>
                <w:bCs/>
                <w:lang w:eastAsia="zh-CN"/>
              </w:rPr>
              <w:t>□</w:t>
            </w:r>
            <w:r>
              <w:rPr>
                <w:rFonts w:hint="eastAsia" w:ascii="宋体" w:hAnsi="宋体"/>
                <w:lang w:eastAsia="zh-CN"/>
              </w:rPr>
              <w:t>其他</w:t>
            </w:r>
            <w:r>
              <w:rPr>
                <w:rFonts w:ascii="宋体" w:hAnsi="宋体"/>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7818" w:type="dxa"/>
            <w:gridSpan w:val="7"/>
            <w:vAlign w:val="center"/>
          </w:tcPr>
          <w:p>
            <w:pPr>
              <w:ind w:firstLine="0"/>
              <w:rPr>
                <w:rFonts w:hint="eastAsia" w:asciiTheme="minorEastAsia" w:hAnsiTheme="minorEastAsia" w:eastAsiaTheme="minorEastAsia"/>
                <w:szCs w:val="28"/>
                <w:lang w:eastAsia="zh-CN"/>
              </w:rPr>
            </w:pPr>
            <w:r>
              <w:rPr>
                <w:rFonts w:hint="eastAsia" w:ascii="宋体"/>
                <w:bCs/>
                <w:lang w:eastAsia="zh-CN"/>
              </w:rPr>
              <w:t>出租方按出租标的现状</w:t>
            </w:r>
            <w:r>
              <w:rPr>
                <w:rFonts w:ascii="宋体"/>
                <w:bCs/>
                <w:lang w:eastAsia="zh-CN"/>
              </w:rPr>
              <w:t>（</w:t>
            </w:r>
            <w:r>
              <w:rPr>
                <w:rFonts w:hint="eastAsia" w:ascii="宋体"/>
                <w:bCs/>
                <w:lang w:eastAsia="zh-CN"/>
              </w:rPr>
              <w:t>包括</w:t>
            </w:r>
            <w:r>
              <w:rPr>
                <w:rFonts w:ascii="宋体"/>
                <w:bCs/>
                <w:lang w:eastAsia="zh-CN"/>
              </w:rPr>
              <w:t>但不限于</w:t>
            </w:r>
            <w:r>
              <w:rPr>
                <w:rFonts w:hint="eastAsia" w:ascii="宋体"/>
                <w:bCs/>
                <w:lang w:eastAsia="zh-CN"/>
              </w:rPr>
              <w:t>现有质量、消防状况</w:t>
            </w:r>
            <w:r>
              <w:rPr>
                <w:rFonts w:ascii="宋体"/>
                <w:bCs/>
                <w:lang w:eastAsia="zh-CN"/>
              </w:rPr>
              <w:t>、</w:t>
            </w:r>
            <w:r>
              <w:rPr>
                <w:rFonts w:hint="eastAsia" w:ascii="宋体"/>
                <w:bCs/>
                <w:lang w:eastAsia="zh-CN"/>
              </w:rPr>
              <w:t>房屋结构、交付使用时依附于出租标的的装修装饰状况</w:t>
            </w:r>
            <w:r>
              <w:rPr>
                <w:rFonts w:ascii="宋体"/>
                <w:bCs/>
                <w:lang w:eastAsia="zh-CN"/>
              </w:rPr>
              <w:t>）</w:t>
            </w:r>
            <w:r>
              <w:rPr>
                <w:rFonts w:hint="eastAsia" w:ascii="宋体"/>
                <w:bCs/>
                <w:lang w:eastAsia="zh-CN"/>
              </w:rPr>
              <w:t>和指定用途出租，不包括出租标的内可移动的设施、设备和物品。</w:t>
            </w:r>
          </w:p>
          <w:p>
            <w:pPr>
              <w:ind w:firstLine="560"/>
              <w:rPr>
                <w:rFonts w:hint="eastAsia"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571" w:type="dxa"/>
            <w:gridSpan w:val="8"/>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3"/>
            <w:vMerge w:val="restart"/>
            <w:vAlign w:val="center"/>
          </w:tcPr>
          <w:p>
            <w:pPr>
              <w:rPr>
                <w:rFonts w:ascii="宋体"/>
                <w:lang w:eastAsia="zh-CN"/>
              </w:rPr>
            </w:pPr>
            <w:r>
              <w:rPr>
                <w:rFonts w:hint="eastAsia" w:ascii="宋体" w:hAnsi="宋体"/>
                <w:bCs/>
                <w:lang w:eastAsia="zh-CN"/>
              </w:rPr>
              <w:t>☑是      □否</w:t>
            </w:r>
          </w:p>
        </w:tc>
        <w:tc>
          <w:tcPr>
            <w:tcW w:w="1985"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82" w:type="dxa"/>
            <w:gridSpan w:val="2"/>
            <w:vAlign w:val="center"/>
          </w:tcPr>
          <w:p>
            <w:pPr>
              <w:rPr>
                <w:rFonts w:ascii="宋体"/>
                <w:lang w:eastAsia="zh-CN"/>
              </w:rPr>
            </w:pPr>
            <w:r>
              <w:rPr>
                <w:rFonts w:hint="eastAsia" w:ascii="宋体" w:hAnsi="宋体"/>
                <w:bCs/>
                <w:lang w:eastAsia="zh-CN"/>
              </w:rPr>
              <w:t>☑交易</w:t>
            </w:r>
            <w:r>
              <w:rPr>
                <w:rFonts w:hint="eastAsia" w:ascii="宋体"/>
                <w:lang w:eastAsia="zh-CN"/>
              </w:rPr>
              <w:t xml:space="preserve">保证金金额 </w:t>
            </w:r>
            <w:r>
              <w:rPr>
                <w:rFonts w:hint="eastAsia" w:ascii="宋体"/>
                <w:u w:val="single"/>
                <w:lang w:val="en-US" w:eastAsia="zh-CN"/>
              </w:rPr>
              <w:t xml:space="preserve"> 20000元</w:t>
            </w:r>
            <w:r>
              <w:rPr>
                <w:rFonts w:hint="eastAsia" w:ascii="宋体"/>
                <w:u w:val="single"/>
                <w:lang w:eastAsia="zh-CN"/>
              </w:rPr>
              <w:t xml:space="preserve"> </w:t>
            </w:r>
            <w:r>
              <w:rPr>
                <w:rFonts w:hint="eastAsia" w:ascii="宋体"/>
                <w:u w:val="single"/>
                <w:lang w:val="en-US" w:eastAsia="zh-CN"/>
              </w:rPr>
              <w:t xml:space="preserve">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3"/>
            <w:vMerge w:val="continue"/>
            <w:vAlign w:val="center"/>
          </w:tcPr>
          <w:p>
            <w:pPr>
              <w:rPr>
                <w:rFonts w:ascii="宋体" w:hAnsi="宋体"/>
                <w:bCs/>
                <w:lang w:eastAsia="zh-CN"/>
              </w:rPr>
            </w:pPr>
          </w:p>
        </w:tc>
        <w:tc>
          <w:tcPr>
            <w:tcW w:w="1985" w:type="dxa"/>
            <w:gridSpan w:val="2"/>
            <w:vMerge w:val="continue"/>
            <w:vAlign w:val="center"/>
          </w:tcPr>
          <w:p>
            <w:pPr>
              <w:rPr>
                <w:rFonts w:ascii="宋体"/>
                <w:lang w:eastAsia="zh-CN"/>
              </w:rPr>
            </w:pPr>
          </w:p>
        </w:tc>
        <w:tc>
          <w:tcPr>
            <w:tcW w:w="3282"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7818" w:type="dxa"/>
            <w:gridSpan w:val="7"/>
            <w:vAlign w:val="center"/>
          </w:tcPr>
          <w:p>
            <w:pPr>
              <w:rPr>
                <w:rFonts w:ascii="宋体" w:hAnsi="宋体"/>
                <w:bCs/>
                <w:lang w:eastAsia="zh-CN"/>
              </w:rPr>
            </w:pP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7818" w:type="dxa"/>
            <w:gridSpan w:val="7"/>
            <w:vAlign w:val="center"/>
          </w:tcPr>
          <w:p>
            <w:pPr>
              <w:pStyle w:val="38"/>
              <w:ind w:firstLine="0"/>
              <w:rPr>
                <w:lang w:eastAsia="zh-CN"/>
              </w:rPr>
            </w:pPr>
            <w:r>
              <w:rPr>
                <w:rFonts w:hint="eastAsia"/>
                <w:bCs/>
                <w:lang w:eastAsia="zh-CN"/>
              </w:rPr>
              <w:t>■</w:t>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7818" w:type="dxa"/>
            <w:gridSpan w:val="7"/>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7818" w:type="dxa"/>
            <w:gridSpan w:val="7"/>
            <w:vAlign w:val="center"/>
          </w:tcPr>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 xml:space="preserve">（1）以网络竞价、评审、拍卖、招投标等方式组织竞价，意向方应参与竞价活动； </w:t>
            </w:r>
          </w:p>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 xml:space="preserve">（2）意向方参与竞价应保证至少有一家意向方报价，使该项目能产生有效报价；如项目存在优先权人，在未产生有效报价的情况下，优先权人应以挂牌价行权； </w:t>
            </w:r>
          </w:p>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 xml:space="preserve">（3）意向方被确定为承租方后，应按照公告要求签订《成交确认书》、《租赁合同》，并按约定足额支付交易服务费； </w:t>
            </w:r>
          </w:p>
          <w:p>
            <w:pPr>
              <w:adjustRightInd w:val="0"/>
              <w:snapToGrid w:val="0"/>
              <w:ind w:firstLine="237" w:firstLineChars="132"/>
              <w:jc w:val="both"/>
              <w:rPr>
                <w:rFonts w:ascii="宋体"/>
                <w:bCs/>
                <w:color w:val="FF0000"/>
                <w:sz w:val="18"/>
                <w:szCs w:val="18"/>
                <w:lang w:eastAsia="zh-CN"/>
              </w:rPr>
            </w:pPr>
            <w:r>
              <w:rPr>
                <w:rFonts w:hint="eastAsia" w:ascii="宋体" w:hAnsi="宋体"/>
                <w:bCs/>
                <w:color w:val="FF0000"/>
                <w:sz w:val="18"/>
                <w:szCs w:val="18"/>
                <w:lang w:eastAsia="zh-CN"/>
              </w:rPr>
              <w:t>（4）遵守项目公告、竞价实施办法、交易须知的约定和要求。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7818" w:type="dxa"/>
            <w:gridSpan w:val="7"/>
            <w:vAlign w:val="center"/>
          </w:tcPr>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237" w:firstLineChars="132"/>
              <w:jc w:val="both"/>
              <w:rPr>
                <w:rFonts w:ascii="宋体" w:hAnsi="宋体"/>
                <w:bCs/>
                <w:color w:val="FF0000"/>
                <w:sz w:val="18"/>
                <w:szCs w:val="18"/>
                <w:lang w:eastAsia="zh-CN"/>
              </w:rPr>
            </w:pPr>
            <w:r>
              <w:rPr>
                <w:rFonts w:hint="eastAsia" w:ascii="宋体" w:hAnsi="宋体"/>
                <w:bCs/>
                <w:color w:val="FF0000"/>
                <w:sz w:val="18"/>
                <w:szCs w:val="18"/>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237" w:firstLineChars="132"/>
              <w:jc w:val="both"/>
              <w:rPr>
                <w:rFonts w:ascii="宋体"/>
                <w:bCs/>
                <w:color w:val="FF0000"/>
                <w:sz w:val="18"/>
                <w:szCs w:val="18"/>
                <w:lang w:eastAsia="zh-CN"/>
              </w:rPr>
            </w:pPr>
            <w:r>
              <w:rPr>
                <w:rFonts w:hint="eastAsia" w:ascii="宋体" w:hAnsi="宋体"/>
                <w:bCs/>
                <w:color w:val="FF0000"/>
                <w:sz w:val="18"/>
                <w:szCs w:val="18"/>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571" w:type="dxa"/>
            <w:gridSpan w:val="8"/>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7818" w:type="dxa"/>
            <w:gridSpan w:val="7"/>
            <w:vAlign w:val="center"/>
          </w:tcPr>
          <w:p>
            <w:pPr>
              <w:ind w:left="240" w:hanging="240" w:hangingChars="100"/>
              <w:jc w:val="both"/>
              <w:rPr>
                <w:rFonts w:ascii="宋体"/>
                <w:bCs/>
                <w:lang w:eastAsia="zh-CN"/>
              </w:rPr>
            </w:pPr>
            <w:r>
              <w:rPr>
                <w:rFonts w:hint="eastAsia" w:ascii="宋体"/>
                <w:bCs/>
                <w:lang w:eastAsia="zh-CN"/>
              </w:rPr>
              <w:t>1.承租方须于广州产权交易所发出《签订合同通知书》/《签订&lt;成交确认书&gt;通知书》或竞价/报价活动结束之日起</w:t>
            </w:r>
            <w:r>
              <w:rPr>
                <w:rFonts w:ascii="宋体"/>
                <w:bCs/>
                <w:u w:val="single"/>
                <w:lang w:eastAsia="zh-CN"/>
              </w:rPr>
              <w:t>2</w:t>
            </w:r>
            <w:r>
              <w:rPr>
                <w:rFonts w:hint="eastAsia" w:ascii="宋体"/>
                <w:bCs/>
                <w:lang w:eastAsia="zh-CN"/>
              </w:rPr>
              <w:t>个工作日内与广州产权交易所、出租方签订《成交确认书》。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3" w:hRule="atLeast"/>
          <w:jc w:val="center"/>
        </w:trPr>
        <w:tc>
          <w:tcPr>
            <w:tcW w:w="1753" w:type="dxa"/>
            <w:vMerge w:val="continue"/>
            <w:vAlign w:val="center"/>
          </w:tcPr>
          <w:p>
            <w:pPr>
              <w:pStyle w:val="40"/>
              <w:spacing w:before="0" w:after="0"/>
              <w:jc w:val="center"/>
              <w:rPr>
                <w:rFonts w:ascii="宋体" w:hAnsi="宋体"/>
                <w:lang w:eastAsia="zh-CN"/>
              </w:rPr>
            </w:pPr>
          </w:p>
        </w:tc>
        <w:tc>
          <w:tcPr>
            <w:tcW w:w="7818" w:type="dxa"/>
            <w:gridSpan w:val="7"/>
            <w:vAlign w:val="center"/>
          </w:tcPr>
          <w:p>
            <w:pPr>
              <w:ind w:left="600" w:hanging="600" w:hangingChars="250"/>
              <w:jc w:val="both"/>
              <w:rPr>
                <w:rFonts w:ascii="宋体"/>
                <w:bCs/>
                <w:lang w:eastAsia="zh-CN"/>
              </w:rPr>
            </w:pPr>
            <w:r>
              <w:rPr>
                <w:rFonts w:hint="eastAsia" w:ascii="宋体"/>
                <w:bCs/>
                <w:lang w:eastAsia="zh-CN"/>
              </w:rPr>
              <w:t>2.</w:t>
            </w:r>
            <w:r>
              <w:rPr>
                <w:rFonts w:hint="eastAsia" w:ascii="宋体" w:hAnsi="宋体"/>
                <w:bCs/>
                <w:lang w:eastAsia="zh-CN"/>
              </w:rPr>
              <w:t xml:space="preserve"> </w:t>
            </w:r>
            <w:r>
              <w:rPr>
                <w:rFonts w:hint="eastAsia" w:ascii="宋体" w:hAnsi="宋体"/>
                <w:bCs/>
                <w:color w:val="FF0000"/>
                <w:lang w:eastAsia="zh-CN"/>
              </w:rPr>
              <w:t>■</w:t>
            </w:r>
            <w:r>
              <w:rPr>
                <w:rFonts w:hint="eastAsia" w:ascii="宋体"/>
                <w:bCs/>
                <w:color w:val="FF0000"/>
                <w:lang w:eastAsia="zh-CN"/>
              </w:rPr>
              <w:t>承租方须于签订《成交确认书》之日起</w:t>
            </w:r>
            <w:r>
              <w:rPr>
                <w:rFonts w:hint="eastAsia" w:ascii="宋体"/>
                <w:bCs/>
                <w:color w:val="FF0000"/>
                <w:u w:val="single"/>
                <w:lang w:eastAsia="zh-CN"/>
              </w:rPr>
              <w:t xml:space="preserve"> </w:t>
            </w:r>
            <w:r>
              <w:rPr>
                <w:rFonts w:ascii="宋体"/>
                <w:bCs/>
                <w:color w:val="FF0000"/>
                <w:u w:val="single"/>
                <w:lang w:eastAsia="zh-CN"/>
              </w:rPr>
              <w:t>10</w:t>
            </w:r>
            <w:r>
              <w:rPr>
                <w:rFonts w:hint="eastAsia" w:ascii="宋体"/>
                <w:bCs/>
                <w:color w:val="FF0000"/>
                <w:u w:val="single"/>
                <w:lang w:eastAsia="zh-CN"/>
              </w:rPr>
              <w:t xml:space="preserve"> </w:t>
            </w:r>
            <w:r>
              <w:rPr>
                <w:rFonts w:hint="eastAsia" w:ascii="宋体"/>
                <w:bCs/>
                <w:color w:val="FF0000"/>
                <w:lang w:eastAsia="zh-CN"/>
              </w:rPr>
              <w:t>个工作日内与出租方签订租赁合同。（适用于国有企业出租、部分行政事业单位出租类）</w:t>
            </w:r>
          </w:p>
          <w:p>
            <w:pPr>
              <w:ind w:left="600" w:leftChars="150" w:hanging="240" w:hangingChars="100"/>
              <w:jc w:val="both"/>
              <w:rPr>
                <w:rFonts w:ascii="宋体"/>
                <w:bCs/>
                <w:lang w:eastAsia="zh-CN"/>
              </w:rPr>
            </w:pPr>
            <w:r>
              <w:rPr>
                <w:rFonts w:hint="eastAsia" w:ascii="宋体" w:hAnsi="宋体"/>
                <w:bCs/>
                <w:lang w:eastAsia="zh-CN"/>
              </w:rPr>
              <w:t>□</w:t>
            </w:r>
            <w:r>
              <w:rPr>
                <w:rFonts w:hint="eastAsia" w:ascii="宋体"/>
                <w:bCs/>
                <w:lang w:eastAsia="zh-CN"/>
              </w:rPr>
              <w:t>承租方须于签订《成交确认书》且在成交结果公示期满无人对本次交易提出异议之日起</w:t>
            </w:r>
            <w:r>
              <w:rPr>
                <w:rFonts w:hint="eastAsia" w:ascii="宋体"/>
                <w:bCs/>
                <w:u w:val="single"/>
                <w:lang w:eastAsia="zh-CN"/>
              </w:rPr>
              <w:t xml:space="preserve">    </w:t>
            </w:r>
            <w:r>
              <w:rPr>
                <w:rFonts w:hint="eastAsia" w:ascii="宋体"/>
                <w:bCs/>
                <w:lang w:eastAsia="zh-CN"/>
              </w:rPr>
              <w:t>个工作日内与出租方签订租赁合同。（适用于市属行政事业单位出租类）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53" w:type="dxa"/>
            <w:vMerge w:val="continue"/>
            <w:vAlign w:val="center"/>
          </w:tcPr>
          <w:p>
            <w:pPr>
              <w:pStyle w:val="40"/>
              <w:spacing w:before="0" w:after="0"/>
              <w:jc w:val="center"/>
              <w:rPr>
                <w:rFonts w:ascii="宋体" w:hAnsi="宋体"/>
                <w:lang w:eastAsia="zh-CN"/>
              </w:rPr>
            </w:pPr>
          </w:p>
        </w:tc>
        <w:tc>
          <w:tcPr>
            <w:tcW w:w="7818" w:type="dxa"/>
            <w:gridSpan w:val="7"/>
            <w:vAlign w:val="center"/>
          </w:tcPr>
          <w:p>
            <w:pPr>
              <w:ind w:left="240" w:hanging="240" w:hangingChars="100"/>
              <w:jc w:val="both"/>
              <w:rPr>
                <w:rFonts w:ascii="宋体"/>
                <w:bCs/>
                <w:u w:val="single"/>
                <w:lang w:eastAsia="zh-CN"/>
              </w:rPr>
            </w:pPr>
            <w:r>
              <w:rPr>
                <w:rFonts w:hint="eastAsia" w:ascii="宋体"/>
                <w:bCs/>
                <w:lang w:eastAsia="zh-CN"/>
              </w:rPr>
              <w:t>3.承租方须于签订《成交确认书》之日起</w:t>
            </w:r>
            <w:r>
              <w:rPr>
                <w:rFonts w:hint="eastAsia" w:ascii="宋体"/>
                <w:bCs/>
                <w:u w:val="single"/>
                <w:lang w:eastAsia="zh-CN"/>
              </w:rPr>
              <w:t xml:space="preserve"> </w:t>
            </w:r>
            <w:r>
              <w:rPr>
                <w:rFonts w:ascii="宋体"/>
                <w:bCs/>
                <w:u w:val="single"/>
                <w:lang w:eastAsia="zh-CN"/>
              </w:rPr>
              <w:t>3</w:t>
            </w:r>
            <w:r>
              <w:rPr>
                <w:rFonts w:hint="eastAsia" w:ascii="宋体"/>
                <w:bCs/>
                <w:u w:val="single"/>
                <w:lang w:eastAsia="zh-CN"/>
              </w:rPr>
              <w:t xml:space="preserve"> </w:t>
            </w:r>
            <w:r>
              <w:rPr>
                <w:rFonts w:hint="eastAsia" w:ascii="宋体"/>
                <w:bCs/>
                <w:lang w:eastAsia="zh-CN"/>
              </w:rPr>
              <w:t>个工作日内向广州产权交易所支付交易服务费，交易服务费标准如下：</w:t>
            </w:r>
            <w:r>
              <w:rPr>
                <w:rFonts w:hint="eastAsia" w:ascii="宋体"/>
                <w:bCs/>
                <w:color w:val="FF0000"/>
                <w:u w:val="single"/>
                <w:lang w:eastAsia="zh-CN"/>
              </w:rPr>
              <w:t>相当于首年租金（按12个月计算）成交价格的0.5%向本所支付交易服务费。</w:t>
            </w:r>
          </w:p>
          <w:p>
            <w:pPr>
              <w:ind w:left="240" w:hanging="240" w:hangingChars="100"/>
              <w:jc w:val="both"/>
              <w:rPr>
                <w:rFonts w:ascii="宋体"/>
                <w:bCs/>
                <w:lang w:eastAsia="zh-CN"/>
              </w:rPr>
            </w:pPr>
            <w:r>
              <w:rPr>
                <w:rFonts w:hint="eastAsia" w:ascii="宋体"/>
                <w:bCs/>
                <w:lang w:eastAsia="zh-CN"/>
              </w:rPr>
              <w:t xml:space="preserve">  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2" w:hRule="atLeast"/>
          <w:jc w:val="center"/>
        </w:trPr>
        <w:tc>
          <w:tcPr>
            <w:tcW w:w="1753" w:type="dxa"/>
            <w:vMerge w:val="continue"/>
            <w:vAlign w:val="center"/>
          </w:tcPr>
          <w:p>
            <w:pPr>
              <w:pStyle w:val="40"/>
              <w:spacing w:before="0" w:after="0"/>
              <w:jc w:val="center"/>
              <w:rPr>
                <w:rFonts w:ascii="宋体" w:hAnsi="宋体"/>
                <w:lang w:eastAsia="zh-CN"/>
              </w:rPr>
            </w:pPr>
          </w:p>
        </w:tc>
        <w:tc>
          <w:tcPr>
            <w:tcW w:w="7818" w:type="dxa"/>
            <w:gridSpan w:val="7"/>
            <w:vAlign w:val="center"/>
          </w:tcPr>
          <w:p>
            <w:pPr>
              <w:numPr>
                <w:ilvl w:val="0"/>
                <w:numId w:val="2"/>
              </w:numPr>
              <w:rPr>
                <w:rFonts w:ascii="宋体"/>
                <w:bCs/>
                <w:lang w:eastAsia="zh-CN"/>
              </w:rPr>
            </w:pPr>
            <w:r>
              <w:rPr>
                <w:rFonts w:hint="eastAsia" w:ascii="宋体"/>
                <w:bCs/>
                <w:lang w:eastAsia="zh-CN"/>
              </w:rPr>
              <w:t>承租方</w:t>
            </w:r>
            <w:r>
              <w:rPr>
                <w:rFonts w:ascii="宋体"/>
                <w:bCs/>
                <w:lang w:eastAsia="zh-CN"/>
              </w:rPr>
              <w:t>须按出租方提供的租赁合同版本签署。</w:t>
            </w:r>
          </w:p>
          <w:p>
            <w:pPr>
              <w:rPr>
                <w:rFonts w:hint="eastAsia" w:ascii="宋体"/>
                <w:bCs/>
                <w:lang w:eastAsia="zh-CN"/>
              </w:rPr>
            </w:pPr>
            <w:r>
              <w:rPr>
                <w:rFonts w:hint="eastAsia" w:ascii="宋体"/>
                <w:bCs/>
                <w:lang w:val="en-US" w:eastAsia="zh-CN"/>
              </w:rPr>
              <w:t>5</w:t>
            </w:r>
            <w:r>
              <w:rPr>
                <w:rFonts w:hint="eastAsia" w:ascii="宋体"/>
                <w:bCs/>
                <w:lang w:eastAsia="zh-CN"/>
              </w:rPr>
              <w:t>. 意向方应仔细阅读标的信息公告，充分了解标的交易相关的披露事项。意向方应自行对标的进行必要和适当的独立调查和分析，对标的现状进行充分的了解，认同交易标的现状</w:t>
            </w:r>
            <w:r>
              <w:rPr>
                <w:rFonts w:ascii="宋体"/>
                <w:bCs/>
                <w:lang w:eastAsia="zh-CN"/>
              </w:rPr>
              <w:t>，</w:t>
            </w:r>
            <w:r>
              <w:rPr>
                <w:rFonts w:hint="eastAsia" w:ascii="宋体"/>
                <w:bCs/>
                <w:lang w:eastAsia="zh-CN"/>
              </w:rPr>
              <w:t>并对承租交易标的后可能发生的费用和存在的风险进行充分评估。</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571" w:type="dxa"/>
            <w:gridSpan w:val="8"/>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出租方是否进行资格审核</w:t>
            </w:r>
          </w:p>
        </w:tc>
        <w:tc>
          <w:tcPr>
            <w:tcW w:w="3715" w:type="dxa"/>
            <w:gridSpan w:val="3"/>
            <w:vAlign w:val="center"/>
          </w:tcPr>
          <w:p>
            <w:pPr>
              <w:rPr>
                <w:rFonts w:ascii="宋体"/>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715"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9" w:hRule="atLeast"/>
          <w:jc w:val="center"/>
        </w:trPr>
        <w:tc>
          <w:tcPr>
            <w:tcW w:w="1753" w:type="dxa"/>
            <w:vMerge w:val="continue"/>
            <w:vAlign w:val="center"/>
          </w:tcPr>
          <w:p>
            <w:pPr>
              <w:pStyle w:val="40"/>
              <w:spacing w:before="0" w:after="0"/>
              <w:jc w:val="center"/>
              <w:rPr>
                <w:rFonts w:ascii="宋体"/>
                <w:b/>
                <w:lang w:eastAsia="zh-CN"/>
              </w:rPr>
            </w:pPr>
          </w:p>
        </w:tc>
        <w:tc>
          <w:tcPr>
            <w:tcW w:w="7818" w:type="dxa"/>
            <w:gridSpan w:val="7"/>
            <w:vAlign w:val="center"/>
          </w:tcPr>
          <w:p>
            <w:pPr>
              <w:rPr>
                <w:rFonts w:ascii="宋体"/>
                <w:bCs/>
                <w:lang w:eastAsia="zh-CN"/>
              </w:rPr>
            </w:pPr>
          </w:p>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意向方须于公告期内（截止日17时之前）在广州产权交易所官网（www.gemas.com.cn）点击“注册用户”完成网上报名流程。</w:t>
            </w:r>
          </w:p>
          <w:p>
            <w:pPr>
              <w:rPr>
                <w:rFonts w:ascii="宋体"/>
                <w:bCs/>
                <w:lang w:eastAsia="zh-CN"/>
              </w:rPr>
            </w:pPr>
            <w:r>
              <w:rPr>
                <w:rFonts w:hint="eastAsia" w:ascii="宋体"/>
                <w:bCs/>
                <w:lang w:eastAsia="zh-CN"/>
              </w:rPr>
              <w:t>2. 意向承租方必须为中华人民共和国境内注册成立、合法存续的法人。</w:t>
            </w:r>
          </w:p>
          <w:p>
            <w:pPr>
              <w:rPr>
                <w:rFonts w:hint="eastAsia" w:ascii="宋体"/>
                <w:bCs/>
                <w:lang w:eastAsia="zh-CN"/>
              </w:rPr>
            </w:pPr>
            <w:r>
              <w:rPr>
                <w:rFonts w:hint="eastAsia" w:ascii="宋体"/>
                <w:bCs/>
                <w:lang w:eastAsia="zh-CN"/>
              </w:rPr>
              <w:t>3.意向承租方的经营范围必须包括：商务服务业（以营业执照</w:t>
            </w:r>
            <w:r>
              <w:rPr>
                <w:rFonts w:ascii="宋体"/>
                <w:bCs/>
                <w:lang w:eastAsia="zh-CN"/>
              </w:rPr>
              <w:t>为准</w:t>
            </w:r>
            <w:r>
              <w:rPr>
                <w:rFonts w:hint="eastAsia" w:ascii="宋体"/>
                <w:bCs/>
                <w:lang w:eastAsia="zh-CN"/>
              </w:rPr>
              <w:t>；</w:t>
            </w:r>
            <w:r>
              <w:rPr>
                <w:rFonts w:ascii="宋体"/>
                <w:bCs/>
                <w:lang w:eastAsia="zh-CN"/>
              </w:rPr>
              <w:t>如营业执照未注明，须提供</w:t>
            </w:r>
            <w:r>
              <w:rPr>
                <w:rFonts w:hint="eastAsia" w:ascii="宋体"/>
                <w:bCs/>
                <w:lang w:eastAsia="zh-CN"/>
              </w:rPr>
              <w:t>国企</w:t>
            </w:r>
            <w:r>
              <w:rPr>
                <w:rFonts w:ascii="宋体"/>
                <w:bCs/>
                <w:lang w:eastAsia="zh-CN"/>
              </w:rPr>
              <w:t>企业信用信息公示系统查询打印件</w:t>
            </w:r>
            <w:r>
              <w:rPr>
                <w:rFonts w:hint="eastAsia" w:asci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715" w:type="dxa"/>
            <w:gridSpan w:val="3"/>
            <w:vAlign w:val="center"/>
          </w:tcPr>
          <w:p>
            <w:pPr>
              <w:rPr>
                <w:rFonts w:ascii="宋体"/>
                <w:lang w:eastAsia="zh-CN"/>
              </w:rPr>
            </w:pPr>
            <w:r>
              <w:rPr>
                <w:rFonts w:hint="eastAsia" w:ascii="宋体" w:hAnsi="宋体"/>
              </w:rPr>
              <w:t>□</w:t>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4"/>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715" w:type="dxa"/>
            <w:gridSpan w:val="3"/>
            <w:vAlign w:val="center"/>
          </w:tcPr>
          <w:p>
            <w:pPr>
              <w:rPr>
                <w:rFonts w:ascii="宋体"/>
                <w:lang w:eastAsia="zh-CN"/>
              </w:rPr>
            </w:pP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rPr>
              <w:t>□</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7818" w:type="dxa"/>
            <w:gridSpan w:val="7"/>
            <w:vAlign w:val="center"/>
          </w:tcPr>
          <w:p>
            <w:pPr>
              <w:ind w:firstLine="480" w:firstLineChars="200"/>
            </w:pPr>
            <w:r>
              <w:rPr>
                <w:rFonts w:hint="eastAsia"/>
                <w:lang w:eastAsia="zh-CN"/>
              </w:rPr>
              <w:t>意向方办理承租意向报名手续时，应于公告期内（截止日17时之前）在广州产权交易所官方网站线上报名登记。根据项目公告要求，意向方须上传下列相关资料，并对其真实性、完整性、有效性，承担相应的法律责任。（以下资料如无特殊说明的，均应上传原件扫描件或照片至报名系统。如被确认为承租方，须于签订《成交确认书》时将所上传文件的原件或加盖公章（自然人应签名确认）的复印件提交广州产权交易所，否则，视为其违约，须承担缔约过失责任，其交纳的保证金不予退回，作为违约金归广州产权交易所和出租方所有。</w:t>
            </w:r>
            <w:r>
              <w:rPr>
                <w:rFonts w:hint="eastAsia"/>
              </w:rPr>
              <w:t>）</w:t>
            </w:r>
          </w:p>
          <w:p>
            <w:pPr>
              <w:rPr>
                <w:rFonts w:ascii="宋体"/>
                <w:bCs/>
                <w:lang w:eastAsia="zh-CN"/>
              </w:rPr>
            </w:pPr>
          </w:p>
          <w:p>
            <w:pPr>
              <w:rPr>
                <w:rFonts w:ascii="宋体"/>
                <w:bCs/>
                <w:lang w:eastAsia="zh-CN"/>
              </w:rPr>
            </w:pPr>
            <w:r>
              <w:rPr>
                <w:rFonts w:hint="eastAsia" w:ascii="宋体"/>
                <w:bCs/>
                <w:lang w:eastAsia="zh-CN"/>
              </w:rPr>
              <w:t>法人应提交：</w:t>
            </w:r>
          </w:p>
          <w:p>
            <w:pPr>
              <w:rPr>
                <w:rFonts w:ascii="宋体"/>
                <w:bCs/>
                <w:lang w:eastAsia="zh-CN"/>
              </w:rPr>
            </w:pPr>
            <w:r>
              <w:rPr>
                <w:rFonts w:hint="eastAsia" w:ascii="宋体"/>
                <w:bCs/>
                <w:lang w:eastAsia="zh-CN"/>
              </w:rPr>
              <w:t>（1）法人资格证明、法定代表人身份证、法定代表人身份证明书；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1753" w:type="dxa"/>
            <w:vAlign w:val="center"/>
          </w:tcPr>
          <w:p>
            <w:pPr>
              <w:pStyle w:val="40"/>
              <w:spacing w:before="0" w:after="0"/>
              <w:jc w:val="center"/>
              <w:rPr>
                <w:rFonts w:ascii="宋体"/>
                <w:b w:val="0"/>
                <w:lang w:eastAsia="zh-CN"/>
              </w:rPr>
            </w:pPr>
            <w:r>
              <w:rPr>
                <w:rFonts w:hint="eastAsia" w:ascii="宋体"/>
                <w:b w:val="0"/>
                <w:lang w:eastAsia="zh-CN"/>
              </w:rPr>
              <w:t>*承诺书</w:t>
            </w:r>
          </w:p>
        </w:tc>
        <w:tc>
          <w:tcPr>
            <w:tcW w:w="7818" w:type="dxa"/>
            <w:gridSpan w:val="7"/>
            <w:vAlign w:val="center"/>
          </w:tcPr>
          <w:p>
            <w:pPr>
              <w:ind w:firstLine="0" w:firstLineChars="0"/>
              <w:rPr>
                <w:rFonts w:hint="eastAsia" w:ascii="宋体"/>
                <w:bCs/>
                <w:lang w:eastAsia="zh-CN"/>
              </w:rPr>
            </w:pPr>
            <w:r>
              <w:rPr>
                <w:rFonts w:hint="eastAsia" w:ascii="宋体"/>
                <w:bCs/>
                <w:lang w:eastAsia="zh-CN"/>
              </w:rPr>
              <w:t>我方如被确认为承租方，同意按照出租方提交的《</w:t>
            </w:r>
            <w:r>
              <w:rPr>
                <w:rFonts w:hint="eastAsia" w:ascii="宋体"/>
                <w:bCs/>
                <w:u w:val="single"/>
                <w:lang w:eastAsia="zh-CN"/>
              </w:rPr>
              <w:t>仓库</w:t>
            </w:r>
            <w:r>
              <w:rPr>
                <w:rFonts w:hint="eastAsia" w:ascii="宋体"/>
                <w:bCs/>
                <w:lang w:eastAsia="zh-CN"/>
              </w:rPr>
              <w:t>租赁合同》版本签署合同。</w:t>
            </w:r>
          </w:p>
        </w:tc>
      </w:tr>
    </w:tbl>
    <w:p>
      <w:pPr>
        <w:rPr>
          <w:lang w:eastAsia="zh-CN"/>
        </w:rPr>
      </w:pPr>
    </w:p>
    <w:sectPr>
      <w:headerReference r:id="rId5" w:type="default"/>
      <w:footerReference r:id="rId6" w:type="default"/>
      <w:pgSz w:w="11906" w:h="16838"/>
      <w:pgMar w:top="1276" w:right="1797" w:bottom="567" w:left="179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3-28T10:22:00Z" w:initials="Z">
    <w:p w14:paraId="1F3626E3">
      <w:pPr>
        <w:pStyle w:val="11"/>
        <w:rPr>
          <w:lang w:eastAsia="zh-CN"/>
        </w:rPr>
      </w:pPr>
      <w:r>
        <w:rPr>
          <w:rFonts w:hint="eastAsia"/>
          <w:lang w:eastAsia="zh-CN"/>
        </w:rPr>
        <w:t>如</w:t>
      </w:r>
      <w:r>
        <w:rPr>
          <w:lang w:eastAsia="zh-CN"/>
        </w:rPr>
        <w:t>涉及优先权，须填写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3626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9</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04462"/>
    <w:multiLevelType w:val="singleLevel"/>
    <w:tmpl w:val="3B704462"/>
    <w:lvl w:ilvl="0" w:tentative="0">
      <w:start w:val="4"/>
      <w:numFmt w:val="decimal"/>
      <w:lvlText w:val="%1."/>
      <w:lvlJc w:val="left"/>
      <w:pPr>
        <w:tabs>
          <w:tab w:val="left" w:pos="312"/>
        </w:tabs>
      </w:pPr>
    </w:lvl>
  </w:abstractNum>
  <w:abstractNum w:abstractNumId="1">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EB6"/>
    <w:rsid w:val="00010E7A"/>
    <w:rsid w:val="00012651"/>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60EAA"/>
    <w:rsid w:val="0006238B"/>
    <w:rsid w:val="00067294"/>
    <w:rsid w:val="00070326"/>
    <w:rsid w:val="00070D70"/>
    <w:rsid w:val="0007123F"/>
    <w:rsid w:val="000713FB"/>
    <w:rsid w:val="000722CA"/>
    <w:rsid w:val="000739B4"/>
    <w:rsid w:val="00075161"/>
    <w:rsid w:val="00076B78"/>
    <w:rsid w:val="00076D39"/>
    <w:rsid w:val="0007711C"/>
    <w:rsid w:val="000772C9"/>
    <w:rsid w:val="000811A9"/>
    <w:rsid w:val="00085392"/>
    <w:rsid w:val="00086719"/>
    <w:rsid w:val="00090014"/>
    <w:rsid w:val="00091B95"/>
    <w:rsid w:val="000940BC"/>
    <w:rsid w:val="000A156D"/>
    <w:rsid w:val="000A1C46"/>
    <w:rsid w:val="000A2B7E"/>
    <w:rsid w:val="000A41AE"/>
    <w:rsid w:val="000A7882"/>
    <w:rsid w:val="000A7AB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2EEF"/>
    <w:rsid w:val="000D363B"/>
    <w:rsid w:val="000D44C2"/>
    <w:rsid w:val="000D5BD2"/>
    <w:rsid w:val="000E1E2D"/>
    <w:rsid w:val="000E2883"/>
    <w:rsid w:val="000E3209"/>
    <w:rsid w:val="000E43F6"/>
    <w:rsid w:val="000E5420"/>
    <w:rsid w:val="000E668A"/>
    <w:rsid w:val="000E73DC"/>
    <w:rsid w:val="000F0239"/>
    <w:rsid w:val="000F17BD"/>
    <w:rsid w:val="000F1C0D"/>
    <w:rsid w:val="000F5B86"/>
    <w:rsid w:val="000F616C"/>
    <w:rsid w:val="000F6FB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2B6F"/>
    <w:rsid w:val="00173D58"/>
    <w:rsid w:val="001753E7"/>
    <w:rsid w:val="00175CFB"/>
    <w:rsid w:val="00176C40"/>
    <w:rsid w:val="00177661"/>
    <w:rsid w:val="00180C5E"/>
    <w:rsid w:val="001813F0"/>
    <w:rsid w:val="00181A22"/>
    <w:rsid w:val="001871CC"/>
    <w:rsid w:val="00190C25"/>
    <w:rsid w:val="00190E02"/>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6307"/>
    <w:rsid w:val="001F49FC"/>
    <w:rsid w:val="001F7C88"/>
    <w:rsid w:val="00200A56"/>
    <w:rsid w:val="002010EE"/>
    <w:rsid w:val="002038C2"/>
    <w:rsid w:val="00203D4C"/>
    <w:rsid w:val="00205CD6"/>
    <w:rsid w:val="0020635B"/>
    <w:rsid w:val="002070BB"/>
    <w:rsid w:val="00207ADB"/>
    <w:rsid w:val="00210348"/>
    <w:rsid w:val="0021078D"/>
    <w:rsid w:val="00211E25"/>
    <w:rsid w:val="002124A8"/>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4B26"/>
    <w:rsid w:val="002752A9"/>
    <w:rsid w:val="00276A64"/>
    <w:rsid w:val="0027721D"/>
    <w:rsid w:val="00280DC8"/>
    <w:rsid w:val="002813F7"/>
    <w:rsid w:val="00282519"/>
    <w:rsid w:val="00283469"/>
    <w:rsid w:val="002840A3"/>
    <w:rsid w:val="002849F7"/>
    <w:rsid w:val="00285E00"/>
    <w:rsid w:val="00285F7F"/>
    <w:rsid w:val="00290942"/>
    <w:rsid w:val="00291490"/>
    <w:rsid w:val="00291E47"/>
    <w:rsid w:val="00292530"/>
    <w:rsid w:val="00293E7D"/>
    <w:rsid w:val="00293FB9"/>
    <w:rsid w:val="00294079"/>
    <w:rsid w:val="0029489B"/>
    <w:rsid w:val="00294B09"/>
    <w:rsid w:val="002A0C63"/>
    <w:rsid w:val="002A183E"/>
    <w:rsid w:val="002A234A"/>
    <w:rsid w:val="002A45E3"/>
    <w:rsid w:val="002A5DF5"/>
    <w:rsid w:val="002B5B7B"/>
    <w:rsid w:val="002B5BC8"/>
    <w:rsid w:val="002B65A9"/>
    <w:rsid w:val="002B7830"/>
    <w:rsid w:val="002B78F7"/>
    <w:rsid w:val="002B7D9F"/>
    <w:rsid w:val="002C1703"/>
    <w:rsid w:val="002C2DC1"/>
    <w:rsid w:val="002C32B4"/>
    <w:rsid w:val="002C4863"/>
    <w:rsid w:val="002C56B0"/>
    <w:rsid w:val="002C7054"/>
    <w:rsid w:val="002D3F86"/>
    <w:rsid w:val="002D4904"/>
    <w:rsid w:val="002D4B94"/>
    <w:rsid w:val="002D6D5D"/>
    <w:rsid w:val="002E015E"/>
    <w:rsid w:val="002E04FA"/>
    <w:rsid w:val="002E0991"/>
    <w:rsid w:val="002E1C6B"/>
    <w:rsid w:val="002E277F"/>
    <w:rsid w:val="002E3F4C"/>
    <w:rsid w:val="002E42DD"/>
    <w:rsid w:val="002E5D0D"/>
    <w:rsid w:val="002E65A5"/>
    <w:rsid w:val="002E7767"/>
    <w:rsid w:val="002E7E1D"/>
    <w:rsid w:val="002F104C"/>
    <w:rsid w:val="002F1B3E"/>
    <w:rsid w:val="002F4414"/>
    <w:rsid w:val="002F4B16"/>
    <w:rsid w:val="002F6621"/>
    <w:rsid w:val="0030045A"/>
    <w:rsid w:val="00300CF9"/>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290A"/>
    <w:rsid w:val="003432F1"/>
    <w:rsid w:val="00343A97"/>
    <w:rsid w:val="00343E57"/>
    <w:rsid w:val="003446EA"/>
    <w:rsid w:val="00345112"/>
    <w:rsid w:val="00345615"/>
    <w:rsid w:val="00345BE1"/>
    <w:rsid w:val="003507BB"/>
    <w:rsid w:val="0035252A"/>
    <w:rsid w:val="003528AC"/>
    <w:rsid w:val="00353505"/>
    <w:rsid w:val="00353EC3"/>
    <w:rsid w:val="00354BB6"/>
    <w:rsid w:val="00355A60"/>
    <w:rsid w:val="00356E29"/>
    <w:rsid w:val="00357345"/>
    <w:rsid w:val="00360977"/>
    <w:rsid w:val="0036097A"/>
    <w:rsid w:val="00361037"/>
    <w:rsid w:val="003628A5"/>
    <w:rsid w:val="00366D22"/>
    <w:rsid w:val="003673BF"/>
    <w:rsid w:val="003713DF"/>
    <w:rsid w:val="003714AC"/>
    <w:rsid w:val="00372AFE"/>
    <w:rsid w:val="00372C6F"/>
    <w:rsid w:val="00372F63"/>
    <w:rsid w:val="003732A9"/>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A020E"/>
    <w:rsid w:val="003A1697"/>
    <w:rsid w:val="003A3AB0"/>
    <w:rsid w:val="003A4E36"/>
    <w:rsid w:val="003A5887"/>
    <w:rsid w:val="003A5A88"/>
    <w:rsid w:val="003A6A9D"/>
    <w:rsid w:val="003B36B7"/>
    <w:rsid w:val="003B3AE8"/>
    <w:rsid w:val="003C22D2"/>
    <w:rsid w:val="003C30E1"/>
    <w:rsid w:val="003C31CF"/>
    <w:rsid w:val="003C3578"/>
    <w:rsid w:val="003C4744"/>
    <w:rsid w:val="003C780C"/>
    <w:rsid w:val="003D134C"/>
    <w:rsid w:val="003D197E"/>
    <w:rsid w:val="003D254C"/>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7069"/>
    <w:rsid w:val="004179A0"/>
    <w:rsid w:val="00420621"/>
    <w:rsid w:val="0042179A"/>
    <w:rsid w:val="00421BC1"/>
    <w:rsid w:val="0042349F"/>
    <w:rsid w:val="004241D8"/>
    <w:rsid w:val="00424978"/>
    <w:rsid w:val="00424BFA"/>
    <w:rsid w:val="004307CC"/>
    <w:rsid w:val="00430E04"/>
    <w:rsid w:val="004320E6"/>
    <w:rsid w:val="00432E7C"/>
    <w:rsid w:val="00435A22"/>
    <w:rsid w:val="00437FEE"/>
    <w:rsid w:val="00441B29"/>
    <w:rsid w:val="00442A56"/>
    <w:rsid w:val="00442BC6"/>
    <w:rsid w:val="00443BB0"/>
    <w:rsid w:val="00445A26"/>
    <w:rsid w:val="00445B6B"/>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3CCC"/>
    <w:rsid w:val="00484894"/>
    <w:rsid w:val="00485620"/>
    <w:rsid w:val="00485A32"/>
    <w:rsid w:val="004862AB"/>
    <w:rsid w:val="004873CA"/>
    <w:rsid w:val="00490EF3"/>
    <w:rsid w:val="00493DE2"/>
    <w:rsid w:val="00495362"/>
    <w:rsid w:val="0049661A"/>
    <w:rsid w:val="004A083A"/>
    <w:rsid w:val="004A0FA2"/>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2EC3"/>
    <w:rsid w:val="004E4DEF"/>
    <w:rsid w:val="004E5B8F"/>
    <w:rsid w:val="004E795D"/>
    <w:rsid w:val="004F0548"/>
    <w:rsid w:val="004F0EFC"/>
    <w:rsid w:val="004F20C8"/>
    <w:rsid w:val="004F42B3"/>
    <w:rsid w:val="004F4B50"/>
    <w:rsid w:val="004F51B3"/>
    <w:rsid w:val="00500551"/>
    <w:rsid w:val="00500D80"/>
    <w:rsid w:val="00501D1D"/>
    <w:rsid w:val="00503110"/>
    <w:rsid w:val="00504BDC"/>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306"/>
    <w:rsid w:val="005C3F35"/>
    <w:rsid w:val="005C484A"/>
    <w:rsid w:val="005C4DD8"/>
    <w:rsid w:val="005C6B22"/>
    <w:rsid w:val="005C7FAA"/>
    <w:rsid w:val="005D027B"/>
    <w:rsid w:val="005D12D4"/>
    <w:rsid w:val="005D1BB0"/>
    <w:rsid w:val="005D3091"/>
    <w:rsid w:val="005D3C4F"/>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4BB"/>
    <w:rsid w:val="006137BB"/>
    <w:rsid w:val="00613E39"/>
    <w:rsid w:val="006201E6"/>
    <w:rsid w:val="0062168C"/>
    <w:rsid w:val="0062306B"/>
    <w:rsid w:val="00623E0C"/>
    <w:rsid w:val="006305C7"/>
    <w:rsid w:val="0063271A"/>
    <w:rsid w:val="0063483D"/>
    <w:rsid w:val="00636138"/>
    <w:rsid w:val="00636AD1"/>
    <w:rsid w:val="006378C4"/>
    <w:rsid w:val="00641EE4"/>
    <w:rsid w:val="0064223C"/>
    <w:rsid w:val="006423A7"/>
    <w:rsid w:val="0064297E"/>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67D8E"/>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D72"/>
    <w:rsid w:val="006A670F"/>
    <w:rsid w:val="006A67FE"/>
    <w:rsid w:val="006A6CC2"/>
    <w:rsid w:val="006B0021"/>
    <w:rsid w:val="006B0282"/>
    <w:rsid w:val="006B18E9"/>
    <w:rsid w:val="006B1C7C"/>
    <w:rsid w:val="006B3C6E"/>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65A6"/>
    <w:rsid w:val="00720068"/>
    <w:rsid w:val="0072297F"/>
    <w:rsid w:val="007268AF"/>
    <w:rsid w:val="00727792"/>
    <w:rsid w:val="0073456D"/>
    <w:rsid w:val="00735974"/>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5419"/>
    <w:rsid w:val="0078742E"/>
    <w:rsid w:val="0079018E"/>
    <w:rsid w:val="0079120C"/>
    <w:rsid w:val="007919CA"/>
    <w:rsid w:val="00791AD6"/>
    <w:rsid w:val="007922D7"/>
    <w:rsid w:val="007924EC"/>
    <w:rsid w:val="00796058"/>
    <w:rsid w:val="007977AE"/>
    <w:rsid w:val="007A04D8"/>
    <w:rsid w:val="007A088E"/>
    <w:rsid w:val="007A1313"/>
    <w:rsid w:val="007A1850"/>
    <w:rsid w:val="007A4EF2"/>
    <w:rsid w:val="007A661D"/>
    <w:rsid w:val="007A7882"/>
    <w:rsid w:val="007B06FC"/>
    <w:rsid w:val="007B16D4"/>
    <w:rsid w:val="007B24F0"/>
    <w:rsid w:val="007B2F59"/>
    <w:rsid w:val="007B31F5"/>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1516"/>
    <w:rsid w:val="007E1E55"/>
    <w:rsid w:val="007E21EA"/>
    <w:rsid w:val="007E3F28"/>
    <w:rsid w:val="007E482C"/>
    <w:rsid w:val="007E504C"/>
    <w:rsid w:val="007E54EF"/>
    <w:rsid w:val="007E5A1D"/>
    <w:rsid w:val="007E6689"/>
    <w:rsid w:val="007E688E"/>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19C4"/>
    <w:rsid w:val="00815170"/>
    <w:rsid w:val="00815F58"/>
    <w:rsid w:val="00816750"/>
    <w:rsid w:val="00816E16"/>
    <w:rsid w:val="00820F6A"/>
    <w:rsid w:val="008212C0"/>
    <w:rsid w:val="00823DC6"/>
    <w:rsid w:val="00827690"/>
    <w:rsid w:val="00827E10"/>
    <w:rsid w:val="00830583"/>
    <w:rsid w:val="008314F0"/>
    <w:rsid w:val="008349E5"/>
    <w:rsid w:val="008414E1"/>
    <w:rsid w:val="00841A3F"/>
    <w:rsid w:val="00842513"/>
    <w:rsid w:val="00843D0E"/>
    <w:rsid w:val="00844564"/>
    <w:rsid w:val="00844CE6"/>
    <w:rsid w:val="00844F1E"/>
    <w:rsid w:val="00845877"/>
    <w:rsid w:val="00850857"/>
    <w:rsid w:val="008522E2"/>
    <w:rsid w:val="00852E28"/>
    <w:rsid w:val="00854C11"/>
    <w:rsid w:val="008550E2"/>
    <w:rsid w:val="00855A06"/>
    <w:rsid w:val="00857AD7"/>
    <w:rsid w:val="00860CB7"/>
    <w:rsid w:val="00860F7B"/>
    <w:rsid w:val="00862D2F"/>
    <w:rsid w:val="00863A2F"/>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9003B"/>
    <w:rsid w:val="0089153D"/>
    <w:rsid w:val="00891D96"/>
    <w:rsid w:val="00891FE1"/>
    <w:rsid w:val="00892178"/>
    <w:rsid w:val="008927C7"/>
    <w:rsid w:val="00895669"/>
    <w:rsid w:val="00895C0A"/>
    <w:rsid w:val="00897477"/>
    <w:rsid w:val="008A024B"/>
    <w:rsid w:val="008A1B87"/>
    <w:rsid w:val="008A2C48"/>
    <w:rsid w:val="008A5029"/>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8F70CE"/>
    <w:rsid w:val="0090153C"/>
    <w:rsid w:val="00904379"/>
    <w:rsid w:val="00905442"/>
    <w:rsid w:val="00906FB7"/>
    <w:rsid w:val="00907281"/>
    <w:rsid w:val="00907E59"/>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4045"/>
    <w:rsid w:val="00944501"/>
    <w:rsid w:val="009451E3"/>
    <w:rsid w:val="0094601C"/>
    <w:rsid w:val="00947F92"/>
    <w:rsid w:val="00950202"/>
    <w:rsid w:val="00953B35"/>
    <w:rsid w:val="009553EF"/>
    <w:rsid w:val="00956343"/>
    <w:rsid w:val="00956BBD"/>
    <w:rsid w:val="009606DA"/>
    <w:rsid w:val="009621E0"/>
    <w:rsid w:val="009635BD"/>
    <w:rsid w:val="009647DA"/>
    <w:rsid w:val="00965938"/>
    <w:rsid w:val="00967717"/>
    <w:rsid w:val="00967C7B"/>
    <w:rsid w:val="00967EED"/>
    <w:rsid w:val="00971C5D"/>
    <w:rsid w:val="0097327C"/>
    <w:rsid w:val="00974393"/>
    <w:rsid w:val="00974397"/>
    <w:rsid w:val="00983165"/>
    <w:rsid w:val="00983DC2"/>
    <w:rsid w:val="00986F10"/>
    <w:rsid w:val="00987032"/>
    <w:rsid w:val="009872B3"/>
    <w:rsid w:val="00990B42"/>
    <w:rsid w:val="009926EE"/>
    <w:rsid w:val="00992C37"/>
    <w:rsid w:val="00997BB0"/>
    <w:rsid w:val="009A06B3"/>
    <w:rsid w:val="009A1EC3"/>
    <w:rsid w:val="009A246C"/>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06B"/>
    <w:rsid w:val="009F79C7"/>
    <w:rsid w:val="009F7EB3"/>
    <w:rsid w:val="00A01658"/>
    <w:rsid w:val="00A01D49"/>
    <w:rsid w:val="00A041CC"/>
    <w:rsid w:val="00A05297"/>
    <w:rsid w:val="00A06F1B"/>
    <w:rsid w:val="00A11708"/>
    <w:rsid w:val="00A11D0F"/>
    <w:rsid w:val="00A16AC8"/>
    <w:rsid w:val="00A17B60"/>
    <w:rsid w:val="00A2132C"/>
    <w:rsid w:val="00A216FE"/>
    <w:rsid w:val="00A21C16"/>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7C3"/>
    <w:rsid w:val="00A57CDA"/>
    <w:rsid w:val="00A603FE"/>
    <w:rsid w:val="00A61747"/>
    <w:rsid w:val="00A63469"/>
    <w:rsid w:val="00A6599F"/>
    <w:rsid w:val="00A66715"/>
    <w:rsid w:val="00A70886"/>
    <w:rsid w:val="00A734FE"/>
    <w:rsid w:val="00A739AC"/>
    <w:rsid w:val="00A74069"/>
    <w:rsid w:val="00A7450C"/>
    <w:rsid w:val="00A746FE"/>
    <w:rsid w:val="00A74D85"/>
    <w:rsid w:val="00A74EA0"/>
    <w:rsid w:val="00A770E3"/>
    <w:rsid w:val="00A7767E"/>
    <w:rsid w:val="00A829A7"/>
    <w:rsid w:val="00A84A65"/>
    <w:rsid w:val="00A90E74"/>
    <w:rsid w:val="00A915EC"/>
    <w:rsid w:val="00A9334D"/>
    <w:rsid w:val="00A9504A"/>
    <w:rsid w:val="00A952B3"/>
    <w:rsid w:val="00A95FFD"/>
    <w:rsid w:val="00A96998"/>
    <w:rsid w:val="00A97279"/>
    <w:rsid w:val="00A97A11"/>
    <w:rsid w:val="00AA0A45"/>
    <w:rsid w:val="00AA54A2"/>
    <w:rsid w:val="00AA573D"/>
    <w:rsid w:val="00AB08CD"/>
    <w:rsid w:val="00AB0A66"/>
    <w:rsid w:val="00AB11FF"/>
    <w:rsid w:val="00AB222A"/>
    <w:rsid w:val="00AB3B5B"/>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42B2"/>
    <w:rsid w:val="00AD5217"/>
    <w:rsid w:val="00AD6253"/>
    <w:rsid w:val="00AD6D1D"/>
    <w:rsid w:val="00AD7161"/>
    <w:rsid w:val="00AE151E"/>
    <w:rsid w:val="00AE250B"/>
    <w:rsid w:val="00AE3C68"/>
    <w:rsid w:val="00AE4C69"/>
    <w:rsid w:val="00AE4D8F"/>
    <w:rsid w:val="00AE75F1"/>
    <w:rsid w:val="00AF0F11"/>
    <w:rsid w:val="00AF1054"/>
    <w:rsid w:val="00AF1D2D"/>
    <w:rsid w:val="00AF3C16"/>
    <w:rsid w:val="00AF6BA5"/>
    <w:rsid w:val="00AF6CEB"/>
    <w:rsid w:val="00AF7EF2"/>
    <w:rsid w:val="00B00764"/>
    <w:rsid w:val="00B0124E"/>
    <w:rsid w:val="00B02036"/>
    <w:rsid w:val="00B020F2"/>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6F52"/>
    <w:rsid w:val="00BD1705"/>
    <w:rsid w:val="00BD1FBC"/>
    <w:rsid w:val="00BE070A"/>
    <w:rsid w:val="00BE1098"/>
    <w:rsid w:val="00BE1BA9"/>
    <w:rsid w:val="00BE2B0B"/>
    <w:rsid w:val="00BE422A"/>
    <w:rsid w:val="00BE4613"/>
    <w:rsid w:val="00BE4919"/>
    <w:rsid w:val="00BE4AB3"/>
    <w:rsid w:val="00BE6689"/>
    <w:rsid w:val="00BE6F82"/>
    <w:rsid w:val="00BF0D9B"/>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2CA6"/>
    <w:rsid w:val="00C23BDE"/>
    <w:rsid w:val="00C23EA1"/>
    <w:rsid w:val="00C24F8E"/>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C11"/>
    <w:rsid w:val="00C645A0"/>
    <w:rsid w:val="00C6490D"/>
    <w:rsid w:val="00C675DB"/>
    <w:rsid w:val="00C7222C"/>
    <w:rsid w:val="00C72999"/>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61B5"/>
    <w:rsid w:val="00C97FB8"/>
    <w:rsid w:val="00CA04DC"/>
    <w:rsid w:val="00CA1459"/>
    <w:rsid w:val="00CA1B1C"/>
    <w:rsid w:val="00CA28FC"/>
    <w:rsid w:val="00CA3437"/>
    <w:rsid w:val="00CA4315"/>
    <w:rsid w:val="00CA4D3C"/>
    <w:rsid w:val="00CA5A2F"/>
    <w:rsid w:val="00CB054A"/>
    <w:rsid w:val="00CB07AB"/>
    <w:rsid w:val="00CB141D"/>
    <w:rsid w:val="00CB2A9C"/>
    <w:rsid w:val="00CB48C2"/>
    <w:rsid w:val="00CB7876"/>
    <w:rsid w:val="00CB7EBC"/>
    <w:rsid w:val="00CC083C"/>
    <w:rsid w:val="00CC0E42"/>
    <w:rsid w:val="00CC1351"/>
    <w:rsid w:val="00CC2D62"/>
    <w:rsid w:val="00CC3834"/>
    <w:rsid w:val="00CC3F5C"/>
    <w:rsid w:val="00CC50CF"/>
    <w:rsid w:val="00CC537C"/>
    <w:rsid w:val="00CC57DA"/>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7D53"/>
    <w:rsid w:val="00D71A7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D6673"/>
    <w:rsid w:val="00DE20C1"/>
    <w:rsid w:val="00DE4EAA"/>
    <w:rsid w:val="00DF35CA"/>
    <w:rsid w:val="00DF396A"/>
    <w:rsid w:val="00DF5EB2"/>
    <w:rsid w:val="00E0133C"/>
    <w:rsid w:val="00E025B4"/>
    <w:rsid w:val="00E031BF"/>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499B"/>
    <w:rsid w:val="00E64B40"/>
    <w:rsid w:val="00E65FF7"/>
    <w:rsid w:val="00E67F1B"/>
    <w:rsid w:val="00E758E6"/>
    <w:rsid w:val="00E76074"/>
    <w:rsid w:val="00E76ACF"/>
    <w:rsid w:val="00E76F1C"/>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97B26"/>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5C2E"/>
    <w:rsid w:val="00EC61C0"/>
    <w:rsid w:val="00EC670D"/>
    <w:rsid w:val="00EC6FBC"/>
    <w:rsid w:val="00EC76EC"/>
    <w:rsid w:val="00ED04FD"/>
    <w:rsid w:val="00ED28A8"/>
    <w:rsid w:val="00ED753D"/>
    <w:rsid w:val="00EE0117"/>
    <w:rsid w:val="00EE0664"/>
    <w:rsid w:val="00EE10CF"/>
    <w:rsid w:val="00EE10D6"/>
    <w:rsid w:val="00EE169E"/>
    <w:rsid w:val="00EE3558"/>
    <w:rsid w:val="00EE3781"/>
    <w:rsid w:val="00EE7126"/>
    <w:rsid w:val="00EE78AF"/>
    <w:rsid w:val="00EF3437"/>
    <w:rsid w:val="00EF4C57"/>
    <w:rsid w:val="00EF5A2A"/>
    <w:rsid w:val="00EF67D5"/>
    <w:rsid w:val="00EF6A29"/>
    <w:rsid w:val="00EF6C7F"/>
    <w:rsid w:val="00F02468"/>
    <w:rsid w:val="00F02A85"/>
    <w:rsid w:val="00F07309"/>
    <w:rsid w:val="00F07AF2"/>
    <w:rsid w:val="00F10578"/>
    <w:rsid w:val="00F10D4D"/>
    <w:rsid w:val="00F115B7"/>
    <w:rsid w:val="00F13D6A"/>
    <w:rsid w:val="00F16EAF"/>
    <w:rsid w:val="00F2085B"/>
    <w:rsid w:val="00F26261"/>
    <w:rsid w:val="00F31B1E"/>
    <w:rsid w:val="00F32598"/>
    <w:rsid w:val="00F327BB"/>
    <w:rsid w:val="00F330CE"/>
    <w:rsid w:val="00F332EC"/>
    <w:rsid w:val="00F36F5E"/>
    <w:rsid w:val="00F36FD9"/>
    <w:rsid w:val="00F454C6"/>
    <w:rsid w:val="00F45D51"/>
    <w:rsid w:val="00F479EC"/>
    <w:rsid w:val="00F511C2"/>
    <w:rsid w:val="00F529DB"/>
    <w:rsid w:val="00F54840"/>
    <w:rsid w:val="00F5538F"/>
    <w:rsid w:val="00F55505"/>
    <w:rsid w:val="00F56040"/>
    <w:rsid w:val="00F56C2E"/>
    <w:rsid w:val="00F57FC8"/>
    <w:rsid w:val="00F60750"/>
    <w:rsid w:val="00F6135D"/>
    <w:rsid w:val="00F62B33"/>
    <w:rsid w:val="00F62F7B"/>
    <w:rsid w:val="00F64A8E"/>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4DB"/>
    <w:rsid w:val="00FA231B"/>
    <w:rsid w:val="00FA4EAF"/>
    <w:rsid w:val="00FA6356"/>
    <w:rsid w:val="00FB0BFE"/>
    <w:rsid w:val="00FB4BC8"/>
    <w:rsid w:val="00FB4BFD"/>
    <w:rsid w:val="00FB57F0"/>
    <w:rsid w:val="00FB60F3"/>
    <w:rsid w:val="00FB6FA8"/>
    <w:rsid w:val="00FC2996"/>
    <w:rsid w:val="00FC3BA2"/>
    <w:rsid w:val="00FC3F44"/>
    <w:rsid w:val="00FC5EDF"/>
    <w:rsid w:val="00FC699E"/>
    <w:rsid w:val="00FC7507"/>
    <w:rsid w:val="00FC78D1"/>
    <w:rsid w:val="00FD1F9E"/>
    <w:rsid w:val="00FD2BFD"/>
    <w:rsid w:val="00FD3739"/>
    <w:rsid w:val="00FD40EA"/>
    <w:rsid w:val="00FD44AD"/>
    <w:rsid w:val="00FD4949"/>
    <w:rsid w:val="00FD49FD"/>
    <w:rsid w:val="00FD5292"/>
    <w:rsid w:val="00FD5D89"/>
    <w:rsid w:val="00FD6B72"/>
    <w:rsid w:val="00FE0C32"/>
    <w:rsid w:val="00FE12E1"/>
    <w:rsid w:val="00FE71FE"/>
    <w:rsid w:val="00FF016B"/>
    <w:rsid w:val="00FF2D7B"/>
    <w:rsid w:val="00FF411C"/>
    <w:rsid w:val="00FF47EA"/>
    <w:rsid w:val="00FF7703"/>
    <w:rsid w:val="050C7DE7"/>
    <w:rsid w:val="06AC6325"/>
    <w:rsid w:val="0FE02DCF"/>
    <w:rsid w:val="18BF3E5D"/>
    <w:rsid w:val="1DD94998"/>
    <w:rsid w:val="23651F61"/>
    <w:rsid w:val="23CE34B9"/>
    <w:rsid w:val="269567FF"/>
    <w:rsid w:val="28A74487"/>
    <w:rsid w:val="2BB13A5F"/>
    <w:rsid w:val="2EE73F72"/>
    <w:rsid w:val="404D21F2"/>
    <w:rsid w:val="414516F0"/>
    <w:rsid w:val="4A966F73"/>
    <w:rsid w:val="4DA23375"/>
    <w:rsid w:val="4E4801E1"/>
    <w:rsid w:val="59814722"/>
    <w:rsid w:val="59BE19CA"/>
    <w:rsid w:val="5A29043E"/>
    <w:rsid w:val="5DB61598"/>
    <w:rsid w:val="5F7B3E7A"/>
    <w:rsid w:val="607A3ABE"/>
    <w:rsid w:val="61321CA0"/>
    <w:rsid w:val="63DA3138"/>
    <w:rsid w:val="6672643A"/>
    <w:rsid w:val="69693FAE"/>
    <w:rsid w:val="69AE7FA2"/>
    <w:rsid w:val="6C6B3D4F"/>
    <w:rsid w:val="6E22398A"/>
    <w:rsid w:val="72F17E4D"/>
    <w:rsid w:val="74272A3B"/>
    <w:rsid w:val="74604635"/>
    <w:rsid w:val="74BF6667"/>
    <w:rsid w:val="74DC63F4"/>
    <w:rsid w:val="76D61D41"/>
    <w:rsid w:val="78A25159"/>
    <w:rsid w:val="78BE375A"/>
    <w:rsid w:val="7DFA4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21">
    <w:name w:val="Default Paragraph Font"/>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43"/>
    <w:semiHidden/>
    <w:qFormat/>
    <w:uiPriority w:val="99"/>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36"/>
    <w:semiHidden/>
    <w:qFormat/>
    <w:uiPriority w:val="99"/>
    <w:rPr>
      <w:sz w:val="18"/>
      <w:szCs w:val="18"/>
    </w:rPr>
  </w:style>
  <w:style w:type="paragraph" w:styleId="14">
    <w:name w:val="footer"/>
    <w:basedOn w:val="1"/>
    <w:link w:val="37"/>
    <w:qFormat/>
    <w:uiPriority w:val="99"/>
    <w:pPr>
      <w:tabs>
        <w:tab w:val="center" w:pos="4153"/>
        <w:tab w:val="right" w:pos="8306"/>
      </w:tabs>
      <w:snapToGrid w:val="0"/>
    </w:pPr>
    <w:rPr>
      <w:sz w:val="18"/>
      <w:szCs w:val="18"/>
    </w:rPr>
  </w:style>
  <w:style w:type="paragraph" w:styleId="15">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8"/>
    <w:qFormat/>
    <w:uiPriority w:val="99"/>
    <w:pPr>
      <w:spacing w:after="60"/>
      <w:jc w:val="center"/>
      <w:outlineLvl w:val="1"/>
    </w:pPr>
    <w:rPr>
      <w:rFonts w:ascii="Cambria" w:hAnsi="Cambria"/>
    </w:rPr>
  </w:style>
  <w:style w:type="paragraph" w:styleId="17">
    <w:name w:val="Title"/>
    <w:basedOn w:val="1"/>
    <w:next w:val="1"/>
    <w:link w:val="47"/>
    <w:qFormat/>
    <w:uiPriority w:val="99"/>
    <w:pPr>
      <w:spacing w:before="240" w:after="60"/>
      <w:jc w:val="center"/>
      <w:outlineLvl w:val="0"/>
    </w:pPr>
    <w:rPr>
      <w:rFonts w:ascii="Cambria" w:hAnsi="Cambria"/>
      <w:b/>
      <w:bCs/>
      <w:kern w:val="28"/>
      <w:sz w:val="32"/>
      <w:szCs w:val="32"/>
    </w:rPr>
  </w:style>
  <w:style w:type="paragraph" w:styleId="18">
    <w:name w:val="annotation subject"/>
    <w:basedOn w:val="11"/>
    <w:next w:val="11"/>
    <w:link w:val="44"/>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Emphasis"/>
    <w:basedOn w:val="21"/>
    <w:qFormat/>
    <w:uiPriority w:val="99"/>
    <w:rPr>
      <w:rFonts w:ascii="Calibri" w:hAnsi="Calibri" w:cs="Times New Roman"/>
      <w:b/>
      <w:i/>
      <w:iCs/>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character" w:customStyle="1" w:styleId="27">
    <w:name w:val="标题 1 Char"/>
    <w:basedOn w:val="21"/>
    <w:link w:val="2"/>
    <w:qFormat/>
    <w:locked/>
    <w:uiPriority w:val="99"/>
    <w:rPr>
      <w:rFonts w:ascii="Cambria" w:hAnsi="Cambria" w:eastAsia="宋体" w:cs="Times New Roman"/>
      <w:b/>
      <w:bCs/>
      <w:kern w:val="32"/>
      <w:sz w:val="32"/>
      <w:szCs w:val="32"/>
    </w:rPr>
  </w:style>
  <w:style w:type="character" w:customStyle="1" w:styleId="28">
    <w:name w:val="标题 2 Char"/>
    <w:basedOn w:val="21"/>
    <w:link w:val="3"/>
    <w:semiHidden/>
    <w:qFormat/>
    <w:locked/>
    <w:uiPriority w:val="99"/>
    <w:rPr>
      <w:rFonts w:ascii="Cambria" w:hAnsi="Cambria" w:eastAsia="宋体" w:cs="Times New Roman"/>
      <w:b/>
      <w:bCs/>
      <w:i/>
      <w:iCs/>
      <w:sz w:val="28"/>
      <w:szCs w:val="28"/>
    </w:rPr>
  </w:style>
  <w:style w:type="character" w:customStyle="1" w:styleId="29">
    <w:name w:val="标题 3 Char"/>
    <w:basedOn w:val="21"/>
    <w:link w:val="4"/>
    <w:semiHidden/>
    <w:qFormat/>
    <w:locked/>
    <w:uiPriority w:val="99"/>
    <w:rPr>
      <w:rFonts w:ascii="Cambria" w:hAnsi="Cambria" w:eastAsia="宋体" w:cs="Times New Roman"/>
      <w:b/>
      <w:bCs/>
      <w:sz w:val="26"/>
      <w:szCs w:val="26"/>
    </w:rPr>
  </w:style>
  <w:style w:type="character" w:customStyle="1" w:styleId="30">
    <w:name w:val="标题 4 Char"/>
    <w:basedOn w:val="21"/>
    <w:link w:val="5"/>
    <w:qFormat/>
    <w:locked/>
    <w:uiPriority w:val="99"/>
    <w:rPr>
      <w:rFonts w:cs="Times New Roman"/>
      <w:b/>
      <w:bCs/>
      <w:sz w:val="28"/>
      <w:szCs w:val="28"/>
    </w:rPr>
  </w:style>
  <w:style w:type="character" w:customStyle="1" w:styleId="31">
    <w:name w:val="标题 5 Char"/>
    <w:basedOn w:val="21"/>
    <w:link w:val="6"/>
    <w:semiHidden/>
    <w:qFormat/>
    <w:locked/>
    <w:uiPriority w:val="99"/>
    <w:rPr>
      <w:rFonts w:cs="Times New Roman"/>
      <w:b/>
      <w:bCs/>
      <w:i/>
      <w:iCs/>
      <w:sz w:val="26"/>
      <w:szCs w:val="26"/>
    </w:rPr>
  </w:style>
  <w:style w:type="character" w:customStyle="1" w:styleId="32">
    <w:name w:val="标题 6 Char"/>
    <w:basedOn w:val="21"/>
    <w:link w:val="7"/>
    <w:semiHidden/>
    <w:qFormat/>
    <w:locked/>
    <w:uiPriority w:val="99"/>
    <w:rPr>
      <w:rFonts w:cs="Times New Roman"/>
      <w:b/>
      <w:bCs/>
    </w:rPr>
  </w:style>
  <w:style w:type="character" w:customStyle="1" w:styleId="33">
    <w:name w:val="标题 7 Char"/>
    <w:basedOn w:val="21"/>
    <w:link w:val="8"/>
    <w:semiHidden/>
    <w:qFormat/>
    <w:locked/>
    <w:uiPriority w:val="99"/>
    <w:rPr>
      <w:rFonts w:cs="Times New Roman"/>
      <w:sz w:val="24"/>
      <w:szCs w:val="24"/>
    </w:rPr>
  </w:style>
  <w:style w:type="character" w:customStyle="1" w:styleId="34">
    <w:name w:val="标题 8 Char"/>
    <w:basedOn w:val="21"/>
    <w:link w:val="9"/>
    <w:semiHidden/>
    <w:qFormat/>
    <w:locked/>
    <w:uiPriority w:val="99"/>
    <w:rPr>
      <w:rFonts w:cs="Times New Roman"/>
      <w:i/>
      <w:iCs/>
      <w:sz w:val="24"/>
      <w:szCs w:val="24"/>
    </w:rPr>
  </w:style>
  <w:style w:type="character" w:customStyle="1" w:styleId="35">
    <w:name w:val="标题 9 Char"/>
    <w:basedOn w:val="21"/>
    <w:link w:val="10"/>
    <w:semiHidden/>
    <w:qFormat/>
    <w:locked/>
    <w:uiPriority w:val="99"/>
    <w:rPr>
      <w:rFonts w:ascii="Cambria" w:hAnsi="Cambria" w:eastAsia="宋体" w:cs="Times New Roman"/>
    </w:rPr>
  </w:style>
  <w:style w:type="character" w:customStyle="1" w:styleId="36">
    <w:name w:val="批注框文本 Char"/>
    <w:basedOn w:val="21"/>
    <w:link w:val="13"/>
    <w:semiHidden/>
    <w:qFormat/>
    <w:locked/>
    <w:uiPriority w:val="99"/>
    <w:rPr>
      <w:rFonts w:cs="Times New Roman"/>
      <w:kern w:val="0"/>
      <w:sz w:val="2"/>
      <w:lang w:eastAsia="en-US"/>
    </w:rPr>
  </w:style>
  <w:style w:type="character" w:customStyle="1" w:styleId="37">
    <w:name w:val="页脚 Char"/>
    <w:basedOn w:val="21"/>
    <w:link w:val="14"/>
    <w:qFormat/>
    <w:locked/>
    <w:uiPriority w:val="99"/>
    <w:rPr>
      <w:rFonts w:cs="Times New Roman"/>
      <w:sz w:val="18"/>
      <w:szCs w:val="18"/>
      <w:lang w:eastAsia="en-US"/>
    </w:rPr>
  </w:style>
  <w:style w:type="paragraph" w:customStyle="1" w:styleId="38">
    <w:name w:val="1"/>
    <w:basedOn w:val="1"/>
    <w:next w:val="12"/>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21"/>
    <w:link w:val="12"/>
    <w:semiHidden/>
    <w:qFormat/>
    <w:locked/>
    <w:uiPriority w:val="99"/>
    <w:rPr>
      <w:rFonts w:cs="Times New Roman"/>
      <w:kern w:val="0"/>
      <w:sz w:val="24"/>
      <w:szCs w:val="24"/>
      <w:lang w:eastAsia="en-US"/>
    </w:rPr>
  </w:style>
  <w:style w:type="character" w:customStyle="1" w:styleId="42">
    <w:name w:val="页眉 Char"/>
    <w:basedOn w:val="21"/>
    <w:link w:val="15"/>
    <w:semiHidden/>
    <w:qFormat/>
    <w:locked/>
    <w:uiPriority w:val="99"/>
    <w:rPr>
      <w:rFonts w:cs="Times New Roman"/>
      <w:kern w:val="2"/>
      <w:sz w:val="18"/>
      <w:szCs w:val="18"/>
    </w:rPr>
  </w:style>
  <w:style w:type="character" w:customStyle="1" w:styleId="43">
    <w:name w:val="批注文字 Char"/>
    <w:basedOn w:val="21"/>
    <w:link w:val="11"/>
    <w:semiHidden/>
    <w:qFormat/>
    <w:locked/>
    <w:uiPriority w:val="99"/>
    <w:rPr>
      <w:rFonts w:cs="Times New Roman"/>
      <w:kern w:val="2"/>
      <w:sz w:val="21"/>
    </w:rPr>
  </w:style>
  <w:style w:type="character" w:customStyle="1" w:styleId="44">
    <w:name w:val="批注主题 Char"/>
    <w:basedOn w:val="43"/>
    <w:link w:val="18"/>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21"/>
    <w:qFormat/>
    <w:uiPriority w:val="99"/>
    <w:rPr>
      <w:rFonts w:cs="Times New Roman"/>
    </w:rPr>
  </w:style>
  <w:style w:type="character" w:customStyle="1" w:styleId="47">
    <w:name w:val="标题 Char"/>
    <w:basedOn w:val="21"/>
    <w:link w:val="17"/>
    <w:qFormat/>
    <w:locked/>
    <w:uiPriority w:val="99"/>
    <w:rPr>
      <w:rFonts w:ascii="Cambria" w:hAnsi="Cambria" w:eastAsia="宋体" w:cs="Times New Roman"/>
      <w:b/>
      <w:bCs/>
      <w:kern w:val="28"/>
      <w:sz w:val="32"/>
      <w:szCs w:val="32"/>
    </w:rPr>
  </w:style>
  <w:style w:type="character" w:customStyle="1" w:styleId="48">
    <w:name w:val="副标题 Char"/>
    <w:basedOn w:val="21"/>
    <w:link w:val="16"/>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21"/>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21"/>
    <w:link w:val="53"/>
    <w:qFormat/>
    <w:locked/>
    <w:uiPriority w:val="99"/>
    <w:rPr>
      <w:rFonts w:cs="Times New Roman"/>
      <w:b/>
      <w:i/>
      <w:sz w:val="24"/>
    </w:rPr>
  </w:style>
  <w:style w:type="character" w:customStyle="1" w:styleId="55">
    <w:name w:val="不明显强调1"/>
    <w:basedOn w:val="21"/>
    <w:qFormat/>
    <w:uiPriority w:val="99"/>
    <w:rPr>
      <w:rFonts w:cs="Times New Roman"/>
      <w:i/>
      <w:color w:val="5A5A5A"/>
    </w:rPr>
  </w:style>
  <w:style w:type="character" w:customStyle="1" w:styleId="56">
    <w:name w:val="明显强调1"/>
    <w:basedOn w:val="21"/>
    <w:qFormat/>
    <w:uiPriority w:val="99"/>
    <w:rPr>
      <w:rFonts w:cs="Times New Roman"/>
      <w:b/>
      <w:i/>
      <w:sz w:val="24"/>
      <w:szCs w:val="24"/>
      <w:u w:val="single"/>
    </w:rPr>
  </w:style>
  <w:style w:type="character" w:customStyle="1" w:styleId="57">
    <w:name w:val="不明显参考1"/>
    <w:basedOn w:val="21"/>
    <w:qFormat/>
    <w:uiPriority w:val="99"/>
    <w:rPr>
      <w:rFonts w:cs="Times New Roman"/>
      <w:sz w:val="24"/>
      <w:szCs w:val="24"/>
      <w:u w:val="single"/>
    </w:rPr>
  </w:style>
  <w:style w:type="character" w:customStyle="1" w:styleId="58">
    <w:name w:val="明显参考1"/>
    <w:basedOn w:val="21"/>
    <w:qFormat/>
    <w:uiPriority w:val="99"/>
    <w:rPr>
      <w:rFonts w:cs="Times New Roman"/>
      <w:b/>
      <w:sz w:val="24"/>
      <w:u w:val="single"/>
    </w:rPr>
  </w:style>
  <w:style w:type="character" w:customStyle="1" w:styleId="59">
    <w:name w:val="书籍标题1"/>
    <w:basedOn w:val="21"/>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21"/>
    <w:qFormat/>
    <w:uiPriority w:val="0"/>
  </w:style>
  <w:style w:type="character" w:styleId="62">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1055</Words>
  <Characters>6014</Characters>
  <Lines>50</Lines>
  <Paragraphs>14</Paragraphs>
  <TotalTime>1</TotalTime>
  <ScaleCrop>false</ScaleCrop>
  <LinksUpToDate>false</LinksUpToDate>
  <CharactersWithSpaces>7055</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覃海峰</cp:lastModifiedBy>
  <cp:lastPrinted>2018-12-17T02:09:00Z</cp:lastPrinted>
  <dcterms:modified xsi:type="dcterms:W3CDTF">2019-03-08T06:47:29Z</dcterms:modified>
  <dc:title>信息发布申请书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