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0"/>
        <w:jc w:val="center"/>
        <w:rPr>
          <w:rFonts w:ascii="方正小标宋简体" w:hAnsi="宋体" w:eastAsia="方正小标宋简体" w:cs="宋体"/>
          <w:b/>
          <w:bCs/>
          <w:color w:val="auto"/>
          <w:sz w:val="44"/>
          <w:szCs w:val="44"/>
        </w:rPr>
      </w:pPr>
      <w:r>
        <w:rPr>
          <w:rFonts w:hint="eastAsia" w:ascii="方正小标宋简体" w:hAnsi="宋体" w:eastAsia="方正小标宋简体" w:cs="宋体"/>
          <w:b/>
          <w:bCs/>
          <w:color w:val="auto"/>
          <w:sz w:val="44"/>
          <w:szCs w:val="44"/>
        </w:rPr>
        <w:t>广州南沙资产经营有限公司</w:t>
      </w:r>
      <w:r>
        <w:rPr>
          <w:rFonts w:hint="eastAsia" w:ascii="方正小标宋简体" w:eastAsia="方正小标宋简体"/>
          <w:b/>
          <w:color w:val="auto"/>
          <w:sz w:val="44"/>
          <w:szCs w:val="44"/>
        </w:rPr>
        <w:t>及广州南沙建设投资有限公司薪酬体系设计专项服务</w:t>
      </w:r>
    </w:p>
    <w:p>
      <w:pPr>
        <w:spacing w:line="360" w:lineRule="auto"/>
        <w:ind w:left="171"/>
        <w:jc w:val="center"/>
        <w:rPr>
          <w:rFonts w:ascii="宋体" w:hAnsi="宋体" w:eastAsia="等线" w:cs="宋体"/>
          <w:b/>
          <w:bCs/>
          <w:color w:val="auto"/>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color w:val="auto"/>
          <w:spacing w:val="26"/>
          <w:sz w:val="44"/>
          <w:szCs w:val="4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color w:val="auto"/>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color w:val="auto"/>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eastAsia="等线" w:cs="宋体"/>
          <w:b/>
          <w:bCs/>
          <w:color w:val="auto"/>
          <w:spacing w:val="26"/>
          <w:sz w:val="84"/>
          <w:szCs w:val="84"/>
          <w14:shadow w14:blurRad="50800" w14:dist="38100" w14:dir="2700000" w14:sx="100000" w14:sy="100000" w14:kx="0" w14:ky="0" w14:algn="tl">
            <w14:srgbClr w14:val="000000">
              <w14:alpha w14:val="60000"/>
            </w14:srgbClr>
          </w14:shadow>
        </w:rPr>
      </w:pPr>
      <w:r>
        <w:rPr>
          <w:rFonts w:hint="eastAsia" w:ascii="宋体" w:hAnsi="宋体" w:eastAsia="等线" w:cs="宋体"/>
          <w:b/>
          <w:bCs/>
          <w:color w:val="auto"/>
          <w:spacing w:val="26"/>
          <w:sz w:val="84"/>
          <w:szCs w:val="84"/>
          <w14:shadow w14:blurRad="50800" w14:dist="38100" w14:dir="2700000" w14:sx="100000" w14:sy="100000" w14:kx="0" w14:ky="0" w14:algn="tl">
            <w14:srgbClr w14:val="000000">
              <w14:alpha w14:val="60000"/>
            </w14:srgbClr>
          </w14:shadow>
        </w:rPr>
        <w:t>招标文件</w:t>
      </w:r>
    </w:p>
    <w:p>
      <w:pPr>
        <w:spacing w:line="560" w:lineRule="exact"/>
        <w:ind w:left="170"/>
        <w:jc w:val="center"/>
        <w:rPr>
          <w:rFonts w:ascii="宋体" w:hAnsi="宋体" w:eastAsia="等线" w:cs="宋体"/>
          <w:b/>
          <w:bCs/>
          <w:color w:val="auto"/>
          <w:spacing w:val="26"/>
          <w:sz w:val="44"/>
          <w:szCs w:val="44"/>
          <w14:shadow w14:blurRad="50800" w14:dist="38100" w14:dir="2700000" w14:sx="100000" w14:sy="100000" w14:kx="0" w14:ky="0" w14:algn="tl">
            <w14:srgbClr w14:val="000000">
              <w14:alpha w14:val="60000"/>
            </w14:srgbClr>
          </w14:shadow>
        </w:rPr>
      </w:pPr>
      <w:r>
        <w:rPr>
          <w:rFonts w:hint="eastAsia" w:ascii="宋体" w:hAnsi="宋体" w:eastAsia="等线" w:cs="宋体"/>
          <w:b/>
          <w:bCs/>
          <w:color w:val="auto"/>
          <w:spacing w:val="26"/>
          <w:sz w:val="44"/>
          <w:szCs w:val="44"/>
          <w14:shadow w14:blurRad="50800" w14:dist="38100" w14:dir="2700000" w14:sx="100000" w14:sy="100000" w14:kx="0" w14:ky="0" w14:algn="tl">
            <w14:srgbClr w14:val="000000">
              <w14:alpha w14:val="60000"/>
            </w14:srgbClr>
          </w14:shadow>
        </w:rPr>
        <w:t>（第二次）</w:t>
      </w:r>
    </w:p>
    <w:p>
      <w:pPr>
        <w:spacing w:line="360" w:lineRule="auto"/>
        <w:ind w:left="171"/>
        <w:jc w:val="center"/>
        <w:rPr>
          <w:rFonts w:ascii="宋体" w:hAnsi="宋体" w:eastAsia="等线" w:cs="宋体"/>
          <w:b/>
          <w:bCs/>
          <w:color w:val="auto"/>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color w:val="auto"/>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color w:val="auto"/>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color w:val="auto"/>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eastAsia="等线" w:cs="宋体"/>
          <w:b/>
          <w:bCs/>
          <w:color w:val="auto"/>
          <w:spacing w:val="26"/>
          <w:sz w:val="24"/>
          <w14:shadow w14:blurRad="50800" w14:dist="38100" w14:dir="2700000" w14:sx="100000" w14:sy="100000" w14:kx="0" w14:ky="0" w14:algn="tl">
            <w14:srgbClr w14:val="000000">
              <w14:alpha w14:val="60000"/>
            </w14:srgbClr>
          </w14:shadow>
        </w:rPr>
      </w:pPr>
    </w:p>
    <w:p>
      <w:pPr>
        <w:tabs>
          <w:tab w:val="left" w:pos="1050"/>
        </w:tabs>
        <w:spacing w:line="560" w:lineRule="exact"/>
        <w:ind w:firstLine="900" w:firstLineChars="300"/>
        <w:rPr>
          <w:rFonts w:ascii="仿宋_GB2312" w:hAnsi="仿宋_GB2312" w:eastAsia="仿宋_GB2312" w:cs="仿宋_GB2312"/>
          <w:color w:val="auto"/>
          <w:sz w:val="32"/>
          <w:szCs w:val="32"/>
        </w:rPr>
      </w:pPr>
      <w:r>
        <w:rPr>
          <w:rFonts w:hint="eastAsia" w:ascii="宋体" w:hAnsi="宋体" w:eastAsia="等线" w:cs="宋体"/>
          <w:color w:val="auto"/>
          <w:sz w:val="30"/>
          <w:szCs w:val="30"/>
        </w:rPr>
        <w:t>招  标 单 位：广州南沙资产经营有限公司</w:t>
      </w:r>
      <w:r>
        <w:rPr>
          <w:rFonts w:hint="eastAsia" w:ascii="宋体" w:hAnsi="宋体" w:eastAsia="等线" w:cs="宋体"/>
          <w:color w:val="auto"/>
          <w:sz w:val="30"/>
        </w:rPr>
        <w:t xml:space="preserve"> </w:t>
      </w:r>
    </w:p>
    <w:p>
      <w:pPr>
        <w:tabs>
          <w:tab w:val="left" w:pos="1050"/>
        </w:tabs>
        <w:spacing w:line="560" w:lineRule="exact"/>
        <w:ind w:firstLine="3000" w:firstLineChars="1000"/>
        <w:rPr>
          <w:rFonts w:ascii="宋体" w:hAnsi="宋体" w:eastAsia="等线" w:cs="宋体"/>
          <w:color w:val="auto"/>
          <w:sz w:val="30"/>
        </w:rPr>
      </w:pPr>
      <w:r>
        <w:rPr>
          <w:rFonts w:hint="eastAsia" w:ascii="宋体" w:hAnsi="宋体" w:eastAsia="等线" w:cs="宋体"/>
          <w:color w:val="auto"/>
          <w:sz w:val="30"/>
          <w:szCs w:val="30"/>
        </w:rPr>
        <w:t>广州南沙建设投资有限公司</w:t>
      </w:r>
    </w:p>
    <w:p>
      <w:pPr>
        <w:spacing w:line="360" w:lineRule="auto"/>
        <w:ind w:firstLine="1200" w:firstLineChars="400"/>
        <w:rPr>
          <w:rFonts w:ascii="宋体" w:hAnsi="宋体" w:eastAsia="等线" w:cs="宋体"/>
          <w:color w:val="auto"/>
          <w:sz w:val="30"/>
        </w:rPr>
      </w:pPr>
      <w:r>
        <w:rPr>
          <w:rFonts w:hint="eastAsia" w:ascii="宋体" w:hAnsi="宋体" w:eastAsia="等线" w:cs="宋体"/>
          <w:color w:val="auto"/>
          <w:sz w:val="30"/>
        </w:rPr>
        <w:t xml:space="preserve">日     期： </w:t>
      </w:r>
      <w:r>
        <w:rPr>
          <w:rFonts w:hint="eastAsia" w:ascii="宋体" w:hAnsi="宋体" w:eastAsia="等线" w:cs="宋体"/>
          <w:color w:val="auto"/>
          <w:sz w:val="30"/>
          <w:u w:val="single"/>
        </w:rPr>
        <w:t xml:space="preserve"> </w:t>
      </w:r>
      <w:r>
        <w:rPr>
          <w:rFonts w:ascii="宋体" w:hAnsi="宋体" w:eastAsia="等线" w:cs="宋体"/>
          <w:color w:val="auto"/>
          <w:sz w:val="30"/>
          <w:u w:val="single"/>
        </w:rPr>
        <w:t xml:space="preserve">2019 </w:t>
      </w:r>
      <w:r>
        <w:rPr>
          <w:rFonts w:hint="eastAsia" w:ascii="宋体" w:hAnsi="宋体" w:eastAsia="等线" w:cs="宋体"/>
          <w:color w:val="auto"/>
          <w:sz w:val="30"/>
        </w:rPr>
        <w:t>年</w:t>
      </w:r>
      <w:r>
        <w:rPr>
          <w:rFonts w:hint="eastAsia" w:ascii="宋体" w:hAnsi="宋体" w:eastAsia="等线" w:cs="宋体"/>
          <w:color w:val="auto"/>
          <w:sz w:val="30"/>
          <w:u w:val="single"/>
        </w:rPr>
        <w:t xml:space="preserve"> </w:t>
      </w:r>
      <w:r>
        <w:rPr>
          <w:rFonts w:ascii="宋体" w:hAnsi="宋体" w:eastAsia="等线" w:cs="宋体"/>
          <w:color w:val="auto"/>
          <w:sz w:val="30"/>
          <w:u w:val="single"/>
        </w:rPr>
        <w:t>8</w:t>
      </w:r>
      <w:r>
        <w:rPr>
          <w:rFonts w:hint="eastAsia" w:ascii="宋体" w:hAnsi="宋体" w:eastAsia="等线" w:cs="宋体"/>
          <w:color w:val="auto"/>
          <w:sz w:val="30"/>
        </w:rPr>
        <w:t>月</w:t>
      </w:r>
    </w:p>
    <w:p>
      <w:pPr>
        <w:widowControl/>
        <w:jc w:val="left"/>
        <w:rPr>
          <w:rFonts w:ascii="宋体" w:hAnsi="宋体" w:eastAsia="等线" w:cs="宋体"/>
          <w:color w:val="auto"/>
          <w:sz w:val="30"/>
        </w:rPr>
      </w:pPr>
      <w:r>
        <w:rPr>
          <w:rFonts w:ascii="宋体" w:hAnsi="宋体" w:eastAsia="等线" w:cs="宋体"/>
          <w:color w:val="auto"/>
          <w:sz w:val="30"/>
        </w:rPr>
        <w:br w:type="page"/>
      </w:r>
    </w:p>
    <w:p>
      <w:pPr>
        <w:spacing w:line="360" w:lineRule="auto"/>
        <w:ind w:firstLine="1200" w:firstLineChars="400"/>
        <w:rPr>
          <w:rFonts w:ascii="宋体" w:hAnsi="宋体" w:eastAsia="等线" w:cs="宋体"/>
          <w:color w:val="auto"/>
          <w:sz w:val="30"/>
        </w:rPr>
      </w:pPr>
    </w:p>
    <w:p>
      <w:pPr>
        <w:keepNext/>
        <w:keepLines/>
        <w:spacing w:before="120" w:after="120" w:line="360" w:lineRule="auto"/>
        <w:jc w:val="center"/>
        <w:outlineLvl w:val="0"/>
        <w:rPr>
          <w:rFonts w:ascii="Times New Roman" w:hAnsi="Times New Roman" w:eastAsia="宋体" w:cs="Times New Roman"/>
          <w:b/>
          <w:color w:val="auto"/>
          <w:kern w:val="44"/>
          <w:sz w:val="44"/>
          <w:szCs w:val="44"/>
          <w:u w:val="single"/>
          <w:lang w:val="zh-CN"/>
        </w:rPr>
      </w:pPr>
      <w:bookmarkStart w:id="0" w:name="_Toc413933282"/>
      <w:bookmarkStart w:id="1" w:name="_Toc15465173"/>
      <w:bookmarkStart w:id="2" w:name="_Toc9720"/>
      <w:bookmarkStart w:id="3" w:name="_Toc26794"/>
      <w:bookmarkStart w:id="4" w:name="_Toc15467511"/>
      <w:bookmarkStart w:id="5" w:name="_Toc413933176"/>
      <w:bookmarkStart w:id="6" w:name="_Toc19124"/>
      <w:bookmarkStart w:id="7" w:name="_Toc16238368"/>
      <w:r>
        <w:rPr>
          <w:rFonts w:hint="eastAsia" w:ascii="Times New Roman" w:hAnsi="Times New Roman" w:eastAsia="宋体" w:cs="Times New Roman"/>
          <w:b/>
          <w:color w:val="auto"/>
          <w:kern w:val="44"/>
          <w:sz w:val="44"/>
          <w:szCs w:val="44"/>
          <w:u w:val="single"/>
          <w:lang w:val="zh-CN"/>
        </w:rPr>
        <w:t>目</w:t>
      </w:r>
      <w:r>
        <w:rPr>
          <w:rFonts w:ascii="Times New Roman" w:hAnsi="Times New Roman" w:eastAsia="宋体" w:cs="Times New Roman"/>
          <w:b/>
          <w:color w:val="auto"/>
          <w:kern w:val="44"/>
          <w:sz w:val="44"/>
          <w:szCs w:val="44"/>
          <w:u w:val="single"/>
          <w:lang w:val="zh-CN"/>
        </w:rPr>
        <w:t xml:space="preserve">    </w:t>
      </w:r>
      <w:r>
        <w:rPr>
          <w:rFonts w:hint="eastAsia" w:ascii="Times New Roman" w:hAnsi="Times New Roman" w:eastAsia="宋体" w:cs="Times New Roman"/>
          <w:b/>
          <w:color w:val="auto"/>
          <w:kern w:val="44"/>
          <w:sz w:val="44"/>
          <w:szCs w:val="44"/>
          <w:u w:val="single"/>
          <w:lang w:val="zh-CN"/>
        </w:rPr>
        <w:t>录</w:t>
      </w:r>
      <w:bookmarkEnd w:id="0"/>
      <w:bookmarkEnd w:id="1"/>
      <w:bookmarkEnd w:id="2"/>
      <w:bookmarkEnd w:id="3"/>
      <w:bookmarkEnd w:id="4"/>
      <w:bookmarkEnd w:id="5"/>
      <w:bookmarkEnd w:id="6"/>
      <w:bookmarkEnd w:id="7"/>
    </w:p>
    <w:p>
      <w:pPr>
        <w:pStyle w:val="31"/>
        <w:tabs>
          <w:tab w:val="right" w:leader="dot" w:pos="8722"/>
        </w:tabs>
        <w:rPr>
          <w:rFonts w:asciiTheme="minorHAnsi" w:hAnsiTheme="minorHAnsi" w:eastAsiaTheme="minorEastAsia" w:cstheme="minorBidi"/>
          <w:color w:val="auto"/>
          <w:szCs w:val="22"/>
        </w:rPr>
      </w:pPr>
      <w:r>
        <w:rPr>
          <w:rFonts w:hint="eastAsia" w:ascii="新宋体" w:hAnsi="新宋体" w:eastAsia="新宋体" w:cs="新宋体"/>
          <w:color w:val="auto"/>
          <w:sz w:val="32"/>
          <w:szCs w:val="32"/>
        </w:rPr>
        <w:fldChar w:fldCharType="begin"/>
      </w:r>
      <w:r>
        <w:rPr>
          <w:rFonts w:hint="eastAsia" w:ascii="新宋体" w:hAnsi="新宋体" w:eastAsia="新宋体" w:cs="新宋体"/>
          <w:color w:val="auto"/>
          <w:sz w:val="32"/>
          <w:szCs w:val="32"/>
        </w:rPr>
        <w:instrText xml:space="preserve">TOC \o "1-2" \h \u </w:instrText>
      </w:r>
      <w:r>
        <w:rPr>
          <w:rFonts w:hint="eastAsia" w:ascii="新宋体" w:hAnsi="新宋体" w:eastAsia="新宋体" w:cs="新宋体"/>
          <w:color w:val="auto"/>
          <w:sz w:val="32"/>
          <w:szCs w:val="32"/>
        </w:rPr>
        <w:fldChar w:fldCharType="separate"/>
      </w:r>
    </w:p>
    <w:p>
      <w:pPr>
        <w:pStyle w:val="31"/>
        <w:tabs>
          <w:tab w:val="right" w:leader="dot" w:pos="8722"/>
        </w:tabs>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"_Toc16238369" </w:instrText>
      </w:r>
      <w:r>
        <w:rPr>
          <w:color w:val="auto"/>
        </w:rPr>
        <w:fldChar w:fldCharType="separate"/>
      </w:r>
      <w:r>
        <w:rPr>
          <w:rStyle w:val="42"/>
          <w:rFonts w:hint="eastAsia" w:ascii="仿宋_GB2312" w:hAnsi="Arial" w:eastAsia="仿宋_GB2312"/>
          <w:color w:val="auto"/>
          <w:kern w:val="44"/>
          <w:sz w:val="32"/>
          <w:szCs w:val="32"/>
        </w:rPr>
        <w:t>第一章  投标邀请函</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_Toc16238369 \h </w:instrText>
      </w:r>
      <w:r>
        <w:rPr>
          <w:rFonts w:hint="eastAsia" w:ascii="仿宋_GB2312" w:eastAsia="仿宋_GB2312"/>
          <w:color w:val="auto"/>
          <w:sz w:val="32"/>
          <w:szCs w:val="32"/>
        </w:rPr>
        <w:fldChar w:fldCharType="separate"/>
      </w:r>
      <w:r>
        <w:rPr>
          <w:rFonts w:ascii="仿宋_GB2312" w:eastAsia="仿宋_GB2312"/>
          <w:color w:val="auto"/>
          <w:sz w:val="32"/>
          <w:szCs w:val="32"/>
        </w:rPr>
        <w:t>1</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1"/>
        <w:tabs>
          <w:tab w:val="right" w:leader="dot" w:pos="8722"/>
        </w:tabs>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"_Toc16238370" </w:instrText>
      </w:r>
      <w:r>
        <w:rPr>
          <w:color w:val="auto"/>
        </w:rPr>
        <w:fldChar w:fldCharType="separate"/>
      </w:r>
      <w:r>
        <w:rPr>
          <w:rStyle w:val="42"/>
          <w:rFonts w:hint="eastAsia" w:ascii="仿宋_GB2312" w:hAnsi="Arial" w:eastAsia="仿宋_GB2312"/>
          <w:color w:val="auto"/>
          <w:kern w:val="44"/>
          <w:sz w:val="32"/>
          <w:szCs w:val="32"/>
        </w:rPr>
        <w:t>第二章  投标须知</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_Toc16238370 \h </w:instrText>
      </w:r>
      <w:r>
        <w:rPr>
          <w:rFonts w:hint="eastAsia" w:ascii="仿宋_GB2312" w:eastAsia="仿宋_GB2312"/>
          <w:color w:val="auto"/>
          <w:sz w:val="32"/>
          <w:szCs w:val="32"/>
        </w:rPr>
        <w:fldChar w:fldCharType="separate"/>
      </w:r>
      <w:r>
        <w:rPr>
          <w:rFonts w:ascii="仿宋_GB2312" w:eastAsia="仿宋_GB2312"/>
          <w:color w:val="auto"/>
          <w:sz w:val="32"/>
          <w:szCs w:val="32"/>
        </w:rPr>
        <w:t>4</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"_Toc16238371" </w:instrText>
      </w:r>
      <w:r>
        <w:rPr>
          <w:color w:val="auto"/>
        </w:rPr>
        <w:fldChar w:fldCharType="separate"/>
      </w:r>
      <w:r>
        <w:rPr>
          <w:rStyle w:val="42"/>
          <w:rFonts w:hint="eastAsia" w:ascii="仿宋_GB2312" w:hAnsi="宋体" w:eastAsia="仿宋_GB2312"/>
          <w:color w:val="auto"/>
          <w:kern w:val="28"/>
          <w:sz w:val="32"/>
          <w:szCs w:val="32"/>
        </w:rPr>
        <w:t>一、总 则</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_Toc16238371 \h </w:instrText>
      </w:r>
      <w:r>
        <w:rPr>
          <w:rFonts w:hint="eastAsia" w:ascii="仿宋_GB2312" w:eastAsia="仿宋_GB2312"/>
          <w:color w:val="auto"/>
          <w:sz w:val="32"/>
          <w:szCs w:val="32"/>
        </w:rPr>
        <w:fldChar w:fldCharType="separate"/>
      </w:r>
      <w:r>
        <w:rPr>
          <w:rFonts w:ascii="仿宋_GB2312" w:eastAsia="仿宋_GB2312"/>
          <w:color w:val="auto"/>
          <w:sz w:val="32"/>
          <w:szCs w:val="32"/>
        </w:rPr>
        <w:t>4</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"_Toc16238372" </w:instrText>
      </w:r>
      <w:r>
        <w:rPr>
          <w:color w:val="auto"/>
        </w:rPr>
        <w:fldChar w:fldCharType="separate"/>
      </w:r>
      <w:r>
        <w:rPr>
          <w:rStyle w:val="42"/>
          <w:rFonts w:hint="eastAsia" w:ascii="仿宋_GB2312" w:hAnsi="宋体" w:eastAsia="仿宋_GB2312"/>
          <w:color w:val="auto"/>
          <w:kern w:val="28"/>
          <w:sz w:val="32"/>
          <w:szCs w:val="32"/>
        </w:rPr>
        <w:t>二、招标文件</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_Toc16238372 \h </w:instrText>
      </w:r>
      <w:r>
        <w:rPr>
          <w:rFonts w:hint="eastAsia" w:ascii="仿宋_GB2312" w:eastAsia="仿宋_GB2312"/>
          <w:color w:val="auto"/>
          <w:sz w:val="32"/>
          <w:szCs w:val="32"/>
        </w:rPr>
        <w:fldChar w:fldCharType="separate"/>
      </w:r>
      <w:r>
        <w:rPr>
          <w:rFonts w:ascii="仿宋_GB2312" w:eastAsia="仿宋_GB2312"/>
          <w:color w:val="auto"/>
          <w:sz w:val="32"/>
          <w:szCs w:val="32"/>
        </w:rPr>
        <w:t>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"_Toc16238373" </w:instrText>
      </w:r>
      <w:r>
        <w:rPr>
          <w:color w:val="auto"/>
        </w:rPr>
        <w:fldChar w:fldCharType="separate"/>
      </w:r>
      <w:r>
        <w:rPr>
          <w:rStyle w:val="42"/>
          <w:rFonts w:hint="eastAsia" w:ascii="仿宋_GB2312" w:hAnsi="宋体" w:eastAsia="仿宋_GB2312"/>
          <w:color w:val="auto"/>
          <w:kern w:val="28"/>
          <w:sz w:val="32"/>
          <w:szCs w:val="32"/>
        </w:rPr>
        <w:t>三、投标文件的编制</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_Toc16238373 \h </w:instrText>
      </w:r>
      <w:r>
        <w:rPr>
          <w:rFonts w:hint="eastAsia" w:ascii="仿宋_GB2312" w:eastAsia="仿宋_GB2312"/>
          <w:color w:val="auto"/>
          <w:sz w:val="32"/>
          <w:szCs w:val="32"/>
        </w:rPr>
        <w:fldChar w:fldCharType="separate"/>
      </w:r>
      <w:r>
        <w:rPr>
          <w:rFonts w:ascii="仿宋_GB2312" w:eastAsia="仿宋_GB2312"/>
          <w:color w:val="auto"/>
          <w:sz w:val="32"/>
          <w:szCs w:val="32"/>
        </w:rPr>
        <w:t>6</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"_Toc16238374" </w:instrText>
      </w:r>
      <w:r>
        <w:rPr>
          <w:color w:val="auto"/>
        </w:rPr>
        <w:fldChar w:fldCharType="separate"/>
      </w:r>
      <w:r>
        <w:rPr>
          <w:rStyle w:val="42"/>
          <w:rFonts w:hint="eastAsia" w:ascii="仿宋_GB2312" w:hAnsi="宋体" w:eastAsia="仿宋_GB2312"/>
          <w:color w:val="auto"/>
          <w:kern w:val="28"/>
          <w:sz w:val="32"/>
          <w:szCs w:val="32"/>
        </w:rPr>
        <w:t>四、投标文件的提交</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_Toc16238374 \h </w:instrText>
      </w:r>
      <w:r>
        <w:rPr>
          <w:rFonts w:hint="eastAsia" w:ascii="仿宋_GB2312" w:eastAsia="仿宋_GB2312"/>
          <w:color w:val="auto"/>
          <w:sz w:val="32"/>
          <w:szCs w:val="32"/>
        </w:rPr>
        <w:fldChar w:fldCharType="separate"/>
      </w:r>
      <w:r>
        <w:rPr>
          <w:rFonts w:ascii="仿宋_GB2312" w:eastAsia="仿宋_GB2312"/>
          <w:color w:val="auto"/>
          <w:sz w:val="32"/>
          <w:szCs w:val="32"/>
        </w:rPr>
        <w:t>8</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1"/>
        <w:tabs>
          <w:tab w:val="right" w:leader="dot" w:pos="8722"/>
        </w:tabs>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"_Toc16238375" </w:instrText>
      </w:r>
      <w:r>
        <w:rPr>
          <w:color w:val="auto"/>
        </w:rPr>
        <w:fldChar w:fldCharType="separate"/>
      </w:r>
      <w:r>
        <w:rPr>
          <w:rStyle w:val="42"/>
          <w:rFonts w:hint="eastAsia" w:ascii="仿宋_GB2312" w:hAnsi="Arial" w:eastAsia="仿宋_GB2312"/>
          <w:color w:val="auto"/>
          <w:kern w:val="44"/>
          <w:sz w:val="32"/>
          <w:szCs w:val="32"/>
        </w:rPr>
        <w:t>第三章  评标、定标及合同签订</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_Toc16238375 \h </w:instrText>
      </w:r>
      <w:r>
        <w:rPr>
          <w:rFonts w:hint="eastAsia" w:ascii="仿宋_GB2312" w:eastAsia="仿宋_GB2312"/>
          <w:color w:val="auto"/>
          <w:sz w:val="32"/>
          <w:szCs w:val="32"/>
        </w:rPr>
        <w:fldChar w:fldCharType="separate"/>
      </w:r>
      <w:r>
        <w:rPr>
          <w:rFonts w:ascii="仿宋_GB2312" w:eastAsia="仿宋_GB2312"/>
          <w:color w:val="auto"/>
          <w:sz w:val="32"/>
          <w:szCs w:val="32"/>
        </w:rPr>
        <w:t>10</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"_Toc16238376" </w:instrText>
      </w:r>
      <w:r>
        <w:rPr>
          <w:color w:val="auto"/>
        </w:rPr>
        <w:fldChar w:fldCharType="separate"/>
      </w:r>
      <w:r>
        <w:rPr>
          <w:rStyle w:val="42"/>
          <w:rFonts w:hint="eastAsia" w:ascii="仿宋_GB2312" w:hAnsi="宋体" w:eastAsia="仿宋_GB2312"/>
          <w:color w:val="auto"/>
          <w:kern w:val="28"/>
          <w:sz w:val="32"/>
          <w:szCs w:val="32"/>
        </w:rPr>
        <w:t>一、评标总则</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_Toc16238376 \h </w:instrText>
      </w:r>
      <w:r>
        <w:rPr>
          <w:rFonts w:hint="eastAsia" w:ascii="仿宋_GB2312" w:eastAsia="仿宋_GB2312"/>
          <w:color w:val="auto"/>
          <w:sz w:val="32"/>
          <w:szCs w:val="32"/>
        </w:rPr>
        <w:fldChar w:fldCharType="separate"/>
      </w:r>
      <w:r>
        <w:rPr>
          <w:rFonts w:ascii="仿宋_GB2312" w:eastAsia="仿宋_GB2312"/>
          <w:color w:val="auto"/>
          <w:sz w:val="32"/>
          <w:szCs w:val="32"/>
        </w:rPr>
        <w:t>10</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"_Toc16238377" </w:instrText>
      </w:r>
      <w:r>
        <w:rPr>
          <w:color w:val="auto"/>
        </w:rPr>
        <w:fldChar w:fldCharType="separate"/>
      </w:r>
      <w:r>
        <w:rPr>
          <w:rStyle w:val="42"/>
          <w:rFonts w:hint="eastAsia" w:ascii="仿宋_GB2312" w:hAnsi="宋体" w:eastAsia="仿宋_GB2312"/>
          <w:color w:val="auto"/>
          <w:kern w:val="28"/>
          <w:sz w:val="32"/>
          <w:szCs w:val="32"/>
        </w:rPr>
        <w:t>二、评标方法</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_Toc16238377 \h </w:instrText>
      </w:r>
      <w:r>
        <w:rPr>
          <w:rFonts w:hint="eastAsia" w:ascii="仿宋_GB2312" w:eastAsia="仿宋_GB2312"/>
          <w:color w:val="auto"/>
          <w:sz w:val="32"/>
          <w:szCs w:val="32"/>
        </w:rPr>
        <w:fldChar w:fldCharType="separate"/>
      </w:r>
      <w:r>
        <w:rPr>
          <w:rFonts w:ascii="仿宋_GB2312" w:eastAsia="仿宋_GB2312"/>
          <w:color w:val="auto"/>
          <w:sz w:val="32"/>
          <w:szCs w:val="32"/>
        </w:rPr>
        <w:t>11</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"_Toc16238378" </w:instrText>
      </w:r>
      <w:r>
        <w:rPr>
          <w:color w:val="auto"/>
        </w:rPr>
        <w:fldChar w:fldCharType="separate"/>
      </w:r>
      <w:r>
        <w:rPr>
          <w:rStyle w:val="42"/>
          <w:rFonts w:hint="eastAsia" w:ascii="仿宋_GB2312" w:hAnsi="宋体" w:eastAsia="仿宋_GB2312"/>
          <w:color w:val="auto"/>
          <w:kern w:val="28"/>
          <w:sz w:val="32"/>
          <w:szCs w:val="32"/>
        </w:rPr>
        <w:t>附件1：</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_Toc16238378 \h </w:instrText>
      </w:r>
      <w:r>
        <w:rPr>
          <w:rFonts w:hint="eastAsia" w:ascii="仿宋_GB2312" w:eastAsia="仿宋_GB2312"/>
          <w:color w:val="auto"/>
          <w:sz w:val="32"/>
          <w:szCs w:val="32"/>
        </w:rPr>
        <w:fldChar w:fldCharType="separate"/>
      </w:r>
      <w:r>
        <w:rPr>
          <w:rFonts w:ascii="仿宋_GB2312" w:eastAsia="仿宋_GB2312"/>
          <w:color w:val="auto"/>
          <w:sz w:val="32"/>
          <w:szCs w:val="32"/>
        </w:rPr>
        <w:t>15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"_Toc16238379" </w:instrText>
      </w:r>
      <w:r>
        <w:rPr>
          <w:color w:val="auto"/>
        </w:rPr>
        <w:fldChar w:fldCharType="separate"/>
      </w:r>
      <w:r>
        <w:rPr>
          <w:rStyle w:val="42"/>
          <w:rFonts w:hint="eastAsia" w:ascii="仿宋_GB2312" w:hAnsi="宋体" w:eastAsia="仿宋_GB2312"/>
          <w:color w:val="auto"/>
          <w:kern w:val="28"/>
          <w:sz w:val="32"/>
          <w:szCs w:val="32"/>
        </w:rPr>
        <w:t>否决性条款汇总</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_Toc16238379 \h </w:instrText>
      </w:r>
      <w:r>
        <w:rPr>
          <w:rFonts w:hint="eastAsia" w:ascii="仿宋_GB2312" w:eastAsia="仿宋_GB2312"/>
          <w:color w:val="auto"/>
          <w:sz w:val="32"/>
          <w:szCs w:val="32"/>
        </w:rPr>
        <w:fldChar w:fldCharType="separate"/>
      </w:r>
      <w:r>
        <w:rPr>
          <w:rFonts w:ascii="仿宋_GB2312" w:eastAsia="仿宋_GB2312"/>
          <w:color w:val="auto"/>
          <w:sz w:val="32"/>
          <w:szCs w:val="32"/>
        </w:rPr>
        <w:t>15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"_Toc16238380" </w:instrText>
      </w:r>
      <w:r>
        <w:rPr>
          <w:color w:val="auto"/>
        </w:rPr>
        <w:fldChar w:fldCharType="separate"/>
      </w:r>
      <w:r>
        <w:rPr>
          <w:rStyle w:val="42"/>
          <w:rFonts w:hint="eastAsia" w:ascii="仿宋_GB2312" w:hAnsi="宋体" w:eastAsia="仿宋_GB2312"/>
          <w:color w:val="auto"/>
          <w:kern w:val="28"/>
          <w:sz w:val="32"/>
          <w:szCs w:val="32"/>
        </w:rPr>
        <w:t>附件2</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_Toc16238380 \h </w:instrText>
      </w:r>
      <w:r>
        <w:rPr>
          <w:rFonts w:hint="eastAsia" w:ascii="仿宋_GB2312" w:eastAsia="仿宋_GB2312"/>
          <w:color w:val="auto"/>
          <w:sz w:val="32"/>
          <w:szCs w:val="32"/>
        </w:rPr>
        <w:fldChar w:fldCharType="separate"/>
      </w:r>
      <w:r>
        <w:rPr>
          <w:rFonts w:ascii="仿宋_GB2312" w:eastAsia="仿宋_GB2312"/>
          <w:color w:val="auto"/>
          <w:sz w:val="32"/>
          <w:szCs w:val="32"/>
        </w:rPr>
        <w:t>17</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"_Toc16238381" </w:instrText>
      </w:r>
      <w:r>
        <w:rPr>
          <w:color w:val="auto"/>
        </w:rPr>
        <w:fldChar w:fldCharType="separate"/>
      </w:r>
      <w:r>
        <w:rPr>
          <w:rStyle w:val="42"/>
          <w:rFonts w:hint="eastAsia" w:ascii="仿宋_GB2312" w:hAnsi="宋体" w:eastAsia="仿宋_GB2312"/>
          <w:color w:val="auto"/>
          <w:kern w:val="28"/>
          <w:sz w:val="32"/>
          <w:szCs w:val="32"/>
        </w:rPr>
        <w:t>评分内容及标准</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_Toc16238381 \h </w:instrText>
      </w:r>
      <w:r>
        <w:rPr>
          <w:rFonts w:hint="eastAsia" w:ascii="仿宋_GB2312" w:eastAsia="仿宋_GB2312"/>
          <w:color w:val="auto"/>
          <w:sz w:val="32"/>
          <w:szCs w:val="32"/>
        </w:rPr>
        <w:fldChar w:fldCharType="separate"/>
      </w:r>
      <w:r>
        <w:rPr>
          <w:rFonts w:ascii="仿宋_GB2312" w:eastAsia="仿宋_GB2312"/>
          <w:color w:val="auto"/>
          <w:sz w:val="32"/>
          <w:szCs w:val="32"/>
        </w:rPr>
        <w:t>17</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1"/>
        <w:tabs>
          <w:tab w:val="right" w:leader="dot" w:pos="8722"/>
        </w:tabs>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"_Toc16238382" </w:instrText>
      </w:r>
      <w:r>
        <w:rPr>
          <w:color w:val="auto"/>
        </w:rPr>
        <w:fldChar w:fldCharType="separate"/>
      </w:r>
      <w:r>
        <w:rPr>
          <w:rStyle w:val="42"/>
          <w:rFonts w:hint="eastAsia" w:ascii="仿宋_GB2312" w:hAnsi="黑体" w:eastAsia="仿宋_GB2312"/>
          <w:color w:val="auto"/>
          <w:kern w:val="44"/>
          <w:sz w:val="32"/>
          <w:szCs w:val="32"/>
          <w:lang w:val="zh-CN"/>
        </w:rPr>
        <w:t>第四章 合同条款</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_Toc16238382 \h </w:instrText>
      </w:r>
      <w:r>
        <w:rPr>
          <w:rFonts w:hint="eastAsia" w:ascii="仿宋_GB2312" w:eastAsia="仿宋_GB2312"/>
          <w:color w:val="auto"/>
          <w:sz w:val="32"/>
          <w:szCs w:val="32"/>
        </w:rPr>
        <w:fldChar w:fldCharType="separate"/>
      </w:r>
      <w:r>
        <w:rPr>
          <w:rFonts w:ascii="仿宋_GB2312" w:eastAsia="仿宋_GB2312"/>
          <w:color w:val="auto"/>
          <w:sz w:val="32"/>
          <w:szCs w:val="32"/>
        </w:rPr>
        <w:t>18</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1"/>
        <w:tabs>
          <w:tab w:val="right" w:leader="dot" w:pos="8722"/>
        </w:tabs>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"_Toc16238383" </w:instrText>
      </w:r>
      <w:r>
        <w:rPr>
          <w:color w:val="auto"/>
        </w:rPr>
        <w:fldChar w:fldCharType="separate"/>
      </w:r>
      <w:r>
        <w:rPr>
          <w:rStyle w:val="42"/>
          <w:rFonts w:hint="eastAsia" w:ascii="仿宋_GB2312" w:hAnsi="黑体" w:eastAsia="仿宋_GB2312"/>
          <w:color w:val="auto"/>
          <w:kern w:val="44"/>
          <w:sz w:val="32"/>
          <w:szCs w:val="32"/>
          <w:lang w:val="zh-CN"/>
        </w:rPr>
        <w:t>第五章 投标文件格式</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_Toc16238383 \h </w:instrText>
      </w:r>
      <w:r>
        <w:rPr>
          <w:rFonts w:hint="eastAsia" w:ascii="仿宋_GB2312" w:eastAsia="仿宋_GB2312"/>
          <w:color w:val="auto"/>
          <w:sz w:val="32"/>
          <w:szCs w:val="32"/>
        </w:rPr>
        <w:fldChar w:fldCharType="separate"/>
      </w:r>
      <w:r>
        <w:rPr>
          <w:rFonts w:ascii="仿宋_GB2312" w:eastAsia="仿宋_GB2312"/>
          <w:color w:val="auto"/>
          <w:sz w:val="32"/>
          <w:szCs w:val="32"/>
        </w:rPr>
        <w:t>30</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"_Toc16238384" </w:instrText>
      </w:r>
      <w:r>
        <w:rPr>
          <w:color w:val="auto"/>
        </w:rPr>
        <w:fldChar w:fldCharType="separate"/>
      </w:r>
      <w:r>
        <w:rPr>
          <w:rStyle w:val="42"/>
          <w:rFonts w:hint="eastAsia" w:ascii="仿宋_GB2312" w:hAnsi="宋体" w:eastAsia="仿宋_GB2312"/>
          <w:color w:val="auto"/>
          <w:sz w:val="32"/>
          <w:szCs w:val="32"/>
        </w:rPr>
        <w:t>附件1：</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_Toc16238384 \h </w:instrText>
      </w:r>
      <w:r>
        <w:rPr>
          <w:rFonts w:hint="eastAsia" w:ascii="仿宋_GB2312" w:eastAsia="仿宋_GB2312"/>
          <w:color w:val="auto"/>
          <w:sz w:val="32"/>
          <w:szCs w:val="32"/>
        </w:rPr>
        <w:fldChar w:fldCharType="separate"/>
      </w:r>
      <w:r>
        <w:rPr>
          <w:rFonts w:ascii="仿宋_GB2312" w:eastAsia="仿宋_GB2312"/>
          <w:color w:val="auto"/>
          <w:sz w:val="32"/>
          <w:szCs w:val="32"/>
        </w:rPr>
        <w:t>31</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"_Toc16238385" </w:instrText>
      </w:r>
      <w:r>
        <w:rPr>
          <w:color w:val="auto"/>
        </w:rPr>
        <w:fldChar w:fldCharType="separate"/>
      </w:r>
      <w:r>
        <w:rPr>
          <w:rStyle w:val="42"/>
          <w:rFonts w:hint="eastAsia" w:ascii="仿宋_GB2312" w:eastAsia="仿宋_GB2312"/>
          <w:color w:val="auto"/>
          <w:sz w:val="32"/>
          <w:szCs w:val="32"/>
        </w:rPr>
        <w:t>投 标 函</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_Toc16238385 \h </w:instrText>
      </w:r>
      <w:r>
        <w:rPr>
          <w:rFonts w:hint="eastAsia" w:ascii="仿宋_GB2312" w:eastAsia="仿宋_GB2312"/>
          <w:color w:val="auto"/>
          <w:sz w:val="32"/>
          <w:szCs w:val="32"/>
        </w:rPr>
        <w:fldChar w:fldCharType="separate"/>
      </w:r>
      <w:r>
        <w:rPr>
          <w:rFonts w:ascii="仿宋_GB2312" w:eastAsia="仿宋_GB2312"/>
          <w:color w:val="auto"/>
          <w:sz w:val="32"/>
          <w:szCs w:val="32"/>
        </w:rPr>
        <w:t>31</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"_Toc16238386" </w:instrText>
      </w:r>
      <w:r>
        <w:rPr>
          <w:color w:val="auto"/>
        </w:rPr>
        <w:fldChar w:fldCharType="separate"/>
      </w:r>
      <w:r>
        <w:rPr>
          <w:rStyle w:val="42"/>
          <w:rFonts w:hint="eastAsia" w:ascii="仿宋_GB2312" w:hAnsi="宋体" w:eastAsia="仿宋_GB2312"/>
          <w:color w:val="auto"/>
          <w:sz w:val="32"/>
          <w:szCs w:val="32"/>
        </w:rPr>
        <w:t>附件2：</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_Toc16238386 \h </w:instrText>
      </w:r>
      <w:r>
        <w:rPr>
          <w:rFonts w:hint="eastAsia" w:ascii="仿宋_GB2312" w:eastAsia="仿宋_GB2312"/>
          <w:color w:val="auto"/>
          <w:sz w:val="32"/>
          <w:szCs w:val="32"/>
        </w:rPr>
        <w:fldChar w:fldCharType="separate"/>
      </w:r>
      <w:r>
        <w:rPr>
          <w:rFonts w:ascii="仿宋_GB2312" w:eastAsia="仿宋_GB2312"/>
          <w:color w:val="auto"/>
          <w:sz w:val="32"/>
          <w:szCs w:val="32"/>
        </w:rPr>
        <w:t>32</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"_Toc16238387" </w:instrText>
      </w:r>
      <w:r>
        <w:rPr>
          <w:color w:val="auto"/>
        </w:rPr>
        <w:fldChar w:fldCharType="separate"/>
      </w:r>
      <w:r>
        <w:rPr>
          <w:rStyle w:val="42"/>
          <w:rFonts w:hint="eastAsia" w:ascii="仿宋_GB2312" w:eastAsia="仿宋_GB2312"/>
          <w:color w:val="auto"/>
          <w:sz w:val="32"/>
          <w:szCs w:val="32"/>
        </w:rPr>
        <w:t>法定代表人证明书</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_Toc16238387 \h </w:instrText>
      </w:r>
      <w:r>
        <w:rPr>
          <w:rFonts w:hint="eastAsia" w:ascii="仿宋_GB2312" w:eastAsia="仿宋_GB2312"/>
          <w:color w:val="auto"/>
          <w:sz w:val="32"/>
          <w:szCs w:val="32"/>
        </w:rPr>
        <w:fldChar w:fldCharType="separate"/>
      </w:r>
      <w:r>
        <w:rPr>
          <w:rFonts w:ascii="仿宋_GB2312" w:eastAsia="仿宋_GB2312"/>
          <w:color w:val="auto"/>
          <w:sz w:val="32"/>
          <w:szCs w:val="32"/>
        </w:rPr>
        <w:t>32</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"_Toc16238388" </w:instrText>
      </w:r>
      <w:r>
        <w:rPr>
          <w:color w:val="auto"/>
        </w:rPr>
        <w:fldChar w:fldCharType="separate"/>
      </w:r>
      <w:r>
        <w:rPr>
          <w:rStyle w:val="42"/>
          <w:rFonts w:hint="eastAsia" w:ascii="仿宋_GB2312" w:eastAsia="仿宋_GB2312"/>
          <w:color w:val="auto"/>
          <w:sz w:val="32"/>
          <w:szCs w:val="32"/>
        </w:rPr>
        <w:t>附件3：</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_Toc16238388 \h </w:instrText>
      </w:r>
      <w:r>
        <w:rPr>
          <w:rFonts w:hint="eastAsia" w:ascii="仿宋_GB2312" w:eastAsia="仿宋_GB2312"/>
          <w:color w:val="auto"/>
          <w:sz w:val="32"/>
          <w:szCs w:val="32"/>
        </w:rPr>
        <w:fldChar w:fldCharType="separate"/>
      </w:r>
      <w:r>
        <w:rPr>
          <w:rFonts w:ascii="仿宋_GB2312" w:eastAsia="仿宋_GB2312"/>
          <w:color w:val="auto"/>
          <w:sz w:val="32"/>
          <w:szCs w:val="32"/>
        </w:rPr>
        <w:t>33</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"_Toc16238389" </w:instrText>
      </w:r>
      <w:r>
        <w:rPr>
          <w:color w:val="auto"/>
        </w:rPr>
        <w:fldChar w:fldCharType="separate"/>
      </w:r>
      <w:r>
        <w:rPr>
          <w:rStyle w:val="42"/>
          <w:rFonts w:hint="eastAsia" w:ascii="仿宋_GB2312" w:eastAsia="仿宋_GB2312"/>
          <w:color w:val="auto"/>
          <w:sz w:val="32"/>
          <w:szCs w:val="32"/>
        </w:rPr>
        <w:t>法定代表人授权委托书</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_Toc16238389 \h </w:instrText>
      </w:r>
      <w:r>
        <w:rPr>
          <w:rFonts w:hint="eastAsia" w:ascii="仿宋_GB2312" w:eastAsia="仿宋_GB2312"/>
          <w:color w:val="auto"/>
          <w:sz w:val="32"/>
          <w:szCs w:val="32"/>
        </w:rPr>
        <w:fldChar w:fldCharType="separate"/>
      </w:r>
      <w:r>
        <w:rPr>
          <w:rFonts w:ascii="仿宋_GB2312" w:eastAsia="仿宋_GB2312"/>
          <w:color w:val="auto"/>
          <w:sz w:val="32"/>
          <w:szCs w:val="32"/>
        </w:rPr>
        <w:t>33</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"_Toc16238390" </w:instrText>
      </w:r>
      <w:r>
        <w:rPr>
          <w:color w:val="auto"/>
        </w:rPr>
        <w:fldChar w:fldCharType="separate"/>
      </w:r>
      <w:r>
        <w:rPr>
          <w:rStyle w:val="42"/>
          <w:rFonts w:hint="eastAsia" w:ascii="仿宋_GB2312" w:eastAsia="仿宋_GB2312"/>
          <w:color w:val="auto"/>
          <w:sz w:val="32"/>
          <w:szCs w:val="32"/>
        </w:rPr>
        <w:t>附件4：</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_Toc16238390 \h </w:instrText>
      </w:r>
      <w:r>
        <w:rPr>
          <w:rFonts w:hint="eastAsia" w:ascii="仿宋_GB2312" w:eastAsia="仿宋_GB2312"/>
          <w:color w:val="auto"/>
          <w:sz w:val="32"/>
          <w:szCs w:val="32"/>
        </w:rPr>
        <w:fldChar w:fldCharType="separate"/>
      </w:r>
      <w:r>
        <w:rPr>
          <w:rFonts w:ascii="仿宋_GB2312" w:eastAsia="仿宋_GB2312"/>
          <w:color w:val="auto"/>
          <w:sz w:val="32"/>
          <w:szCs w:val="32"/>
        </w:rPr>
        <w:t>34</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"_Toc16238391" </w:instrText>
      </w:r>
      <w:r>
        <w:rPr>
          <w:color w:val="auto"/>
        </w:rPr>
        <w:fldChar w:fldCharType="separate"/>
      </w:r>
      <w:r>
        <w:rPr>
          <w:rStyle w:val="42"/>
          <w:rFonts w:hint="eastAsia" w:ascii="仿宋_GB2312" w:hAnsi="宋体" w:eastAsia="仿宋_GB2312"/>
          <w:color w:val="auto"/>
          <w:sz w:val="32"/>
          <w:szCs w:val="32"/>
        </w:rPr>
        <w:t>投标人类似业绩一览表</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_Toc16238391 \h </w:instrText>
      </w:r>
      <w:r>
        <w:rPr>
          <w:rFonts w:hint="eastAsia" w:ascii="仿宋_GB2312" w:eastAsia="仿宋_GB2312"/>
          <w:color w:val="auto"/>
          <w:sz w:val="32"/>
          <w:szCs w:val="32"/>
        </w:rPr>
        <w:fldChar w:fldCharType="separate"/>
      </w:r>
      <w:r>
        <w:rPr>
          <w:rFonts w:ascii="仿宋_GB2312" w:eastAsia="仿宋_GB2312"/>
          <w:color w:val="auto"/>
          <w:sz w:val="32"/>
          <w:szCs w:val="32"/>
        </w:rPr>
        <w:t>34</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"_Toc16238392" </w:instrText>
      </w:r>
      <w:r>
        <w:rPr>
          <w:color w:val="auto"/>
        </w:rPr>
        <w:fldChar w:fldCharType="separate"/>
      </w:r>
      <w:r>
        <w:rPr>
          <w:rStyle w:val="42"/>
          <w:rFonts w:hint="eastAsia" w:ascii="仿宋_GB2312" w:eastAsia="仿宋_GB2312"/>
          <w:color w:val="auto"/>
          <w:sz w:val="32"/>
          <w:szCs w:val="32"/>
        </w:rPr>
        <w:t>附件5：</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_Toc16238392 \h </w:instrText>
      </w:r>
      <w:r>
        <w:rPr>
          <w:rFonts w:hint="eastAsia" w:ascii="仿宋_GB2312" w:eastAsia="仿宋_GB2312"/>
          <w:color w:val="auto"/>
          <w:sz w:val="32"/>
          <w:szCs w:val="32"/>
        </w:rPr>
        <w:fldChar w:fldCharType="separate"/>
      </w:r>
      <w:r>
        <w:rPr>
          <w:rFonts w:ascii="仿宋_GB2312" w:eastAsia="仿宋_GB2312"/>
          <w:color w:val="auto"/>
          <w:sz w:val="32"/>
          <w:szCs w:val="32"/>
        </w:rPr>
        <w:t>35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"_Toc16238393" </w:instrText>
      </w:r>
      <w:r>
        <w:rPr>
          <w:color w:val="auto"/>
        </w:rPr>
        <w:fldChar w:fldCharType="separate"/>
      </w:r>
      <w:r>
        <w:rPr>
          <w:rStyle w:val="42"/>
          <w:rFonts w:hint="eastAsia" w:ascii="仿宋_GB2312" w:hAnsi="宋体" w:eastAsia="仿宋_GB2312"/>
          <w:color w:val="auto"/>
          <w:sz w:val="32"/>
          <w:szCs w:val="32"/>
        </w:rPr>
        <w:t>项目负责人（项目总监）资历表</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_Toc16238393 \h </w:instrText>
      </w:r>
      <w:r>
        <w:rPr>
          <w:rFonts w:hint="eastAsia" w:ascii="仿宋_GB2312" w:eastAsia="仿宋_GB2312"/>
          <w:color w:val="auto"/>
          <w:sz w:val="32"/>
          <w:szCs w:val="32"/>
        </w:rPr>
        <w:fldChar w:fldCharType="separate"/>
      </w:r>
      <w:r>
        <w:rPr>
          <w:rFonts w:ascii="仿宋_GB2312" w:eastAsia="仿宋_GB2312"/>
          <w:color w:val="auto"/>
          <w:sz w:val="32"/>
          <w:szCs w:val="32"/>
        </w:rPr>
        <w:t>35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"_Toc16238394" </w:instrText>
      </w:r>
      <w:r>
        <w:rPr>
          <w:color w:val="auto"/>
        </w:rPr>
        <w:fldChar w:fldCharType="separate"/>
      </w:r>
      <w:r>
        <w:rPr>
          <w:rStyle w:val="42"/>
          <w:rFonts w:hint="eastAsia" w:ascii="仿宋_GB2312" w:eastAsia="仿宋_GB2312"/>
          <w:color w:val="auto"/>
          <w:sz w:val="32"/>
          <w:szCs w:val="32"/>
        </w:rPr>
        <w:t>附件6：</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_Toc16238394 \h </w:instrText>
      </w:r>
      <w:r>
        <w:rPr>
          <w:rFonts w:hint="eastAsia" w:ascii="仿宋_GB2312" w:eastAsia="仿宋_GB2312"/>
          <w:color w:val="auto"/>
          <w:sz w:val="32"/>
          <w:szCs w:val="32"/>
        </w:rPr>
        <w:fldChar w:fldCharType="separate"/>
      </w:r>
      <w:r>
        <w:rPr>
          <w:rFonts w:ascii="仿宋_GB2312" w:eastAsia="仿宋_GB2312"/>
          <w:color w:val="auto"/>
          <w:sz w:val="32"/>
          <w:szCs w:val="32"/>
        </w:rPr>
        <w:t>36</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"_Toc16238395" </w:instrText>
      </w:r>
      <w:r>
        <w:rPr>
          <w:color w:val="auto"/>
        </w:rPr>
        <w:fldChar w:fldCharType="separate"/>
      </w:r>
      <w:r>
        <w:rPr>
          <w:rStyle w:val="42"/>
          <w:rFonts w:hint="eastAsia" w:ascii="仿宋_GB2312" w:hAnsi="宋体" w:eastAsia="仿宋_GB2312"/>
          <w:color w:val="auto"/>
          <w:sz w:val="32"/>
          <w:szCs w:val="32"/>
        </w:rPr>
        <w:t>拟投入项目团队成员一览表</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_Toc16238395 \h </w:instrText>
      </w:r>
      <w:r>
        <w:rPr>
          <w:rFonts w:hint="eastAsia" w:ascii="仿宋_GB2312" w:eastAsia="仿宋_GB2312"/>
          <w:color w:val="auto"/>
          <w:sz w:val="32"/>
          <w:szCs w:val="32"/>
        </w:rPr>
        <w:fldChar w:fldCharType="separate"/>
      </w:r>
      <w:r>
        <w:rPr>
          <w:rFonts w:ascii="仿宋_GB2312" w:eastAsia="仿宋_GB2312"/>
          <w:color w:val="auto"/>
          <w:sz w:val="32"/>
          <w:szCs w:val="32"/>
        </w:rPr>
        <w:t>36</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"_Toc16238396" </w:instrText>
      </w:r>
      <w:r>
        <w:rPr>
          <w:color w:val="auto"/>
        </w:rPr>
        <w:fldChar w:fldCharType="separate"/>
      </w:r>
      <w:r>
        <w:rPr>
          <w:rStyle w:val="42"/>
          <w:rFonts w:hint="eastAsia" w:ascii="仿宋_GB2312" w:eastAsia="仿宋_GB2312"/>
          <w:color w:val="auto"/>
          <w:sz w:val="32"/>
          <w:szCs w:val="32"/>
        </w:rPr>
        <w:t>附件6-1：</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_Toc16238396 \h </w:instrText>
      </w:r>
      <w:r>
        <w:rPr>
          <w:rFonts w:hint="eastAsia" w:ascii="仿宋_GB2312" w:eastAsia="仿宋_GB2312"/>
          <w:color w:val="auto"/>
          <w:sz w:val="32"/>
          <w:szCs w:val="32"/>
        </w:rPr>
        <w:fldChar w:fldCharType="separate"/>
      </w:r>
      <w:r>
        <w:rPr>
          <w:rFonts w:ascii="仿宋_GB2312" w:eastAsia="仿宋_GB2312"/>
          <w:color w:val="auto"/>
          <w:sz w:val="32"/>
          <w:szCs w:val="32"/>
        </w:rPr>
        <w:t>37</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"_Toc16238397" </w:instrText>
      </w:r>
      <w:r>
        <w:rPr>
          <w:color w:val="auto"/>
        </w:rPr>
        <w:fldChar w:fldCharType="separate"/>
      </w:r>
      <w:r>
        <w:rPr>
          <w:rStyle w:val="42"/>
          <w:rFonts w:hint="eastAsia" w:ascii="仿宋_GB2312" w:eastAsia="仿宋_GB2312"/>
          <w:color w:val="auto"/>
          <w:sz w:val="32"/>
          <w:szCs w:val="32"/>
        </w:rPr>
        <w:t>项目</w:t>
      </w:r>
      <w:r>
        <w:rPr>
          <w:rStyle w:val="42"/>
          <w:rFonts w:hint="eastAsia" w:ascii="仿宋_GB2312" w:hAnsi="宋体" w:eastAsia="仿宋_GB2312"/>
          <w:color w:val="auto"/>
          <w:sz w:val="32"/>
          <w:szCs w:val="32"/>
        </w:rPr>
        <w:t>团队成员资历表</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_Toc16238397 \h </w:instrText>
      </w:r>
      <w:r>
        <w:rPr>
          <w:rFonts w:hint="eastAsia" w:ascii="仿宋_GB2312" w:eastAsia="仿宋_GB2312"/>
          <w:color w:val="auto"/>
          <w:sz w:val="32"/>
          <w:szCs w:val="32"/>
        </w:rPr>
        <w:fldChar w:fldCharType="separate"/>
      </w:r>
      <w:r>
        <w:rPr>
          <w:rFonts w:ascii="仿宋_GB2312" w:eastAsia="仿宋_GB2312"/>
          <w:color w:val="auto"/>
          <w:sz w:val="32"/>
          <w:szCs w:val="32"/>
        </w:rPr>
        <w:t>37</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"_Toc16238398" </w:instrText>
      </w:r>
      <w:r>
        <w:rPr>
          <w:color w:val="auto"/>
        </w:rPr>
        <w:fldChar w:fldCharType="separate"/>
      </w:r>
      <w:r>
        <w:rPr>
          <w:rStyle w:val="42"/>
          <w:rFonts w:hint="eastAsia" w:ascii="仿宋_GB2312" w:eastAsia="仿宋_GB2312"/>
          <w:color w:val="auto"/>
          <w:sz w:val="32"/>
          <w:szCs w:val="32"/>
        </w:rPr>
        <w:t>附件7：</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_Toc16238398 \h </w:instrText>
      </w:r>
      <w:r>
        <w:rPr>
          <w:rFonts w:hint="eastAsia" w:ascii="仿宋_GB2312" w:eastAsia="仿宋_GB2312"/>
          <w:color w:val="auto"/>
          <w:sz w:val="32"/>
          <w:szCs w:val="32"/>
        </w:rPr>
        <w:fldChar w:fldCharType="separate"/>
      </w:r>
      <w:r>
        <w:rPr>
          <w:rFonts w:ascii="仿宋_GB2312" w:eastAsia="仿宋_GB2312"/>
          <w:color w:val="auto"/>
          <w:sz w:val="32"/>
          <w:szCs w:val="32"/>
        </w:rPr>
        <w:t>38</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"_Toc16238399" </w:instrText>
      </w:r>
      <w:r>
        <w:rPr>
          <w:color w:val="auto"/>
        </w:rPr>
        <w:fldChar w:fldCharType="separate"/>
      </w:r>
      <w:r>
        <w:rPr>
          <w:rStyle w:val="42"/>
          <w:rFonts w:hint="eastAsia" w:ascii="仿宋_GB2312" w:eastAsia="仿宋_GB2312"/>
          <w:color w:val="auto"/>
          <w:sz w:val="32"/>
          <w:szCs w:val="32"/>
        </w:rPr>
        <w:t>投标保密承诺书</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_Toc16238399 \h </w:instrText>
      </w:r>
      <w:r>
        <w:rPr>
          <w:rFonts w:hint="eastAsia" w:ascii="仿宋_GB2312" w:eastAsia="仿宋_GB2312"/>
          <w:color w:val="auto"/>
          <w:sz w:val="32"/>
          <w:szCs w:val="32"/>
        </w:rPr>
        <w:fldChar w:fldCharType="separate"/>
      </w:r>
      <w:r>
        <w:rPr>
          <w:rFonts w:ascii="仿宋_GB2312" w:eastAsia="仿宋_GB2312"/>
          <w:color w:val="auto"/>
          <w:sz w:val="32"/>
          <w:szCs w:val="32"/>
        </w:rPr>
        <w:t>38</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1"/>
        <w:tabs>
          <w:tab w:val="right" w:leader="dot" w:pos="8722"/>
        </w:tabs>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"_Toc16238400" </w:instrText>
      </w:r>
      <w:r>
        <w:rPr>
          <w:color w:val="auto"/>
        </w:rPr>
        <w:fldChar w:fldCharType="separate"/>
      </w:r>
      <w:r>
        <w:rPr>
          <w:rStyle w:val="42"/>
          <w:rFonts w:hint="eastAsia" w:ascii="仿宋_GB2312" w:hAnsi="黑体" w:eastAsia="仿宋_GB2312"/>
          <w:color w:val="auto"/>
          <w:kern w:val="44"/>
          <w:sz w:val="32"/>
          <w:szCs w:val="32"/>
          <w:lang w:val="zh-CN"/>
        </w:rPr>
        <w:t>第六章  任务书</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_Toc16238400 \h </w:instrText>
      </w:r>
      <w:r>
        <w:rPr>
          <w:rFonts w:hint="eastAsia" w:ascii="仿宋_GB2312" w:eastAsia="仿宋_GB2312"/>
          <w:color w:val="auto"/>
          <w:sz w:val="32"/>
          <w:szCs w:val="32"/>
        </w:rPr>
        <w:fldChar w:fldCharType="separate"/>
      </w:r>
      <w:r>
        <w:rPr>
          <w:rFonts w:ascii="仿宋_GB2312" w:eastAsia="仿宋_GB2312"/>
          <w:color w:val="auto"/>
          <w:sz w:val="32"/>
          <w:szCs w:val="32"/>
        </w:rPr>
        <w:t>40</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"_Toc16238401" </w:instrText>
      </w:r>
      <w:r>
        <w:rPr>
          <w:color w:val="auto"/>
        </w:rPr>
        <w:fldChar w:fldCharType="separate"/>
      </w:r>
      <w:r>
        <w:rPr>
          <w:rStyle w:val="42"/>
          <w:rFonts w:hint="eastAsia" w:ascii="仿宋_GB2312" w:hAnsi="黑体" w:eastAsia="仿宋_GB2312" w:cs="黑体"/>
          <w:color w:val="auto"/>
          <w:sz w:val="32"/>
          <w:szCs w:val="32"/>
        </w:rPr>
        <w:t>一、任务背景及概况</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_Toc16238401 \h </w:instrText>
      </w:r>
      <w:r>
        <w:rPr>
          <w:rFonts w:hint="eastAsia" w:ascii="仿宋_GB2312" w:eastAsia="仿宋_GB2312"/>
          <w:color w:val="auto"/>
          <w:sz w:val="32"/>
          <w:szCs w:val="32"/>
        </w:rPr>
        <w:fldChar w:fldCharType="separate"/>
      </w:r>
      <w:r>
        <w:rPr>
          <w:rFonts w:ascii="仿宋_GB2312" w:eastAsia="仿宋_GB2312"/>
          <w:color w:val="auto"/>
          <w:sz w:val="32"/>
          <w:szCs w:val="32"/>
        </w:rPr>
        <w:t>40</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"_Toc16238402" </w:instrText>
      </w:r>
      <w:r>
        <w:rPr>
          <w:color w:val="auto"/>
        </w:rPr>
        <w:fldChar w:fldCharType="separate"/>
      </w:r>
      <w:r>
        <w:rPr>
          <w:rStyle w:val="42"/>
          <w:rFonts w:hint="eastAsia" w:ascii="仿宋_GB2312" w:hAnsi="黑体" w:eastAsia="仿宋_GB2312" w:cs="黑体"/>
          <w:color w:val="auto"/>
          <w:sz w:val="32"/>
          <w:szCs w:val="32"/>
        </w:rPr>
        <w:t>二、工作任务</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_Toc16238402 \h </w:instrText>
      </w:r>
      <w:r>
        <w:rPr>
          <w:rFonts w:hint="eastAsia" w:ascii="仿宋_GB2312" w:eastAsia="仿宋_GB2312"/>
          <w:color w:val="auto"/>
          <w:sz w:val="32"/>
          <w:szCs w:val="32"/>
        </w:rPr>
        <w:fldChar w:fldCharType="separate"/>
      </w:r>
      <w:r>
        <w:rPr>
          <w:rFonts w:ascii="仿宋_GB2312" w:eastAsia="仿宋_GB2312"/>
          <w:color w:val="auto"/>
          <w:sz w:val="32"/>
          <w:szCs w:val="32"/>
        </w:rPr>
        <w:t>41</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"_Toc16238403" </w:instrText>
      </w:r>
      <w:r>
        <w:rPr>
          <w:color w:val="auto"/>
        </w:rPr>
        <w:fldChar w:fldCharType="separate"/>
      </w:r>
      <w:r>
        <w:rPr>
          <w:rStyle w:val="42"/>
          <w:rFonts w:hint="eastAsia" w:ascii="仿宋_GB2312" w:hAnsi="黑体" w:eastAsia="仿宋_GB2312" w:cs="黑体"/>
          <w:color w:val="auto"/>
          <w:sz w:val="32"/>
          <w:szCs w:val="32"/>
        </w:rPr>
        <w:t>三、实施效果</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_Toc16238403 \h </w:instrText>
      </w:r>
      <w:r>
        <w:rPr>
          <w:rFonts w:hint="eastAsia" w:ascii="仿宋_GB2312" w:eastAsia="仿宋_GB2312"/>
          <w:color w:val="auto"/>
          <w:sz w:val="32"/>
          <w:szCs w:val="32"/>
        </w:rPr>
        <w:fldChar w:fldCharType="separate"/>
      </w:r>
      <w:r>
        <w:rPr>
          <w:rFonts w:ascii="仿宋_GB2312" w:eastAsia="仿宋_GB2312"/>
          <w:color w:val="auto"/>
          <w:sz w:val="32"/>
          <w:szCs w:val="32"/>
        </w:rPr>
        <w:t>43</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"_Toc16238404" </w:instrText>
      </w:r>
      <w:r>
        <w:rPr>
          <w:color w:val="auto"/>
        </w:rPr>
        <w:fldChar w:fldCharType="separate"/>
      </w:r>
      <w:r>
        <w:rPr>
          <w:rStyle w:val="42"/>
          <w:rFonts w:hint="eastAsia" w:ascii="仿宋_GB2312" w:hAnsi="黑体" w:eastAsia="仿宋_GB2312" w:cs="宋体"/>
          <w:color w:val="auto"/>
          <w:kern w:val="0"/>
          <w:sz w:val="32"/>
          <w:szCs w:val="32"/>
        </w:rPr>
        <w:t>四、任务工作要求</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_Toc16238404 \h </w:instrText>
      </w:r>
      <w:r>
        <w:rPr>
          <w:rFonts w:hint="eastAsia" w:ascii="仿宋_GB2312" w:eastAsia="仿宋_GB2312"/>
          <w:color w:val="auto"/>
          <w:sz w:val="32"/>
          <w:szCs w:val="32"/>
        </w:rPr>
        <w:fldChar w:fldCharType="separate"/>
      </w:r>
      <w:r>
        <w:rPr>
          <w:rFonts w:ascii="仿宋_GB2312" w:eastAsia="仿宋_GB2312"/>
          <w:color w:val="auto"/>
          <w:sz w:val="32"/>
          <w:szCs w:val="32"/>
        </w:rPr>
        <w:t>43</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spacing w:line="560" w:lineRule="exact"/>
        <w:rPr>
          <w:rFonts w:ascii="仿宋_GB2312" w:eastAsia="仿宋_GB2312" w:hAnsiTheme="minorHAnsi" w:cstheme="minorBidi"/>
          <w:color w:val="auto"/>
          <w:sz w:val="32"/>
          <w:szCs w:val="32"/>
        </w:rPr>
      </w:pPr>
      <w:r>
        <w:rPr>
          <w:color w:val="auto"/>
        </w:rPr>
        <w:fldChar w:fldCharType="begin"/>
      </w:r>
      <w:r>
        <w:rPr>
          <w:color w:val="auto"/>
        </w:rPr>
        <w:instrText xml:space="preserve"> HYPERLINK \l "_Toc16238405" </w:instrText>
      </w:r>
      <w:r>
        <w:rPr>
          <w:color w:val="auto"/>
        </w:rPr>
        <w:fldChar w:fldCharType="separate"/>
      </w:r>
      <w:r>
        <w:rPr>
          <w:rStyle w:val="42"/>
          <w:rFonts w:hint="eastAsia" w:ascii="仿宋_GB2312" w:hAnsi="黑体" w:eastAsia="仿宋_GB2312" w:cs="宋体"/>
          <w:color w:val="auto"/>
          <w:kern w:val="0"/>
          <w:sz w:val="32"/>
          <w:szCs w:val="32"/>
        </w:rPr>
        <w:t>五、信息保密的相关要求</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_Toc16238405 \h </w:instrText>
      </w:r>
      <w:r>
        <w:rPr>
          <w:rFonts w:hint="eastAsia" w:ascii="仿宋_GB2312" w:eastAsia="仿宋_GB2312"/>
          <w:color w:val="auto"/>
          <w:sz w:val="32"/>
          <w:szCs w:val="32"/>
        </w:rPr>
        <w:fldChar w:fldCharType="separate"/>
      </w:r>
      <w:r>
        <w:rPr>
          <w:rFonts w:ascii="仿宋_GB2312" w:eastAsia="仿宋_GB2312"/>
          <w:color w:val="auto"/>
          <w:sz w:val="32"/>
          <w:szCs w:val="32"/>
        </w:rPr>
        <w:t>44</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tabs>
          <w:tab w:val="right" w:leader="dot" w:pos="8820"/>
        </w:tabs>
        <w:spacing w:line="560" w:lineRule="exact"/>
        <w:ind w:right="178" w:rightChars="85" w:firstLine="960" w:firstLineChars="300"/>
        <w:rPr>
          <w:rFonts w:ascii="新宋体" w:hAnsi="新宋体" w:eastAsia="新宋体" w:cs="新宋体"/>
          <w:color w:val="auto"/>
          <w:sz w:val="32"/>
          <w:szCs w:val="32"/>
          <w:u w:val="single"/>
        </w:rPr>
      </w:pPr>
      <w:r>
        <w:rPr>
          <w:rFonts w:hint="eastAsia" w:ascii="新宋体" w:hAnsi="新宋体" w:eastAsia="新宋体" w:cs="新宋体"/>
          <w:color w:val="auto"/>
          <w:sz w:val="32"/>
          <w:szCs w:val="32"/>
        </w:rPr>
        <w:fldChar w:fldCharType="end"/>
      </w:r>
    </w:p>
    <w:p>
      <w:pPr>
        <w:tabs>
          <w:tab w:val="right" w:leader="dot" w:pos="8820"/>
        </w:tabs>
        <w:snapToGrid w:val="0"/>
        <w:spacing w:line="360" w:lineRule="auto"/>
        <w:jc w:val="left"/>
        <w:rPr>
          <w:rFonts w:ascii="Times New Roman" w:hAnsi="Times New Roman" w:eastAsia="宋体" w:cs="Times New Roman"/>
          <w:color w:val="auto"/>
          <w:sz w:val="24"/>
          <w:szCs w:val="24"/>
        </w:rPr>
      </w:pPr>
    </w:p>
    <w:p>
      <w:pPr>
        <w:keepNext/>
        <w:keepLines/>
        <w:spacing w:before="120" w:after="120" w:line="360" w:lineRule="auto"/>
        <w:jc w:val="center"/>
        <w:outlineLvl w:val="0"/>
        <w:rPr>
          <w:rFonts w:ascii="Arial" w:hAnsi="Arial" w:eastAsia="黑体" w:cs="Times New Roman"/>
          <w:bCs/>
          <w:color w:val="auto"/>
          <w:kern w:val="44"/>
          <w:sz w:val="36"/>
          <w:szCs w:val="36"/>
        </w:rPr>
        <w:sectPr>
          <w:endnotePr>
            <w:numFmt w:val="decimal"/>
          </w:endnotePr>
          <w:pgSz w:w="11906" w:h="16838"/>
          <w:pgMar w:top="2098" w:right="1587" w:bottom="2098" w:left="1587" w:header="851" w:footer="748" w:gutter="0"/>
          <w:pgNumType w:start="0"/>
          <w:cols w:space="720" w:num="1"/>
          <w:titlePg/>
          <w:docGrid w:linePitch="312" w:charSpace="0"/>
        </w:sectPr>
      </w:pPr>
      <w:bookmarkStart w:id="8" w:name="_第一章__投标须知"/>
      <w:bookmarkEnd w:id="8"/>
      <w:bookmarkStart w:id="9" w:name="_Toc101777609"/>
      <w:bookmarkStart w:id="10" w:name="_Toc413933283"/>
      <w:bookmarkStart w:id="11" w:name="_Toc301212624"/>
      <w:bookmarkStart w:id="12" w:name="_Toc242005118"/>
    </w:p>
    <w:p>
      <w:pPr>
        <w:keepNext/>
        <w:keepLines/>
        <w:spacing w:before="120" w:after="120" w:line="360" w:lineRule="auto"/>
        <w:jc w:val="center"/>
        <w:outlineLvl w:val="0"/>
        <w:rPr>
          <w:rFonts w:ascii="Arial" w:hAnsi="宋体" w:eastAsia="宋体" w:cs="宋体"/>
          <w:bCs/>
          <w:color w:val="auto"/>
          <w:kern w:val="0"/>
          <w:sz w:val="36"/>
          <w:szCs w:val="44"/>
        </w:rPr>
      </w:pPr>
      <w:bookmarkStart w:id="13" w:name="_Toc24810"/>
      <w:bookmarkStart w:id="14" w:name="_Toc16238369"/>
      <w:bookmarkStart w:id="15" w:name="_Hlk15464060"/>
      <w:r>
        <w:rPr>
          <w:rFonts w:hint="eastAsia" w:ascii="Arial" w:hAnsi="Arial" w:eastAsia="黑体" w:cs="Times New Roman"/>
          <w:bCs/>
          <w:color w:val="auto"/>
          <w:kern w:val="44"/>
          <w:sz w:val="36"/>
          <w:szCs w:val="36"/>
        </w:rPr>
        <w:t>第一章</w:t>
      </w:r>
      <w:r>
        <w:rPr>
          <w:rFonts w:ascii="Arial" w:hAnsi="Arial" w:eastAsia="黑体" w:cs="Times New Roman"/>
          <w:bCs/>
          <w:color w:val="auto"/>
          <w:kern w:val="44"/>
          <w:sz w:val="36"/>
          <w:szCs w:val="36"/>
        </w:rPr>
        <w:t xml:space="preserve">  </w:t>
      </w:r>
      <w:bookmarkEnd w:id="9"/>
      <w:bookmarkEnd w:id="10"/>
      <w:bookmarkEnd w:id="11"/>
      <w:bookmarkEnd w:id="12"/>
      <w:bookmarkEnd w:id="13"/>
      <w:r>
        <w:rPr>
          <w:rFonts w:hint="eastAsia" w:ascii="Arial" w:hAnsi="Arial" w:eastAsia="黑体" w:cs="Times New Roman"/>
          <w:bCs/>
          <w:color w:val="auto"/>
          <w:kern w:val="44"/>
          <w:sz w:val="36"/>
          <w:szCs w:val="36"/>
        </w:rPr>
        <w:t>投标邀请函</w:t>
      </w:r>
      <w:bookmarkEnd w:id="14"/>
    </w:p>
    <w:bookmarkEnd w:id="15"/>
    <w:p>
      <w:pPr>
        <w:spacing w:line="560" w:lineRule="exact"/>
        <w:rPr>
          <w:rFonts w:ascii="仿宋_GB2312" w:hAnsi="仿宋_GB2312" w:eastAsia="仿宋_GB2312" w:cs="仿宋_GB2312"/>
          <w:color w:val="auto"/>
          <w:sz w:val="32"/>
          <w:szCs w:val="32"/>
        </w:rPr>
      </w:pPr>
      <w:bookmarkStart w:id="16" w:name="_Toc242005119"/>
      <w:bookmarkStart w:id="17" w:name="_Toc346895278"/>
      <w:bookmarkStart w:id="18" w:name="_Toc413933177"/>
      <w:bookmarkStart w:id="19" w:name="_Toc18642"/>
      <w:bookmarkStart w:id="20" w:name="_Toc413933284"/>
      <w:bookmarkStart w:id="21" w:name="_Toc101777610"/>
      <w:r>
        <w:rPr>
          <w:rFonts w:hint="eastAsia" w:ascii="仿宋_GB2312" w:hAnsi="仿宋_GB2312" w:eastAsia="仿宋_GB2312" w:cs="仿宋_GB2312"/>
          <w:color w:val="auto"/>
          <w:sz w:val="32"/>
          <w:szCs w:val="32"/>
        </w:rPr>
        <w:t>致投标人：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广州南沙资产经营有限公司及广州南沙建设投资有限公司</w:t>
      </w:r>
      <w:bookmarkStart w:id="22" w:name="_Hlk15464359"/>
      <w:r>
        <w:rPr>
          <w:rFonts w:hint="eastAsia" w:ascii="仿宋_GB2312" w:hAnsi="仿宋_GB2312" w:eastAsia="仿宋_GB2312" w:cs="仿宋_GB2312"/>
          <w:color w:val="auto"/>
          <w:sz w:val="32"/>
          <w:szCs w:val="32"/>
        </w:rPr>
        <w:t>薪酬体系设计专项服务</w:t>
      </w:r>
      <w:bookmarkEnd w:id="22"/>
      <w:r>
        <w:rPr>
          <w:rFonts w:hint="eastAsia" w:ascii="仿宋_GB2312" w:hAnsi="仿宋_GB2312" w:eastAsia="仿宋_GB2312" w:cs="仿宋_GB2312"/>
          <w:color w:val="auto"/>
          <w:sz w:val="32"/>
          <w:szCs w:val="32"/>
        </w:rPr>
        <w:t>项目（第二次）</w:t>
      </w:r>
      <w:r>
        <w:rPr>
          <w:rFonts w:hint="eastAsia" w:ascii="仿宋_GB2312" w:hAnsi="等线" w:eastAsia="仿宋_GB2312" w:cs="等线"/>
          <w:color w:val="auto"/>
          <w:spacing w:val="12"/>
          <w:sz w:val="32"/>
          <w:szCs w:val="32"/>
        </w:rPr>
        <w:t>已具备招标条件，现决定</w:t>
      </w:r>
      <w:r>
        <w:rPr>
          <w:rFonts w:hint="eastAsia" w:ascii="仿宋_GB2312" w:hAnsi="仿宋_GB2312" w:eastAsia="仿宋_GB2312" w:cs="仿宋_GB2312"/>
          <w:bCs/>
          <w:color w:val="auto"/>
          <w:sz w:val="32"/>
          <w:szCs w:val="32"/>
        </w:rPr>
        <w:t>进行邀请招标，</w:t>
      </w:r>
      <w:r>
        <w:rPr>
          <w:rFonts w:hint="eastAsia" w:ascii="仿宋_GB2312" w:hAnsi="仿宋_GB2312" w:eastAsia="仿宋_GB2312" w:cs="仿宋_GB2312"/>
          <w:color w:val="auto"/>
          <w:sz w:val="32"/>
          <w:szCs w:val="32"/>
        </w:rPr>
        <w:t>邀请贵公司参加投标。</w:t>
      </w:r>
    </w:p>
    <w:p>
      <w:pPr>
        <w:numPr>
          <w:ilvl w:val="0"/>
          <w:numId w:val="1"/>
        </w:num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招标人：广州南沙资产经营有限公司、广州南沙建设投资有限公司。</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二、项目名称：广州南沙资产经营有限公司及广州南沙建设投资有限公司薪酬体系设计专项服务项目（第二次）。</w:t>
      </w:r>
    </w:p>
    <w:p>
      <w:pPr>
        <w:widowControl/>
        <w:spacing w:line="560" w:lineRule="exact"/>
        <w:ind w:firstLine="540"/>
        <w:jc w:val="left"/>
        <w:rPr>
          <w:rFonts w:ascii="仿宋_GB2312" w:hAnsi="宋体" w:eastAsia="仿宋_GB2312" w:cs="宋体"/>
          <w:color w:val="auto"/>
          <w:kern w:val="0"/>
          <w:sz w:val="32"/>
          <w:szCs w:val="32"/>
        </w:rPr>
      </w:pPr>
      <w:r>
        <w:rPr>
          <w:rFonts w:hint="eastAsia" w:ascii="仿宋_GB2312" w:hAnsi="仿宋_GB2312" w:eastAsia="仿宋_GB2312" w:cs="仿宋_GB2312"/>
          <w:color w:val="auto"/>
          <w:sz w:val="32"/>
          <w:szCs w:val="32"/>
        </w:rPr>
        <w:t>三、项目概况：</w:t>
      </w:r>
      <w:r>
        <w:rPr>
          <w:rFonts w:hint="eastAsia" w:ascii="仿宋_GB2312" w:hAnsi="等线" w:eastAsia="仿宋_GB2312" w:cs="等线"/>
          <w:color w:val="auto"/>
          <w:spacing w:val="12"/>
          <w:sz w:val="32"/>
          <w:szCs w:val="32"/>
        </w:rPr>
        <w:t>广州南沙资产经营有限公司成立于2002年，于2011年与广州南沙经济技术开发总公司（成立于1992年）整合重组、合并经营（两家公司以下统称为资产公司），是广州南沙新区、自贸区开发建设的主力军，经过二十多年发展，现已成为行业涵盖港航物流、房地产开发、文化旅游、公共交通、市政工程建设、基础设施投资、进出口贸易、教育培训、物业管理、高尔夫球会等多个领域的南沙区属国有企业。</w:t>
      </w:r>
      <w:bookmarkStart w:id="23" w:name="_Hlk16166875"/>
      <w:r>
        <w:rPr>
          <w:rFonts w:hint="eastAsia" w:ascii="仿宋_GB2312" w:hAnsi="等线" w:eastAsia="仿宋_GB2312" w:cs="等线"/>
          <w:color w:val="auto"/>
          <w:spacing w:val="12"/>
          <w:sz w:val="32"/>
          <w:szCs w:val="32"/>
        </w:rPr>
        <w:t>广州南沙建设投资有限公司（以下简称建投公司）</w:t>
      </w:r>
      <w:r>
        <w:rPr>
          <w:rFonts w:hint="eastAsia" w:ascii="仿宋_GB2312" w:hAnsi="宋体" w:eastAsia="仿宋_GB2312" w:cs="宋体"/>
          <w:color w:val="auto"/>
          <w:kern w:val="0"/>
          <w:sz w:val="32"/>
          <w:szCs w:val="32"/>
        </w:rPr>
        <w:t>成立于2003年，系</w:t>
      </w:r>
      <w:r>
        <w:rPr>
          <w:rFonts w:hint="eastAsia" w:ascii="仿宋_GB2312" w:eastAsia="仿宋_GB2312"/>
          <w:color w:val="auto"/>
          <w:sz w:val="32"/>
          <w:szCs w:val="32"/>
        </w:rPr>
        <w:t>资产公司全资子公司，是资产</w:t>
      </w:r>
      <w:r>
        <w:rPr>
          <w:rFonts w:hint="eastAsia" w:ascii="仿宋_GB2312" w:hAnsi="宋体" w:eastAsia="仿宋_GB2312" w:cs="宋体"/>
          <w:color w:val="auto"/>
          <w:kern w:val="0"/>
          <w:sz w:val="32"/>
          <w:szCs w:val="32"/>
        </w:rPr>
        <w:t>公司工程建设和房地产业务板块的</w:t>
      </w:r>
      <w:r>
        <w:rPr>
          <w:rFonts w:hint="eastAsia" w:ascii="仿宋_GB2312" w:eastAsia="仿宋_GB2312"/>
          <w:color w:val="auto"/>
          <w:sz w:val="32"/>
          <w:szCs w:val="32"/>
        </w:rPr>
        <w:t>管理平台。</w:t>
      </w:r>
    </w:p>
    <w:bookmarkEnd w:id="23"/>
    <w:p>
      <w:pPr>
        <w:pStyle w:val="37"/>
        <w:spacing w:before="0" w:beforeAutospacing="0" w:after="0" w:afterAutospacing="0" w:line="560" w:lineRule="exact"/>
        <w:ind w:firstLine="688" w:firstLineChars="200"/>
        <w:rPr>
          <w:rFonts w:ascii="仿宋_GB2312" w:hAnsi="等线" w:eastAsia="仿宋_GB2312" w:cs="等线"/>
          <w:color w:val="auto"/>
          <w:spacing w:val="12"/>
          <w:sz w:val="32"/>
          <w:szCs w:val="32"/>
        </w:rPr>
      </w:pPr>
      <w:r>
        <w:rPr>
          <w:rFonts w:hint="eastAsia" w:ascii="仿宋_GB2312" w:hAnsi="等线" w:eastAsia="仿宋_GB2312" w:cs="等线"/>
          <w:color w:val="auto"/>
          <w:spacing w:val="12"/>
          <w:sz w:val="32"/>
          <w:szCs w:val="32"/>
        </w:rPr>
        <w:t>基于资产公司及建投公司的发展战略和业务经营需要，计划通过聘请国内人力资源管理咨询机构，对资产公司一、二级总部及建投公司的组织结构进行优化，提出管理诊断意见和优化设计建议方案，以及薪酬体系设计方案，为资产公司战略目标的实现提供人力资源保障。</w:t>
      </w:r>
    </w:p>
    <w:p>
      <w:pPr>
        <w:tabs>
          <w:tab w:val="left" w:pos="1050"/>
        </w:tabs>
        <w:spacing w:line="560" w:lineRule="exact"/>
        <w:ind w:firstLine="560" w:firstLineChars="175"/>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四、项目内容：</w:t>
      </w:r>
      <w:bookmarkStart w:id="24" w:name="_Hlk15466530"/>
      <w:r>
        <w:rPr>
          <w:rFonts w:hint="eastAsia" w:ascii="仿宋_GB2312" w:hAnsi="仿宋_GB2312" w:eastAsia="仿宋_GB2312" w:cs="仿宋_GB2312"/>
          <w:color w:val="auto"/>
          <w:sz w:val="32"/>
          <w:szCs w:val="32"/>
        </w:rPr>
        <w:t>详见招标文件</w:t>
      </w:r>
      <w:bookmarkEnd w:id="24"/>
      <w:r>
        <w:rPr>
          <w:rFonts w:hint="eastAsia" w:ascii="仿宋_GB2312" w:hAnsi="仿宋_GB2312" w:eastAsia="仿宋_GB2312" w:cs="仿宋_GB2312"/>
          <w:color w:val="auto"/>
          <w:sz w:val="32"/>
          <w:szCs w:val="32"/>
        </w:rPr>
        <w:t>第六章</w:t>
      </w:r>
      <w:r>
        <w:rPr>
          <w:rFonts w:hint="eastAsia" w:ascii="仿宋_GB2312" w:hAnsi="仿宋_GB2312" w:eastAsia="仿宋_GB2312" w:cs="仿宋_GB2312"/>
          <w:color w:val="auto"/>
          <w:sz w:val="32"/>
          <w:szCs w:val="32"/>
          <w:lang w:val="zh-CN"/>
        </w:rPr>
        <w:t>任务书。</w:t>
      </w:r>
    </w:p>
    <w:p>
      <w:pPr>
        <w:tabs>
          <w:tab w:val="left" w:pos="1050"/>
        </w:tabs>
        <w:spacing w:line="560" w:lineRule="exact"/>
        <w:ind w:firstLine="560" w:firstLineChars="175"/>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本项目最高限价为：</w:t>
      </w:r>
      <w:r>
        <w:rPr>
          <w:rFonts w:ascii="仿宋_GB2312" w:hAnsi="仿宋_GB2312" w:eastAsia="仿宋_GB2312" w:cs="仿宋_GB2312"/>
          <w:color w:val="auto"/>
          <w:sz w:val="32"/>
          <w:szCs w:val="32"/>
          <w:lang w:val="zh-CN"/>
        </w:rPr>
        <w:t>58</w:t>
      </w:r>
      <w:r>
        <w:rPr>
          <w:rFonts w:hint="eastAsia" w:ascii="仿宋_GB2312" w:hAnsi="仿宋_GB2312" w:eastAsia="仿宋_GB2312" w:cs="仿宋_GB2312"/>
          <w:color w:val="auto"/>
          <w:sz w:val="32"/>
          <w:szCs w:val="32"/>
        </w:rPr>
        <w:t>万</w:t>
      </w:r>
      <w:r>
        <w:rPr>
          <w:rFonts w:ascii="仿宋_GB2312" w:hAnsi="仿宋_GB2312" w:eastAsia="仿宋_GB2312" w:cs="仿宋_GB2312"/>
          <w:color w:val="auto"/>
          <w:sz w:val="32"/>
          <w:szCs w:val="32"/>
          <w:lang w:val="zh-CN"/>
        </w:rPr>
        <w:t>元人民币</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含税</w:t>
      </w:r>
      <w:r>
        <w:rPr>
          <w:rFonts w:hint="eastAsia" w:ascii="仿宋_GB2312" w:hAnsi="仿宋_GB2312" w:eastAsia="仿宋_GB2312" w:cs="仿宋_GB2312"/>
          <w:color w:val="auto"/>
          <w:sz w:val="32"/>
          <w:szCs w:val="32"/>
          <w:lang w:val="zh-CN"/>
        </w:rPr>
        <w:t>）。</w:t>
      </w:r>
    </w:p>
    <w:p>
      <w:pPr>
        <w:tabs>
          <w:tab w:val="left" w:pos="0"/>
        </w:tabs>
        <w:spacing w:line="560" w:lineRule="exact"/>
        <w:ind w:firstLine="566" w:firstLineChars="177"/>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进度要求：</w:t>
      </w:r>
      <w:r>
        <w:rPr>
          <w:rFonts w:hint="eastAsia" w:ascii="仿宋_GB2312" w:hAnsi="仿宋_GB2312" w:eastAsia="仿宋_GB2312" w:cs="仿宋_GB2312"/>
          <w:color w:val="auto"/>
          <w:sz w:val="32"/>
          <w:szCs w:val="32"/>
          <w:lang w:val="zh-CN"/>
        </w:rPr>
        <w:t>本项目自合同签署后10日历天内开工，项目开工后90日历天内交付并通过项目成果验收。如由于招标人的原因开工日期推迟则项目验收日期相应推后。</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七、投标人资质要求：</w:t>
      </w:r>
    </w:p>
    <w:p>
      <w:pPr>
        <w:widowControl/>
        <w:ind w:firstLine="640" w:firstLineChars="200"/>
        <w:jc w:val="left"/>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（1）投标人必须是在中国注册的企业法人，具有独立的法人资格和独立承担民事责任的能力。</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（2）企业经营范围含企业管理（咨询），具体国家企业信用信息公示系统查询结果为准。</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3）项目负责人：具有大学本科及以上学历，5年以上人力资源管理咨询工作经验，2015年1月1日起至今，至少担任过1个签约合同金额在50万元以上（含50万元）的国有企业的人力资源管理咨询服务业绩的项目负责人。技术咨询人员不少于3人，均需具备大学本科及以上学历，并具备2年以上（含2年）人力资源管理项目咨询经验。</w:t>
      </w:r>
    </w:p>
    <w:p>
      <w:pPr>
        <w:numPr>
          <w:ilvl w:val="0"/>
          <w:numId w:val="2"/>
        </w:numPr>
        <w:tabs>
          <w:tab w:val="left" w:pos="1050"/>
        </w:tabs>
        <w:spacing w:line="560" w:lineRule="exact"/>
        <w:ind w:firstLine="560" w:firstLineChars="175"/>
        <w:rPr>
          <w:rFonts w:ascii="仿宋_GB2312" w:hAnsi="等线" w:eastAsia="仿宋_GB2312" w:cs="Times New Roman"/>
          <w:color w:val="auto"/>
          <w:sz w:val="32"/>
          <w:szCs w:val="32"/>
        </w:rPr>
      </w:pPr>
      <w:r>
        <w:rPr>
          <w:rFonts w:hint="eastAsia" w:ascii="仿宋_GB2312" w:hAnsi="宋体" w:eastAsia="仿宋_GB2312" w:cs="宋体"/>
          <w:color w:val="auto"/>
          <w:kern w:val="0"/>
          <w:sz w:val="32"/>
          <w:szCs w:val="32"/>
        </w:rPr>
        <w:t>投标人自</w:t>
      </w:r>
      <w:r>
        <w:rPr>
          <w:rFonts w:hint="eastAsia" w:ascii="仿宋_GB2312" w:hAnsi="等线" w:eastAsia="仿宋_GB2312" w:cs="Times New Roman"/>
          <w:color w:val="auto"/>
          <w:sz w:val="32"/>
          <w:szCs w:val="32"/>
        </w:rPr>
        <w:t>2015年1月1日</w:t>
      </w:r>
      <w:r>
        <w:rPr>
          <w:rFonts w:hint="eastAsia" w:ascii="仿宋_GB2312" w:hAnsi="宋体" w:eastAsia="仿宋_GB2312" w:cs="宋体"/>
          <w:color w:val="auto"/>
          <w:kern w:val="0"/>
          <w:sz w:val="32"/>
          <w:szCs w:val="32"/>
        </w:rPr>
        <w:t>至今独立完成过至少一项</w:t>
      </w:r>
      <w:r>
        <w:rPr>
          <w:rFonts w:hint="eastAsia" w:ascii="仿宋_GB2312" w:hAnsi="等线" w:eastAsia="仿宋_GB2312" w:cs="Times New Roman"/>
          <w:color w:val="auto"/>
          <w:sz w:val="32"/>
          <w:szCs w:val="32"/>
        </w:rPr>
        <w:t>国内国有企业集团及属下企业的薪酬激励体系优化专业经验和成功案例</w:t>
      </w:r>
      <w:r>
        <w:rPr>
          <w:rFonts w:hint="eastAsia" w:ascii="仿宋_GB2312" w:hAnsi="宋体" w:eastAsia="仿宋_GB2312" w:cs="宋体"/>
          <w:color w:val="auto"/>
          <w:kern w:val="0"/>
          <w:sz w:val="32"/>
          <w:szCs w:val="32"/>
        </w:rPr>
        <w:t>的业绩证明文件</w:t>
      </w:r>
      <w:r>
        <w:rPr>
          <w:rFonts w:hint="eastAsia" w:ascii="仿宋_GB2312" w:hAnsi="等线" w:eastAsia="仿宋_GB2312" w:cs="Times New Roman"/>
          <w:color w:val="auto"/>
          <w:sz w:val="32"/>
          <w:szCs w:val="32"/>
        </w:rPr>
        <w:t>，</w:t>
      </w:r>
      <w:bookmarkStart w:id="25" w:name="_Hlk16256138"/>
      <w:r>
        <w:rPr>
          <w:rFonts w:hint="eastAsia" w:ascii="仿宋_GB2312" w:hAnsi="等线" w:eastAsia="仿宋_GB2312" w:cs="Times New Roman"/>
          <w:color w:val="auto"/>
          <w:sz w:val="32"/>
          <w:szCs w:val="32"/>
        </w:rPr>
        <w:t>提供合同关键页复印件，加盖公章</w:t>
      </w:r>
      <w:bookmarkEnd w:id="25"/>
      <w:r>
        <w:rPr>
          <w:rFonts w:hint="eastAsia" w:ascii="仿宋_GB2312" w:hAnsi="等线" w:eastAsia="仿宋_GB2312" w:cs="Times New Roman"/>
          <w:color w:val="auto"/>
          <w:sz w:val="32"/>
          <w:szCs w:val="32"/>
        </w:rPr>
        <w:t>。</w:t>
      </w:r>
    </w:p>
    <w:p>
      <w:pPr>
        <w:numPr>
          <w:ilvl w:val="0"/>
          <w:numId w:val="2"/>
        </w:numPr>
        <w:tabs>
          <w:tab w:val="left" w:pos="1050"/>
        </w:tabs>
        <w:spacing w:line="560" w:lineRule="exact"/>
        <w:ind w:firstLine="560" w:firstLineChars="175"/>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 xml:space="preserve">本次招标不接受联合体投标和不允许分包。 </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八、招标文件领取：符合资格的投标人应当在201</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bookmarkStart w:id="187" w:name="_GoBack"/>
      <w:bookmarkEnd w:id="187"/>
      <w:r>
        <w:rPr>
          <w:rFonts w:hint="eastAsia" w:ascii="仿宋_GB2312" w:hAnsi="仿宋_GB2312" w:eastAsia="仿宋_GB2312" w:cs="仿宋_GB2312"/>
          <w:color w:val="auto"/>
          <w:sz w:val="32"/>
          <w:szCs w:val="32"/>
        </w:rPr>
        <w:t>日起至</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月2</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日自行在南沙资产公司官网下载。</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官网网址：</w:t>
      </w:r>
      <w:r>
        <w:rPr>
          <w:rFonts w:ascii="仿宋_GB2312" w:hAnsi="仿宋_GB2312" w:eastAsia="仿宋_GB2312" w:cs="仿宋_GB2312"/>
          <w:color w:val="auto"/>
          <w:sz w:val="32"/>
          <w:szCs w:val="32"/>
        </w:rPr>
        <w:t>http://www.gnao.com.cn/</w:t>
      </w:r>
      <w:r>
        <w:rPr>
          <w:rFonts w:hint="eastAsia" w:ascii="仿宋_GB2312" w:hAnsi="仿宋_GB2312" w:eastAsia="仿宋_GB2312" w:cs="仿宋_GB2312"/>
          <w:color w:val="auto"/>
          <w:sz w:val="32"/>
          <w:szCs w:val="32"/>
        </w:rPr>
        <w:t>。</w:t>
      </w:r>
    </w:p>
    <w:p>
      <w:pPr>
        <w:tabs>
          <w:tab w:val="left" w:pos="1050"/>
        </w:tabs>
        <w:spacing w:line="560" w:lineRule="exact"/>
        <w:ind w:left="8" w:firstLine="556" w:firstLineChars="17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九、投标文件递交</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截止时间：2019年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月2</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日上午9：</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0分前。</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递交方式：投标文件送至我司（投标文件正本一份、副本四份）。</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递交地点：广州市南沙区海滨路171号金融大厦18楼1808室。</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接收人：蒋小姐020-66813692</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投标人的法定代表人或其有效授权委托人须凭法定代表人证明书（原件）、法定代表人授权委托证明书（原件）及本人身份证（原件）提交投标文件，否则其投标文件不被招标人接收。</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十、开标时间：201</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月2</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日上午9：40分。</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请各投标人的法定代表人或其有效授权委托人务必准时出席，并须带本人身份证以供招标人审查。</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十一、开标地点：广州市南沙区海滨路171号金融大厦1807会议室。</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十二、咨询及答复：对本次邀标有任何询问，请与我司邀标联系人联系。</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人：蒋小姐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肖先生</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r>
        <w:rPr>
          <w:color w:val="auto"/>
        </w:rPr>
        <w:fldChar w:fldCharType="begin"/>
      </w:r>
      <w:r>
        <w:rPr>
          <w:color w:val="auto"/>
        </w:rPr>
        <w:instrText xml:space="preserve"> HYPERLINK "mailto:rlzyb_gnao@gnao.com.cn" </w:instrText>
      </w:r>
      <w:r>
        <w:rPr>
          <w:color w:val="auto"/>
        </w:rPr>
        <w:fldChar w:fldCharType="separate"/>
      </w:r>
      <w:r>
        <w:rPr>
          <w:rStyle w:val="42"/>
          <w:rFonts w:ascii="仿宋_GB2312" w:hAnsi="仿宋_GB2312" w:eastAsia="仿宋_GB2312" w:cs="仿宋_GB2312"/>
          <w:color w:val="auto"/>
          <w:sz w:val="32"/>
          <w:szCs w:val="32"/>
        </w:rPr>
        <w:t>rlzyb_gnao@gnao.com.cn</w:t>
      </w:r>
      <w:r>
        <w:rPr>
          <w:rStyle w:val="42"/>
          <w:rFonts w:ascii="仿宋_GB2312" w:hAnsi="仿宋_GB2312" w:eastAsia="仿宋_GB2312" w:cs="仿宋_GB2312"/>
          <w:color w:val="auto"/>
          <w:sz w:val="32"/>
          <w:szCs w:val="32"/>
        </w:rPr>
        <w:fldChar w:fldCharType="end"/>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w:t>
      </w:r>
      <w:r>
        <w:rPr>
          <w:rFonts w:ascii="仿宋_GB2312" w:hAnsi="仿宋_GB2312" w:eastAsia="仿宋_GB2312" w:cs="仿宋_GB2312"/>
          <w:color w:val="auto"/>
          <w:sz w:val="32"/>
          <w:szCs w:val="32"/>
        </w:rPr>
        <w:t>20-66813</w:t>
      </w:r>
      <w:r>
        <w:rPr>
          <w:rFonts w:hint="eastAsia" w:ascii="仿宋_GB2312" w:hAnsi="仿宋_GB2312" w:eastAsia="仿宋_GB2312" w:cs="仿宋_GB2312"/>
          <w:color w:val="auto"/>
          <w:sz w:val="32"/>
          <w:szCs w:val="32"/>
        </w:rPr>
        <w:t>692</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020-66810075</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联系地址：广州市南沙区海滨路171号金融大厦17楼 </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   编：511457</w:t>
      </w:r>
    </w:p>
    <w:p>
      <w:pPr>
        <w:tabs>
          <w:tab w:val="left" w:pos="1050"/>
        </w:tabs>
        <w:spacing w:line="560" w:lineRule="exact"/>
        <w:ind w:firstLine="900" w:firstLineChars="300"/>
        <w:rPr>
          <w:rFonts w:ascii="宋体" w:hAnsi="宋体" w:eastAsia="等线" w:cs="宋体"/>
          <w:color w:val="auto"/>
          <w:sz w:val="30"/>
          <w:szCs w:val="30"/>
        </w:rPr>
      </w:pPr>
    </w:p>
    <w:p>
      <w:pPr>
        <w:tabs>
          <w:tab w:val="left" w:pos="1050"/>
        </w:tabs>
        <w:spacing w:line="560" w:lineRule="exact"/>
        <w:ind w:firstLine="900" w:firstLineChars="300"/>
        <w:rPr>
          <w:rFonts w:ascii="宋体" w:hAnsi="宋体" w:eastAsia="等线" w:cs="宋体"/>
          <w:color w:val="auto"/>
          <w:sz w:val="30"/>
          <w:szCs w:val="30"/>
        </w:rPr>
      </w:pPr>
    </w:p>
    <w:p>
      <w:pPr>
        <w:tabs>
          <w:tab w:val="left" w:pos="1050"/>
        </w:tabs>
        <w:spacing w:line="560" w:lineRule="exact"/>
        <w:ind w:firstLine="560" w:firstLineChars="175"/>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广州南沙资产经营有限公司 </w:t>
      </w:r>
    </w:p>
    <w:p>
      <w:pPr>
        <w:tabs>
          <w:tab w:val="left" w:pos="1050"/>
        </w:tabs>
        <w:spacing w:line="560" w:lineRule="exact"/>
        <w:ind w:firstLine="560" w:firstLineChars="175"/>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广州南沙建设投资有限公司</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2019年8月</w:t>
      </w:r>
      <w:r>
        <w:rPr>
          <w:rFonts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rPr>
        <w:t>日</w:t>
      </w:r>
    </w:p>
    <w:p>
      <w:pPr>
        <w:keepNext/>
        <w:keepLines/>
        <w:spacing w:after="100" w:afterAutospacing="1" w:line="360" w:lineRule="auto"/>
        <w:ind w:left="454" w:hanging="454"/>
        <w:jc w:val="center"/>
        <w:outlineLvl w:val="1"/>
        <w:rPr>
          <w:rFonts w:ascii="宋体" w:hAnsi="宋体" w:eastAsia="宋体" w:cs="Times New Roman"/>
          <w:b/>
          <w:color w:val="auto"/>
          <w:kern w:val="28"/>
          <w:sz w:val="30"/>
          <w:szCs w:val="20"/>
        </w:rPr>
      </w:pPr>
    </w:p>
    <w:p>
      <w:pPr>
        <w:widowControl/>
        <w:jc w:val="left"/>
        <w:rPr>
          <w:rFonts w:ascii="宋体" w:hAnsi="宋体" w:eastAsia="宋体" w:cs="Times New Roman"/>
          <w:b/>
          <w:color w:val="auto"/>
          <w:kern w:val="28"/>
          <w:sz w:val="30"/>
          <w:szCs w:val="20"/>
        </w:rPr>
      </w:pPr>
      <w:r>
        <w:rPr>
          <w:rFonts w:ascii="宋体" w:hAnsi="宋体" w:eastAsia="宋体" w:cs="Times New Roman"/>
          <w:b/>
          <w:color w:val="auto"/>
          <w:kern w:val="28"/>
          <w:sz w:val="30"/>
          <w:szCs w:val="20"/>
        </w:rPr>
        <w:br w:type="page"/>
      </w:r>
    </w:p>
    <w:p>
      <w:pPr>
        <w:keepNext/>
        <w:keepLines/>
        <w:spacing w:before="120" w:after="120" w:line="360" w:lineRule="auto"/>
        <w:jc w:val="center"/>
        <w:outlineLvl w:val="0"/>
        <w:rPr>
          <w:rFonts w:ascii="Arial" w:hAnsi="宋体" w:eastAsia="宋体" w:cs="宋体"/>
          <w:bCs/>
          <w:color w:val="auto"/>
          <w:kern w:val="0"/>
          <w:sz w:val="36"/>
          <w:szCs w:val="44"/>
        </w:rPr>
      </w:pPr>
      <w:bookmarkStart w:id="26" w:name="_Toc16238370"/>
      <w:r>
        <w:rPr>
          <w:rFonts w:hint="eastAsia" w:ascii="Arial" w:hAnsi="Arial" w:eastAsia="黑体" w:cs="Times New Roman"/>
          <w:bCs/>
          <w:color w:val="auto"/>
          <w:kern w:val="44"/>
          <w:sz w:val="36"/>
          <w:szCs w:val="36"/>
        </w:rPr>
        <w:t>第二章</w:t>
      </w:r>
      <w:r>
        <w:rPr>
          <w:rFonts w:ascii="Arial" w:hAnsi="Arial" w:eastAsia="黑体" w:cs="Times New Roman"/>
          <w:bCs/>
          <w:color w:val="auto"/>
          <w:kern w:val="44"/>
          <w:sz w:val="36"/>
          <w:szCs w:val="36"/>
        </w:rPr>
        <w:t xml:space="preserve">  </w:t>
      </w:r>
      <w:r>
        <w:rPr>
          <w:rFonts w:hint="eastAsia" w:ascii="Arial" w:hAnsi="Arial" w:eastAsia="黑体" w:cs="Times New Roman"/>
          <w:bCs/>
          <w:color w:val="auto"/>
          <w:kern w:val="44"/>
          <w:sz w:val="36"/>
          <w:szCs w:val="36"/>
        </w:rPr>
        <w:t>投标须知</w:t>
      </w:r>
      <w:bookmarkEnd w:id="26"/>
    </w:p>
    <w:bookmarkEnd w:id="16"/>
    <w:bookmarkEnd w:id="17"/>
    <w:bookmarkEnd w:id="18"/>
    <w:bookmarkEnd w:id="19"/>
    <w:bookmarkEnd w:id="20"/>
    <w:bookmarkEnd w:id="21"/>
    <w:p>
      <w:pPr>
        <w:keepNext/>
        <w:keepLines/>
        <w:spacing w:after="100" w:afterAutospacing="1" w:line="360" w:lineRule="auto"/>
        <w:ind w:left="454" w:hanging="454"/>
        <w:jc w:val="center"/>
        <w:outlineLvl w:val="1"/>
        <w:rPr>
          <w:rFonts w:ascii="仿宋_GB2312" w:hAnsi="宋体" w:eastAsia="仿宋_GB2312" w:cs="Times New Roman"/>
          <w:b/>
          <w:color w:val="auto"/>
          <w:kern w:val="28"/>
          <w:sz w:val="32"/>
          <w:szCs w:val="32"/>
        </w:rPr>
      </w:pPr>
      <w:bookmarkStart w:id="27" w:name="_Toc242005120"/>
      <w:bookmarkStart w:id="28" w:name="_Toc101777611"/>
      <w:bookmarkStart w:id="29" w:name="_Toc216373043"/>
      <w:bookmarkStart w:id="30" w:name="_Toc7436"/>
      <w:bookmarkStart w:id="31" w:name="_Toc16238371"/>
      <w:bookmarkStart w:id="32" w:name="_Toc413933178"/>
      <w:bookmarkStart w:id="33" w:name="_Toc85505511"/>
      <w:bookmarkStart w:id="34" w:name="_Toc413933285"/>
      <w:bookmarkStart w:id="35" w:name="_Toc155150486"/>
      <w:r>
        <w:rPr>
          <w:rFonts w:hint="eastAsia" w:ascii="仿宋_GB2312" w:hAnsi="宋体" w:eastAsia="仿宋_GB2312" w:cs="Times New Roman"/>
          <w:b/>
          <w:color w:val="auto"/>
          <w:kern w:val="28"/>
          <w:sz w:val="32"/>
          <w:szCs w:val="32"/>
        </w:rPr>
        <w:t>一、总 则</w:t>
      </w:r>
      <w:bookmarkEnd w:id="27"/>
      <w:bookmarkEnd w:id="28"/>
      <w:bookmarkEnd w:id="29"/>
      <w:bookmarkEnd w:id="30"/>
      <w:bookmarkEnd w:id="31"/>
      <w:bookmarkEnd w:id="32"/>
      <w:bookmarkEnd w:id="33"/>
      <w:bookmarkEnd w:id="34"/>
      <w:bookmarkEnd w:id="35"/>
    </w:p>
    <w:p>
      <w:pPr>
        <w:spacing w:line="360" w:lineRule="auto"/>
        <w:ind w:left="480"/>
        <w:rPr>
          <w:rFonts w:ascii="仿宋_GB2312" w:eastAsia="仿宋_GB2312"/>
          <w:b/>
          <w:bCs/>
          <w:color w:val="auto"/>
          <w:sz w:val="32"/>
          <w:szCs w:val="32"/>
        </w:rPr>
      </w:pPr>
      <w:r>
        <w:rPr>
          <w:rFonts w:hint="eastAsia" w:ascii="仿宋_GB2312" w:hAnsi="宋体" w:eastAsia="仿宋_GB2312"/>
          <w:b/>
          <w:bCs/>
          <w:color w:val="auto"/>
          <w:sz w:val="32"/>
          <w:szCs w:val="32"/>
        </w:rPr>
        <w:t>1、定义</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本招标文件使用的下列词语具有如下规定的意义：</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1.1“招标人” 指广州南沙资产经营有限公司、广州南沙建设投资有限公司，其中广州南沙资产经营有限公司是广州南沙资产经营有限公司、广州南沙资经济技术开发总公司等两家单位的统称。</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1.2“投标人” 指向招标人提交投标文件的合法当事人。</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1.3“中标人” 指其投标被招标人接受并与其签订合同的投标人。</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1.4“招标文件”指由招标人发出的所有文件及澄清补充文件（包括文本文件、电子文档、传真）。</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1.5“投标文件”指投标人根据本招标文件向招标人提交的全部文件（包括文本文件、电子文档、传真）。</w:t>
      </w:r>
    </w:p>
    <w:p>
      <w:pPr>
        <w:tabs>
          <w:tab w:val="left" w:pos="1050"/>
        </w:tabs>
        <w:spacing w:line="560" w:lineRule="exact"/>
        <w:ind w:firstLine="562" w:firstLineChars="17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2、招标说明</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2.1本招标项目按照《中华人民共和国招标投标法》等有关法律、行政法规和部门规章，采取邀请招标的办法，以便能选择有经验、有实力、社会信誉好的咨询单位承接本次招标内容咨询服务。</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2.2项目概况</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2.2.1项目名称：</w:t>
      </w:r>
      <w:r>
        <w:rPr>
          <w:rFonts w:hint="eastAsia" w:ascii="仿宋_GB2312" w:hAnsi="等线" w:eastAsia="仿宋_GB2312" w:cs="等线"/>
          <w:color w:val="auto"/>
          <w:spacing w:val="12"/>
          <w:sz w:val="32"/>
          <w:szCs w:val="32"/>
        </w:rPr>
        <w:t>广州南沙资产经营有限公司及广州南沙建设投资有限公司薪酬体系设计专项服务项目（第二次）</w:t>
      </w:r>
      <w:r>
        <w:rPr>
          <w:rFonts w:hint="eastAsia" w:ascii="仿宋_GB2312" w:hAnsi="仿宋_GB2312" w:eastAsia="仿宋_GB2312" w:cs="仿宋_GB2312"/>
          <w:color w:val="auto"/>
          <w:sz w:val="32"/>
          <w:szCs w:val="32"/>
        </w:rPr>
        <w:t>。</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 服务内容：详见招标文件第六章</w:t>
      </w:r>
      <w:r>
        <w:rPr>
          <w:rFonts w:hint="eastAsia" w:ascii="仿宋_GB2312" w:hAnsi="仿宋_GB2312" w:eastAsia="仿宋_GB2312" w:cs="仿宋_GB2312"/>
          <w:color w:val="auto"/>
          <w:sz w:val="32"/>
          <w:szCs w:val="32"/>
          <w:lang w:val="zh-CN"/>
        </w:rPr>
        <w:t>任务</w:t>
      </w:r>
      <w:r>
        <w:rPr>
          <w:rFonts w:hint="eastAsia" w:ascii="仿宋_GB2312" w:hAnsi="仿宋_GB2312" w:eastAsia="仿宋_GB2312" w:cs="仿宋_GB2312"/>
          <w:color w:val="auto"/>
          <w:sz w:val="32"/>
          <w:szCs w:val="32"/>
        </w:rPr>
        <w:t>书。</w:t>
      </w:r>
    </w:p>
    <w:p>
      <w:pPr>
        <w:tabs>
          <w:tab w:val="left" w:pos="1050"/>
        </w:tabs>
        <w:spacing w:line="560" w:lineRule="exact"/>
        <w:ind w:firstLine="562" w:firstLineChars="17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3、投标报价</w:t>
      </w:r>
    </w:p>
    <w:p>
      <w:pPr>
        <w:tabs>
          <w:tab w:val="left" w:pos="1050"/>
        </w:tabs>
        <w:spacing w:line="560" w:lineRule="exact"/>
        <w:ind w:firstLine="560" w:firstLineChars="175"/>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本项目最高限价为：</w:t>
      </w:r>
      <w:r>
        <w:rPr>
          <w:rFonts w:hint="eastAsia" w:ascii="仿宋_GB2312" w:hAnsi="仿宋_GB2312" w:eastAsia="仿宋_GB2312" w:cs="仿宋_GB2312"/>
          <w:color w:val="auto"/>
          <w:sz w:val="32"/>
          <w:szCs w:val="32"/>
          <w:lang w:val="zh-CN"/>
        </w:rPr>
        <w:t>58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val="zh-CN"/>
        </w:rPr>
        <w:t>元人民币（含税）。</w:t>
      </w:r>
    </w:p>
    <w:p>
      <w:pPr>
        <w:tabs>
          <w:tab w:val="left" w:pos="1050"/>
        </w:tabs>
        <w:spacing w:line="560" w:lineRule="exact"/>
        <w:ind w:firstLine="562" w:firstLineChars="17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4、投标费用</w:t>
      </w:r>
    </w:p>
    <w:p>
      <w:pPr>
        <w:tabs>
          <w:tab w:val="left" w:pos="1050"/>
        </w:tabs>
        <w:spacing w:line="560" w:lineRule="exact"/>
        <w:ind w:firstLine="560" w:firstLineChars="17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 不论投标结果如何，投标人应自行承担所有参加本项目投标的所有费用，招标人对上述费用不负任何责任。</w:t>
      </w:r>
      <w:bookmarkStart w:id="36" w:name="_Toc101777613"/>
    </w:p>
    <w:p>
      <w:pPr>
        <w:tabs>
          <w:tab w:val="left" w:pos="1050"/>
        </w:tabs>
        <w:spacing w:line="560" w:lineRule="exact"/>
        <w:ind w:firstLine="560" w:firstLineChars="175"/>
        <w:rPr>
          <w:rFonts w:ascii="仿宋_GB2312" w:hAnsi="仿宋_GB2312" w:eastAsia="仿宋_GB2312" w:cs="仿宋_GB2312"/>
          <w:color w:val="auto"/>
          <w:sz w:val="32"/>
          <w:szCs w:val="32"/>
        </w:rPr>
      </w:pPr>
      <w:bookmarkStart w:id="37" w:name="_Toc14845"/>
      <w:bookmarkStart w:id="38" w:name="_Toc242005121"/>
      <w:bookmarkStart w:id="39" w:name="_Toc413933179"/>
      <w:bookmarkStart w:id="40" w:name="_Toc413933286"/>
    </w:p>
    <w:p>
      <w:pPr>
        <w:keepNext/>
        <w:keepLines/>
        <w:spacing w:line="560" w:lineRule="exact"/>
        <w:ind w:left="454" w:hanging="454"/>
        <w:jc w:val="center"/>
        <w:outlineLvl w:val="1"/>
        <w:rPr>
          <w:rFonts w:ascii="仿宋_GB2312" w:hAnsi="宋体" w:eastAsia="仿宋_GB2312" w:cs="Times New Roman"/>
          <w:b/>
          <w:color w:val="auto"/>
          <w:kern w:val="28"/>
          <w:sz w:val="32"/>
          <w:szCs w:val="32"/>
        </w:rPr>
      </w:pPr>
      <w:bookmarkStart w:id="41" w:name="_Toc16238372"/>
      <w:r>
        <w:rPr>
          <w:rFonts w:hint="eastAsia" w:ascii="仿宋_GB2312" w:hAnsi="宋体" w:eastAsia="仿宋_GB2312" w:cs="Times New Roman"/>
          <w:b/>
          <w:color w:val="auto"/>
          <w:kern w:val="28"/>
          <w:sz w:val="32"/>
          <w:szCs w:val="32"/>
        </w:rPr>
        <w:t>二、招标</w:t>
      </w:r>
      <w:bookmarkStart w:id="42" w:name="_Hlt216373250"/>
      <w:r>
        <w:rPr>
          <w:rFonts w:hint="eastAsia" w:ascii="仿宋_GB2312" w:hAnsi="宋体" w:eastAsia="仿宋_GB2312" w:cs="Times New Roman"/>
          <w:b/>
          <w:color w:val="auto"/>
          <w:kern w:val="28"/>
          <w:sz w:val="32"/>
          <w:szCs w:val="32"/>
        </w:rPr>
        <w:t>文</w:t>
      </w:r>
      <w:bookmarkEnd w:id="42"/>
      <w:r>
        <w:rPr>
          <w:rFonts w:hint="eastAsia" w:ascii="仿宋_GB2312" w:hAnsi="宋体" w:eastAsia="仿宋_GB2312" w:cs="Times New Roman"/>
          <w:b/>
          <w:color w:val="auto"/>
          <w:kern w:val="28"/>
          <w:sz w:val="32"/>
          <w:szCs w:val="32"/>
        </w:rPr>
        <w:t>件</w:t>
      </w:r>
      <w:bookmarkEnd w:id="36"/>
      <w:bookmarkEnd w:id="37"/>
      <w:bookmarkEnd w:id="38"/>
      <w:bookmarkEnd w:id="39"/>
      <w:bookmarkEnd w:id="40"/>
      <w:bookmarkEnd w:id="41"/>
    </w:p>
    <w:p>
      <w:pPr>
        <w:spacing w:line="560" w:lineRule="exact"/>
        <w:ind w:left="480"/>
        <w:rPr>
          <w:rFonts w:ascii="仿宋_GB2312" w:eastAsia="仿宋_GB2312"/>
          <w:b/>
          <w:bCs/>
          <w:color w:val="auto"/>
          <w:sz w:val="32"/>
          <w:szCs w:val="32"/>
        </w:rPr>
      </w:pPr>
      <w:r>
        <w:rPr>
          <w:rFonts w:hint="eastAsia" w:ascii="仿宋_GB2312" w:hAnsi="宋体" w:eastAsia="仿宋_GB2312"/>
          <w:b/>
          <w:color w:val="auto"/>
          <w:sz w:val="32"/>
          <w:szCs w:val="32"/>
        </w:rPr>
        <w:t>5、招标文件的组成</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本招标文件包括下列文件，以及所有招标答疑文件和澄清或修改：</w:t>
      </w:r>
    </w:p>
    <w:p>
      <w:pPr>
        <w:numPr>
          <w:ilvl w:val="0"/>
          <w:numId w:val="3"/>
        </w:numPr>
        <w:spacing w:line="560" w:lineRule="exact"/>
        <w:ind w:left="-2" w:leftChars="-1" w:firstLine="1600" w:firstLineChars="500"/>
        <w:rPr>
          <w:rFonts w:ascii="仿宋_GB2312" w:hAnsi="宋体" w:eastAsia="仿宋_GB2312"/>
          <w:bCs/>
          <w:color w:val="auto"/>
          <w:sz w:val="32"/>
          <w:szCs w:val="32"/>
        </w:rPr>
      </w:pPr>
      <w:r>
        <w:rPr>
          <w:rFonts w:hint="eastAsia" w:ascii="仿宋_GB2312" w:hAnsi="宋体" w:eastAsia="仿宋_GB2312"/>
          <w:bCs/>
          <w:color w:val="auto"/>
          <w:sz w:val="32"/>
          <w:szCs w:val="32"/>
        </w:rPr>
        <w:t xml:space="preserve"> 投标邀请函</w:t>
      </w:r>
    </w:p>
    <w:p>
      <w:pPr>
        <w:numPr>
          <w:ilvl w:val="0"/>
          <w:numId w:val="3"/>
        </w:numPr>
        <w:spacing w:line="560" w:lineRule="exact"/>
        <w:ind w:left="-2" w:leftChars="-1" w:firstLine="1600" w:firstLineChars="500"/>
        <w:rPr>
          <w:rFonts w:ascii="仿宋_GB2312" w:eastAsia="仿宋_GB2312"/>
          <w:color w:val="auto"/>
          <w:sz w:val="32"/>
          <w:szCs w:val="32"/>
        </w:rPr>
      </w:pPr>
      <w:r>
        <w:rPr>
          <w:rFonts w:hint="eastAsia" w:ascii="仿宋_GB2312" w:hAnsi="宋体" w:eastAsia="仿宋_GB2312"/>
          <w:color w:val="auto"/>
          <w:sz w:val="32"/>
          <w:szCs w:val="32"/>
        </w:rPr>
        <w:t xml:space="preserve"> 投标须知</w:t>
      </w:r>
    </w:p>
    <w:p>
      <w:pPr>
        <w:spacing w:line="560" w:lineRule="exact"/>
        <w:ind w:left="-2" w:leftChars="-1" w:firstLine="1600" w:firstLineChars="500"/>
        <w:rPr>
          <w:rFonts w:ascii="仿宋_GB2312" w:eastAsia="仿宋_GB2312"/>
          <w:color w:val="auto"/>
          <w:sz w:val="32"/>
          <w:szCs w:val="32"/>
        </w:rPr>
      </w:pPr>
      <w:r>
        <w:rPr>
          <w:rFonts w:hint="eastAsia" w:ascii="仿宋_GB2312" w:hAnsi="宋体" w:eastAsia="仿宋_GB2312"/>
          <w:bCs/>
          <w:color w:val="auto"/>
          <w:sz w:val="32"/>
          <w:szCs w:val="32"/>
        </w:rPr>
        <w:t xml:space="preserve">第三章  </w:t>
      </w:r>
      <w:r>
        <w:rPr>
          <w:rFonts w:hint="eastAsia" w:ascii="仿宋_GB2312" w:hAnsi="宋体" w:eastAsia="仿宋_GB2312"/>
          <w:color w:val="auto"/>
          <w:sz w:val="32"/>
          <w:szCs w:val="32"/>
        </w:rPr>
        <w:t>评标、定标及合同签订</w:t>
      </w:r>
    </w:p>
    <w:p>
      <w:pPr>
        <w:spacing w:line="560" w:lineRule="exact"/>
        <w:ind w:firstLine="1600" w:firstLineChars="500"/>
        <w:rPr>
          <w:rFonts w:ascii="仿宋_GB2312" w:hAnsi="宋体" w:eastAsia="仿宋_GB2312"/>
          <w:color w:val="auto"/>
          <w:sz w:val="32"/>
          <w:szCs w:val="32"/>
        </w:rPr>
      </w:pPr>
      <w:r>
        <w:rPr>
          <w:rFonts w:hint="eastAsia" w:ascii="仿宋_GB2312" w:hAnsi="宋体" w:eastAsia="仿宋_GB2312"/>
          <w:color w:val="auto"/>
          <w:sz w:val="32"/>
          <w:szCs w:val="32"/>
        </w:rPr>
        <w:t>第四章  合同条款</w:t>
      </w:r>
    </w:p>
    <w:p>
      <w:pPr>
        <w:spacing w:line="560" w:lineRule="exact"/>
        <w:ind w:firstLine="1600" w:firstLineChars="500"/>
        <w:rPr>
          <w:rFonts w:ascii="仿宋_GB2312" w:hAnsi="宋体" w:eastAsia="仿宋_GB2312"/>
          <w:color w:val="auto"/>
          <w:sz w:val="32"/>
          <w:szCs w:val="32"/>
        </w:rPr>
      </w:pPr>
      <w:r>
        <w:rPr>
          <w:rFonts w:hint="eastAsia" w:ascii="仿宋_GB2312" w:hAnsi="宋体" w:eastAsia="仿宋_GB2312"/>
          <w:color w:val="auto"/>
          <w:sz w:val="32"/>
          <w:szCs w:val="32"/>
        </w:rPr>
        <w:t>第五章  投标文件格式</w:t>
      </w:r>
    </w:p>
    <w:p>
      <w:pPr>
        <w:spacing w:line="560" w:lineRule="exact"/>
        <w:ind w:firstLine="1600" w:firstLineChars="500"/>
        <w:jc w:val="left"/>
        <w:rPr>
          <w:rFonts w:ascii="仿宋_GB2312" w:hAnsi="宋体" w:eastAsia="仿宋_GB2312"/>
          <w:color w:val="auto"/>
          <w:sz w:val="32"/>
          <w:szCs w:val="32"/>
        </w:rPr>
      </w:pPr>
      <w:r>
        <w:rPr>
          <w:rFonts w:hint="eastAsia" w:ascii="仿宋_GB2312" w:hAnsi="宋体" w:eastAsia="仿宋_GB2312"/>
          <w:color w:val="auto"/>
          <w:sz w:val="32"/>
          <w:szCs w:val="32"/>
        </w:rPr>
        <w:t>第六章  任务书</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w:t>
      </w:r>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6、招标文件的澄清与修改</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招标文件发出后</w:t>
      </w:r>
      <w:r>
        <w:rPr>
          <w:rFonts w:hint="eastAsia" w:ascii="仿宋_GB2312" w:eastAsia="仿宋_GB2312"/>
          <w:color w:val="auto"/>
          <w:sz w:val="32"/>
          <w:szCs w:val="32"/>
        </w:rPr>
        <w:t>,</w:t>
      </w:r>
      <w:r>
        <w:rPr>
          <w:rFonts w:hint="eastAsia" w:ascii="仿宋_GB2312" w:hAnsi="宋体" w:eastAsia="仿宋_GB2312"/>
          <w:color w:val="auto"/>
          <w:sz w:val="32"/>
          <w:szCs w:val="32"/>
        </w:rPr>
        <w:t>在提交投标文件截止期5日前，招标人可对招标文件进行必要的澄清或修改。</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招标文件的修改将以书面形式发送给所有投标人，投标人应于收到该修改文件后24小时内，以书面形式给予确认，招标文件的修改内容作为招标文件的组成部分，具有约束作用。</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招标文件的澄清、修改、补充等内容均以书面形式明确的内容为准。当招标文件的澄清、修改、补充等在同一内容的表述不一致时，以最后发出的书面文件为准。</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keepNext/>
        <w:keepLines/>
        <w:spacing w:line="560" w:lineRule="exact"/>
        <w:ind w:left="454" w:hanging="454"/>
        <w:jc w:val="center"/>
        <w:outlineLvl w:val="1"/>
        <w:rPr>
          <w:rFonts w:ascii="仿宋_GB2312" w:hAnsi="宋体" w:eastAsia="仿宋_GB2312" w:cs="Times New Roman"/>
          <w:b/>
          <w:color w:val="auto"/>
          <w:kern w:val="28"/>
          <w:sz w:val="32"/>
          <w:szCs w:val="32"/>
        </w:rPr>
      </w:pPr>
      <w:bookmarkStart w:id="43" w:name="_Toc413933287"/>
      <w:bookmarkStart w:id="44" w:name="_Toc7679"/>
      <w:bookmarkStart w:id="45" w:name="_Toc413933180"/>
      <w:bookmarkStart w:id="46" w:name="_Toc242005122"/>
      <w:bookmarkStart w:id="47" w:name="_Toc16238373"/>
      <w:r>
        <w:rPr>
          <w:rFonts w:hint="eastAsia" w:ascii="仿宋_GB2312" w:hAnsi="宋体" w:eastAsia="仿宋_GB2312" w:cs="Times New Roman"/>
          <w:b/>
          <w:color w:val="auto"/>
          <w:kern w:val="28"/>
          <w:sz w:val="32"/>
          <w:szCs w:val="32"/>
        </w:rPr>
        <w:t>三、投标文件的编制</w:t>
      </w:r>
      <w:bookmarkEnd w:id="43"/>
      <w:bookmarkEnd w:id="44"/>
      <w:bookmarkEnd w:id="45"/>
      <w:bookmarkEnd w:id="46"/>
      <w:bookmarkEnd w:id="47"/>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7、投标文件的语言及度量衡单位</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投标文件和与投标有关的所有文件均应使用中文。</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投标文件使用的度量衡单位，均采用中华人民共和国法定计量单位。</w:t>
      </w:r>
    </w:p>
    <w:p>
      <w:pPr>
        <w:spacing w:line="560" w:lineRule="exact"/>
        <w:ind w:firstLine="643" w:firstLineChars="200"/>
        <w:rPr>
          <w:rFonts w:ascii="仿宋_GB2312" w:eastAsia="仿宋_GB2312"/>
          <w:b/>
          <w:bCs/>
          <w:color w:val="auto"/>
          <w:sz w:val="32"/>
          <w:szCs w:val="32"/>
        </w:rPr>
      </w:pPr>
      <w:bookmarkStart w:id="48" w:name="_Toc101777616"/>
      <w:r>
        <w:rPr>
          <w:rFonts w:hint="eastAsia" w:ascii="仿宋_GB2312" w:hAnsi="宋体" w:eastAsia="仿宋_GB2312"/>
          <w:b/>
          <w:bCs/>
          <w:color w:val="auto"/>
          <w:sz w:val="32"/>
          <w:szCs w:val="32"/>
        </w:rPr>
        <w:t>8、投标文件的组成与排序(另提供一套与下列内容相同的电子文件)</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8.1 封面</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8.2目录</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8.3 资格文件，包括：</w:t>
      </w:r>
    </w:p>
    <w:p>
      <w:pPr>
        <w:widowControl/>
        <w:ind w:firstLine="640" w:firstLineChars="200"/>
        <w:jc w:val="left"/>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（1）投标人必须是在中国注册的企业法人，营业执照复印件，具有独立的法人资格和独立承担民事责任的能力；</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（2）企业经营范围含企业管理（咨询），具体国家企业信用信息公示系统查询结果为准。</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（3）投标企业法定代表人证明书及法定代表人授权委托证明书，加盖投标人公章；</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（4）</w:t>
      </w:r>
      <w:r>
        <w:rPr>
          <w:rFonts w:hint="eastAsia" w:ascii="仿宋_GB2312" w:hAnsi="宋体" w:eastAsia="仿宋_GB2312" w:cs="宋体"/>
          <w:color w:val="auto"/>
          <w:kern w:val="0"/>
          <w:sz w:val="32"/>
          <w:szCs w:val="32"/>
        </w:rPr>
        <w:t>投标人自</w:t>
      </w:r>
      <w:r>
        <w:rPr>
          <w:rFonts w:hint="eastAsia" w:ascii="仿宋_GB2312" w:hAnsi="等线" w:eastAsia="仿宋_GB2312" w:cs="Times New Roman"/>
          <w:color w:val="auto"/>
          <w:sz w:val="32"/>
          <w:szCs w:val="32"/>
        </w:rPr>
        <w:t>2015年1月1日</w:t>
      </w:r>
      <w:r>
        <w:rPr>
          <w:rFonts w:hint="eastAsia" w:ascii="仿宋_GB2312" w:hAnsi="宋体" w:eastAsia="仿宋_GB2312" w:cs="宋体"/>
          <w:color w:val="auto"/>
          <w:kern w:val="0"/>
          <w:sz w:val="32"/>
          <w:szCs w:val="32"/>
        </w:rPr>
        <w:t>至今独立完成过至少一项</w:t>
      </w:r>
      <w:r>
        <w:rPr>
          <w:rFonts w:hint="eastAsia" w:ascii="仿宋_GB2312" w:hAnsi="等线" w:eastAsia="仿宋_GB2312" w:cs="Times New Roman"/>
          <w:color w:val="auto"/>
          <w:sz w:val="32"/>
          <w:szCs w:val="32"/>
        </w:rPr>
        <w:t>国内国有企业集团及属下企业的薪酬激励体系优化专业经验和成功案例</w:t>
      </w:r>
      <w:r>
        <w:rPr>
          <w:rFonts w:hint="eastAsia" w:ascii="仿宋_GB2312" w:hAnsi="宋体" w:eastAsia="仿宋_GB2312" w:cs="宋体"/>
          <w:color w:val="auto"/>
          <w:kern w:val="0"/>
          <w:sz w:val="32"/>
          <w:szCs w:val="32"/>
        </w:rPr>
        <w:t>的业绩证明文件</w:t>
      </w:r>
      <w:r>
        <w:rPr>
          <w:rFonts w:hint="eastAsia" w:ascii="仿宋_GB2312" w:hAnsi="等线" w:eastAsia="仿宋_GB2312" w:cs="Times New Roman"/>
          <w:color w:val="auto"/>
          <w:sz w:val="32"/>
          <w:szCs w:val="32"/>
        </w:rPr>
        <w:t>，提供合同关键页复印件，加盖公章。</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8.4商务文件，包括：</w:t>
      </w:r>
    </w:p>
    <w:p>
      <w:pPr>
        <w:widowControl/>
        <w:numPr>
          <w:ilvl w:val="0"/>
          <w:numId w:val="4"/>
        </w:numPr>
        <w:tabs>
          <w:tab w:val="left" w:pos="0"/>
        </w:tabs>
        <w:snapToGrid w:val="0"/>
        <w:spacing w:line="560" w:lineRule="exact"/>
        <w:ind w:left="0" w:firstLine="640"/>
        <w:jc w:val="left"/>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投标函（已含报价，报价需将广州南沙资产经营有限公司、广州南沙建设投资有限公司咨询服务分开报价</w:t>
      </w:r>
      <w:r>
        <w:rPr>
          <w:rFonts w:hint="eastAsia" w:ascii="仿宋_GB2312" w:hAnsi="等线" w:eastAsia="仿宋_GB2312" w:cs="Times New Roman"/>
          <w:color w:val="auto"/>
          <w:sz w:val="32"/>
          <w:szCs w:val="32"/>
          <w:lang w:val="zh-CN"/>
        </w:rPr>
        <w:t>，</w:t>
      </w:r>
      <w:r>
        <w:rPr>
          <w:rFonts w:hint="eastAsia" w:ascii="仿宋_GB2312" w:hAnsi="等线" w:eastAsia="仿宋_GB2312" w:cs="Times New Roman"/>
          <w:color w:val="auto"/>
          <w:sz w:val="32"/>
          <w:szCs w:val="32"/>
        </w:rPr>
        <w:t>评标按总价报价进行评标，分别报价之和与总价报价不一致的，以总价报价为准）；</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投标人简介，包括公司组织架构等；</w:t>
      </w:r>
    </w:p>
    <w:p>
      <w:pPr>
        <w:widowControl/>
        <w:numPr>
          <w:ilvl w:val="0"/>
          <w:numId w:val="4"/>
        </w:numPr>
        <w:tabs>
          <w:tab w:val="left" w:pos="0"/>
        </w:tabs>
        <w:snapToGrid w:val="0"/>
        <w:spacing w:line="560" w:lineRule="exact"/>
        <w:ind w:left="0" w:firstLine="567"/>
        <w:jc w:val="left"/>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按评分内容提供业绩证明文件（按第五章附件4格式要求）；</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项目负责人（项目总监）（按第五章附件5格式要求）；</w:t>
      </w:r>
    </w:p>
    <w:p>
      <w:pPr>
        <w:widowControl/>
        <w:numPr>
          <w:ilvl w:val="0"/>
          <w:numId w:val="4"/>
        </w:numPr>
        <w:tabs>
          <w:tab w:val="left" w:pos="0"/>
        </w:tabs>
        <w:snapToGrid w:val="0"/>
        <w:spacing w:line="560" w:lineRule="exact"/>
        <w:ind w:left="0" w:firstLine="567"/>
        <w:jc w:val="left"/>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拟投入项目团队成员一览表（按第五章附件6格式要求）；</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投标保密承若书</w:t>
      </w:r>
      <w:r>
        <w:rPr>
          <w:rFonts w:hint="eastAsia" w:ascii="仿宋_GB2312" w:hAnsi="宋体" w:eastAsia="仿宋_GB2312" w:cs="Times New Roman"/>
          <w:color w:val="auto"/>
          <w:sz w:val="32"/>
          <w:szCs w:val="32"/>
        </w:rPr>
        <w:t>（按第五章附件7格式要求）</w:t>
      </w:r>
      <w:r>
        <w:rPr>
          <w:rFonts w:hint="eastAsia" w:ascii="仿宋_GB2312" w:hAnsi="等线" w:eastAsia="仿宋_GB2312" w:cs="Times New Roman"/>
          <w:color w:val="auto"/>
          <w:sz w:val="32"/>
          <w:szCs w:val="32"/>
        </w:rPr>
        <w:t>；</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其它证明公司现有实力的材料；</w:t>
      </w:r>
    </w:p>
    <w:p>
      <w:pPr>
        <w:widowControl/>
        <w:numPr>
          <w:ilvl w:val="0"/>
          <w:numId w:val="4"/>
        </w:numPr>
        <w:tabs>
          <w:tab w:val="left" w:pos="1134"/>
        </w:tabs>
        <w:snapToGrid w:val="0"/>
        <w:spacing w:line="560" w:lineRule="exact"/>
        <w:ind w:hanging="213"/>
        <w:jc w:val="left"/>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投标人认为有必要提供的其它证明材料。</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备注：以上证明材料必要时需提交原件核对。</w:t>
      </w:r>
    </w:p>
    <w:p>
      <w:pPr>
        <w:widowControl/>
        <w:tabs>
          <w:tab w:val="left" w:pos="1134"/>
        </w:tabs>
        <w:snapToGrid w:val="0"/>
        <w:spacing w:line="560" w:lineRule="exact"/>
        <w:ind w:firstLine="640" w:firstLineChars="200"/>
        <w:jc w:val="left"/>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8.5 服务材料</w:t>
      </w:r>
    </w:p>
    <w:p>
      <w:pPr>
        <w:widowControl/>
        <w:tabs>
          <w:tab w:val="left" w:pos="1134"/>
        </w:tabs>
        <w:snapToGrid w:val="0"/>
        <w:spacing w:line="560" w:lineRule="exact"/>
        <w:ind w:firstLine="640" w:firstLineChars="200"/>
        <w:jc w:val="left"/>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根据本招标文件第六章任务书要求编制咨询实施方案（格式自拟）。</w:t>
      </w:r>
    </w:p>
    <w:p>
      <w:pPr>
        <w:spacing w:line="560" w:lineRule="exact"/>
        <w:ind w:left="480"/>
        <w:rPr>
          <w:rFonts w:ascii="仿宋_GB2312" w:hAnsi="宋体" w:eastAsia="仿宋_GB2312"/>
          <w:b/>
          <w:bCs/>
          <w:color w:val="auto"/>
          <w:sz w:val="32"/>
          <w:szCs w:val="32"/>
        </w:rPr>
      </w:pPr>
      <w:r>
        <w:rPr>
          <w:rFonts w:hint="eastAsia" w:ascii="仿宋_GB2312" w:hAnsi="宋体" w:eastAsia="仿宋_GB2312"/>
          <w:b/>
          <w:bCs/>
          <w:color w:val="auto"/>
          <w:sz w:val="32"/>
          <w:szCs w:val="32"/>
        </w:rPr>
        <w:t>9、投标有效期</w:t>
      </w:r>
    </w:p>
    <w:p>
      <w:pPr>
        <w:spacing w:line="560" w:lineRule="exact"/>
        <w:ind w:left="480"/>
        <w:rPr>
          <w:rFonts w:ascii="仿宋_GB2312" w:hAnsi="宋体" w:eastAsia="仿宋_GB2312"/>
          <w:b/>
          <w:bCs/>
          <w:color w:val="auto"/>
          <w:sz w:val="32"/>
          <w:szCs w:val="32"/>
        </w:rPr>
      </w:pPr>
      <w:r>
        <w:rPr>
          <w:rFonts w:hint="eastAsia" w:ascii="仿宋_GB2312" w:eastAsia="仿宋_GB2312"/>
          <w:color w:val="auto"/>
          <w:sz w:val="32"/>
          <w:szCs w:val="32"/>
        </w:rPr>
        <w:t>投标截止之日起30天内。</w:t>
      </w:r>
    </w:p>
    <w:p>
      <w:pPr>
        <w:spacing w:line="560" w:lineRule="exact"/>
        <w:ind w:firstLine="480" w:firstLineChars="150"/>
        <w:rPr>
          <w:rFonts w:ascii="仿宋_GB2312" w:eastAsia="仿宋_GB2312"/>
          <w:color w:val="auto"/>
          <w:sz w:val="32"/>
          <w:szCs w:val="32"/>
        </w:rPr>
      </w:pPr>
      <w:r>
        <w:rPr>
          <w:rFonts w:hint="eastAsia" w:ascii="仿宋_GB2312" w:eastAsia="仿宋_GB2312"/>
          <w:color w:val="auto"/>
          <w:sz w:val="32"/>
          <w:szCs w:val="32"/>
        </w:rPr>
        <w:t>在特殊情况下，招标人在原定投标有效期内，可以根据需要以书面形式向投标人提出延长投标有效期的要求，对此要求投标人须以书面形式予以答复。</w:t>
      </w:r>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10、投标文件的份数和签署</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投标人应提交投标文件正本1份，副本4份。</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投标文件的正本需打印，副本可以为正本的复印件，并应在投标文件封面的右上角清楚地注明“正本”或“副本”。正本和副本如有不一致之处，以正本为准。</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各册独立装订的投标书必须加盖单位公章；招标文件要求投标人签字或盖章的地方均须由法定代表人或其委托代理人签字或盖章，由委托代理人签字或盖章的投标文件中，须同时提交由法定代表人签署并加盖投标单位公章的有效的授权委托书，否则投标文件无效。</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如投标文件有修改，修改处应由投标人代表盖章并加盖单位公章。</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投标文件的规格：统一A4印刷本(纸张大小超过A4纸的折叠成A4纸的规格)，纸质封面，封面标明文件题名、投标单位、投标时间，右上角标明正本（或副本）</w:t>
      </w:r>
      <w:r>
        <w:rPr>
          <w:rFonts w:hint="eastAsia" w:ascii="仿宋_GB2312" w:eastAsia="仿宋_GB2312"/>
          <w:color w:val="auto"/>
          <w:sz w:val="32"/>
          <w:szCs w:val="32"/>
        </w:rPr>
        <w:t>,</w:t>
      </w:r>
      <w:r>
        <w:rPr>
          <w:rFonts w:hint="eastAsia" w:ascii="仿宋_GB2312" w:hAnsi="宋体" w:eastAsia="仿宋_GB2312"/>
          <w:color w:val="auto"/>
          <w:sz w:val="32"/>
          <w:szCs w:val="32"/>
        </w:rPr>
        <w:t>使用书式装订，不得用活页装订。</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投标文件的电子光盘一张，独立包封，封面须盖单位公章并经法定代表人或其委托代理人签字或盖章。</w:t>
      </w:r>
    </w:p>
    <w:p>
      <w:pPr>
        <w:keepNext/>
        <w:keepLines/>
        <w:spacing w:line="560" w:lineRule="exact"/>
        <w:ind w:left="454" w:hanging="454"/>
        <w:jc w:val="center"/>
        <w:outlineLvl w:val="1"/>
        <w:rPr>
          <w:rFonts w:ascii="仿宋_GB2312" w:hAnsi="宋体" w:eastAsia="仿宋_GB2312" w:cs="Times New Roman"/>
          <w:b/>
          <w:color w:val="auto"/>
          <w:kern w:val="28"/>
          <w:sz w:val="32"/>
          <w:szCs w:val="32"/>
        </w:rPr>
      </w:pPr>
      <w:bookmarkStart w:id="49" w:name="_Toc27242"/>
      <w:bookmarkStart w:id="50" w:name="_Toc242005125"/>
      <w:bookmarkStart w:id="51" w:name="_Toc413933181"/>
      <w:bookmarkStart w:id="52" w:name="_Toc413933288"/>
      <w:bookmarkStart w:id="53" w:name="_Toc16238374"/>
      <w:r>
        <w:rPr>
          <w:rFonts w:hint="eastAsia" w:ascii="仿宋_GB2312" w:hAnsi="宋体" w:eastAsia="仿宋_GB2312" w:cs="Times New Roman"/>
          <w:b/>
          <w:color w:val="auto"/>
          <w:kern w:val="28"/>
          <w:sz w:val="32"/>
          <w:szCs w:val="32"/>
        </w:rPr>
        <w:t>四、投标文件的提交</w:t>
      </w:r>
      <w:bookmarkEnd w:id="49"/>
      <w:bookmarkEnd w:id="50"/>
      <w:bookmarkEnd w:id="51"/>
      <w:bookmarkEnd w:id="52"/>
      <w:bookmarkEnd w:id="53"/>
    </w:p>
    <w:p>
      <w:pPr>
        <w:spacing w:line="560" w:lineRule="exact"/>
        <w:ind w:left="480"/>
        <w:rPr>
          <w:rFonts w:ascii="仿宋_GB2312" w:eastAsia="仿宋_GB2312"/>
          <w:b/>
          <w:bCs/>
          <w:color w:val="auto"/>
          <w:sz w:val="32"/>
          <w:szCs w:val="32"/>
        </w:rPr>
      </w:pPr>
      <w:r>
        <w:rPr>
          <w:rFonts w:hint="eastAsia" w:ascii="仿宋_GB2312" w:eastAsia="仿宋_GB2312"/>
          <w:b/>
          <w:color w:val="auto"/>
          <w:sz w:val="32"/>
          <w:szCs w:val="32"/>
        </w:rPr>
        <w:t>11、投标文件的包封、密封和标记</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投标人应按以下规定包封投标文件：</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所有投标文件合订在一起；</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投标文件的规格：大小统一为A4纸(纸张大小超过A4纸的折叠成A4纸的规格)；</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投标文件正本（1本）、副本（4本）、电子光盘一起包封为一包。</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投标文件的密封要求：投标人应确保投标文件密闭封装，封口加盖骑缝公章；</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投标文件的标记要求：封包上应具有以下标记：</w:t>
      </w:r>
    </w:p>
    <w:p>
      <w:pPr>
        <w:spacing w:line="560" w:lineRule="exact"/>
        <w:rPr>
          <w:rFonts w:ascii="仿宋_GB2312" w:eastAsia="仿宋_GB2312"/>
          <w:color w:val="auto"/>
          <w:sz w:val="32"/>
          <w:szCs w:val="32"/>
          <w:shd w:val="clear" w:color="auto" w:fill="FFFFFF"/>
        </w:rPr>
      </w:pPr>
      <w:r>
        <w:rPr>
          <w:rFonts w:hint="eastAsia" w:ascii="仿宋_GB2312" w:hAnsi="宋体" w:eastAsia="仿宋_GB2312"/>
          <w:color w:val="auto"/>
          <w:sz w:val="32"/>
          <w:szCs w:val="32"/>
        </w:rPr>
        <w:t>招标人名称：</w:t>
      </w:r>
      <w:r>
        <w:rPr>
          <w:rFonts w:hint="eastAsia" w:ascii="仿宋_GB2312" w:hAnsi="宋体" w:eastAsia="仿宋_GB2312"/>
          <w:color w:val="auto"/>
          <w:sz w:val="32"/>
          <w:szCs w:val="32"/>
          <w:u w:val="single"/>
        </w:rPr>
        <w:t xml:space="preserve">                                           </w:t>
      </w:r>
    </w:p>
    <w:p>
      <w:pPr>
        <w:spacing w:line="560" w:lineRule="exact"/>
        <w:rPr>
          <w:rFonts w:ascii="仿宋_GB2312" w:eastAsia="仿宋_GB2312"/>
          <w:color w:val="auto"/>
          <w:kern w:val="28"/>
          <w:sz w:val="32"/>
          <w:szCs w:val="32"/>
        </w:rPr>
      </w:pPr>
      <w:r>
        <w:rPr>
          <w:rFonts w:hint="eastAsia" w:ascii="仿宋_GB2312" w:hAnsi="宋体" w:eastAsia="仿宋_GB2312"/>
          <w:color w:val="auto"/>
          <w:sz w:val="32"/>
          <w:szCs w:val="32"/>
        </w:rPr>
        <w:t>项目名称：</w:t>
      </w:r>
      <w:r>
        <w:rPr>
          <w:rFonts w:hint="eastAsia" w:ascii="仿宋_GB2312" w:hAnsi="宋体" w:eastAsia="仿宋_GB2312"/>
          <w:color w:val="auto"/>
          <w:sz w:val="32"/>
          <w:szCs w:val="32"/>
          <w:u w:val="single"/>
        </w:rPr>
        <w:t xml:space="preserve">                                             </w:t>
      </w:r>
    </w:p>
    <w:p>
      <w:pPr>
        <w:spacing w:line="560" w:lineRule="exact"/>
        <w:rPr>
          <w:rFonts w:ascii="仿宋_GB2312" w:eastAsia="仿宋_GB2312"/>
          <w:color w:val="auto"/>
          <w:sz w:val="32"/>
          <w:szCs w:val="32"/>
        </w:rPr>
      </w:pPr>
      <w:r>
        <w:rPr>
          <w:rFonts w:hint="eastAsia" w:ascii="仿宋_GB2312" w:hAnsi="宋体" w:eastAsia="仿宋_GB2312"/>
          <w:color w:val="auto"/>
          <w:sz w:val="32"/>
          <w:szCs w:val="32"/>
        </w:rPr>
        <w:t>投标人名称：</w:t>
      </w:r>
      <w:r>
        <w:rPr>
          <w:rFonts w:hint="eastAsia" w:ascii="仿宋_GB2312" w:hAnsi="宋体" w:eastAsia="仿宋_GB2312"/>
          <w:color w:val="auto"/>
          <w:sz w:val="32"/>
          <w:szCs w:val="32"/>
          <w:u w:val="single"/>
        </w:rPr>
        <w:t xml:space="preserve">                                            </w:t>
      </w:r>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12、投标文件的提交</w:t>
      </w:r>
      <w:r>
        <w:rPr>
          <w:rFonts w:hint="eastAsia" w:ascii="仿宋_GB2312" w:eastAsia="仿宋_GB2312"/>
          <w:b/>
          <w:bCs/>
          <w:color w:val="auto"/>
          <w:sz w:val="32"/>
          <w:szCs w:val="32"/>
        </w:rPr>
        <w:t>和截止时间</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投标人应按投标须知前附表所规定的时间和地点提交投标文件，并办理好送达签认手续。</w:t>
      </w:r>
    </w:p>
    <w:p>
      <w:pPr>
        <w:spacing w:line="560" w:lineRule="exact"/>
        <w:ind w:firstLine="640" w:firstLineChars="200"/>
        <w:rPr>
          <w:rFonts w:ascii="仿宋_GB2312" w:eastAsia="仿宋_GB2312"/>
          <w:b/>
          <w:bCs/>
          <w:color w:val="auto"/>
          <w:sz w:val="32"/>
          <w:szCs w:val="32"/>
        </w:rPr>
      </w:pPr>
      <w:r>
        <w:rPr>
          <w:rFonts w:hint="eastAsia" w:ascii="仿宋_GB2312" w:eastAsia="仿宋_GB2312"/>
          <w:color w:val="auto"/>
          <w:sz w:val="32"/>
          <w:szCs w:val="32"/>
        </w:rPr>
        <w:t>投标人所递交的投标文件不予退还。</w:t>
      </w:r>
    </w:p>
    <w:p>
      <w:pPr>
        <w:spacing w:line="560" w:lineRule="exact"/>
        <w:ind w:left="420"/>
        <w:jc w:val="left"/>
        <w:rPr>
          <w:rFonts w:ascii="仿宋_GB2312" w:eastAsia="仿宋_GB2312"/>
          <w:b/>
          <w:color w:val="auto"/>
          <w:sz w:val="32"/>
          <w:szCs w:val="32"/>
        </w:rPr>
      </w:pPr>
      <w:r>
        <w:rPr>
          <w:rFonts w:hint="eastAsia" w:ascii="仿宋_GB2312" w:eastAsia="仿宋_GB2312"/>
          <w:b/>
          <w:color w:val="auto"/>
          <w:sz w:val="32"/>
          <w:szCs w:val="32"/>
        </w:rPr>
        <w:t>13、投标文件的补充、修改与撤回</w:t>
      </w:r>
    </w:p>
    <w:p>
      <w:pPr>
        <w:spacing w:line="560" w:lineRule="exact"/>
        <w:ind w:firstLine="640" w:firstLineChars="200"/>
        <w:rPr>
          <w:rFonts w:ascii="仿宋_GB2312" w:eastAsia="仿宋_GB2312"/>
          <w:color w:val="auto"/>
          <w:sz w:val="32"/>
          <w:szCs w:val="32"/>
          <w:shd w:val="clear" w:color="auto" w:fill="FFFFFF"/>
        </w:rPr>
      </w:pPr>
      <w:r>
        <w:rPr>
          <w:rFonts w:hint="eastAsia" w:ascii="仿宋_GB2312" w:hAnsi="宋体" w:eastAsia="仿宋_GB2312"/>
          <w:color w:val="auto"/>
          <w:sz w:val="32"/>
          <w:szCs w:val="32"/>
        </w:rPr>
        <w:t>投标人在提交投标文件以后，在规定的投标截止时间之前，可以以书面形式补充修改或撤回已提交的投标文件，并以书面形式通知招标人。补充、修改的内容为投标文件的组成部分。</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在投标截止时间之后，投标人不得补充、修改投标文件。</w:t>
      </w:r>
    </w:p>
    <w:p>
      <w:pPr>
        <w:spacing w:line="360" w:lineRule="auto"/>
        <w:ind w:left="480" w:firstLine="480" w:firstLineChars="200"/>
        <w:jc w:val="left"/>
        <w:rPr>
          <w:rFonts w:eastAsia="宋体"/>
          <w:color w:val="auto"/>
          <w:sz w:val="24"/>
          <w:szCs w:val="24"/>
        </w:rPr>
        <w:sectPr>
          <w:footerReference r:id="rId4" w:type="first"/>
          <w:footerReference r:id="rId3" w:type="default"/>
          <w:endnotePr>
            <w:numFmt w:val="decimal"/>
          </w:endnotePr>
          <w:pgSz w:w="11906" w:h="16838"/>
          <w:pgMar w:top="1247" w:right="1287" w:bottom="1247" w:left="1440" w:header="851" w:footer="748" w:gutter="0"/>
          <w:pgNumType w:start="1"/>
          <w:cols w:space="720" w:num="1"/>
          <w:titlePg/>
          <w:docGrid w:linePitch="312" w:charSpace="0"/>
        </w:sectPr>
      </w:pPr>
    </w:p>
    <w:bookmarkEnd w:id="48"/>
    <w:p>
      <w:pPr>
        <w:keepNext/>
        <w:keepLines/>
        <w:spacing w:before="120" w:after="120" w:line="360" w:lineRule="auto"/>
        <w:jc w:val="center"/>
        <w:outlineLvl w:val="0"/>
        <w:rPr>
          <w:rFonts w:ascii="Arial" w:hAnsi="Arial" w:eastAsia="黑体" w:cs="Times New Roman"/>
          <w:bCs/>
          <w:color w:val="auto"/>
          <w:kern w:val="44"/>
          <w:sz w:val="36"/>
          <w:szCs w:val="36"/>
        </w:rPr>
      </w:pPr>
      <w:bookmarkStart w:id="54" w:name="_Toc16238375"/>
      <w:bookmarkStart w:id="55" w:name="_Toc413933182"/>
      <w:bookmarkStart w:id="56" w:name="_Toc413933289"/>
      <w:bookmarkStart w:id="57" w:name="_Toc24841"/>
      <w:bookmarkStart w:id="58" w:name="_Toc301212626"/>
      <w:bookmarkStart w:id="59" w:name="_Toc242005129"/>
      <w:r>
        <w:rPr>
          <w:rFonts w:hint="eastAsia" w:ascii="Arial" w:hAnsi="Arial" w:eastAsia="黑体" w:cs="Times New Roman"/>
          <w:bCs/>
          <w:color w:val="auto"/>
          <w:kern w:val="44"/>
          <w:sz w:val="36"/>
          <w:szCs w:val="36"/>
        </w:rPr>
        <w:t>第三章</w:t>
      </w:r>
      <w:r>
        <w:rPr>
          <w:rFonts w:ascii="Arial" w:hAnsi="Arial" w:eastAsia="黑体" w:cs="Times New Roman"/>
          <w:bCs/>
          <w:color w:val="auto"/>
          <w:kern w:val="44"/>
          <w:sz w:val="36"/>
          <w:szCs w:val="36"/>
        </w:rPr>
        <w:t xml:space="preserve">  </w:t>
      </w:r>
      <w:r>
        <w:rPr>
          <w:rFonts w:hint="eastAsia" w:ascii="Arial" w:hAnsi="Arial" w:eastAsia="黑体" w:cs="Times New Roman"/>
          <w:bCs/>
          <w:color w:val="auto"/>
          <w:kern w:val="44"/>
          <w:sz w:val="36"/>
          <w:szCs w:val="36"/>
        </w:rPr>
        <w:t>评标、定标及合同签订</w:t>
      </w:r>
      <w:bookmarkEnd w:id="54"/>
      <w:bookmarkEnd w:id="55"/>
      <w:bookmarkEnd w:id="56"/>
      <w:bookmarkEnd w:id="57"/>
    </w:p>
    <w:p>
      <w:pPr>
        <w:keepNext/>
        <w:keepLines/>
        <w:spacing w:after="100" w:afterAutospacing="1" w:line="560" w:lineRule="exact"/>
        <w:ind w:left="454" w:hanging="454"/>
        <w:jc w:val="center"/>
        <w:outlineLvl w:val="1"/>
        <w:rPr>
          <w:rFonts w:ascii="仿宋_GB2312" w:hAnsi="宋体" w:eastAsia="仿宋_GB2312" w:cs="Times New Roman"/>
          <w:b/>
          <w:color w:val="auto"/>
          <w:kern w:val="28"/>
          <w:sz w:val="32"/>
          <w:szCs w:val="32"/>
        </w:rPr>
      </w:pPr>
      <w:bookmarkStart w:id="60" w:name="_Toc242005127"/>
      <w:bookmarkStart w:id="61" w:name="_Toc413933290"/>
      <w:bookmarkStart w:id="62" w:name="_Toc16238376"/>
      <w:bookmarkStart w:id="63" w:name="_Toc23032"/>
      <w:bookmarkStart w:id="64" w:name="_Toc413933183"/>
      <w:r>
        <w:rPr>
          <w:rFonts w:hint="eastAsia" w:ascii="仿宋_GB2312" w:hAnsi="宋体" w:eastAsia="仿宋_GB2312" w:cs="Times New Roman"/>
          <w:b/>
          <w:color w:val="auto"/>
          <w:kern w:val="28"/>
          <w:sz w:val="32"/>
          <w:szCs w:val="32"/>
        </w:rPr>
        <w:t>一、评标总则</w:t>
      </w:r>
      <w:bookmarkEnd w:id="60"/>
      <w:bookmarkEnd w:id="61"/>
      <w:bookmarkEnd w:id="62"/>
      <w:bookmarkEnd w:id="63"/>
      <w:bookmarkEnd w:id="64"/>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1、评标的组织</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评标由评标委员会负责。</w:t>
      </w:r>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2、评标过程的保密</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属于对投标文件的审查、澄清、评价和比较有关的资料以及中标候选人的推荐情况，与评标有关的其他任何情况均严格保密。</w:t>
      </w:r>
    </w:p>
    <w:p>
      <w:pPr>
        <w:spacing w:line="560" w:lineRule="exact"/>
        <w:ind w:left="480"/>
        <w:rPr>
          <w:rFonts w:ascii="仿宋_GB2312" w:eastAsia="仿宋_GB2312"/>
          <w:b/>
          <w:bCs/>
          <w:color w:val="auto"/>
          <w:sz w:val="32"/>
          <w:szCs w:val="32"/>
        </w:rPr>
      </w:pPr>
      <w:r>
        <w:rPr>
          <w:rFonts w:hint="eastAsia" w:ascii="仿宋_GB2312" w:eastAsia="仿宋_GB2312"/>
          <w:b/>
          <w:color w:val="auto"/>
          <w:sz w:val="32"/>
          <w:szCs w:val="32"/>
        </w:rPr>
        <w:t>3、投标文件的澄清</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4、定标</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招标人根据评标报告，最终审定中标人。</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招标人将于中标候选人公示结束后确定排名第一的中标候选人为中标人。</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排名第一的中标候选人放弃中标、因不可抗力提出不能履行合同，招标人可以确定排名第二的中标候选人为中标人。</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排名第二的中标候选人出现前款所列的情形的，招标人可以确定排名第三的中标候选人为中标人。以此类推，如所有中标候选人均出现前款所列的情形，则本次招标失败。</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招标人评定中标后，向中标的投标人发出书面的中标通知书。</w:t>
      </w:r>
    </w:p>
    <w:p>
      <w:pPr>
        <w:spacing w:line="560" w:lineRule="exact"/>
        <w:ind w:left="480"/>
        <w:rPr>
          <w:rFonts w:ascii="仿宋_GB2312" w:eastAsia="仿宋_GB2312"/>
          <w:b/>
          <w:bCs/>
          <w:color w:val="auto"/>
          <w:sz w:val="32"/>
          <w:szCs w:val="32"/>
        </w:rPr>
      </w:pPr>
      <w:r>
        <w:rPr>
          <w:rFonts w:hint="eastAsia" w:ascii="仿宋_GB2312" w:hAnsi="宋体" w:eastAsia="仿宋_GB2312"/>
          <w:b/>
          <w:bCs/>
          <w:color w:val="auto"/>
          <w:sz w:val="32"/>
          <w:szCs w:val="32"/>
        </w:rPr>
        <w:t>5、合同签订</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5.1招标人与中标人应于中标通知书发出之日起</w:t>
      </w:r>
      <w:r>
        <w:rPr>
          <w:rFonts w:hint="eastAsia" w:ascii="仿宋_GB2312" w:hAnsi="宋体" w:eastAsia="仿宋_GB2312"/>
          <w:b/>
          <w:bCs/>
          <w:color w:val="auto"/>
          <w:sz w:val="32"/>
          <w:szCs w:val="32"/>
        </w:rPr>
        <w:t>10个日历日内</w:t>
      </w:r>
      <w:r>
        <w:rPr>
          <w:rFonts w:hint="eastAsia" w:ascii="仿宋_GB2312" w:hAnsi="宋体" w:eastAsia="仿宋_GB2312"/>
          <w:color w:val="auto"/>
          <w:sz w:val="32"/>
          <w:szCs w:val="32"/>
        </w:rPr>
        <w:t>，按照招标文件和中标人的投标文件商定、签订合同，招标人与中标人不得再订立背离招标文件实质性内容的其他协议。</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rPr>
        <w:t>5.2中标人如不按本招标文件本章第5.1款的规定与招标人订立合同，或将合同转包、转让的，则招标人将废除授标。</w:t>
      </w:r>
      <w:bookmarkStart w:id="65" w:name="_Toc221688758"/>
      <w:bookmarkStart w:id="66" w:name="_Toc242005128"/>
    </w:p>
    <w:p>
      <w:pPr>
        <w:keepNext/>
        <w:keepLines/>
        <w:spacing w:after="100" w:afterAutospacing="1" w:line="560" w:lineRule="exact"/>
        <w:ind w:left="237" w:leftChars="113" w:firstLine="3521" w:firstLineChars="1096"/>
        <w:outlineLvl w:val="1"/>
        <w:rPr>
          <w:rFonts w:ascii="仿宋_GB2312" w:hAnsi="宋体" w:eastAsia="仿宋_GB2312" w:cs="Times New Roman"/>
          <w:b/>
          <w:color w:val="auto"/>
          <w:kern w:val="28"/>
          <w:sz w:val="32"/>
          <w:szCs w:val="32"/>
        </w:rPr>
      </w:pPr>
      <w:bookmarkStart w:id="67" w:name="_Toc413933291"/>
      <w:bookmarkStart w:id="68" w:name="_Toc413933184"/>
      <w:bookmarkStart w:id="69" w:name="_Toc18296"/>
      <w:bookmarkStart w:id="70" w:name="_Toc16238377"/>
      <w:r>
        <w:rPr>
          <w:rFonts w:hint="eastAsia" w:ascii="仿宋_GB2312" w:hAnsi="宋体" w:eastAsia="仿宋_GB2312" w:cs="Times New Roman"/>
          <w:b/>
          <w:color w:val="auto"/>
          <w:kern w:val="28"/>
          <w:sz w:val="32"/>
          <w:szCs w:val="32"/>
        </w:rPr>
        <w:t>二、评标方法</w:t>
      </w:r>
      <w:bookmarkEnd w:id="65"/>
      <w:bookmarkEnd w:id="66"/>
      <w:bookmarkEnd w:id="67"/>
      <w:bookmarkEnd w:id="68"/>
      <w:bookmarkEnd w:id="69"/>
      <w:bookmarkEnd w:id="70"/>
    </w:p>
    <w:p>
      <w:pPr>
        <w:spacing w:line="560" w:lineRule="exact"/>
        <w:ind w:firstLine="643" w:firstLineChars="20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7．评标委员会及其职责</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7.1评标委员会由招标人依据公司招标管理规定组建</w:t>
      </w:r>
      <w:r>
        <w:rPr>
          <w:rFonts w:hint="eastAsia" w:ascii="仿宋_GB2312" w:hAnsi="宋体" w:eastAsia="仿宋_GB2312" w:cs="Times New Roman"/>
          <w:color w:val="auto"/>
          <w:sz w:val="32"/>
          <w:szCs w:val="32"/>
          <w:u w:val="single"/>
        </w:rPr>
        <w:t xml:space="preserve"> 5 </w:t>
      </w:r>
      <w:r>
        <w:rPr>
          <w:rFonts w:hint="eastAsia" w:ascii="仿宋_GB2312" w:hAnsi="宋体" w:eastAsia="仿宋_GB2312" w:cs="Times New Roman"/>
          <w:color w:val="auto"/>
          <w:sz w:val="32"/>
          <w:szCs w:val="32"/>
        </w:rPr>
        <w:t>名专家，负责评标活动。</w:t>
      </w:r>
    </w:p>
    <w:p>
      <w:pPr>
        <w:spacing w:line="560" w:lineRule="exact"/>
        <w:ind w:firstLine="640" w:firstLineChars="200"/>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7.2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pPr>
        <w:spacing w:before="120" w:beforeLines="50" w:line="560" w:lineRule="exact"/>
        <w:ind w:firstLine="643" w:firstLineChars="20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8.评标依据</w:t>
      </w:r>
    </w:p>
    <w:p>
      <w:pPr>
        <w:tabs>
          <w:tab w:val="left" w:pos="1620"/>
        </w:tabs>
        <w:snapToGrid w:val="0"/>
        <w:spacing w:line="560" w:lineRule="exact"/>
        <w:ind w:firstLine="640" w:firstLineChars="200"/>
        <w:rPr>
          <w:rFonts w:ascii="仿宋_GB2312" w:hAnsi="等线" w:eastAsia="仿宋_GB2312" w:cs="Times New Roman"/>
          <w:color w:val="auto"/>
          <w:kern w:val="0"/>
          <w:sz w:val="32"/>
          <w:szCs w:val="32"/>
        </w:rPr>
      </w:pPr>
      <w:r>
        <w:rPr>
          <w:rFonts w:hint="eastAsia" w:ascii="仿宋_GB2312" w:hAnsi="宋体" w:eastAsia="仿宋_GB2312" w:cs="Times New Roman"/>
          <w:color w:val="auto"/>
          <w:kern w:val="0"/>
          <w:sz w:val="32"/>
          <w:szCs w:val="32"/>
        </w:rPr>
        <w:t>8</w:t>
      </w:r>
      <w:r>
        <w:rPr>
          <w:rFonts w:hint="eastAsia" w:ascii="仿宋_GB2312" w:hAnsi="等线" w:eastAsia="仿宋_GB2312" w:cs="Times New Roman"/>
          <w:color w:val="auto"/>
          <w:kern w:val="0"/>
          <w:sz w:val="32"/>
          <w:szCs w:val="32"/>
        </w:rPr>
        <w:t>.</w:t>
      </w:r>
      <w:r>
        <w:rPr>
          <w:rFonts w:hint="eastAsia" w:ascii="仿宋_GB2312" w:hAnsi="宋体" w:eastAsia="仿宋_GB2312" w:cs="Times New Roman"/>
          <w:color w:val="auto"/>
          <w:kern w:val="0"/>
          <w:sz w:val="32"/>
          <w:szCs w:val="32"/>
        </w:rPr>
        <w:t>1本招标项目的招标文件；</w:t>
      </w:r>
    </w:p>
    <w:p>
      <w:pPr>
        <w:tabs>
          <w:tab w:val="left" w:pos="1620"/>
        </w:tabs>
        <w:snapToGrid w:val="0"/>
        <w:spacing w:line="560" w:lineRule="exact"/>
        <w:ind w:firstLine="640" w:firstLineChars="200"/>
        <w:rPr>
          <w:rFonts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8</w:t>
      </w:r>
      <w:r>
        <w:rPr>
          <w:rFonts w:hint="eastAsia" w:ascii="仿宋_GB2312" w:hAnsi="等线" w:eastAsia="仿宋_GB2312" w:cs="Times New Roman"/>
          <w:color w:val="auto"/>
          <w:kern w:val="0"/>
          <w:sz w:val="32"/>
          <w:szCs w:val="32"/>
        </w:rPr>
        <w:t>.</w:t>
      </w:r>
      <w:r>
        <w:rPr>
          <w:rFonts w:hint="eastAsia" w:ascii="仿宋_GB2312" w:hAnsi="宋体" w:eastAsia="仿宋_GB2312" w:cs="Times New Roman"/>
          <w:color w:val="auto"/>
          <w:kern w:val="0"/>
          <w:sz w:val="32"/>
          <w:szCs w:val="32"/>
        </w:rPr>
        <w:t>2各级行政主管部门颁发的有关招投标相关法律法规。</w:t>
      </w:r>
    </w:p>
    <w:p>
      <w:pPr>
        <w:tabs>
          <w:tab w:val="left" w:pos="1620"/>
        </w:tabs>
        <w:snapToGrid w:val="0"/>
        <w:spacing w:line="560" w:lineRule="exact"/>
        <w:ind w:firstLine="640" w:firstLineChars="200"/>
        <w:rPr>
          <w:rFonts w:ascii="仿宋_GB2312" w:hAnsi="等线" w:eastAsia="仿宋_GB2312" w:cs="Times New Roman"/>
          <w:color w:val="auto"/>
          <w:kern w:val="0"/>
          <w:sz w:val="32"/>
          <w:szCs w:val="32"/>
        </w:rPr>
      </w:pPr>
      <w:r>
        <w:rPr>
          <w:rFonts w:hint="eastAsia" w:ascii="仿宋_GB2312" w:hAnsi="宋体" w:eastAsia="仿宋_GB2312" w:cs="Times New Roman"/>
          <w:color w:val="auto"/>
          <w:kern w:val="0"/>
          <w:sz w:val="32"/>
          <w:szCs w:val="32"/>
        </w:rPr>
        <w:t>8.3 招标人依法制定的公司招投标相关管理办法；</w:t>
      </w:r>
    </w:p>
    <w:p>
      <w:pPr>
        <w:spacing w:before="120" w:beforeLines="50" w:line="560" w:lineRule="exact"/>
        <w:ind w:firstLine="482" w:firstLineChars="15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 xml:space="preserve"> 9. 评标专家守则</w:t>
      </w:r>
    </w:p>
    <w:p>
      <w:pPr>
        <w:spacing w:line="560" w:lineRule="exact"/>
        <w:ind w:firstLine="48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9.1所有参加评标的专家必须遵守国家、地方政府制定的有关招标投标的法则、规定，遵守有关招标投标的保密制度；如有违反者，给予行政处分。</w:t>
      </w:r>
    </w:p>
    <w:p>
      <w:pPr>
        <w:spacing w:before="120" w:beforeLines="50" w:line="560" w:lineRule="exact"/>
        <w:ind w:firstLine="643" w:firstLineChars="20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10. 开、评标程序</w:t>
      </w:r>
    </w:p>
    <w:p>
      <w:pPr>
        <w:snapToGrid w:val="0"/>
        <w:spacing w:line="560" w:lineRule="exact"/>
        <w:ind w:firstLine="697" w:firstLineChars="218"/>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10.1开标程序：</w:t>
      </w:r>
    </w:p>
    <w:p>
      <w:pPr>
        <w:snapToGrid w:val="0"/>
        <w:spacing w:line="560" w:lineRule="exact"/>
        <w:ind w:firstLine="697" w:firstLineChars="218"/>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10.1.1开标由招标人代表主持；</w:t>
      </w:r>
    </w:p>
    <w:p>
      <w:pPr>
        <w:spacing w:line="560" w:lineRule="exact"/>
        <w:ind w:firstLine="697" w:firstLineChars="218"/>
        <w:rPr>
          <w:rFonts w:ascii="仿宋_GB2312" w:eastAsia="仿宋_GB2312"/>
          <w:color w:val="auto"/>
          <w:sz w:val="32"/>
          <w:szCs w:val="32"/>
        </w:rPr>
      </w:pPr>
      <w:r>
        <w:rPr>
          <w:rFonts w:hint="eastAsia" w:ascii="仿宋_GB2312" w:hAnsi="宋体" w:eastAsia="仿宋_GB2312"/>
          <w:color w:val="auto"/>
          <w:sz w:val="32"/>
          <w:szCs w:val="32"/>
        </w:rPr>
        <w:t>10.1.2 由招标人代表检查投标文件的密封情况；</w:t>
      </w:r>
      <w:r>
        <w:rPr>
          <w:rFonts w:hint="eastAsia" w:ascii="仿宋_GB2312" w:eastAsia="仿宋_GB2312"/>
          <w:color w:val="auto"/>
          <w:sz w:val="32"/>
          <w:szCs w:val="32"/>
        </w:rPr>
        <w:t xml:space="preserve"> </w:t>
      </w:r>
    </w:p>
    <w:p>
      <w:pPr>
        <w:snapToGrid w:val="0"/>
        <w:spacing w:line="560" w:lineRule="exact"/>
        <w:ind w:firstLine="697" w:firstLineChars="218"/>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10.1.3投标截止期前，各投标人递交投标文件至招标文件规定的投标地点。投标人代表凭法定代表人证明书原件、法定代表人授权委托证明书并加盖投标人公章原件（仅限于法定代表人不出席而委托授权代表出席开标会的）、本人身份证原件递交投标文件，招标人进行检验确认有效后，才接收其投标文件；</w:t>
      </w:r>
      <w:r>
        <w:rPr>
          <w:rFonts w:hint="eastAsia" w:ascii="仿宋_GB2312" w:hAnsi="等线" w:eastAsia="仿宋_GB2312" w:cs="Times New Roman"/>
          <w:color w:val="auto"/>
          <w:sz w:val="32"/>
          <w:szCs w:val="32"/>
        </w:rPr>
        <w:t xml:space="preserve"> </w:t>
      </w:r>
    </w:p>
    <w:p>
      <w:pPr>
        <w:spacing w:line="560" w:lineRule="exact"/>
        <w:ind w:firstLine="697" w:firstLineChars="218"/>
        <w:rPr>
          <w:rFonts w:ascii="仿宋_GB2312" w:eastAsia="仿宋_GB2312"/>
          <w:color w:val="auto"/>
          <w:sz w:val="32"/>
          <w:szCs w:val="32"/>
        </w:rPr>
      </w:pPr>
      <w:r>
        <w:rPr>
          <w:rFonts w:hint="eastAsia" w:ascii="仿宋_GB2312" w:hAnsi="宋体" w:eastAsia="仿宋_GB2312"/>
          <w:color w:val="auto"/>
          <w:sz w:val="32"/>
          <w:szCs w:val="32"/>
        </w:rPr>
        <w:t>10.1.4开标，由招标人宣读a、投标人名称；b、标书密封情况；c、投标报价等主要内容以及开标记录表中的其他必要内容；</w:t>
      </w:r>
    </w:p>
    <w:p>
      <w:pPr>
        <w:spacing w:line="560" w:lineRule="exact"/>
        <w:ind w:firstLine="697" w:firstLineChars="218"/>
        <w:rPr>
          <w:rFonts w:ascii="仿宋_GB2312" w:eastAsia="仿宋_GB2312"/>
          <w:color w:val="auto"/>
          <w:sz w:val="32"/>
          <w:szCs w:val="32"/>
        </w:rPr>
      </w:pPr>
      <w:r>
        <w:rPr>
          <w:rFonts w:hint="eastAsia" w:ascii="仿宋_GB2312" w:hAnsi="宋体" w:eastAsia="仿宋_GB2312"/>
          <w:color w:val="auto"/>
          <w:sz w:val="32"/>
          <w:szCs w:val="32"/>
        </w:rPr>
        <w:t>10.1.5招标人对开标过程进行记录，并存档备查，投标人在开标记录上签字；</w:t>
      </w:r>
    </w:p>
    <w:p>
      <w:pPr>
        <w:spacing w:line="560" w:lineRule="exact"/>
        <w:ind w:firstLine="697" w:firstLineChars="218"/>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10.2</w:t>
      </w:r>
      <w:r>
        <w:rPr>
          <w:rFonts w:hint="eastAsia" w:ascii="仿宋_GB2312" w:hAnsi="等线" w:eastAsia="仿宋_GB2312" w:cs="Times New Roman"/>
          <w:color w:val="auto"/>
          <w:sz w:val="32"/>
          <w:szCs w:val="32"/>
        </w:rPr>
        <w:t>若出现本章《否决性条款汇总》（附件1中第一点）所述情况，招标人将拒绝接收其投标文件；</w:t>
      </w:r>
    </w:p>
    <w:p>
      <w:pPr>
        <w:snapToGrid w:val="0"/>
        <w:spacing w:line="560" w:lineRule="exact"/>
        <w:ind w:firstLine="697" w:firstLineChars="218"/>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10.3招标人将上述符合要求的投标文件，送至评标委员会进行评审。</w:t>
      </w:r>
    </w:p>
    <w:p>
      <w:pPr>
        <w:spacing w:line="560" w:lineRule="exact"/>
        <w:ind w:firstLine="48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10.4评标程序：</w:t>
      </w:r>
    </w:p>
    <w:p>
      <w:pPr>
        <w:spacing w:line="560" w:lineRule="exact"/>
        <w:ind w:firstLine="48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10.4.1投标文件符合性审查</w:t>
      </w:r>
    </w:p>
    <w:p>
      <w:pPr>
        <w:spacing w:line="560" w:lineRule="exact"/>
        <w:ind w:firstLine="48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10.4.2投标方案编写者须亲自参加评审会，结合提报方案用投影仪进行现场讲解，每家公司讲解时间为</w:t>
      </w:r>
      <w:r>
        <w:rPr>
          <w:rFonts w:ascii="仿宋_GB2312" w:hAnsi="等线" w:eastAsia="仿宋_GB2312" w:cs="Times New Roman"/>
          <w:color w:val="auto"/>
          <w:sz w:val="32"/>
          <w:szCs w:val="32"/>
        </w:rPr>
        <w:t>2</w:t>
      </w:r>
      <w:r>
        <w:rPr>
          <w:rFonts w:hint="eastAsia" w:ascii="仿宋_GB2312" w:hAnsi="等线" w:eastAsia="仿宋_GB2312" w:cs="Times New Roman"/>
          <w:color w:val="auto"/>
          <w:sz w:val="32"/>
          <w:szCs w:val="32"/>
        </w:rPr>
        <w:t>0分钟。</w:t>
      </w:r>
    </w:p>
    <w:p>
      <w:pPr>
        <w:spacing w:line="560" w:lineRule="exact"/>
        <w:ind w:firstLine="48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10.4.3投标文件综合评审；</w:t>
      </w:r>
    </w:p>
    <w:p>
      <w:pPr>
        <w:spacing w:line="560" w:lineRule="exact"/>
        <w:ind w:firstLine="48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10.4.4计算投标人总得分；</w:t>
      </w:r>
    </w:p>
    <w:p>
      <w:pPr>
        <w:spacing w:line="560" w:lineRule="exact"/>
        <w:ind w:firstLine="48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10.4.5完成评标报告，向招标人推荐中标候选人。</w:t>
      </w:r>
    </w:p>
    <w:p>
      <w:pPr>
        <w:tabs>
          <w:tab w:val="left" w:pos="720"/>
        </w:tabs>
        <w:snapToGrid w:val="0"/>
        <w:spacing w:line="560" w:lineRule="exact"/>
        <w:ind w:firstLine="482" w:firstLineChars="15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11. 投标文件的有效性</w:t>
      </w:r>
    </w:p>
    <w:p>
      <w:pPr>
        <w:tabs>
          <w:tab w:val="left" w:pos="720"/>
        </w:tabs>
        <w:snapToGrid w:val="0"/>
        <w:spacing w:line="560" w:lineRule="exact"/>
        <w:ind w:firstLine="480" w:firstLineChars="15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详见本章《否决性条款汇总》的规定。</w:t>
      </w:r>
    </w:p>
    <w:p>
      <w:pPr>
        <w:tabs>
          <w:tab w:val="left" w:pos="720"/>
        </w:tabs>
        <w:snapToGrid w:val="0"/>
        <w:spacing w:line="560" w:lineRule="exact"/>
        <w:ind w:firstLine="480" w:firstLineChars="150"/>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投标文件实质上响应招标文件要求的标准：投标文件中没有出现任一种属于招标文件所列出的废标或无效标情形。</w:t>
      </w:r>
    </w:p>
    <w:p>
      <w:pPr>
        <w:tabs>
          <w:tab w:val="left" w:pos="720"/>
        </w:tabs>
        <w:snapToGrid w:val="0"/>
        <w:spacing w:line="560" w:lineRule="exact"/>
        <w:ind w:firstLine="482" w:firstLineChars="150"/>
        <w:rPr>
          <w:rFonts w:ascii="仿宋_GB2312" w:hAnsi="等线" w:eastAsia="仿宋_GB2312" w:cs="Times New Roman"/>
          <w:color w:val="auto"/>
          <w:sz w:val="32"/>
          <w:szCs w:val="32"/>
        </w:rPr>
      </w:pPr>
      <w:r>
        <w:rPr>
          <w:rFonts w:hint="eastAsia" w:ascii="仿宋_GB2312" w:hAnsi="等线" w:eastAsia="仿宋_GB2312" w:cs="Times New Roman"/>
          <w:b/>
          <w:color w:val="auto"/>
          <w:sz w:val="32"/>
          <w:szCs w:val="32"/>
        </w:rPr>
        <w:t>12．评标细则</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12.1 由评委对投标文件的符合性进行审查（详见本章《否决性条款汇总》（附件1第二点），对通过符合性审查的投标文件再进行综合评审。符合性审查不进行详细打分，标准只有通过与不通过之分。评委对各投标文件评审时，对每个不通过评审的具体项目须在评标报告中详细说明。若通过符合性审查的投标人不足3名时，应重新组织招标。</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12.2报价的算术复核</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投标文件符合性审查后综合评审前，评标委员会将对确定为实质上响应招标文件要求的投标文件中的报价进行复核，出现以下情况时，应如下处理：</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当投标人用数字表示的金额与用文字表示的数额不一致时，以文字数额为准。</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 xml:space="preserve">12.3综合评审采用百分制评分法，主要对投标人的报价（20分）、商务部分（30分）、技术部分（50分）三个方面进行评分。每方面得分权重由招标人在招标文件中确定，但不得超出上述分值范围。同时，招标人须在招标文件中详细列出每子项的具体评分标准（详见本章《评分内容及标准》（附件2））。 </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12.4综合评分要求</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12.4.1评委应严格按照本评标办法对投标文件独立进行评议，作出个人评价。</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12.4.2评委按照个人评议情况对各分项内容进行各自记名打分。</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12.4.3投标人的综合得分为各评委的评分的算术平均分（分数出现小数点时，保留小数点后二位，第三位小数四舍五入）。</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12.5计算投标人的总得分（满分为100分）</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12.6评审过程中，评标委员会可在必要时安排投标人对有关细节加以澄清，但这种澄清不应使其它投标人处于不公平的地位。</w:t>
      </w:r>
    </w:p>
    <w:p>
      <w:pPr>
        <w:spacing w:line="560" w:lineRule="exact"/>
        <w:ind w:firstLine="470" w:firstLineChars="147"/>
        <w:rPr>
          <w:rFonts w:ascii="仿宋_GB2312" w:hAnsi="等线" w:eastAsia="仿宋_GB2312" w:cs="Times New Roman"/>
          <w:color w:val="auto"/>
          <w:sz w:val="32"/>
          <w:szCs w:val="32"/>
        </w:rPr>
      </w:pPr>
      <w:r>
        <w:rPr>
          <w:rFonts w:hint="eastAsia" w:ascii="仿宋_GB2312" w:hAnsi="等线" w:eastAsia="仿宋_GB2312" w:cs="Times New Roman"/>
          <w:color w:val="auto"/>
          <w:sz w:val="32"/>
          <w:szCs w:val="32"/>
        </w:rPr>
        <w:t>12.7评标委员会依据有关法律、法规和招标文件的规定对投标文件进行评审。</w:t>
      </w:r>
    </w:p>
    <w:p>
      <w:pPr>
        <w:spacing w:before="120" w:beforeLines="50" w:line="560" w:lineRule="exact"/>
        <w:ind w:firstLine="643" w:firstLineChars="20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13．推荐中标候选人</w:t>
      </w:r>
    </w:p>
    <w:p>
      <w:pPr>
        <w:tabs>
          <w:tab w:val="left" w:pos="720"/>
        </w:tabs>
        <w:snapToGrid w:val="0"/>
        <w:spacing w:line="560" w:lineRule="exact"/>
        <w:ind w:firstLine="495"/>
        <w:rPr>
          <w:rFonts w:ascii="仿宋_GB2312" w:hAnsi="Courier New" w:eastAsia="仿宋_GB2312" w:cs="Times New Roman"/>
          <w:color w:val="auto"/>
          <w:sz w:val="32"/>
          <w:szCs w:val="32"/>
        </w:rPr>
      </w:pPr>
      <w:r>
        <w:rPr>
          <w:rFonts w:hint="eastAsia" w:ascii="仿宋_GB2312" w:hAnsi="Courier New" w:eastAsia="仿宋_GB2312" w:cs="Times New Roman"/>
          <w:color w:val="auto"/>
          <w:sz w:val="32"/>
          <w:szCs w:val="32"/>
        </w:rPr>
        <w:t>以上评审完成后，按投标人的总得分从高到低进行排序，如果总分相同的，按中标候选人数量规定，由评标委员会采用随机抽取(摇珠)方式，确定中标候选人的排序。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pPr>
        <w:spacing w:before="120" w:beforeLines="50" w:line="560" w:lineRule="exact"/>
        <w:ind w:firstLine="643" w:firstLineChars="200"/>
        <w:rPr>
          <w:rFonts w:ascii="仿宋_GB2312" w:hAnsi="等线" w:eastAsia="仿宋_GB2312" w:cs="Times New Roman"/>
          <w:b/>
          <w:color w:val="auto"/>
          <w:sz w:val="32"/>
          <w:szCs w:val="32"/>
        </w:rPr>
      </w:pPr>
      <w:r>
        <w:rPr>
          <w:rFonts w:hint="eastAsia" w:ascii="仿宋_GB2312" w:hAnsi="等线" w:eastAsia="仿宋_GB2312" w:cs="Times New Roman"/>
          <w:b/>
          <w:color w:val="auto"/>
          <w:sz w:val="32"/>
          <w:szCs w:val="32"/>
        </w:rPr>
        <w:t>14．审定中标人</w:t>
      </w:r>
    </w:p>
    <w:p>
      <w:pPr>
        <w:tabs>
          <w:tab w:val="left" w:pos="720"/>
        </w:tabs>
        <w:snapToGrid w:val="0"/>
        <w:spacing w:line="560" w:lineRule="exact"/>
        <w:ind w:firstLine="495"/>
        <w:rPr>
          <w:rFonts w:ascii="仿宋_GB2312" w:hAnsi="Courier New" w:eastAsia="仿宋_GB2312" w:cs="Times New Roman"/>
          <w:color w:val="auto"/>
          <w:sz w:val="32"/>
          <w:szCs w:val="32"/>
        </w:rPr>
      </w:pPr>
      <w:r>
        <w:rPr>
          <w:rFonts w:hint="eastAsia" w:ascii="仿宋_GB2312" w:hAnsi="Courier New" w:eastAsia="仿宋_GB2312" w:cs="Times New Roman"/>
          <w:color w:val="auto"/>
          <w:sz w:val="32"/>
          <w:szCs w:val="32"/>
        </w:rPr>
        <w:t>招标人根据评标委员会递交的评标报告，最终依法审定中标人。但在签订合同前的任何时候，评委、招标人以及其他人员发现投标人在招标过程有弄虚作假行为、虚报资料情况，一经查实，立即取消其中标人资格。</w:t>
      </w:r>
    </w:p>
    <w:p>
      <w:pPr>
        <w:keepNext/>
        <w:keepLines/>
        <w:spacing w:after="100" w:afterAutospacing="1" w:line="560" w:lineRule="exact"/>
        <w:ind w:left="454" w:hanging="454"/>
        <w:jc w:val="left"/>
        <w:outlineLvl w:val="1"/>
        <w:rPr>
          <w:rFonts w:ascii="仿宋_GB2312" w:hAnsi="宋体" w:eastAsia="仿宋_GB2312" w:cs="Times New Roman"/>
          <w:b/>
          <w:color w:val="auto"/>
          <w:kern w:val="28"/>
          <w:sz w:val="32"/>
          <w:szCs w:val="32"/>
        </w:rPr>
      </w:pPr>
      <w:r>
        <w:rPr>
          <w:rFonts w:hint="eastAsia" w:ascii="仿宋_GB2312" w:hAnsi="Courier New" w:eastAsia="仿宋_GB2312" w:cs="Times New Roman"/>
          <w:color w:val="auto"/>
          <w:sz w:val="32"/>
          <w:szCs w:val="32"/>
        </w:rPr>
        <w:br w:type="page"/>
      </w:r>
      <w:bookmarkStart w:id="71" w:name="_Toc16238378"/>
      <w:r>
        <w:rPr>
          <w:rFonts w:hint="eastAsia" w:ascii="宋体" w:hAnsi="宋体" w:eastAsia="宋体" w:cs="Times New Roman"/>
          <w:b/>
          <w:color w:val="auto"/>
          <w:kern w:val="28"/>
          <w:sz w:val="30"/>
          <w:szCs w:val="20"/>
        </w:rPr>
        <w:t>附件1：</w:t>
      </w:r>
      <w:bookmarkEnd w:id="71"/>
    </w:p>
    <w:p>
      <w:pPr>
        <w:keepNext/>
        <w:keepLines/>
        <w:spacing w:after="100" w:afterAutospacing="1" w:line="560" w:lineRule="exact"/>
        <w:ind w:left="454" w:hanging="454"/>
        <w:jc w:val="center"/>
        <w:outlineLvl w:val="1"/>
        <w:rPr>
          <w:rFonts w:ascii="仿宋_GB2312" w:hAnsi="宋体" w:eastAsia="仿宋_GB2312" w:cs="Times New Roman"/>
          <w:b/>
          <w:color w:val="auto"/>
          <w:kern w:val="28"/>
          <w:sz w:val="32"/>
          <w:szCs w:val="32"/>
        </w:rPr>
      </w:pPr>
      <w:bookmarkStart w:id="72" w:name="_Toc16238379"/>
      <w:r>
        <w:rPr>
          <w:rFonts w:hint="eastAsia" w:ascii="仿宋_GB2312" w:hAnsi="宋体" w:eastAsia="仿宋_GB2312" w:cs="Times New Roman"/>
          <w:b/>
          <w:color w:val="auto"/>
          <w:kern w:val="28"/>
          <w:sz w:val="32"/>
          <w:szCs w:val="32"/>
        </w:rPr>
        <w:t>否决性条款汇总</w:t>
      </w:r>
      <w:bookmarkEnd w:id="72"/>
    </w:p>
    <w:p>
      <w:pPr>
        <w:tabs>
          <w:tab w:val="left" w:pos="720"/>
        </w:tabs>
        <w:snapToGrid w:val="0"/>
        <w:spacing w:line="560" w:lineRule="exact"/>
        <w:rPr>
          <w:rFonts w:ascii="仿宋_GB2312" w:hAnsi="Courier New" w:eastAsia="仿宋_GB2312" w:cs="Times New Roman"/>
          <w:color w:val="auto"/>
          <w:position w:val="12"/>
          <w:sz w:val="32"/>
          <w:szCs w:val="32"/>
        </w:rPr>
      </w:pPr>
    </w:p>
    <w:p>
      <w:pPr>
        <w:tabs>
          <w:tab w:val="left" w:pos="720"/>
        </w:tabs>
        <w:snapToGrid w:val="0"/>
        <w:spacing w:line="560" w:lineRule="exact"/>
        <w:ind w:firstLine="495"/>
        <w:rPr>
          <w:rFonts w:ascii="仿宋_GB2312" w:hAnsi="Courier New" w:eastAsia="仿宋_GB2312" w:cs="Times New Roman"/>
          <w:color w:val="auto"/>
          <w:sz w:val="32"/>
          <w:szCs w:val="32"/>
        </w:rPr>
      </w:pPr>
      <w:r>
        <w:rPr>
          <w:rFonts w:hint="eastAsia" w:ascii="仿宋_GB2312" w:hAnsi="Courier New" w:eastAsia="仿宋_GB2312" w:cs="Times New Roman"/>
          <w:color w:val="auto"/>
          <w:sz w:val="32"/>
          <w:szCs w:val="32"/>
        </w:rPr>
        <w:t>否决性条款是指招标文件中规定的不予受理投标或者作无效标、废标以及不合格标处理等否定投标文件效力的条款。</w:t>
      </w:r>
    </w:p>
    <w:p>
      <w:pPr>
        <w:spacing w:line="560" w:lineRule="exact"/>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一、</w:t>
      </w:r>
      <w:r>
        <w:rPr>
          <w:rFonts w:hint="eastAsia" w:ascii="仿宋_GB2312" w:hAnsi="等线" w:eastAsia="仿宋_GB2312" w:cs="Times New Roman"/>
          <w:color w:val="auto"/>
          <w:sz w:val="32"/>
          <w:szCs w:val="32"/>
        </w:rPr>
        <w:t>若出现以下情况，招标人将拒绝接收其投标文件：</w:t>
      </w:r>
    </w:p>
    <w:p>
      <w:pPr>
        <w:spacing w:line="560" w:lineRule="exact"/>
        <w:ind w:firstLine="240"/>
        <w:rPr>
          <w:rFonts w:ascii="仿宋_GB2312" w:eastAsia="仿宋_GB2312"/>
          <w:color w:val="auto"/>
          <w:sz w:val="32"/>
          <w:szCs w:val="32"/>
        </w:rPr>
      </w:pPr>
      <w:r>
        <w:rPr>
          <w:rFonts w:hint="eastAsia" w:ascii="仿宋_GB2312" w:hAnsi="宋体" w:eastAsia="仿宋_GB2312"/>
          <w:color w:val="auto"/>
          <w:sz w:val="32"/>
          <w:szCs w:val="32"/>
        </w:rPr>
        <w:t>1、在投标截止期后逾期或未在指定地点递交投标文件的；</w:t>
      </w:r>
    </w:p>
    <w:p>
      <w:pPr>
        <w:spacing w:line="560" w:lineRule="exact"/>
        <w:ind w:firstLine="240"/>
        <w:rPr>
          <w:rFonts w:ascii="仿宋_GB2312" w:eastAsia="仿宋_GB2312"/>
          <w:color w:val="auto"/>
          <w:sz w:val="32"/>
          <w:szCs w:val="32"/>
        </w:rPr>
      </w:pPr>
      <w:r>
        <w:rPr>
          <w:rFonts w:hint="eastAsia" w:ascii="仿宋_GB2312" w:hAnsi="宋体" w:eastAsia="仿宋_GB2312"/>
          <w:color w:val="auto"/>
          <w:sz w:val="32"/>
          <w:szCs w:val="32"/>
        </w:rPr>
        <w:t>2、投标文件未按招标文件要求密封或未在密封处盖章的；</w:t>
      </w:r>
    </w:p>
    <w:p>
      <w:pPr>
        <w:spacing w:line="560" w:lineRule="exact"/>
        <w:ind w:firstLine="240"/>
        <w:rPr>
          <w:rFonts w:ascii="仿宋_GB2312" w:eastAsia="仿宋_GB2312"/>
          <w:color w:val="auto"/>
          <w:sz w:val="32"/>
          <w:szCs w:val="32"/>
        </w:rPr>
      </w:pPr>
      <w:r>
        <w:rPr>
          <w:rFonts w:hint="eastAsia" w:ascii="仿宋_GB2312" w:hAnsi="宋体" w:eastAsia="仿宋_GB2312"/>
          <w:color w:val="auto"/>
          <w:sz w:val="32"/>
          <w:szCs w:val="32"/>
        </w:rPr>
        <w:t>3、投标人代表未准时出席开标会或未按要求签到的；</w:t>
      </w:r>
    </w:p>
    <w:p>
      <w:pPr>
        <w:spacing w:line="560" w:lineRule="exact"/>
        <w:ind w:firstLine="240"/>
        <w:rPr>
          <w:rFonts w:ascii="仿宋_GB2312" w:eastAsia="仿宋_GB2312"/>
          <w:color w:val="auto"/>
          <w:sz w:val="32"/>
          <w:szCs w:val="32"/>
        </w:rPr>
      </w:pPr>
      <w:r>
        <w:rPr>
          <w:rFonts w:hint="eastAsia" w:ascii="仿宋_GB2312" w:hAnsi="宋体" w:eastAsia="仿宋_GB2312"/>
          <w:color w:val="auto"/>
          <w:sz w:val="32"/>
          <w:szCs w:val="32"/>
        </w:rPr>
        <w:t>4、在投标截止期前，投标人代表未凭法定代表人证明书原件、法定代表人授</w:t>
      </w:r>
      <w:r>
        <w:rPr>
          <w:rFonts w:hint="eastAsia" w:ascii="仿宋_GB2312" w:eastAsia="仿宋_GB2312"/>
          <w:color w:val="auto"/>
          <w:sz w:val="32"/>
          <w:szCs w:val="32"/>
        </w:rPr>
        <w:t>权委托证明书并加盖投标人公章的原件、本人身份证原件递交投标文件的；</w:t>
      </w:r>
    </w:p>
    <w:p>
      <w:pPr>
        <w:widowControl/>
        <w:jc w:val="left"/>
        <w:rPr>
          <w:rFonts w:eastAsia="宋体"/>
          <w:color w:val="auto"/>
          <w:sz w:val="24"/>
        </w:rPr>
      </w:pPr>
      <w:r>
        <w:rPr>
          <w:rFonts w:ascii="等线" w:hAnsi="等线" w:eastAsia="等线" w:cs="Times New Roman"/>
          <w:color w:val="auto"/>
          <w:sz w:val="24"/>
        </w:rPr>
        <w:br w:type="page"/>
      </w:r>
    </w:p>
    <w:p>
      <w:pPr>
        <w:tabs>
          <w:tab w:val="left" w:pos="720"/>
        </w:tabs>
        <w:snapToGrid w:val="0"/>
        <w:spacing w:line="480" w:lineRule="auto"/>
        <w:rPr>
          <w:rFonts w:ascii="楷体_GB2312" w:hAnsi="Courier New" w:eastAsia="楷体_GB2312" w:cs="Times New Roman"/>
          <w:color w:val="auto"/>
          <w:position w:val="12"/>
          <w:sz w:val="32"/>
          <w:szCs w:val="32"/>
        </w:rPr>
      </w:pPr>
      <w:r>
        <w:rPr>
          <w:rFonts w:hint="eastAsia" w:ascii="楷体_GB2312" w:hAnsi="Courier New" w:eastAsia="楷体_GB2312" w:cs="Times New Roman"/>
          <w:color w:val="auto"/>
          <w:position w:val="12"/>
          <w:sz w:val="32"/>
          <w:szCs w:val="32"/>
        </w:rPr>
        <w:t>二、若出现不符合《符合性审查表》中所述情况，作废标处理。</w:t>
      </w:r>
    </w:p>
    <w:p>
      <w:pPr>
        <w:tabs>
          <w:tab w:val="left" w:pos="1470"/>
        </w:tabs>
        <w:spacing w:line="360" w:lineRule="auto"/>
        <w:jc w:val="center"/>
        <w:rPr>
          <w:rFonts w:ascii="等线" w:hAnsi="等线" w:eastAsia="等线" w:cs="Times New Roman"/>
          <w:b/>
          <w:color w:val="auto"/>
          <w:sz w:val="28"/>
          <w:szCs w:val="44"/>
        </w:rPr>
      </w:pPr>
      <w:r>
        <w:rPr>
          <w:rFonts w:hint="eastAsia" w:ascii="等线" w:hAnsi="等线" w:eastAsia="等线" w:cs="Times New Roman"/>
          <w:b/>
          <w:color w:val="auto"/>
          <w:sz w:val="28"/>
          <w:szCs w:val="44"/>
        </w:rPr>
        <w:t>符合性审查表</w:t>
      </w:r>
    </w:p>
    <w:tbl>
      <w:tblPr>
        <w:tblStyle w:val="44"/>
        <w:tblpPr w:leftFromText="180" w:rightFromText="180" w:vertAnchor="text" w:horzAnchor="margin" w:tblpXSpec="center" w:tblpY="7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618"/>
        <w:gridCol w:w="1113"/>
        <w:gridCol w:w="1114"/>
        <w:gridCol w:w="111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等线" w:eastAsia="仿宋_GB2312" w:cs="Times New Roman"/>
                <w:color w:val="auto"/>
                <w:sz w:val="24"/>
                <w:szCs w:val="24"/>
              </w:rPr>
            </w:pPr>
            <w:r>
              <w:rPr>
                <w:rFonts w:hint="eastAsia" w:ascii="仿宋_GB2312" w:hAnsi="宋体" w:eastAsia="仿宋_GB2312" w:cs="Times New Roman"/>
                <w:color w:val="auto"/>
                <w:sz w:val="24"/>
                <w:szCs w:val="24"/>
              </w:rPr>
              <w:t>序号</w:t>
            </w:r>
          </w:p>
        </w:tc>
        <w:tc>
          <w:tcPr>
            <w:tcW w:w="4618" w:type="dxa"/>
            <w:tcBorders>
              <w:tl2br w:val="single" w:color="auto" w:sz="4" w:space="0"/>
            </w:tcBorders>
          </w:tcPr>
          <w:p>
            <w:pPr>
              <w:rPr>
                <w:rFonts w:ascii="仿宋_GB2312" w:hAnsi="等线" w:eastAsia="仿宋_GB2312" w:cs="Times New Roman"/>
                <w:color w:val="auto"/>
                <w:sz w:val="24"/>
                <w:szCs w:val="24"/>
              </w:rPr>
            </w:pPr>
            <w:r>
              <w:rPr>
                <w:rFonts w:hint="eastAsia" w:ascii="仿宋_GB2312" w:hAnsi="宋体" w:eastAsia="仿宋_GB2312" w:cs="Times New Roman"/>
                <w:color w:val="auto"/>
                <w:sz w:val="24"/>
                <w:szCs w:val="24"/>
              </w:rPr>
              <w:t xml:space="preserve">                        投标单位</w:t>
            </w:r>
          </w:p>
          <w:p>
            <w:pPr>
              <w:rPr>
                <w:rFonts w:ascii="仿宋_GB2312" w:hAnsi="等线" w:eastAsia="仿宋_GB2312" w:cs="Times New Roman"/>
                <w:color w:val="auto"/>
                <w:sz w:val="24"/>
                <w:szCs w:val="24"/>
              </w:rPr>
            </w:pPr>
          </w:p>
          <w:p>
            <w:pPr>
              <w:rPr>
                <w:rFonts w:ascii="仿宋_GB2312" w:hAnsi="等线" w:eastAsia="仿宋_GB2312" w:cs="Times New Roman"/>
                <w:color w:val="auto"/>
                <w:sz w:val="24"/>
                <w:szCs w:val="24"/>
              </w:rPr>
            </w:pPr>
            <w:r>
              <w:rPr>
                <w:rFonts w:hint="eastAsia" w:ascii="仿宋_GB2312" w:hAnsi="宋体" w:eastAsia="仿宋_GB2312" w:cs="Times New Roman"/>
                <w:color w:val="auto"/>
                <w:sz w:val="24"/>
                <w:szCs w:val="24"/>
              </w:rPr>
              <w:t>评审内容</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1</w:t>
            </w:r>
          </w:p>
        </w:tc>
        <w:tc>
          <w:tcPr>
            <w:tcW w:w="4618" w:type="dxa"/>
            <w:vAlign w:val="center"/>
          </w:tcPr>
          <w:p>
            <w:pPr>
              <w:widowControl/>
              <w:snapToGrid w:val="0"/>
              <w:jc w:val="left"/>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具有有效的企业法定代表人证明书及法定代表人授权委托证明书；</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exact"/>
        </w:trPr>
        <w:tc>
          <w:tcPr>
            <w:tcW w:w="421" w:type="dxa"/>
            <w:vAlign w:val="center"/>
          </w:tcPr>
          <w:p>
            <w:pPr>
              <w:jc w:val="center"/>
              <w:rPr>
                <w:rFonts w:ascii="仿宋_GB2312" w:hAnsi="等线" w:eastAsia="仿宋_GB2312" w:cs="Times New Roman"/>
                <w:color w:val="auto"/>
                <w:sz w:val="24"/>
                <w:szCs w:val="24"/>
              </w:rPr>
            </w:pPr>
            <w:r>
              <w:rPr>
                <w:rFonts w:hint="eastAsia" w:ascii="仿宋_GB2312" w:hAnsi="宋体" w:eastAsia="仿宋_GB2312" w:cs="Times New Roman"/>
                <w:color w:val="auto"/>
                <w:sz w:val="24"/>
                <w:szCs w:val="24"/>
              </w:rPr>
              <w:t>2</w:t>
            </w:r>
          </w:p>
        </w:tc>
        <w:tc>
          <w:tcPr>
            <w:tcW w:w="4618" w:type="dxa"/>
            <w:vAlign w:val="center"/>
          </w:tcPr>
          <w:p>
            <w:pPr>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投标人均具有独立法人资格，持有工商行政管理部门核发有效的法人营业执照，按国家法律经营；</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exact"/>
        </w:trPr>
        <w:tc>
          <w:tcPr>
            <w:tcW w:w="421" w:type="dxa"/>
            <w:vAlign w:val="center"/>
          </w:tcPr>
          <w:p>
            <w:pPr>
              <w:jc w:val="center"/>
              <w:rPr>
                <w:rFonts w:ascii="仿宋_GB2312" w:hAnsi="等线" w:eastAsia="仿宋_GB2312" w:cs="Times New Roman"/>
                <w:color w:val="auto"/>
                <w:sz w:val="24"/>
                <w:szCs w:val="24"/>
              </w:rPr>
            </w:pPr>
            <w:r>
              <w:rPr>
                <w:rFonts w:hint="eastAsia" w:ascii="仿宋_GB2312" w:hAnsi="宋体" w:eastAsia="仿宋_GB2312" w:cs="Times New Roman"/>
                <w:color w:val="auto"/>
                <w:sz w:val="24"/>
                <w:szCs w:val="24"/>
              </w:rPr>
              <w:t>3</w:t>
            </w:r>
          </w:p>
        </w:tc>
        <w:tc>
          <w:tcPr>
            <w:tcW w:w="4618" w:type="dxa"/>
            <w:vAlign w:val="center"/>
          </w:tcPr>
          <w:p>
            <w:pPr>
              <w:rPr>
                <w:rFonts w:ascii="仿宋_GB2312" w:hAnsi="Courier New" w:eastAsia="仿宋_GB2312" w:cs="Times New Roman"/>
                <w:color w:val="auto"/>
                <w:sz w:val="24"/>
                <w:szCs w:val="24"/>
              </w:rPr>
            </w:pPr>
            <w:r>
              <w:rPr>
                <w:rFonts w:hint="eastAsia" w:ascii="仿宋_GB2312" w:hAnsi="宋体" w:eastAsia="仿宋_GB2312" w:cs="Times New Roman"/>
                <w:color w:val="auto"/>
                <w:sz w:val="24"/>
                <w:szCs w:val="24"/>
              </w:rPr>
              <w:t>企业经营范围含管理咨询，具体以营业执照或国家企业信用信息公示系统查询结果为准；</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exact"/>
        </w:trPr>
        <w:tc>
          <w:tcPr>
            <w:tcW w:w="421" w:type="dxa"/>
            <w:vAlign w:val="center"/>
          </w:tcPr>
          <w:p>
            <w:pPr>
              <w:jc w:val="center"/>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4</w:t>
            </w:r>
          </w:p>
        </w:tc>
        <w:tc>
          <w:tcPr>
            <w:tcW w:w="4618" w:type="dxa"/>
            <w:vAlign w:val="center"/>
          </w:tcPr>
          <w:p>
            <w:pPr>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具有自2015年1月1日至今独立完成一项国内国有企业集团及属下企业的薪酬激励体系优化专业经验和成功案例的业绩证明文件；</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宋体" w:eastAsia="仿宋_GB2312" w:cs="Times New Roman"/>
                <w:color w:val="auto"/>
                <w:sz w:val="24"/>
                <w:szCs w:val="24"/>
              </w:rPr>
            </w:pPr>
            <w:r>
              <w:rPr>
                <w:rFonts w:ascii="仿宋_GB2312" w:hAnsi="宋体" w:eastAsia="仿宋_GB2312" w:cs="Times New Roman"/>
                <w:color w:val="auto"/>
                <w:sz w:val="24"/>
                <w:szCs w:val="24"/>
              </w:rPr>
              <w:t>5</w:t>
            </w:r>
          </w:p>
        </w:tc>
        <w:tc>
          <w:tcPr>
            <w:tcW w:w="4618" w:type="dxa"/>
            <w:vAlign w:val="center"/>
          </w:tcPr>
          <w:p>
            <w:pPr>
              <w:rPr>
                <w:rFonts w:ascii="仿宋_GB2312" w:hAnsi="Courier New" w:eastAsia="仿宋_GB2312" w:cs="Times New Roman"/>
                <w:color w:val="auto"/>
                <w:sz w:val="24"/>
                <w:szCs w:val="24"/>
              </w:rPr>
            </w:pPr>
            <w:r>
              <w:rPr>
                <w:rFonts w:hint="eastAsia" w:ascii="仿宋_GB2312" w:hAnsi="宋体" w:eastAsia="仿宋_GB2312" w:cs="Times New Roman"/>
                <w:color w:val="auto"/>
                <w:sz w:val="24"/>
                <w:szCs w:val="24"/>
              </w:rPr>
              <w:t>投标文件按要求装订成册；</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等线" w:eastAsia="仿宋_GB2312" w:cs="Times New Roman"/>
                <w:color w:val="auto"/>
                <w:sz w:val="24"/>
                <w:szCs w:val="24"/>
              </w:rPr>
            </w:pPr>
            <w:r>
              <w:rPr>
                <w:rFonts w:ascii="仿宋_GB2312" w:hAnsi="宋体" w:eastAsia="仿宋_GB2312" w:cs="Times New Roman"/>
                <w:color w:val="auto"/>
                <w:sz w:val="24"/>
                <w:szCs w:val="24"/>
              </w:rPr>
              <w:t>6</w:t>
            </w:r>
          </w:p>
        </w:tc>
        <w:tc>
          <w:tcPr>
            <w:tcW w:w="4618" w:type="dxa"/>
            <w:vAlign w:val="center"/>
          </w:tcPr>
          <w:p>
            <w:pPr>
              <w:widowControl/>
              <w:snapToGrid w:val="0"/>
              <w:jc w:val="left"/>
              <w:rPr>
                <w:rFonts w:ascii="仿宋_GB2312" w:hAnsi="等线" w:eastAsia="仿宋_GB2312" w:cs="Times New Roman"/>
                <w:color w:val="auto"/>
                <w:sz w:val="24"/>
                <w:szCs w:val="24"/>
              </w:rPr>
            </w:pPr>
            <w:r>
              <w:rPr>
                <w:rFonts w:hint="eastAsia" w:ascii="仿宋_GB2312" w:hAnsi="宋体" w:eastAsia="仿宋_GB2312" w:cs="Times New Roman"/>
                <w:color w:val="auto"/>
                <w:sz w:val="24"/>
                <w:szCs w:val="24"/>
              </w:rPr>
              <w:t>投标文件的封面有加盖投标单位的法定印章；</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421" w:type="dxa"/>
            <w:vAlign w:val="center"/>
          </w:tcPr>
          <w:p>
            <w:pPr>
              <w:jc w:val="center"/>
              <w:rPr>
                <w:rFonts w:ascii="仿宋_GB2312" w:hAnsi="等线" w:eastAsia="仿宋_GB2312" w:cs="Times New Roman"/>
                <w:color w:val="auto"/>
                <w:sz w:val="24"/>
                <w:szCs w:val="24"/>
              </w:rPr>
            </w:pPr>
            <w:r>
              <w:rPr>
                <w:rFonts w:ascii="仿宋_GB2312" w:hAnsi="宋体" w:eastAsia="仿宋_GB2312" w:cs="Times New Roman"/>
                <w:color w:val="auto"/>
                <w:sz w:val="24"/>
                <w:szCs w:val="24"/>
              </w:rPr>
              <w:t>7</w:t>
            </w:r>
          </w:p>
        </w:tc>
        <w:tc>
          <w:tcPr>
            <w:tcW w:w="4618" w:type="dxa"/>
            <w:vAlign w:val="center"/>
          </w:tcPr>
          <w:p>
            <w:pPr>
              <w:widowControl/>
              <w:snapToGrid w:val="0"/>
              <w:jc w:val="left"/>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是否通过并进入下一阶段评审。</w:t>
            </w: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c>
          <w:tcPr>
            <w:tcW w:w="1113" w:type="dxa"/>
            <w:vAlign w:val="center"/>
          </w:tcPr>
          <w:p>
            <w:pPr>
              <w:rPr>
                <w:rFonts w:ascii="仿宋_GB2312" w:hAnsi="等线" w:eastAsia="仿宋_GB2312" w:cs="Times New Roman"/>
                <w:color w:val="auto"/>
                <w:szCs w:val="21"/>
              </w:rPr>
            </w:pPr>
          </w:p>
        </w:tc>
        <w:tc>
          <w:tcPr>
            <w:tcW w:w="1114" w:type="dxa"/>
            <w:vAlign w:val="center"/>
          </w:tcPr>
          <w:p>
            <w:pPr>
              <w:rPr>
                <w:rFonts w:ascii="仿宋_GB2312" w:hAnsi="等线" w:eastAsia="仿宋_GB2312" w:cs="Times New Roman"/>
                <w:color w:val="auto"/>
                <w:szCs w:val="21"/>
              </w:rPr>
            </w:pPr>
          </w:p>
        </w:tc>
      </w:tr>
    </w:tbl>
    <w:p>
      <w:pPr>
        <w:tabs>
          <w:tab w:val="left" w:pos="720"/>
        </w:tabs>
        <w:snapToGrid w:val="0"/>
        <w:spacing w:before="120" w:beforeLines="50"/>
        <w:rPr>
          <w:rFonts w:ascii="宋体" w:hAnsi="Courier New" w:eastAsia="等线" w:cs="Times New Roman"/>
          <w:color w:val="auto"/>
          <w:szCs w:val="21"/>
        </w:rPr>
      </w:pPr>
    </w:p>
    <w:p>
      <w:pPr>
        <w:tabs>
          <w:tab w:val="left" w:pos="720"/>
        </w:tabs>
        <w:snapToGrid w:val="0"/>
        <w:spacing w:before="120" w:beforeLines="50"/>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备注：1、符合的打“○”，不符合的打“×”。</w:t>
      </w:r>
    </w:p>
    <w:p>
      <w:pPr>
        <w:tabs>
          <w:tab w:val="left" w:pos="720"/>
        </w:tabs>
        <w:snapToGrid w:val="0"/>
        <w:spacing w:before="120" w:beforeLines="50"/>
        <w:ind w:firstLine="720" w:firstLineChars="300"/>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2、经评标委员会审核后，出现一个“×”的结论为“不通过”，即按废标处理。</w:t>
      </w:r>
    </w:p>
    <w:p>
      <w:pPr>
        <w:tabs>
          <w:tab w:val="left" w:pos="720"/>
        </w:tabs>
        <w:snapToGrid w:val="0"/>
        <w:spacing w:before="120" w:beforeLines="50"/>
        <w:ind w:firstLine="720" w:firstLineChars="300"/>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3、“是否通过并进入下一阶段评审”一栏应写“通过”“不通过”。</w:t>
      </w:r>
    </w:p>
    <w:p>
      <w:pPr>
        <w:tabs>
          <w:tab w:val="left" w:pos="720"/>
        </w:tabs>
        <w:snapToGrid w:val="0"/>
        <w:spacing w:before="120" w:beforeLines="50"/>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 xml:space="preserve">      3、表中全部条件满足为“通过”，同意进入下一阶段评审。</w:t>
      </w:r>
    </w:p>
    <w:p>
      <w:pPr>
        <w:tabs>
          <w:tab w:val="left" w:pos="720"/>
        </w:tabs>
        <w:snapToGrid w:val="0"/>
        <w:spacing w:before="120" w:beforeLines="50"/>
        <w:ind w:left="990" w:leftChars="300" w:hanging="360" w:hangingChars="150"/>
        <w:rPr>
          <w:rFonts w:ascii="仿宋_GB2312" w:hAnsi="Courier New" w:eastAsia="仿宋_GB2312" w:cs="Times New Roman"/>
          <w:color w:val="auto"/>
          <w:sz w:val="24"/>
          <w:szCs w:val="24"/>
        </w:rPr>
      </w:pPr>
      <w:r>
        <w:rPr>
          <w:rFonts w:hint="eastAsia" w:ascii="仿宋_GB2312" w:hAnsi="Courier New" w:eastAsia="仿宋_GB2312" w:cs="Times New Roman"/>
          <w:color w:val="auto"/>
          <w:sz w:val="24"/>
          <w:szCs w:val="24"/>
        </w:rPr>
        <w:t>4、若评委意见不一致时，则按少数服从多数的原则，决定该投标人是否通过资格审查，进入下一阶段评审。</w:t>
      </w:r>
    </w:p>
    <w:p>
      <w:pPr>
        <w:tabs>
          <w:tab w:val="left" w:pos="720"/>
        </w:tabs>
        <w:snapToGrid w:val="0"/>
        <w:rPr>
          <w:rFonts w:ascii="仿宋_GB2312" w:hAnsi="Courier New" w:eastAsia="仿宋_GB2312" w:cs="Times New Roman"/>
          <w:color w:val="auto"/>
          <w:sz w:val="24"/>
          <w:szCs w:val="24"/>
        </w:rPr>
      </w:pPr>
    </w:p>
    <w:p>
      <w:pPr>
        <w:tabs>
          <w:tab w:val="left" w:pos="720"/>
        </w:tabs>
        <w:snapToGrid w:val="0"/>
        <w:spacing w:line="480" w:lineRule="auto"/>
        <w:ind w:firstLine="720" w:firstLineChars="300"/>
        <w:rPr>
          <w:rFonts w:ascii="仿宋_GB2312" w:hAnsi="Courier New" w:eastAsia="仿宋_GB2312" w:cs="Times New Roman"/>
          <w:color w:val="auto"/>
          <w:position w:val="12"/>
          <w:sz w:val="24"/>
          <w:szCs w:val="24"/>
        </w:rPr>
      </w:pPr>
      <w:r>
        <w:rPr>
          <w:rFonts w:hint="eastAsia" w:ascii="仿宋_GB2312" w:hAnsi="Courier New" w:eastAsia="仿宋_GB2312" w:cs="Times New Roman"/>
          <w:color w:val="auto"/>
          <w:sz w:val="24"/>
          <w:szCs w:val="24"/>
        </w:rPr>
        <w:t>评委签名：                                             日期：</w:t>
      </w:r>
    </w:p>
    <w:p>
      <w:pPr>
        <w:tabs>
          <w:tab w:val="left" w:pos="1470"/>
        </w:tabs>
        <w:spacing w:line="360" w:lineRule="auto"/>
        <w:rPr>
          <w:rFonts w:ascii="仿宋_GB2312" w:hAnsi="等线" w:eastAsia="仿宋_GB2312" w:cs="Times New Roman"/>
          <w:b/>
          <w:color w:val="auto"/>
          <w:sz w:val="28"/>
          <w:szCs w:val="44"/>
        </w:rPr>
      </w:pPr>
    </w:p>
    <w:p>
      <w:pPr>
        <w:keepNext/>
        <w:keepLines/>
        <w:spacing w:line="500" w:lineRule="exact"/>
        <w:ind w:left="454" w:hanging="454"/>
        <w:jc w:val="left"/>
        <w:outlineLvl w:val="1"/>
        <w:rPr>
          <w:rFonts w:ascii="宋体" w:hAnsi="宋体" w:eastAsia="宋体" w:cs="Times New Roman"/>
          <w:b/>
          <w:color w:val="auto"/>
          <w:kern w:val="28"/>
          <w:sz w:val="24"/>
          <w:szCs w:val="24"/>
        </w:rPr>
      </w:pPr>
      <w:r>
        <w:rPr>
          <w:rFonts w:ascii="等线" w:hAnsi="等线" w:eastAsia="等线" w:cs="Times New Roman"/>
          <w:color w:val="auto"/>
          <w:sz w:val="28"/>
          <w:szCs w:val="44"/>
        </w:rPr>
        <w:br w:type="page"/>
      </w:r>
      <w:bookmarkStart w:id="73" w:name="_Toc16238380"/>
      <w:bookmarkStart w:id="74" w:name="_Hlk511829045"/>
      <w:r>
        <w:rPr>
          <w:rFonts w:hint="eastAsia" w:ascii="宋体" w:hAnsi="宋体" w:eastAsia="宋体" w:cs="Times New Roman"/>
          <w:b/>
          <w:color w:val="auto"/>
          <w:kern w:val="28"/>
          <w:sz w:val="24"/>
          <w:szCs w:val="24"/>
        </w:rPr>
        <w:t>附件2</w:t>
      </w:r>
      <w:bookmarkEnd w:id="73"/>
    </w:p>
    <w:p>
      <w:pPr>
        <w:keepNext/>
        <w:keepLines/>
        <w:spacing w:after="100" w:afterAutospacing="1" w:line="360" w:lineRule="auto"/>
        <w:ind w:left="454" w:hanging="454"/>
        <w:jc w:val="center"/>
        <w:outlineLvl w:val="1"/>
        <w:rPr>
          <w:rFonts w:ascii="宋体" w:hAnsi="宋体" w:eastAsia="宋体" w:cs="Times New Roman"/>
          <w:b/>
          <w:color w:val="auto"/>
          <w:kern w:val="28"/>
          <w:sz w:val="30"/>
          <w:szCs w:val="20"/>
        </w:rPr>
      </w:pPr>
      <w:bookmarkStart w:id="75" w:name="_Toc413933292"/>
      <w:bookmarkStart w:id="76" w:name="_Toc27139"/>
      <w:bookmarkStart w:id="77" w:name="_Toc346895286"/>
      <w:bookmarkStart w:id="78" w:name="_Toc16238381"/>
      <w:bookmarkStart w:id="79" w:name="_Toc413933185"/>
      <w:bookmarkStart w:id="80" w:name="_Toc359572271"/>
      <w:bookmarkStart w:id="81" w:name="_Hlk511807344"/>
      <w:r>
        <w:rPr>
          <w:rFonts w:hint="eastAsia" w:ascii="宋体" w:hAnsi="宋体" w:eastAsia="宋体" w:cs="Times New Roman"/>
          <w:b/>
          <w:color w:val="auto"/>
          <w:kern w:val="28"/>
          <w:sz w:val="30"/>
          <w:szCs w:val="20"/>
        </w:rPr>
        <w:t>评分内容及标准</w:t>
      </w:r>
      <w:bookmarkEnd w:id="75"/>
      <w:bookmarkEnd w:id="76"/>
      <w:bookmarkEnd w:id="77"/>
      <w:bookmarkEnd w:id="78"/>
      <w:bookmarkEnd w:id="79"/>
      <w:bookmarkEnd w:id="80"/>
    </w:p>
    <w:tbl>
      <w:tblPr>
        <w:tblStyle w:val="44"/>
        <w:tblW w:w="964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276"/>
        <w:gridCol w:w="56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blHeader/>
        </w:trPr>
        <w:tc>
          <w:tcPr>
            <w:tcW w:w="993" w:type="dxa"/>
            <w:vAlign w:val="center"/>
          </w:tcPr>
          <w:p>
            <w:pPr>
              <w:jc w:val="center"/>
              <w:rPr>
                <w:rFonts w:ascii="宋体" w:hAnsi="等线" w:eastAsia="等线" w:cs="Times New Roman"/>
                <w:bCs/>
                <w:color w:val="auto"/>
                <w:szCs w:val="21"/>
              </w:rPr>
            </w:pPr>
            <w:r>
              <w:rPr>
                <w:rFonts w:hint="eastAsia" w:ascii="宋体" w:hAnsi="宋体" w:eastAsia="等线" w:cs="Times New Roman"/>
                <w:bCs/>
                <w:color w:val="auto"/>
                <w:szCs w:val="21"/>
              </w:rPr>
              <w:t>评审内容</w:t>
            </w:r>
          </w:p>
        </w:tc>
        <w:tc>
          <w:tcPr>
            <w:tcW w:w="1276" w:type="dxa"/>
            <w:vAlign w:val="center"/>
          </w:tcPr>
          <w:p>
            <w:pPr>
              <w:jc w:val="center"/>
              <w:rPr>
                <w:rFonts w:ascii="宋体" w:hAnsi="等线" w:eastAsia="等线" w:cs="Times New Roman"/>
                <w:bCs/>
                <w:color w:val="auto"/>
                <w:szCs w:val="21"/>
              </w:rPr>
            </w:pPr>
            <w:r>
              <w:rPr>
                <w:rFonts w:hint="eastAsia" w:ascii="宋体" w:hAnsi="宋体" w:eastAsia="等线" w:cs="Times New Roman"/>
                <w:bCs/>
                <w:color w:val="auto"/>
                <w:szCs w:val="21"/>
              </w:rPr>
              <w:t>评审项目</w:t>
            </w:r>
          </w:p>
        </w:tc>
        <w:tc>
          <w:tcPr>
            <w:tcW w:w="567" w:type="dxa"/>
            <w:vAlign w:val="center"/>
          </w:tcPr>
          <w:p>
            <w:pPr>
              <w:jc w:val="center"/>
              <w:rPr>
                <w:rFonts w:ascii="宋体" w:hAnsi="等线" w:eastAsia="等线" w:cs="Times New Roman"/>
                <w:bCs/>
                <w:color w:val="auto"/>
                <w:szCs w:val="21"/>
              </w:rPr>
            </w:pPr>
            <w:r>
              <w:rPr>
                <w:rFonts w:hint="eastAsia" w:ascii="宋体" w:hAnsi="宋体" w:eastAsia="等线" w:cs="Times New Roman"/>
                <w:bCs/>
                <w:color w:val="auto"/>
                <w:szCs w:val="21"/>
              </w:rPr>
              <w:t>分数</w:t>
            </w:r>
          </w:p>
        </w:tc>
        <w:tc>
          <w:tcPr>
            <w:tcW w:w="6804" w:type="dxa"/>
            <w:vAlign w:val="center"/>
          </w:tcPr>
          <w:p>
            <w:pPr>
              <w:jc w:val="center"/>
              <w:rPr>
                <w:rFonts w:ascii="宋体" w:hAnsi="等线" w:eastAsia="等线" w:cs="Times New Roman"/>
                <w:bCs/>
                <w:color w:val="auto"/>
                <w:szCs w:val="21"/>
              </w:rPr>
            </w:pPr>
            <w:r>
              <w:rPr>
                <w:rFonts w:hint="eastAsia" w:ascii="宋体" w:hAnsi="宋体" w:eastAsia="等线" w:cs="Times New Roman"/>
                <w:bCs/>
                <w:color w:val="auto"/>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1" w:hRule="atLeast"/>
        </w:trPr>
        <w:tc>
          <w:tcPr>
            <w:tcW w:w="993" w:type="dxa"/>
            <w:vAlign w:val="center"/>
          </w:tcPr>
          <w:p>
            <w:pPr>
              <w:jc w:val="center"/>
              <w:rPr>
                <w:rFonts w:ascii="宋体" w:hAnsi="等线" w:eastAsia="等线" w:cs="Times New Roman"/>
                <w:color w:val="auto"/>
                <w:szCs w:val="21"/>
              </w:rPr>
            </w:pPr>
            <w:r>
              <w:rPr>
                <w:rFonts w:hint="eastAsia" w:ascii="宋体" w:hAnsi="宋体" w:eastAsia="等线" w:cs="Times New Roman"/>
                <w:color w:val="auto"/>
                <w:szCs w:val="21"/>
              </w:rPr>
              <w:t>报价</w:t>
            </w:r>
          </w:p>
          <w:p>
            <w:pPr>
              <w:jc w:val="center"/>
              <w:rPr>
                <w:rFonts w:ascii="宋体" w:hAnsi="等线" w:eastAsia="等线" w:cs="Times New Roman"/>
                <w:color w:val="auto"/>
                <w:szCs w:val="21"/>
              </w:rPr>
            </w:pPr>
            <w:r>
              <w:rPr>
                <w:rFonts w:hint="eastAsia" w:ascii="宋体" w:hAnsi="宋体" w:eastAsia="等线" w:cs="宋体"/>
                <w:color w:val="auto"/>
                <w:kern w:val="0"/>
                <w:szCs w:val="21"/>
              </w:rPr>
              <w:t>（20分）</w:t>
            </w:r>
          </w:p>
        </w:tc>
        <w:tc>
          <w:tcPr>
            <w:tcW w:w="1276" w:type="dxa"/>
            <w:vAlign w:val="center"/>
          </w:tcPr>
          <w:p>
            <w:pPr>
              <w:tabs>
                <w:tab w:val="left" w:pos="720"/>
                <w:tab w:val="left" w:pos="1080"/>
              </w:tabs>
              <w:jc w:val="center"/>
              <w:rPr>
                <w:rFonts w:ascii="宋体" w:hAnsi="等线" w:eastAsia="等线" w:cs="Times New Roman"/>
                <w:color w:val="auto"/>
                <w:szCs w:val="21"/>
              </w:rPr>
            </w:pPr>
            <w:r>
              <w:rPr>
                <w:rFonts w:hint="eastAsia" w:ascii="宋体" w:hAnsi="宋体" w:eastAsia="等线" w:cs="Times New Roman"/>
                <w:color w:val="auto"/>
                <w:szCs w:val="21"/>
              </w:rPr>
              <w:t>咨询服务报价</w:t>
            </w:r>
          </w:p>
        </w:tc>
        <w:tc>
          <w:tcPr>
            <w:tcW w:w="567" w:type="dxa"/>
            <w:vAlign w:val="center"/>
          </w:tcPr>
          <w:p>
            <w:pPr>
              <w:tabs>
                <w:tab w:val="left" w:pos="720"/>
                <w:tab w:val="left" w:pos="1080"/>
              </w:tabs>
              <w:jc w:val="center"/>
              <w:rPr>
                <w:rFonts w:ascii="宋体" w:hAnsi="等线" w:eastAsia="等线" w:cs="Times New Roman"/>
                <w:color w:val="auto"/>
                <w:szCs w:val="21"/>
              </w:rPr>
            </w:pPr>
            <w:r>
              <w:rPr>
                <w:rFonts w:hint="eastAsia" w:ascii="宋体" w:hAnsi="宋体" w:eastAsia="等线" w:cs="Times New Roman"/>
                <w:color w:val="auto"/>
                <w:szCs w:val="21"/>
              </w:rPr>
              <w:t>20</w:t>
            </w:r>
          </w:p>
        </w:tc>
        <w:tc>
          <w:tcPr>
            <w:tcW w:w="6804" w:type="dxa"/>
            <w:vAlign w:val="center"/>
          </w:tcPr>
          <w:p>
            <w:pPr>
              <w:ind w:left="216" w:leftChars="103"/>
              <w:jc w:val="left"/>
              <w:rPr>
                <w:rFonts w:ascii="宋体" w:hAnsi="宋体" w:eastAsia="等线" w:cs="Times New Roman"/>
                <w:color w:val="auto"/>
                <w:szCs w:val="21"/>
                <w:lang w:val="zh-CN"/>
              </w:rPr>
            </w:pPr>
            <w:r>
              <w:rPr>
                <w:rFonts w:hint="eastAsia" w:ascii="宋体" w:hAnsi="宋体" w:eastAsia="等线" w:cs="Times New Roman"/>
                <w:color w:val="auto"/>
                <w:szCs w:val="21"/>
              </w:rPr>
              <w:t>报价需将广州南沙资产经营有限公司、广州南沙建设投资有限公司咨询服务分开报价</w:t>
            </w:r>
            <w:r>
              <w:rPr>
                <w:rFonts w:hint="eastAsia" w:ascii="宋体" w:hAnsi="宋体" w:eastAsia="等线" w:cs="Times New Roman"/>
                <w:color w:val="auto"/>
                <w:szCs w:val="21"/>
                <w:lang w:val="zh-CN"/>
              </w:rPr>
              <w:t>，</w:t>
            </w:r>
            <w:r>
              <w:rPr>
                <w:rFonts w:hint="eastAsia" w:ascii="宋体" w:hAnsi="宋体" w:eastAsia="等线" w:cs="Times New Roman"/>
                <w:color w:val="auto"/>
                <w:szCs w:val="21"/>
              </w:rPr>
              <w:t>评标按报价总价进行评标，分别报价之和与总价报价不一致的，以总价报价为准。</w:t>
            </w:r>
            <w:r>
              <w:rPr>
                <w:rFonts w:hint="eastAsia" w:ascii="宋体" w:hAnsi="宋体" w:eastAsia="等线" w:cs="Times New Roman"/>
                <w:color w:val="auto"/>
                <w:szCs w:val="21"/>
                <w:lang w:val="zh-CN"/>
              </w:rPr>
              <w:t>取通过符合性审查的所有投标人报价的</w:t>
            </w:r>
            <w:r>
              <w:rPr>
                <w:rFonts w:hint="eastAsia" w:ascii="宋体" w:hAnsi="宋体" w:eastAsia="等线" w:cs="Times New Roman"/>
                <w:color w:val="auto"/>
                <w:szCs w:val="21"/>
              </w:rPr>
              <w:t>最低</w:t>
            </w:r>
            <w:r>
              <w:rPr>
                <w:rFonts w:hint="eastAsia" w:ascii="宋体" w:hAnsi="宋体" w:eastAsia="等线" w:cs="Times New Roman"/>
                <w:color w:val="auto"/>
                <w:szCs w:val="21"/>
                <w:lang w:val="zh-CN"/>
              </w:rPr>
              <w:t>值为评标参考价，投标报价等于评标参考价时得满分，投标报价与评标参考价相比每向上浮动</w:t>
            </w:r>
            <w:r>
              <w:rPr>
                <w:rFonts w:ascii="宋体" w:hAnsi="宋体" w:eastAsia="等线" w:cs="Times New Roman"/>
                <w:color w:val="auto"/>
                <w:szCs w:val="21"/>
                <w:lang w:val="zh-CN"/>
              </w:rPr>
              <w:t>5</w:t>
            </w:r>
            <w:r>
              <w:rPr>
                <w:rFonts w:hint="eastAsia" w:ascii="宋体" w:hAnsi="宋体" w:eastAsia="等线" w:cs="Times New Roman"/>
                <w:color w:val="auto"/>
                <w:szCs w:val="21"/>
                <w:lang w:val="zh-CN"/>
              </w:rPr>
              <w:t>%(四舍五入后，不足5%的部分按5%计)扣</w:t>
            </w:r>
            <w:r>
              <w:rPr>
                <w:rFonts w:ascii="宋体" w:hAnsi="宋体" w:eastAsia="等线" w:cs="Times New Roman"/>
                <w:color w:val="auto"/>
                <w:szCs w:val="21"/>
                <w:lang w:val="zh-CN"/>
              </w:rPr>
              <w:t>1</w:t>
            </w:r>
            <w:r>
              <w:rPr>
                <w:rFonts w:hint="eastAsia" w:ascii="宋体" w:hAnsi="宋体" w:eastAsia="等线" w:cs="Times New Roman"/>
                <w:color w:val="auto"/>
                <w:szCs w:val="21"/>
                <w:lang w:val="zh-CN"/>
              </w:rPr>
              <w:t>分，</w:t>
            </w:r>
            <w:r>
              <w:rPr>
                <w:rFonts w:hint="eastAsia" w:ascii="宋体" w:hAnsi="宋体" w:eastAsia="等线" w:cs="Times New Roman"/>
                <w:color w:val="auto"/>
                <w:szCs w:val="21"/>
              </w:rPr>
              <w:t>扣完为止</w:t>
            </w:r>
            <w:r>
              <w:rPr>
                <w:rFonts w:hint="eastAsia" w:ascii="宋体" w:hAnsi="宋体" w:eastAsia="等线" w:cs="Times New Roman"/>
                <w:color w:val="auto"/>
                <w:szCs w:val="21"/>
                <w:lang w:val="zh-CN"/>
              </w:rPr>
              <w:t>。</w:t>
            </w:r>
          </w:p>
          <w:p>
            <w:pPr>
              <w:ind w:left="216" w:leftChars="103"/>
              <w:jc w:val="left"/>
              <w:rPr>
                <w:rFonts w:ascii="宋体" w:hAnsi="等线" w:eastAsia="等线" w:cs="Times New Roman"/>
                <w:color w:val="auto"/>
                <w:szCs w:val="21"/>
              </w:rPr>
            </w:pPr>
            <w:r>
              <w:rPr>
                <w:rFonts w:hint="eastAsia" w:ascii="宋体" w:hAnsi="宋体" w:eastAsia="等线" w:cs="Times New Roman"/>
                <w:color w:val="auto"/>
                <w:szCs w:val="21"/>
                <w:lang w:val="zh-CN"/>
              </w:rPr>
              <w:t>投标报价及评标参考价均按含税总价计取。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5" w:hRule="atLeast"/>
        </w:trPr>
        <w:tc>
          <w:tcPr>
            <w:tcW w:w="993" w:type="dxa"/>
            <w:vMerge w:val="restart"/>
            <w:vAlign w:val="center"/>
          </w:tcPr>
          <w:p>
            <w:pPr>
              <w:jc w:val="center"/>
              <w:rPr>
                <w:rFonts w:ascii="宋体" w:hAnsi="宋体" w:eastAsia="等线" w:cs="Times New Roman"/>
                <w:color w:val="auto"/>
                <w:szCs w:val="21"/>
              </w:rPr>
            </w:pPr>
            <w:r>
              <w:rPr>
                <w:rFonts w:hint="eastAsia" w:ascii="宋体" w:hAnsi="宋体" w:eastAsia="等线" w:cs="Times New Roman"/>
                <w:color w:val="auto"/>
                <w:szCs w:val="21"/>
              </w:rPr>
              <w:t>商务</w:t>
            </w:r>
          </w:p>
          <w:p>
            <w:pPr>
              <w:jc w:val="center"/>
              <w:rPr>
                <w:rFonts w:ascii="宋体" w:hAnsi="等线" w:eastAsia="等线" w:cs="Times New Roman"/>
                <w:color w:val="auto"/>
                <w:szCs w:val="21"/>
              </w:rPr>
            </w:pPr>
            <w:r>
              <w:rPr>
                <w:rFonts w:hint="eastAsia" w:ascii="宋体" w:hAnsi="宋体" w:eastAsia="等线" w:cs="宋体"/>
                <w:color w:val="auto"/>
                <w:kern w:val="0"/>
                <w:szCs w:val="21"/>
              </w:rPr>
              <w:t>（30分）</w:t>
            </w:r>
          </w:p>
        </w:tc>
        <w:tc>
          <w:tcPr>
            <w:tcW w:w="1276" w:type="dxa"/>
            <w:vAlign w:val="center"/>
          </w:tcPr>
          <w:p>
            <w:pPr>
              <w:jc w:val="center"/>
              <w:rPr>
                <w:rFonts w:ascii="宋体" w:hAnsi="等线" w:eastAsia="等线" w:cs="Times New Roman"/>
                <w:color w:val="auto"/>
                <w:szCs w:val="21"/>
              </w:rPr>
            </w:pPr>
            <w:r>
              <w:rPr>
                <w:rFonts w:hint="eastAsia" w:ascii="宋体" w:hAnsi="等线" w:eastAsia="等线" w:cs="Times New Roman"/>
                <w:color w:val="auto"/>
                <w:szCs w:val="21"/>
              </w:rPr>
              <w:t>企业资历</w:t>
            </w:r>
          </w:p>
        </w:tc>
        <w:tc>
          <w:tcPr>
            <w:tcW w:w="567" w:type="dxa"/>
            <w:vAlign w:val="center"/>
          </w:tcPr>
          <w:p>
            <w:pPr>
              <w:jc w:val="center"/>
              <w:rPr>
                <w:rFonts w:ascii="宋体" w:hAnsi="等线" w:eastAsia="等线" w:cs="Times New Roman"/>
                <w:color w:val="auto"/>
                <w:szCs w:val="21"/>
              </w:rPr>
            </w:pPr>
            <w:r>
              <w:rPr>
                <w:rFonts w:hint="eastAsia" w:ascii="宋体" w:hAnsi="等线" w:eastAsia="等线" w:cs="Times New Roman"/>
                <w:color w:val="auto"/>
                <w:szCs w:val="21"/>
              </w:rPr>
              <w:t>12</w:t>
            </w:r>
          </w:p>
          <w:p>
            <w:pPr>
              <w:jc w:val="center"/>
              <w:rPr>
                <w:rFonts w:ascii="宋体" w:hAnsi="等线" w:eastAsia="等线" w:cs="Times New Roman"/>
                <w:color w:val="auto"/>
                <w:szCs w:val="21"/>
              </w:rPr>
            </w:pPr>
          </w:p>
        </w:tc>
        <w:tc>
          <w:tcPr>
            <w:tcW w:w="6804" w:type="dxa"/>
            <w:vAlign w:val="center"/>
          </w:tcPr>
          <w:p>
            <w:pPr>
              <w:ind w:left="216" w:leftChars="103" w:right="73" w:rightChars="35"/>
              <w:rPr>
                <w:rFonts w:ascii="宋体" w:hAnsi="宋体" w:eastAsia="等线" w:cs="宋体"/>
                <w:color w:val="auto"/>
                <w:szCs w:val="21"/>
              </w:rPr>
            </w:pPr>
            <w:r>
              <w:rPr>
                <w:rFonts w:hint="eastAsia" w:ascii="宋体" w:hAnsi="宋体" w:eastAsia="等线" w:cs="宋体"/>
                <w:color w:val="auto"/>
                <w:szCs w:val="21"/>
              </w:rPr>
              <w:t>投标人自2015年1月1日至今独立完成过至少一项国内国有企业集团及属下企业薪酬激励体系优化的专业经验和成功案例或承接过国资委、国资局委托</w:t>
            </w:r>
            <w:r>
              <w:rPr>
                <w:rFonts w:ascii="宋体" w:hAnsi="宋体" w:eastAsia="等线" w:cs="宋体"/>
                <w:color w:val="auto"/>
                <w:szCs w:val="21"/>
              </w:rPr>
              <w:t>的有关国有企业</w:t>
            </w:r>
            <w:r>
              <w:rPr>
                <w:rFonts w:hint="eastAsia" w:ascii="宋体" w:hAnsi="宋体" w:eastAsia="等线" w:cs="宋体"/>
                <w:color w:val="auto"/>
                <w:szCs w:val="21"/>
              </w:rPr>
              <w:t>收入分配改革相关项目，每有1项得2分，最</w:t>
            </w:r>
            <w:r>
              <w:rPr>
                <w:rFonts w:ascii="宋体" w:hAnsi="宋体" w:eastAsia="等线" w:cs="宋体"/>
                <w:color w:val="auto"/>
                <w:szCs w:val="21"/>
              </w:rPr>
              <w:t>高得</w:t>
            </w:r>
            <w:r>
              <w:rPr>
                <w:rFonts w:hint="eastAsia" w:ascii="宋体" w:hAnsi="宋体" w:eastAsia="等线" w:cs="宋体"/>
                <w:color w:val="auto"/>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9" w:hRule="atLeast"/>
        </w:trPr>
        <w:tc>
          <w:tcPr>
            <w:tcW w:w="993" w:type="dxa"/>
            <w:vMerge w:val="continue"/>
            <w:vAlign w:val="center"/>
          </w:tcPr>
          <w:p>
            <w:pPr>
              <w:jc w:val="center"/>
              <w:rPr>
                <w:rFonts w:ascii="宋体" w:hAnsi="等线" w:eastAsia="等线" w:cs="Times New Roman"/>
                <w:color w:val="auto"/>
                <w:szCs w:val="21"/>
              </w:rPr>
            </w:pPr>
          </w:p>
        </w:tc>
        <w:tc>
          <w:tcPr>
            <w:tcW w:w="1276" w:type="dxa"/>
            <w:vMerge w:val="restart"/>
            <w:vAlign w:val="center"/>
          </w:tcPr>
          <w:p>
            <w:pPr>
              <w:jc w:val="center"/>
              <w:rPr>
                <w:rFonts w:ascii="宋体" w:hAnsi="等线" w:eastAsia="等线" w:cs="Times New Roman"/>
                <w:color w:val="auto"/>
                <w:szCs w:val="21"/>
              </w:rPr>
            </w:pPr>
            <w:r>
              <w:rPr>
                <w:rFonts w:hint="eastAsia" w:ascii="宋体" w:hAnsi="等线" w:eastAsia="等线" w:cs="Times New Roman"/>
                <w:color w:val="auto"/>
                <w:szCs w:val="21"/>
              </w:rPr>
              <w:t>人员资历</w:t>
            </w:r>
          </w:p>
        </w:tc>
        <w:tc>
          <w:tcPr>
            <w:tcW w:w="567" w:type="dxa"/>
            <w:vAlign w:val="center"/>
          </w:tcPr>
          <w:p>
            <w:pPr>
              <w:jc w:val="center"/>
              <w:rPr>
                <w:rFonts w:ascii="宋体" w:hAnsi="等线" w:eastAsia="等线" w:cs="Times New Roman"/>
                <w:color w:val="auto"/>
                <w:szCs w:val="21"/>
              </w:rPr>
            </w:pPr>
            <w:r>
              <w:rPr>
                <w:rFonts w:hint="eastAsia" w:ascii="宋体" w:hAnsi="宋体" w:eastAsia="等线" w:cs="Times New Roman"/>
                <w:color w:val="auto"/>
                <w:szCs w:val="21"/>
              </w:rPr>
              <w:t>6</w:t>
            </w:r>
          </w:p>
        </w:tc>
        <w:tc>
          <w:tcPr>
            <w:tcW w:w="6804" w:type="dxa"/>
            <w:vAlign w:val="center"/>
          </w:tcPr>
          <w:p>
            <w:pPr>
              <w:numPr>
                <w:ilvl w:val="0"/>
                <w:numId w:val="5"/>
              </w:numPr>
              <w:tabs>
                <w:tab w:val="left" w:pos="6720"/>
              </w:tabs>
              <w:ind w:left="216" w:leftChars="103" w:right="73" w:rightChars="35"/>
              <w:rPr>
                <w:rFonts w:ascii="宋体" w:hAnsi="等线" w:eastAsia="等线" w:cs="Times New Roman"/>
                <w:color w:val="auto"/>
                <w:szCs w:val="21"/>
              </w:rPr>
            </w:pPr>
            <w:r>
              <w:rPr>
                <w:rFonts w:hint="eastAsia" w:ascii="宋体" w:hAnsi="等线" w:eastAsia="等线" w:cs="Times New Roman"/>
                <w:color w:val="auto"/>
                <w:szCs w:val="21"/>
              </w:rPr>
              <w:t>项目负责人（项目总监）从事企业管理（咨询）工作年限15年以上得3.5分，10年至15年（不含本数）得2.5分，否则不得分。</w:t>
            </w:r>
          </w:p>
          <w:p>
            <w:pPr>
              <w:numPr>
                <w:ilvl w:val="0"/>
                <w:numId w:val="5"/>
              </w:numPr>
              <w:tabs>
                <w:tab w:val="left" w:pos="6720"/>
              </w:tabs>
              <w:ind w:left="216" w:leftChars="103" w:right="73" w:rightChars="35"/>
              <w:rPr>
                <w:rFonts w:ascii="宋体" w:hAnsi="等线" w:eastAsia="等线" w:cs="Times New Roman"/>
                <w:color w:val="auto"/>
                <w:szCs w:val="21"/>
              </w:rPr>
            </w:pPr>
            <w:r>
              <w:rPr>
                <w:rFonts w:hint="eastAsia" w:ascii="宋体" w:hAnsi="等线" w:eastAsia="等线" w:cs="Times New Roman"/>
                <w:color w:val="auto"/>
                <w:szCs w:val="21"/>
              </w:rPr>
              <w:t>项目负责人（项目总监）具有硕士学位或以上学历得2.5分，否则不得分。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4" w:hRule="atLeast"/>
        </w:trPr>
        <w:tc>
          <w:tcPr>
            <w:tcW w:w="993" w:type="dxa"/>
            <w:vMerge w:val="continue"/>
            <w:vAlign w:val="center"/>
          </w:tcPr>
          <w:p>
            <w:pPr>
              <w:jc w:val="center"/>
              <w:rPr>
                <w:rFonts w:ascii="宋体" w:hAnsi="等线" w:eastAsia="等线" w:cs="Times New Roman"/>
                <w:color w:val="auto"/>
                <w:szCs w:val="21"/>
              </w:rPr>
            </w:pPr>
          </w:p>
        </w:tc>
        <w:tc>
          <w:tcPr>
            <w:tcW w:w="1276" w:type="dxa"/>
            <w:vMerge w:val="continue"/>
            <w:vAlign w:val="center"/>
          </w:tcPr>
          <w:p>
            <w:pPr>
              <w:jc w:val="center"/>
              <w:rPr>
                <w:rFonts w:ascii="宋体" w:hAnsi="等线" w:eastAsia="等线" w:cs="Times New Roman"/>
                <w:color w:val="auto"/>
                <w:szCs w:val="21"/>
              </w:rPr>
            </w:pPr>
          </w:p>
        </w:tc>
        <w:tc>
          <w:tcPr>
            <w:tcW w:w="567" w:type="dxa"/>
            <w:vAlign w:val="center"/>
          </w:tcPr>
          <w:p>
            <w:pPr>
              <w:jc w:val="center"/>
              <w:rPr>
                <w:rFonts w:ascii="宋体" w:hAnsi="等线" w:eastAsia="等线" w:cs="Times New Roman"/>
                <w:color w:val="auto"/>
                <w:szCs w:val="21"/>
              </w:rPr>
            </w:pPr>
            <w:r>
              <w:rPr>
                <w:rFonts w:hint="eastAsia" w:ascii="宋体" w:hAnsi="宋体" w:eastAsia="等线" w:cs="Times New Roman"/>
                <w:color w:val="auto"/>
                <w:szCs w:val="21"/>
              </w:rPr>
              <w:t>6</w:t>
            </w:r>
          </w:p>
        </w:tc>
        <w:tc>
          <w:tcPr>
            <w:tcW w:w="6804" w:type="dxa"/>
            <w:vAlign w:val="center"/>
          </w:tcPr>
          <w:p>
            <w:pPr>
              <w:tabs>
                <w:tab w:val="left" w:pos="6720"/>
              </w:tabs>
              <w:spacing w:line="300" w:lineRule="exact"/>
              <w:ind w:left="216" w:leftChars="103" w:right="73" w:rightChars="35"/>
              <w:rPr>
                <w:rFonts w:ascii="等线" w:hAnsi="等线" w:eastAsia="等线" w:cs="Times New Roman"/>
                <w:color w:val="auto"/>
              </w:rPr>
            </w:pPr>
            <w:r>
              <w:rPr>
                <w:rFonts w:hint="eastAsia" w:ascii="宋体" w:hAnsi="等线" w:eastAsia="等线" w:cs="宋体"/>
                <w:color w:val="auto"/>
                <w:szCs w:val="21"/>
              </w:rPr>
              <w:t>1、项目团队结构设置合理，除项目负责人（项目总监）外，团队成员硕士学位或以上学历人员</w:t>
            </w:r>
            <w:r>
              <w:rPr>
                <w:rFonts w:ascii="宋体" w:hAnsi="等线" w:eastAsia="等线" w:cs="宋体"/>
                <w:color w:val="auto"/>
                <w:szCs w:val="21"/>
              </w:rPr>
              <w:t>2</w:t>
            </w:r>
            <w:r>
              <w:rPr>
                <w:rFonts w:hint="eastAsia" w:ascii="宋体" w:hAnsi="等线" w:eastAsia="等线" w:cs="宋体"/>
                <w:color w:val="auto"/>
                <w:szCs w:val="21"/>
              </w:rPr>
              <w:t>名或以上得3分，硕士学位或以上学历人员1名得1.5分</w:t>
            </w:r>
            <w:r>
              <w:rPr>
                <w:rFonts w:hint="eastAsia" w:ascii="等线" w:hAnsi="等线" w:eastAsia="等线" w:cs="Times New Roman"/>
                <w:color w:val="auto"/>
              </w:rPr>
              <w:t>，其余不得分。</w:t>
            </w:r>
          </w:p>
          <w:p>
            <w:pPr>
              <w:tabs>
                <w:tab w:val="left" w:pos="6720"/>
              </w:tabs>
              <w:spacing w:line="300" w:lineRule="exact"/>
              <w:ind w:left="216" w:leftChars="103" w:right="73" w:rightChars="35"/>
              <w:rPr>
                <w:rFonts w:ascii="等线" w:hAnsi="等线" w:eastAsia="等线" w:cs="Times New Roman"/>
                <w:color w:val="auto"/>
              </w:rPr>
            </w:pPr>
            <w:r>
              <w:rPr>
                <w:rFonts w:hint="eastAsia" w:ascii="等线" w:hAnsi="等线" w:eastAsia="等线" w:cs="Times New Roman"/>
                <w:color w:val="auto"/>
              </w:rPr>
              <w:t>2、</w:t>
            </w:r>
            <w:r>
              <w:rPr>
                <w:rFonts w:hint="eastAsia" w:ascii="宋体" w:hAnsi="等线" w:eastAsia="等线" w:cs="宋体"/>
                <w:color w:val="auto"/>
                <w:szCs w:val="21"/>
              </w:rPr>
              <w:t>项目团队成员（含项目负责人（项目总监））有国有企业薪酬激励优化相关项目经验者得3分，否则不得分。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9" w:hRule="atLeast"/>
        </w:trPr>
        <w:tc>
          <w:tcPr>
            <w:tcW w:w="993" w:type="dxa"/>
            <w:vMerge w:val="continue"/>
            <w:vAlign w:val="center"/>
          </w:tcPr>
          <w:p>
            <w:pPr>
              <w:jc w:val="center"/>
              <w:rPr>
                <w:rFonts w:ascii="宋体" w:hAnsi="等线" w:eastAsia="等线" w:cs="Times New Roman"/>
                <w:color w:val="auto"/>
                <w:szCs w:val="21"/>
              </w:rPr>
            </w:pPr>
          </w:p>
        </w:tc>
        <w:tc>
          <w:tcPr>
            <w:tcW w:w="1276" w:type="dxa"/>
            <w:vMerge w:val="continue"/>
            <w:vAlign w:val="center"/>
          </w:tcPr>
          <w:p>
            <w:pPr>
              <w:jc w:val="center"/>
              <w:rPr>
                <w:rFonts w:ascii="宋体" w:hAnsi="等线" w:eastAsia="等线" w:cs="Times New Roman"/>
                <w:color w:val="auto"/>
                <w:szCs w:val="21"/>
              </w:rPr>
            </w:pPr>
          </w:p>
        </w:tc>
        <w:tc>
          <w:tcPr>
            <w:tcW w:w="567" w:type="dxa"/>
            <w:vAlign w:val="center"/>
          </w:tcPr>
          <w:p>
            <w:pPr>
              <w:jc w:val="center"/>
              <w:rPr>
                <w:rFonts w:ascii="宋体" w:hAnsi="等线" w:eastAsia="等线" w:cs="Times New Roman"/>
                <w:color w:val="auto"/>
                <w:szCs w:val="21"/>
              </w:rPr>
            </w:pPr>
            <w:r>
              <w:rPr>
                <w:rFonts w:hint="eastAsia" w:ascii="宋体" w:hAnsi="宋体" w:eastAsia="等线" w:cs="Times New Roman"/>
                <w:color w:val="auto"/>
                <w:szCs w:val="21"/>
              </w:rPr>
              <w:t>6</w:t>
            </w:r>
          </w:p>
        </w:tc>
        <w:tc>
          <w:tcPr>
            <w:tcW w:w="6804" w:type="dxa"/>
            <w:vAlign w:val="center"/>
          </w:tcPr>
          <w:p>
            <w:pPr>
              <w:ind w:left="216" w:leftChars="103" w:right="73" w:rightChars="35"/>
              <w:rPr>
                <w:rFonts w:ascii="宋体" w:hAnsi="等线" w:eastAsia="等线" w:cs="Times New Roman"/>
                <w:color w:val="auto"/>
                <w:szCs w:val="21"/>
              </w:rPr>
            </w:pPr>
            <w:r>
              <w:rPr>
                <w:rFonts w:hint="eastAsia" w:ascii="宋体" w:hAnsi="等线" w:eastAsia="等线" w:cs="Times New Roman"/>
                <w:color w:val="auto"/>
                <w:szCs w:val="21"/>
              </w:rPr>
              <w:t>项目负责人（项目总监）参与或主持完成过</w:t>
            </w:r>
            <w:r>
              <w:rPr>
                <w:rFonts w:hint="eastAsia" w:ascii="宋体" w:hAnsi="等线" w:eastAsia="等线" w:cs="宋体"/>
                <w:color w:val="auto"/>
                <w:szCs w:val="21"/>
              </w:rPr>
              <w:t>国有企业薪酬激励优化相关</w:t>
            </w:r>
            <w:r>
              <w:rPr>
                <w:rFonts w:hint="eastAsia" w:ascii="宋体" w:hAnsi="等线" w:eastAsia="等线" w:cs="Times New Roman"/>
                <w:color w:val="auto"/>
                <w:szCs w:val="21"/>
              </w:rPr>
              <w:t>咨询服务项目共计</w:t>
            </w:r>
            <w:r>
              <w:rPr>
                <w:rFonts w:ascii="宋体" w:hAnsi="等线" w:eastAsia="等线" w:cs="Times New Roman"/>
                <w:color w:val="auto"/>
                <w:szCs w:val="21"/>
              </w:rPr>
              <w:t>5</w:t>
            </w:r>
            <w:r>
              <w:rPr>
                <w:rFonts w:hint="eastAsia" w:ascii="宋体" w:hAnsi="等线" w:eastAsia="等线" w:cs="Times New Roman"/>
                <w:color w:val="auto"/>
                <w:szCs w:val="21"/>
              </w:rPr>
              <w:t>项或以上得6分，共计</w:t>
            </w:r>
            <w:r>
              <w:rPr>
                <w:rFonts w:ascii="宋体" w:hAnsi="等线" w:eastAsia="等线" w:cs="Times New Roman"/>
                <w:color w:val="auto"/>
                <w:szCs w:val="21"/>
              </w:rPr>
              <w:t>3</w:t>
            </w:r>
            <w:r>
              <w:rPr>
                <w:rFonts w:hint="eastAsia" w:ascii="宋体" w:hAnsi="等线" w:eastAsia="等线" w:cs="Times New Roman"/>
                <w:color w:val="auto"/>
                <w:szCs w:val="21"/>
              </w:rPr>
              <w:t>项（含本数）至</w:t>
            </w:r>
            <w:r>
              <w:rPr>
                <w:rFonts w:ascii="宋体" w:hAnsi="等线" w:eastAsia="等线" w:cs="Times New Roman"/>
                <w:color w:val="auto"/>
                <w:szCs w:val="21"/>
              </w:rPr>
              <w:t>5</w:t>
            </w:r>
            <w:r>
              <w:rPr>
                <w:rFonts w:hint="eastAsia" w:ascii="宋体" w:hAnsi="等线" w:eastAsia="等线" w:cs="Times New Roman"/>
                <w:color w:val="auto"/>
                <w:szCs w:val="21"/>
              </w:rPr>
              <w:t>项（不含本数）得3分，共计</w:t>
            </w:r>
            <w:r>
              <w:rPr>
                <w:rFonts w:ascii="宋体" w:hAnsi="等线" w:eastAsia="等线" w:cs="Times New Roman"/>
                <w:color w:val="auto"/>
                <w:szCs w:val="21"/>
              </w:rPr>
              <w:t>3</w:t>
            </w:r>
            <w:r>
              <w:rPr>
                <w:rFonts w:hint="eastAsia" w:ascii="宋体" w:hAnsi="等线" w:eastAsia="等线" w:cs="Times New Roman"/>
                <w:color w:val="auto"/>
                <w:szCs w:val="21"/>
              </w:rPr>
              <w:t>项（不含本数）以下得0分。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93" w:type="dxa"/>
            <w:vAlign w:val="center"/>
          </w:tcPr>
          <w:p>
            <w:pPr>
              <w:jc w:val="center"/>
              <w:rPr>
                <w:rFonts w:ascii="宋体" w:hAnsi="宋体" w:eastAsia="等线" w:cs="Times New Roman"/>
                <w:color w:val="auto"/>
                <w:szCs w:val="21"/>
              </w:rPr>
            </w:pPr>
            <w:r>
              <w:rPr>
                <w:rFonts w:hint="eastAsia" w:ascii="宋体" w:hAnsi="宋体" w:eastAsia="等线" w:cs="Times New Roman"/>
                <w:color w:val="auto"/>
                <w:szCs w:val="21"/>
              </w:rPr>
              <w:t>技术</w:t>
            </w:r>
          </w:p>
          <w:p>
            <w:pPr>
              <w:jc w:val="center"/>
              <w:rPr>
                <w:rFonts w:ascii="宋体" w:hAnsi="宋体" w:eastAsia="等线" w:cs="Times New Roman"/>
                <w:color w:val="auto"/>
                <w:szCs w:val="21"/>
              </w:rPr>
            </w:pPr>
            <w:r>
              <w:rPr>
                <w:rFonts w:hint="eastAsia" w:ascii="宋体" w:hAnsi="宋体" w:eastAsia="等线" w:cs="Times New Roman"/>
                <w:color w:val="auto"/>
                <w:szCs w:val="21"/>
              </w:rPr>
              <w:t>（</w:t>
            </w:r>
            <w:r>
              <w:rPr>
                <w:rFonts w:ascii="宋体" w:hAnsi="宋体" w:eastAsia="等线" w:cs="Times New Roman"/>
                <w:color w:val="auto"/>
                <w:szCs w:val="21"/>
              </w:rPr>
              <w:t>50</w:t>
            </w:r>
            <w:r>
              <w:rPr>
                <w:rFonts w:hint="eastAsia" w:ascii="宋体" w:hAnsi="宋体" w:eastAsia="等线" w:cs="Times New Roman"/>
                <w:color w:val="auto"/>
                <w:szCs w:val="21"/>
              </w:rPr>
              <w:t>分）</w:t>
            </w:r>
          </w:p>
        </w:tc>
        <w:tc>
          <w:tcPr>
            <w:tcW w:w="1276" w:type="dxa"/>
            <w:vAlign w:val="center"/>
          </w:tcPr>
          <w:p>
            <w:pPr>
              <w:tabs>
                <w:tab w:val="left" w:pos="1260"/>
              </w:tabs>
              <w:ind w:right="6" w:hanging="10"/>
              <w:jc w:val="center"/>
              <w:rPr>
                <w:rFonts w:ascii="宋体" w:hAnsi="宋体" w:eastAsia="等线" w:cs="Times New Roman"/>
                <w:color w:val="auto"/>
                <w:szCs w:val="21"/>
              </w:rPr>
            </w:pPr>
            <w:r>
              <w:rPr>
                <w:rFonts w:hint="eastAsia" w:ascii="宋体" w:hAnsi="宋体" w:eastAsia="等线" w:cs="Times New Roman"/>
                <w:color w:val="auto"/>
                <w:szCs w:val="21"/>
              </w:rPr>
              <w:t>根据本招标文件第六章任务书要求编制咨询服务方案</w:t>
            </w:r>
          </w:p>
        </w:tc>
        <w:tc>
          <w:tcPr>
            <w:tcW w:w="567" w:type="dxa"/>
            <w:vAlign w:val="center"/>
          </w:tcPr>
          <w:p>
            <w:pPr>
              <w:jc w:val="center"/>
              <w:rPr>
                <w:rFonts w:ascii="宋体" w:hAnsi="等线" w:eastAsia="等线" w:cs="Times New Roman"/>
                <w:color w:val="auto"/>
                <w:szCs w:val="21"/>
              </w:rPr>
            </w:pPr>
            <w:r>
              <w:rPr>
                <w:rFonts w:hint="eastAsia" w:ascii="宋体" w:hAnsi="等线" w:eastAsia="等线" w:cs="Times New Roman"/>
                <w:color w:val="auto"/>
                <w:szCs w:val="21"/>
              </w:rPr>
              <w:t>50</w:t>
            </w:r>
          </w:p>
        </w:tc>
        <w:tc>
          <w:tcPr>
            <w:tcW w:w="6804" w:type="dxa"/>
            <w:vAlign w:val="center"/>
          </w:tcPr>
          <w:p>
            <w:pPr>
              <w:ind w:left="216" w:leftChars="103" w:right="73" w:rightChars="35"/>
              <w:jc w:val="left"/>
              <w:rPr>
                <w:rFonts w:ascii="宋体" w:hAnsi="等线" w:eastAsia="等线" w:cs="Times New Roman"/>
                <w:color w:val="auto"/>
                <w:szCs w:val="21"/>
              </w:rPr>
            </w:pPr>
            <w:r>
              <w:rPr>
                <w:rFonts w:hint="eastAsia" w:ascii="宋体" w:hAnsi="等线" w:eastAsia="等线" w:cs="Times New Roman"/>
                <w:color w:val="auto"/>
                <w:szCs w:val="21"/>
              </w:rPr>
              <w:t>1、</w:t>
            </w:r>
            <w:r>
              <w:rPr>
                <w:rFonts w:hint="eastAsia" w:ascii="宋体" w:hAnsi="等线" w:eastAsia="等线" w:cs="Times New Roman"/>
                <w:color w:val="auto"/>
                <w:szCs w:val="21"/>
              </w:rPr>
              <w:tab/>
            </w:r>
            <w:r>
              <w:rPr>
                <w:rFonts w:hint="eastAsia" w:ascii="宋体" w:hAnsi="等线" w:eastAsia="等线" w:cs="Times New Roman"/>
                <w:color w:val="auto"/>
                <w:szCs w:val="21"/>
              </w:rPr>
              <w:t>实施方案的完整性、针对性：实施方案对公司现状理解清晰明确，充分涵盖招标要求的范围，提出解决重难点问题的主要策略和方向符合公司发展。（20分）</w:t>
            </w:r>
          </w:p>
          <w:p>
            <w:pPr>
              <w:ind w:left="216" w:leftChars="103" w:right="73" w:rightChars="35"/>
              <w:jc w:val="left"/>
              <w:rPr>
                <w:rFonts w:ascii="宋体" w:hAnsi="等线" w:eastAsia="等线" w:cs="Times New Roman"/>
                <w:color w:val="auto"/>
                <w:szCs w:val="21"/>
              </w:rPr>
            </w:pPr>
            <w:r>
              <w:rPr>
                <w:rFonts w:hint="eastAsia" w:ascii="宋体" w:hAnsi="等线" w:eastAsia="等线" w:cs="Times New Roman"/>
                <w:color w:val="auto"/>
                <w:szCs w:val="21"/>
              </w:rPr>
              <w:t>2、实施方案的可执行性：实施方案能够比较清晰的说明服务过程、服务手段，服务实施计划的合理性、可操作程度。（20分）</w:t>
            </w:r>
          </w:p>
          <w:p>
            <w:pPr>
              <w:ind w:left="216" w:leftChars="103" w:right="73" w:rightChars="35"/>
              <w:jc w:val="left"/>
              <w:rPr>
                <w:rFonts w:ascii="宋体" w:hAnsi="等线" w:eastAsia="等线" w:cs="Times New Roman"/>
                <w:color w:val="auto"/>
                <w:szCs w:val="21"/>
              </w:rPr>
            </w:pPr>
            <w:r>
              <w:rPr>
                <w:rFonts w:hint="eastAsia" w:ascii="宋体" w:hAnsi="等线" w:eastAsia="等线" w:cs="Times New Roman"/>
                <w:color w:val="auto"/>
                <w:szCs w:val="21"/>
              </w:rPr>
              <w:t>3、实施方案的规范性：根据投标文件的规范性进行评分。（10分）</w:t>
            </w:r>
          </w:p>
          <w:p>
            <w:pPr>
              <w:ind w:left="216" w:leftChars="103" w:right="73" w:rightChars="35"/>
              <w:jc w:val="left"/>
              <w:rPr>
                <w:rFonts w:ascii="宋体" w:hAnsi="等线" w:eastAsia="等线" w:cs="Times New Roman"/>
                <w:color w:val="auto"/>
                <w:szCs w:val="21"/>
              </w:rPr>
            </w:pPr>
            <w:r>
              <w:rPr>
                <w:rFonts w:hint="eastAsia" w:ascii="宋体" w:hAnsi="等线" w:eastAsia="等线" w:cs="Times New Roman"/>
                <w:color w:val="auto"/>
                <w:szCs w:val="21"/>
              </w:rPr>
              <w:t>以上成果按“优秀，良好，一般”划分，第1、2点按“一般”1-8分，“良好”9-14分，“优秀”15-20分；第3点按“一般”1-4分，“良好”5-7分，“优秀”8-10分</w:t>
            </w:r>
          </w:p>
        </w:tc>
      </w:tr>
    </w:tbl>
    <w:p>
      <w:pPr>
        <w:tabs>
          <w:tab w:val="left" w:pos="1050"/>
          <w:tab w:val="left" w:pos="1838"/>
        </w:tabs>
        <w:rPr>
          <w:rFonts w:ascii="宋体" w:hAnsi="宋体" w:eastAsia="等线" w:cs="楷体_GB2312"/>
          <w:color w:val="auto"/>
          <w:sz w:val="24"/>
          <w:szCs w:val="24"/>
        </w:rPr>
      </w:pPr>
      <w:r>
        <w:rPr>
          <w:rFonts w:hint="eastAsia" w:ascii="宋体" w:hAnsi="等线" w:eastAsia="等线" w:cs="Times New Roman"/>
          <w:b/>
          <w:bCs/>
          <w:color w:val="auto"/>
          <w:sz w:val="24"/>
          <w:szCs w:val="24"/>
        </w:rPr>
        <w:t>注：</w:t>
      </w:r>
      <w:r>
        <w:rPr>
          <w:rFonts w:hint="eastAsia" w:ascii="宋体" w:hAnsi="宋体" w:eastAsia="等线" w:cs="Times New Roman"/>
          <w:color w:val="auto"/>
          <w:szCs w:val="21"/>
        </w:rPr>
        <w:t>1、业绩须提供委托协议或咨询合同等证明资料的复印件加盖公章的证明材料。国有企业是指国有独资企业、国有独资公司、国有资本控股公司（绝对控股或相对控股）。投标人须对所提供资料真实性负责。人员业绩应提供合同关键页的人员业绩证明资料。所提供资料内容须满足评审要求。</w:t>
      </w:r>
    </w:p>
    <w:p>
      <w:pPr>
        <w:numPr>
          <w:ilvl w:val="0"/>
          <w:numId w:val="6"/>
        </w:numPr>
        <w:tabs>
          <w:tab w:val="left" w:pos="1050"/>
          <w:tab w:val="left" w:pos="1838"/>
        </w:tabs>
        <w:rPr>
          <w:rFonts w:ascii="宋体" w:hAnsi="宋体" w:eastAsia="等线" w:cs="Times New Roman"/>
          <w:color w:val="auto"/>
          <w:szCs w:val="21"/>
        </w:rPr>
        <w:sectPr>
          <w:endnotePr>
            <w:numFmt w:val="decimal"/>
          </w:endnotePr>
          <w:pgSz w:w="11906" w:h="16838"/>
          <w:pgMar w:top="1247" w:right="1287" w:bottom="1247" w:left="1440" w:header="851" w:footer="748" w:gutter="0"/>
          <w:cols w:space="720" w:num="1"/>
          <w:titlePg/>
          <w:docGrid w:linePitch="312" w:charSpace="0"/>
        </w:sectPr>
      </w:pPr>
      <w:r>
        <w:rPr>
          <w:rFonts w:hint="eastAsia" w:ascii="宋体" w:hAnsi="宋体" w:eastAsia="等线" w:cs="Times New Roman"/>
          <w:color w:val="auto"/>
          <w:szCs w:val="21"/>
        </w:rPr>
        <w:t>企业管理（咨询）工作经验须附上就职的单位营业执照（含国家企业信用信息公示系统查询结果营业范围含企业管理（咨询）内容截图）及劳动合同或聘书或</w:t>
      </w:r>
      <w:bookmarkStart w:id="82" w:name="_Hlk511829170"/>
      <w:r>
        <w:rPr>
          <w:rFonts w:hint="eastAsia" w:ascii="宋体" w:hAnsi="宋体" w:eastAsia="等线" w:cs="Times New Roman"/>
          <w:color w:val="auto"/>
          <w:szCs w:val="21"/>
        </w:rPr>
        <w:t>社保证明等。</w:t>
      </w:r>
      <w:bookmarkEnd w:id="82"/>
    </w:p>
    <w:bookmarkEnd w:id="58"/>
    <w:bookmarkEnd w:id="59"/>
    <w:bookmarkEnd w:id="74"/>
    <w:bookmarkEnd w:id="81"/>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keepNext/>
        <w:keepLines/>
        <w:spacing w:before="120" w:after="120" w:line="360" w:lineRule="auto"/>
        <w:jc w:val="center"/>
        <w:outlineLvl w:val="0"/>
        <w:rPr>
          <w:rFonts w:ascii="黑体" w:hAnsi="黑体" w:eastAsia="黑体" w:cs="Times New Roman"/>
          <w:b/>
          <w:bCs/>
          <w:color w:val="auto"/>
          <w:kern w:val="44"/>
          <w:sz w:val="44"/>
          <w:szCs w:val="44"/>
          <w:lang w:val="zh-CN"/>
        </w:rPr>
      </w:pPr>
      <w:bookmarkStart w:id="83" w:name="_Toc413933186"/>
      <w:bookmarkStart w:id="84" w:name="_Toc16238382"/>
      <w:bookmarkStart w:id="85" w:name="_Toc413933293"/>
      <w:bookmarkStart w:id="86" w:name="_Toc9582"/>
      <w:r>
        <w:rPr>
          <w:rFonts w:hint="eastAsia" w:ascii="黑体" w:hAnsi="黑体" w:eastAsia="黑体" w:cs="Times New Roman"/>
          <w:b/>
          <w:bCs/>
          <w:color w:val="auto"/>
          <w:kern w:val="44"/>
          <w:sz w:val="44"/>
          <w:szCs w:val="44"/>
          <w:lang w:val="zh-CN"/>
        </w:rPr>
        <w:t>第四章</w:t>
      </w:r>
      <w:r>
        <w:rPr>
          <w:rFonts w:ascii="黑体" w:hAnsi="黑体" w:eastAsia="黑体" w:cs="Times New Roman"/>
          <w:b/>
          <w:bCs/>
          <w:color w:val="auto"/>
          <w:kern w:val="44"/>
          <w:sz w:val="44"/>
          <w:szCs w:val="44"/>
          <w:lang w:val="zh-CN"/>
        </w:rPr>
        <w:t xml:space="preserve"> </w:t>
      </w:r>
      <w:r>
        <w:rPr>
          <w:rFonts w:hint="eastAsia" w:ascii="黑体" w:hAnsi="黑体" w:eastAsia="黑体" w:cs="Times New Roman"/>
          <w:b/>
          <w:bCs/>
          <w:color w:val="auto"/>
          <w:kern w:val="44"/>
          <w:sz w:val="44"/>
          <w:szCs w:val="44"/>
          <w:lang w:val="zh-CN"/>
        </w:rPr>
        <w:t>合同条款</w:t>
      </w:r>
      <w:bookmarkEnd w:id="83"/>
      <w:bookmarkEnd w:id="84"/>
      <w:bookmarkEnd w:id="85"/>
      <w:bookmarkEnd w:id="86"/>
    </w:p>
    <w:p>
      <w:pPr>
        <w:jc w:val="center"/>
        <w:rPr>
          <w:rFonts w:ascii="等线" w:hAnsi="等线" w:eastAsia="等线" w:cs="Times New Roman"/>
          <w:color w:val="auto"/>
          <w:sz w:val="30"/>
          <w:szCs w:val="30"/>
        </w:rPr>
      </w:pPr>
    </w:p>
    <w:p>
      <w:pPr>
        <w:jc w:val="cente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rPr>
          <w:rFonts w:ascii="等线" w:hAnsi="等线" w:eastAsia="等线" w:cs="Times New Roman"/>
          <w:color w:val="auto"/>
          <w:sz w:val="30"/>
          <w:szCs w:val="30"/>
        </w:rPr>
      </w:pPr>
    </w:p>
    <w:p>
      <w:pPr>
        <w:jc w:val="center"/>
        <w:rPr>
          <w:rFonts w:ascii="楷体_GB2312" w:hAnsi="等线" w:eastAsia="楷体_GB2312" w:cs="Times New Roman"/>
          <w:b/>
          <w:bCs/>
          <w:color w:val="auto"/>
          <w:sz w:val="44"/>
        </w:rPr>
      </w:pPr>
      <w:r>
        <w:rPr>
          <w:rFonts w:ascii="等线" w:hAnsi="等线" w:eastAsia="等线" w:cs="Times New Roman"/>
          <w:color w:val="auto"/>
          <w:sz w:val="30"/>
          <w:szCs w:val="30"/>
        </w:rPr>
        <w:br w:type="page"/>
      </w:r>
    </w:p>
    <w:p>
      <w:pPr>
        <w:jc w:val="center"/>
        <w:rPr>
          <w:rFonts w:ascii="楷体_GB2312" w:hAnsi="宋体" w:eastAsia="楷体_GB2312" w:cs="Times New Roman"/>
          <w:b/>
          <w:bCs/>
          <w:color w:val="auto"/>
          <w:sz w:val="36"/>
          <w:u w:val="single"/>
        </w:rPr>
      </w:pPr>
    </w:p>
    <w:p>
      <w:pPr>
        <w:spacing w:line="560" w:lineRule="exact"/>
        <w:jc w:val="center"/>
        <w:rPr>
          <w:rFonts w:ascii="仿宋_GB2312" w:hAnsi="宋体" w:eastAsia="仿宋_GB2312" w:cs="Times New Roman"/>
          <w:b/>
          <w:bCs/>
          <w:color w:val="auto"/>
          <w:sz w:val="32"/>
          <w:szCs w:val="32"/>
          <w:u w:val="single"/>
        </w:rPr>
      </w:pPr>
      <w:r>
        <w:rPr>
          <w:rFonts w:hint="eastAsia" w:ascii="仿宋_GB2312" w:hAnsi="宋体" w:eastAsia="仿宋_GB2312" w:cs="Times New Roman"/>
          <w:b/>
          <w:bCs/>
          <w:color w:val="auto"/>
          <w:sz w:val="32"/>
          <w:szCs w:val="32"/>
          <w:u w:val="single"/>
        </w:rPr>
        <w:t>广州南沙资产经营有限公司及广州南沙建设投资有限公司公司</w:t>
      </w:r>
    </w:p>
    <w:p>
      <w:pPr>
        <w:spacing w:line="560" w:lineRule="exact"/>
        <w:jc w:val="center"/>
        <w:rPr>
          <w:rFonts w:ascii="仿宋_GB2312" w:hAnsi="宋体" w:eastAsia="仿宋_GB2312" w:cs="Times New Roman"/>
          <w:b/>
          <w:bCs/>
          <w:color w:val="auto"/>
          <w:sz w:val="32"/>
          <w:szCs w:val="32"/>
        </w:rPr>
      </w:pPr>
      <w:r>
        <w:rPr>
          <w:rFonts w:hint="eastAsia" w:ascii="仿宋_GB2312" w:hAnsi="宋体" w:eastAsia="仿宋_GB2312" w:cs="Times New Roman"/>
          <w:b/>
          <w:bCs/>
          <w:color w:val="auto"/>
          <w:sz w:val="32"/>
          <w:szCs w:val="32"/>
        </w:rPr>
        <w:t>薪酬体系设计专项服务项目合同书</w:t>
      </w:r>
    </w:p>
    <w:p>
      <w:pPr>
        <w:spacing w:line="560" w:lineRule="exac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p>
    <w:p>
      <w:pPr>
        <w:spacing w:line="560" w:lineRule="exact"/>
        <w:rPr>
          <w:rFonts w:ascii="仿宋_GB2312" w:hAnsi="宋体" w:eastAsia="仿宋_GB2312" w:cs="Times New Roman"/>
          <w:color w:val="auto"/>
          <w:sz w:val="32"/>
          <w:szCs w:val="32"/>
        </w:rPr>
      </w:pPr>
    </w:p>
    <w:p>
      <w:pPr>
        <w:spacing w:line="560" w:lineRule="exact"/>
        <w:ind w:firstLine="964" w:firstLineChars="300"/>
        <w:rPr>
          <w:rFonts w:ascii="仿宋_GB2312" w:hAnsi="宋体" w:eastAsia="仿宋_GB2312" w:cs="Times New Roman"/>
          <w:b/>
          <w:bCs/>
          <w:color w:val="auto"/>
          <w:sz w:val="32"/>
          <w:szCs w:val="32"/>
        </w:rPr>
      </w:pPr>
      <w:r>
        <w:rPr>
          <w:rFonts w:hint="eastAsia" w:ascii="仿宋_GB2312" w:hAnsi="宋体" w:eastAsia="仿宋_GB2312" w:cs="Times New Roman"/>
          <w:b/>
          <w:bCs/>
          <w:color w:val="auto"/>
          <w:sz w:val="32"/>
          <w:szCs w:val="32"/>
        </w:rPr>
        <w:t>合同编号：</w:t>
      </w:r>
    </w:p>
    <w:p>
      <w:pPr>
        <w:spacing w:line="560" w:lineRule="exact"/>
        <w:ind w:firstLine="964" w:firstLineChars="300"/>
        <w:rPr>
          <w:rFonts w:ascii="仿宋_GB2312" w:hAnsi="宋体" w:eastAsia="仿宋_GB2312" w:cs="Times New Roman"/>
          <w:b/>
          <w:bCs/>
          <w:color w:val="auto"/>
          <w:sz w:val="32"/>
          <w:szCs w:val="32"/>
        </w:rPr>
      </w:pPr>
      <w:r>
        <w:rPr>
          <w:rFonts w:hint="eastAsia" w:ascii="仿宋_GB2312" w:hAnsi="宋体" w:eastAsia="仿宋_GB2312" w:cs="Times New Roman"/>
          <w:b/>
          <w:bCs/>
          <w:color w:val="auto"/>
          <w:sz w:val="32"/>
          <w:szCs w:val="32"/>
        </w:rPr>
        <w:t>项目名称：</w:t>
      </w:r>
      <w:bookmarkStart w:id="87" w:name="OLE_LINK1"/>
      <w:r>
        <w:rPr>
          <w:rFonts w:hint="eastAsia" w:ascii="仿宋_GB2312" w:hAnsi="宋体" w:eastAsia="仿宋_GB2312" w:cs="Times New Roman"/>
          <w:b/>
          <w:bCs/>
          <w:color w:val="auto"/>
          <w:sz w:val="32"/>
          <w:szCs w:val="32"/>
        </w:rPr>
        <w:t>广州南沙资产经营有限公司、广州南沙建设</w:t>
      </w:r>
    </w:p>
    <w:p>
      <w:pPr>
        <w:spacing w:line="560" w:lineRule="exact"/>
        <w:ind w:firstLine="2570" w:firstLineChars="800"/>
        <w:rPr>
          <w:rFonts w:ascii="仿宋_GB2312" w:hAnsi="宋体" w:eastAsia="仿宋_GB2312" w:cs="Times New Roman"/>
          <w:b/>
          <w:bCs/>
          <w:color w:val="auto"/>
          <w:sz w:val="32"/>
          <w:szCs w:val="32"/>
        </w:rPr>
      </w:pPr>
      <w:r>
        <w:rPr>
          <w:rFonts w:hint="eastAsia" w:ascii="仿宋_GB2312" w:hAnsi="宋体" w:eastAsia="仿宋_GB2312" w:cs="Times New Roman"/>
          <w:b/>
          <w:bCs/>
          <w:color w:val="auto"/>
          <w:sz w:val="32"/>
          <w:szCs w:val="32"/>
        </w:rPr>
        <w:t>投资有限公司薪酬体系设计专项服务项目</w:t>
      </w:r>
    </w:p>
    <w:bookmarkEnd w:id="87"/>
    <w:p>
      <w:pPr>
        <w:spacing w:line="560" w:lineRule="exact"/>
        <w:ind w:firstLine="1285" w:firstLineChars="400"/>
        <w:rPr>
          <w:rFonts w:ascii="仿宋_GB2312" w:hAnsi="宋体" w:eastAsia="仿宋_GB2312" w:cs="Times New Roman"/>
          <w:b/>
          <w:bCs/>
          <w:color w:val="auto"/>
          <w:sz w:val="32"/>
          <w:szCs w:val="32"/>
        </w:rPr>
      </w:pPr>
    </w:p>
    <w:p>
      <w:pPr>
        <w:spacing w:line="560" w:lineRule="exact"/>
        <w:ind w:firstLine="1285" w:firstLineChars="400"/>
        <w:rPr>
          <w:rFonts w:ascii="仿宋_GB2312" w:hAnsi="宋体" w:eastAsia="仿宋_GB2312" w:cs="Times New Roman"/>
          <w:b/>
          <w:bCs/>
          <w:color w:val="auto"/>
          <w:sz w:val="32"/>
          <w:szCs w:val="32"/>
        </w:rPr>
      </w:pPr>
    </w:p>
    <w:p>
      <w:pPr>
        <w:spacing w:line="560" w:lineRule="exact"/>
        <w:ind w:firstLine="1285" w:firstLineChars="400"/>
        <w:rPr>
          <w:rFonts w:ascii="仿宋_GB2312" w:hAnsi="宋体" w:eastAsia="仿宋_GB2312" w:cs="Times New Roman"/>
          <w:b/>
          <w:bCs/>
          <w:color w:val="auto"/>
          <w:sz w:val="32"/>
          <w:szCs w:val="32"/>
        </w:rPr>
      </w:pPr>
      <w:r>
        <w:rPr>
          <w:rFonts w:hint="eastAsia" w:ascii="仿宋_GB2312" w:hAnsi="宋体" w:eastAsia="仿宋_GB2312" w:cs="Times New Roman"/>
          <w:b/>
          <w:bCs/>
          <w:color w:val="auto"/>
          <w:sz w:val="32"/>
          <w:szCs w:val="32"/>
        </w:rPr>
        <w:t>合同单位：</w:t>
      </w:r>
    </w:p>
    <w:p>
      <w:pPr>
        <w:spacing w:line="560" w:lineRule="exact"/>
        <w:rPr>
          <w:rFonts w:ascii="仿宋_GB2312" w:hAnsi="宋体" w:eastAsia="仿宋_GB2312" w:cs="Times New Roman"/>
          <w:b/>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ab/>
      </w:r>
      <w:r>
        <w:rPr>
          <w:rFonts w:hint="eastAsia" w:ascii="仿宋_GB2312" w:hAnsi="宋体" w:eastAsia="仿宋_GB2312" w:cs="Times New Roman"/>
          <w:color w:val="auto"/>
          <w:sz w:val="32"/>
          <w:szCs w:val="32"/>
        </w:rPr>
        <w:tab/>
      </w:r>
      <w:r>
        <w:rPr>
          <w:rFonts w:hint="eastAsia" w:ascii="仿宋_GB2312" w:hAnsi="宋体" w:eastAsia="仿宋_GB2312" w:cs="Times New Roman"/>
          <w:color w:val="auto"/>
          <w:sz w:val="32"/>
          <w:szCs w:val="32"/>
        </w:rPr>
        <w:tab/>
      </w:r>
      <w:r>
        <w:rPr>
          <w:rFonts w:hint="eastAsia" w:ascii="仿宋_GB2312" w:hAnsi="宋体" w:eastAsia="仿宋_GB2312" w:cs="Times New Roman"/>
          <w:color w:val="auto"/>
          <w:sz w:val="32"/>
          <w:szCs w:val="32"/>
        </w:rPr>
        <w:tab/>
      </w:r>
      <w:r>
        <w:rPr>
          <w:rFonts w:hint="eastAsia" w:ascii="仿宋_GB2312" w:hAnsi="宋体" w:eastAsia="仿宋_GB2312" w:cs="Times New Roman"/>
          <w:b/>
          <w:color w:val="auto"/>
          <w:sz w:val="32"/>
          <w:szCs w:val="32"/>
        </w:rPr>
        <w:tab/>
      </w:r>
      <w:r>
        <w:rPr>
          <w:rFonts w:hint="eastAsia" w:ascii="仿宋_GB2312" w:hAnsi="宋体" w:eastAsia="仿宋_GB2312" w:cs="Times New Roman"/>
          <w:b/>
          <w:color w:val="auto"/>
          <w:sz w:val="32"/>
          <w:szCs w:val="32"/>
        </w:rPr>
        <w:tab/>
      </w:r>
      <w:r>
        <w:rPr>
          <w:rFonts w:hint="eastAsia" w:ascii="仿宋_GB2312" w:hAnsi="宋体" w:eastAsia="仿宋_GB2312" w:cs="Times New Roman"/>
          <w:b/>
          <w:color w:val="auto"/>
          <w:sz w:val="32"/>
          <w:szCs w:val="32"/>
        </w:rPr>
        <w:t>甲方：</w:t>
      </w:r>
      <w:r>
        <w:rPr>
          <w:rFonts w:hint="eastAsia" w:ascii="仿宋_GB2312" w:hAnsi="等线" w:eastAsia="仿宋_GB2312" w:cs="Times New Roman"/>
          <w:b/>
          <w:color w:val="auto"/>
          <w:sz w:val="32"/>
          <w:szCs w:val="32"/>
        </w:rPr>
        <w:t>XX</w:t>
      </w:r>
      <w:r>
        <w:rPr>
          <w:rFonts w:hint="eastAsia" w:ascii="仿宋_GB2312" w:hAnsi="宋体" w:eastAsia="仿宋_GB2312" w:cs="Times New Roman"/>
          <w:b/>
          <w:color w:val="auto"/>
          <w:sz w:val="32"/>
          <w:szCs w:val="32"/>
        </w:rPr>
        <w:t>有限公司</w:t>
      </w:r>
    </w:p>
    <w:p>
      <w:pPr>
        <w:spacing w:line="560" w:lineRule="exact"/>
        <w:ind w:left="2100" w:firstLine="420"/>
        <w:rPr>
          <w:rFonts w:ascii="仿宋_GB2312" w:hAnsi="等线" w:eastAsia="仿宋_GB2312" w:cs="Times New Roman"/>
          <w:color w:val="auto"/>
          <w:sz w:val="32"/>
          <w:szCs w:val="32"/>
        </w:rPr>
      </w:pPr>
      <w:r>
        <w:rPr>
          <w:rFonts w:hint="eastAsia" w:ascii="仿宋_GB2312" w:hAnsi="宋体" w:eastAsia="仿宋_GB2312" w:cs="Times New Roman"/>
          <w:b/>
          <w:color w:val="auto"/>
          <w:sz w:val="32"/>
          <w:szCs w:val="32"/>
        </w:rPr>
        <w:t>乙方：</w:t>
      </w:r>
      <w:r>
        <w:rPr>
          <w:rFonts w:hint="eastAsia" w:ascii="仿宋_GB2312" w:hAnsi="等线" w:eastAsia="仿宋_GB2312" w:cs="Times New Roman"/>
          <w:b/>
          <w:color w:val="auto"/>
          <w:sz w:val="32"/>
          <w:szCs w:val="32"/>
        </w:rPr>
        <w:t>XX有限公司</w:t>
      </w:r>
    </w:p>
    <w:p>
      <w:pPr>
        <w:spacing w:line="560" w:lineRule="exact"/>
        <w:ind w:left="2100" w:leftChars="1000" w:firstLine="1408" w:firstLineChars="440"/>
        <w:rPr>
          <w:rFonts w:ascii="仿宋_GB2312" w:hAnsi="宋体" w:eastAsia="仿宋_GB2312" w:cs="Times New Roman"/>
          <w:color w:val="auto"/>
          <w:sz w:val="32"/>
          <w:szCs w:val="32"/>
        </w:rPr>
      </w:pPr>
      <w:r>
        <w:rPr>
          <w:rFonts w:hint="eastAsia" w:ascii="仿宋_GB2312" w:hAnsi="等线" w:eastAsia="仿宋_GB2312" w:cs="Times New Roman"/>
          <w:color w:val="auto"/>
          <w:sz w:val="32"/>
          <w:szCs w:val="32"/>
        </w:rPr>
        <w:t xml:space="preserve">       </w:t>
      </w:r>
    </w:p>
    <w:p>
      <w:pPr>
        <w:spacing w:line="560" w:lineRule="exact"/>
        <w:jc w:val="center"/>
        <w:rPr>
          <w:rFonts w:ascii="仿宋_GB2312" w:hAnsi="宋体" w:eastAsia="仿宋_GB2312" w:cs="Times New Roman"/>
          <w:color w:val="auto"/>
          <w:sz w:val="32"/>
          <w:szCs w:val="32"/>
        </w:rPr>
      </w:pPr>
    </w:p>
    <w:p>
      <w:pPr>
        <w:spacing w:line="560" w:lineRule="exact"/>
        <w:jc w:val="center"/>
        <w:rPr>
          <w:rFonts w:ascii="仿宋_GB2312" w:hAnsi="宋体" w:eastAsia="仿宋_GB2312" w:cs="Times New Roman"/>
          <w:color w:val="auto"/>
          <w:sz w:val="32"/>
          <w:szCs w:val="32"/>
        </w:rPr>
      </w:pPr>
    </w:p>
    <w:p>
      <w:pPr>
        <w:spacing w:line="560" w:lineRule="exact"/>
        <w:jc w:val="center"/>
        <w:rPr>
          <w:rFonts w:ascii="仿宋_GB2312" w:hAnsi="宋体" w:eastAsia="仿宋_GB2312" w:cs="Times New Roman"/>
          <w:color w:val="auto"/>
          <w:sz w:val="32"/>
          <w:szCs w:val="32"/>
        </w:rPr>
      </w:pPr>
    </w:p>
    <w:p>
      <w:pPr>
        <w:spacing w:line="560" w:lineRule="exact"/>
        <w:ind w:firstLine="1280" w:firstLineChars="4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签订时间：    年    月    日</w:t>
      </w:r>
    </w:p>
    <w:p>
      <w:pPr>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br w:type="page"/>
      </w:r>
      <w:bookmarkStart w:id="88" w:name="_Hlk14871527"/>
      <w:r>
        <w:rPr>
          <w:rFonts w:hint="eastAsia" w:ascii="仿宋_GB2312" w:hAnsi="宋体" w:eastAsia="仿宋_GB2312" w:cs="Times New Roman"/>
          <w:b/>
          <w:color w:val="auto"/>
          <w:sz w:val="32"/>
          <w:szCs w:val="32"/>
        </w:rPr>
        <w:t>广州南沙资产经营有限公司及广州南沙建设投资有限公司</w:t>
      </w:r>
      <w:bookmarkEnd w:id="88"/>
      <w:r>
        <w:rPr>
          <w:rFonts w:hint="eastAsia" w:ascii="仿宋_GB2312" w:hAnsi="宋体" w:eastAsia="仿宋_GB2312" w:cs="Times New Roman"/>
          <w:color w:val="auto"/>
          <w:sz w:val="32"/>
          <w:szCs w:val="32"/>
        </w:rPr>
        <w:t>（以下简称“甲方”）和</w:t>
      </w:r>
      <w:r>
        <w:rPr>
          <w:rFonts w:hint="eastAsia" w:ascii="仿宋_GB2312" w:hAnsi="宋体" w:eastAsia="仿宋_GB2312" w:cs="Times New Roman"/>
          <w:b/>
          <w:color w:val="auto"/>
          <w:sz w:val="32"/>
          <w:szCs w:val="32"/>
        </w:rPr>
        <w:t>XX公司</w:t>
      </w:r>
      <w:r>
        <w:rPr>
          <w:rFonts w:hint="eastAsia" w:ascii="仿宋_GB2312" w:hAnsi="宋体" w:eastAsia="仿宋_GB2312" w:cs="Times New Roman"/>
          <w:color w:val="auto"/>
          <w:sz w:val="32"/>
          <w:szCs w:val="32"/>
        </w:rPr>
        <w:t>（以下简称“乙方”）本着长期合作、平等互利的原则，经双方友好协商，甲方聘请乙方为其提供</w:t>
      </w:r>
      <w:r>
        <w:rPr>
          <w:rFonts w:hint="eastAsia" w:ascii="仿宋_GB2312" w:hAnsi="宋体" w:eastAsia="仿宋_GB2312" w:cs="Times New Roman"/>
          <w:color w:val="auto"/>
          <w:sz w:val="32"/>
          <w:szCs w:val="32"/>
          <w:u w:val="single"/>
        </w:rPr>
        <w:t>薪酬体系设计</w:t>
      </w:r>
      <w:r>
        <w:rPr>
          <w:rFonts w:hint="eastAsia" w:ascii="仿宋_GB2312" w:hAnsi="宋体" w:eastAsia="仿宋_GB2312" w:cs="Times New Roman"/>
          <w:color w:val="auto"/>
          <w:sz w:val="32"/>
          <w:szCs w:val="32"/>
        </w:rPr>
        <w:t>咨询服务事宜，自愿签订本合同，并达成如下一致内容：</w:t>
      </w:r>
    </w:p>
    <w:p>
      <w:pPr>
        <w:spacing w:line="560" w:lineRule="exact"/>
        <w:ind w:firstLine="640" w:firstLineChars="200"/>
        <w:rPr>
          <w:rFonts w:ascii="仿宋_GB2312" w:hAnsi="宋体" w:eastAsia="仿宋_GB2312" w:cs="Times New Roman"/>
          <w:color w:val="auto"/>
          <w:sz w:val="32"/>
          <w:szCs w:val="32"/>
        </w:rPr>
      </w:pPr>
    </w:p>
    <w:p>
      <w:pPr>
        <w:tabs>
          <w:tab w:val="left" w:pos="1980"/>
        </w:tabs>
        <w:spacing w:line="560" w:lineRule="exact"/>
        <w:jc w:val="center"/>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第一部分 项目条款</w:t>
      </w:r>
    </w:p>
    <w:p>
      <w:pPr>
        <w:spacing w:line="560" w:lineRule="exact"/>
        <w:ind w:firstLine="630" w:firstLineChars="196"/>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 xml:space="preserve">第一条  </w:t>
      </w:r>
      <w:r>
        <w:rPr>
          <w:rFonts w:hint="eastAsia" w:ascii="仿宋_GB2312" w:hAnsi="宋体" w:eastAsia="仿宋_GB2312" w:cs="Times New Roman"/>
          <w:b/>
          <w:bCs/>
          <w:color w:val="auto"/>
          <w:sz w:val="32"/>
          <w:szCs w:val="32"/>
        </w:rPr>
        <w:t>项目名称：</w:t>
      </w:r>
      <w:bookmarkStart w:id="89" w:name="_Hlk14871629"/>
      <w:r>
        <w:rPr>
          <w:rFonts w:hint="eastAsia" w:ascii="仿宋_GB2312" w:hAnsi="宋体" w:eastAsia="仿宋_GB2312" w:cs="Times New Roman"/>
          <w:color w:val="auto"/>
          <w:sz w:val="32"/>
          <w:szCs w:val="32"/>
        </w:rPr>
        <w:t>广州南沙资产经营有限公司及广州南沙建设投资有限公司薪酬体系设计专项服务项目</w:t>
      </w:r>
      <w:bookmarkEnd w:id="89"/>
      <w:r>
        <w:rPr>
          <w:rFonts w:hint="eastAsia" w:ascii="仿宋_GB2312" w:hAnsi="宋体" w:eastAsia="仿宋_GB2312" w:cs="Times New Roman"/>
          <w:color w:val="auto"/>
          <w:sz w:val="32"/>
          <w:szCs w:val="32"/>
        </w:rPr>
        <w:t>。</w:t>
      </w:r>
    </w:p>
    <w:p>
      <w:pPr>
        <w:tabs>
          <w:tab w:val="left" w:pos="1980"/>
        </w:tabs>
        <w:spacing w:line="560" w:lineRule="exact"/>
        <w:ind w:left="542" w:leftChars="258"/>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 xml:space="preserve">第二条 </w:t>
      </w:r>
      <w:r>
        <w:rPr>
          <w:rFonts w:hint="eastAsia" w:ascii="仿宋_GB2312" w:hAnsi="宋体" w:eastAsia="仿宋_GB2312" w:cs="Times New Roman"/>
          <w:b/>
          <w:bCs/>
          <w:color w:val="auto"/>
          <w:sz w:val="32"/>
          <w:szCs w:val="32"/>
        </w:rPr>
        <w:t xml:space="preserve"> 项目内容</w:t>
      </w:r>
    </w:p>
    <w:p>
      <w:pPr>
        <w:tabs>
          <w:tab w:val="left" w:pos="0"/>
        </w:tabs>
        <w:spacing w:line="560" w:lineRule="exact"/>
        <w:ind w:firstLine="566" w:firstLineChars="177"/>
        <w:rPr>
          <w:rFonts w:ascii="仿宋_GB2312" w:hAnsi="宋体" w:eastAsia="仿宋_GB2312" w:cs="Times New Roman"/>
          <w:b/>
          <w:bCs/>
          <w:color w:val="auto"/>
          <w:sz w:val="32"/>
          <w:szCs w:val="32"/>
        </w:rPr>
      </w:pPr>
      <w:r>
        <w:rPr>
          <w:rFonts w:hint="eastAsia" w:ascii="仿宋_GB2312" w:hAnsi="宋体" w:eastAsia="仿宋_GB2312" w:cs="Times New Roman"/>
          <w:color w:val="auto"/>
          <w:sz w:val="32"/>
          <w:szCs w:val="32"/>
        </w:rPr>
        <w:t>乙方为甲方提供咨询服务，协助甲方完成公司薪酬体系设计咨询服务工作，主要核心内容有：详见附件一《广州南沙资产经营有限公司及广州南沙建设投资有限公司薪酬体系设计咨询服务项目工作任务书》。</w:t>
      </w:r>
    </w:p>
    <w:p>
      <w:pPr>
        <w:tabs>
          <w:tab w:val="left" w:pos="1980"/>
        </w:tabs>
        <w:spacing w:line="560" w:lineRule="exact"/>
        <w:ind w:firstLine="540" w:firstLineChars="168"/>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第三条  项目周期</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1、乙方为甲方提供</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个工作周（视实际情况，但乙方应至少完成本合同第二条及第七条二款约定的服务内容）的管理咨询服务。</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2、项目启动日期预定为</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日。</w:t>
      </w:r>
    </w:p>
    <w:p>
      <w:pPr>
        <w:tabs>
          <w:tab w:val="left" w:pos="1980"/>
        </w:tabs>
        <w:spacing w:line="560" w:lineRule="exact"/>
        <w:ind w:firstLine="540" w:firstLineChars="168"/>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第四条  项目咨询费用</w:t>
      </w:r>
    </w:p>
    <w:p>
      <w:pPr>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本合同咨询费用为</w:t>
      </w:r>
      <w:r>
        <w:rPr>
          <w:rFonts w:hint="eastAsia" w:ascii="仿宋_GB2312" w:hAnsi="Calibri" w:eastAsia="仿宋_GB2312" w:cs="Calibri"/>
          <w:color w:val="auto"/>
          <w:sz w:val="32"/>
          <w:szCs w:val="32"/>
        </w:rPr>
        <w:t>¥</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万元整（大写人民币</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万元整），其中不含税总价为</w:t>
      </w:r>
      <w:r>
        <w:rPr>
          <w:rFonts w:hint="eastAsia" w:ascii="仿宋_GB2312" w:hAnsi="Calibri" w:eastAsia="仿宋_GB2312" w:cs="Calibri"/>
          <w:color w:val="auto"/>
          <w:sz w:val="32"/>
          <w:szCs w:val="32"/>
        </w:rPr>
        <w:t>¥</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元，税额为</w:t>
      </w:r>
      <w:r>
        <w:rPr>
          <w:rFonts w:hint="eastAsia" w:ascii="仿宋_GB2312" w:hAnsi="Calibri" w:eastAsia="仿宋_GB2312" w:cs="Calibri"/>
          <w:color w:val="auto"/>
          <w:sz w:val="32"/>
          <w:szCs w:val="32"/>
        </w:rPr>
        <w:t>¥</w:t>
      </w:r>
      <w:r>
        <w:rPr>
          <w:rFonts w:hint="eastAsia" w:ascii="仿宋_GB2312" w:hAnsi="宋体" w:eastAsia="仿宋_GB2312" w:cs="Times New Roman"/>
          <w:color w:val="auto"/>
          <w:sz w:val="32"/>
          <w:szCs w:val="32"/>
          <w:u w:val="single"/>
        </w:rPr>
        <w:t xml:space="preserve">      </w:t>
      </w:r>
      <w:r>
        <w:rPr>
          <w:rFonts w:hint="eastAsia" w:ascii="仿宋_GB2312" w:hAnsi="宋体" w:eastAsia="仿宋_GB2312" w:cs="Times New Roman"/>
          <w:color w:val="auto"/>
          <w:sz w:val="32"/>
          <w:szCs w:val="32"/>
        </w:rPr>
        <w:t>元，项目总价（含税）包干，为甲方应向乙方支付的所有费用总和。项目团队成员服务驻点及调研期间的往返差旅、食宿由乙方承担，甲方无需负担本合同规定之外的任何其他费用。</w:t>
      </w:r>
    </w:p>
    <w:p>
      <w:pPr>
        <w:spacing w:line="560" w:lineRule="exact"/>
        <w:ind w:firstLine="565" w:firstLineChars="176"/>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第五条  付款及发票</w:t>
      </w:r>
    </w:p>
    <w:p>
      <w:pPr>
        <w:numPr>
          <w:ilvl w:val="1"/>
          <w:numId w:val="7"/>
        </w:numPr>
        <w:tabs>
          <w:tab w:val="left" w:pos="0"/>
        </w:tabs>
        <w:spacing w:line="560" w:lineRule="exact"/>
        <w:ind w:left="0" w:firstLine="567"/>
        <w:rPr>
          <w:rFonts w:ascii="仿宋_GB2312" w:hAnsi="宋体" w:eastAsia="仿宋_GB2312" w:cs="Times New Roman"/>
          <w:bCs/>
          <w:color w:val="auto"/>
          <w:sz w:val="32"/>
          <w:szCs w:val="32"/>
        </w:rPr>
      </w:pPr>
      <w:r>
        <w:rPr>
          <w:rFonts w:hint="eastAsia" w:ascii="仿宋_GB2312" w:hAnsi="宋体" w:eastAsia="仿宋_GB2312" w:cs="Times New Roman"/>
          <w:color w:val="auto"/>
          <w:sz w:val="32"/>
          <w:szCs w:val="32"/>
        </w:rPr>
        <w:t>甲方按以下约定向乙方支付本合同咨询费用：</w:t>
      </w:r>
    </w:p>
    <w:p>
      <w:pPr>
        <w:numPr>
          <w:ilvl w:val="1"/>
          <w:numId w:val="8"/>
        </w:numPr>
        <w:tabs>
          <w:tab w:val="left" w:pos="0"/>
        </w:tabs>
        <w:spacing w:line="560" w:lineRule="exact"/>
        <w:ind w:left="0"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双方签订本合同后十个工作日内，且乙方向甲方书面提交项目整体工作计划经甲方验收确认后，甲方向乙方支付</w:t>
      </w:r>
      <w:bookmarkStart w:id="90" w:name="OLE_LINK2"/>
      <w:bookmarkStart w:id="91" w:name="OLE_LINK3"/>
      <w:r>
        <w:rPr>
          <w:rFonts w:hint="eastAsia" w:ascii="仿宋_GB2312" w:hAnsi="宋体" w:eastAsia="仿宋_GB2312" w:cs="Times New Roman"/>
          <w:color w:val="auto"/>
          <w:sz w:val="32"/>
          <w:szCs w:val="32"/>
        </w:rPr>
        <w:t>合同咨询费总额</w:t>
      </w:r>
      <w:bookmarkEnd w:id="90"/>
      <w:bookmarkEnd w:id="91"/>
      <w:r>
        <w:rPr>
          <w:rFonts w:hint="eastAsia" w:ascii="仿宋_GB2312" w:hAnsi="宋体" w:eastAsia="仿宋_GB2312" w:cs="Times New Roman"/>
          <w:color w:val="auto"/>
          <w:sz w:val="32"/>
          <w:szCs w:val="32"/>
        </w:rPr>
        <w:t>的20%作为预付款；</w:t>
      </w:r>
    </w:p>
    <w:p>
      <w:pPr>
        <w:numPr>
          <w:ilvl w:val="1"/>
          <w:numId w:val="8"/>
        </w:numPr>
        <w:tabs>
          <w:tab w:val="left" w:pos="0"/>
        </w:tabs>
        <w:spacing w:line="560" w:lineRule="exact"/>
        <w:ind w:left="0"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乙方向甲方提交</w:t>
      </w:r>
      <w:bookmarkStart w:id="92" w:name="_Hlk14871901"/>
      <w:bookmarkStart w:id="93" w:name="_Hlk14877846"/>
      <w:r>
        <w:rPr>
          <w:rFonts w:hint="eastAsia" w:ascii="仿宋_GB2312" w:hAnsi="宋体" w:eastAsia="仿宋_GB2312" w:cs="Times New Roman"/>
          <w:color w:val="auto"/>
          <w:sz w:val="32"/>
          <w:szCs w:val="32"/>
        </w:rPr>
        <w:t>《广州南沙资产经营有限公司管理流程梳理与内部管理诊断报告》</w:t>
      </w:r>
      <w:bookmarkEnd w:id="92"/>
      <w:r>
        <w:rPr>
          <w:rFonts w:hint="eastAsia" w:ascii="仿宋_GB2312" w:hAnsi="宋体" w:eastAsia="仿宋_GB2312" w:cs="Times New Roman"/>
          <w:color w:val="auto"/>
          <w:sz w:val="32"/>
          <w:szCs w:val="32"/>
        </w:rPr>
        <w:t>（内容包括公司一、二级总部职能部门）、《广州南沙建设投资有限公司管理流程梳理与内部管理诊断报告》、《广州南沙资产经营有限公司组织结构优化报告》（内容包括公司一、二级总部职能部门）、《广州南沙建设投资有限公司组织结构优化报告》，</w:t>
      </w:r>
      <w:bookmarkEnd w:id="93"/>
      <w:r>
        <w:rPr>
          <w:rFonts w:hint="eastAsia" w:ascii="仿宋_GB2312" w:hAnsi="宋体" w:eastAsia="仿宋_GB2312" w:cs="Times New Roman"/>
          <w:color w:val="auto"/>
          <w:sz w:val="32"/>
          <w:szCs w:val="32"/>
        </w:rPr>
        <w:t>经甲方验收确认后，甲方向乙方支付合同咨询费总额的20%；</w:t>
      </w:r>
    </w:p>
    <w:p>
      <w:pPr>
        <w:numPr>
          <w:ilvl w:val="1"/>
          <w:numId w:val="8"/>
        </w:numPr>
        <w:tabs>
          <w:tab w:val="left" w:pos="0"/>
        </w:tabs>
        <w:spacing w:line="560" w:lineRule="exact"/>
        <w:ind w:left="0"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乙方向甲方提交</w:t>
      </w:r>
      <w:bookmarkStart w:id="94" w:name="_Hlk14872979"/>
      <w:r>
        <w:rPr>
          <w:rFonts w:hint="eastAsia" w:ascii="仿宋_GB2312" w:hAnsi="宋体" w:eastAsia="仿宋_GB2312" w:cs="Times New Roman"/>
          <w:color w:val="auto"/>
          <w:sz w:val="32"/>
          <w:szCs w:val="32"/>
        </w:rPr>
        <w:t>《广州南沙资产经营有限公司岗位评价报告》[公司一、二总部全部岗位(除一级公司领导班子外)及下属公司领导班子]、《广州南沙建设投资有限公司岗位评价报告》（二级总部全部岗位及下属公司领导班子，不含一级领导班子兼任职）、《广州南沙建设投资有限公司工资总额管理办法》、《广州南沙资产经营有限公司薪酬管理办法》[公司一、二级总部全部岗位(除一级公司领导班子外)及下属公司领导班子]、《广州南沙建设投资有限公司薪酬管理办法》（二级总部全员及下属公司领导班子，不含一级领导班子兼任职）</w:t>
      </w:r>
      <w:bookmarkEnd w:id="94"/>
      <w:r>
        <w:rPr>
          <w:rFonts w:hint="eastAsia" w:ascii="仿宋_GB2312" w:hAnsi="宋体" w:eastAsia="仿宋_GB2312" w:cs="Times New Roman"/>
          <w:color w:val="auto"/>
          <w:sz w:val="32"/>
          <w:szCs w:val="32"/>
        </w:rPr>
        <w:t>，经甲方验收确认后，甲方向乙方支付合同咨询费总额的40%；</w:t>
      </w:r>
    </w:p>
    <w:p>
      <w:pPr>
        <w:numPr>
          <w:ilvl w:val="1"/>
          <w:numId w:val="8"/>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乙方向甲方提交所有的成果文件并经甲方验收确认后，按甲方管理要求上报结算资料，办理完结算后，甲方向乙方支付合同咨询费结算尾款（预付款抵作咨询费）；</w:t>
      </w:r>
    </w:p>
    <w:p>
      <w:pPr>
        <w:numPr>
          <w:ilvl w:val="1"/>
          <w:numId w:val="7"/>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支付方式：甲方在乙方每阶段工作计划完成并确认成果的前提下，接到乙方提供的等额合法有效的增值税专用发票后，在十个工作日内付款。因乙方提供的发票不规范、不合法引起税务问题的，乙方应承担向甲方赔偿的责任，包括但不限于税款、滞纳金、罚款及相关损失等。</w:t>
      </w:r>
    </w:p>
    <w:p>
      <w:pPr>
        <w:numPr>
          <w:ilvl w:val="1"/>
          <w:numId w:val="7"/>
        </w:numPr>
        <w:tabs>
          <w:tab w:val="left" w:pos="0"/>
        </w:tabs>
        <w:spacing w:line="560" w:lineRule="exact"/>
        <w:ind w:left="0" w:firstLine="567"/>
        <w:rPr>
          <w:rFonts w:ascii="仿宋_GB2312" w:hAnsi="等线" w:eastAsia="仿宋_GB2312" w:cs="Times New Roman"/>
          <w:color w:val="auto"/>
          <w:sz w:val="32"/>
          <w:szCs w:val="32"/>
        </w:rPr>
      </w:pPr>
      <w:r>
        <w:rPr>
          <w:rFonts w:hint="eastAsia" w:ascii="仿宋_GB2312" w:hAnsi="宋体" w:eastAsia="仿宋_GB2312" w:cs="Times New Roman"/>
          <w:color w:val="auto"/>
          <w:sz w:val="32"/>
          <w:szCs w:val="32"/>
        </w:rPr>
        <w:t>以上付款甲方以转账方式支付，本合同签订的乙方银行及账号为甲方付款的唯一账号。</w:t>
      </w:r>
      <w:r>
        <w:rPr>
          <w:rFonts w:hint="eastAsia" w:ascii="仿宋_GB2312" w:hAnsi="等线" w:eastAsia="仿宋_GB2312" w:cs="Times New Roman"/>
          <w:color w:val="auto"/>
          <w:sz w:val="32"/>
          <w:szCs w:val="32"/>
        </w:rPr>
        <w:t>乙方银行账号信息如下：</w:t>
      </w:r>
    </w:p>
    <w:p>
      <w:pPr>
        <w:widowControl/>
        <w:spacing w:line="560" w:lineRule="exact"/>
        <w:ind w:left="993" w:firstLine="141"/>
        <w:jc w:val="lef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户      名：</w:t>
      </w:r>
    </w:p>
    <w:p>
      <w:pPr>
        <w:widowControl/>
        <w:spacing w:line="560" w:lineRule="exact"/>
        <w:ind w:left="993" w:firstLine="141"/>
        <w:jc w:val="lef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开  户  行：</w:t>
      </w:r>
    </w:p>
    <w:p>
      <w:pPr>
        <w:widowControl/>
        <w:spacing w:line="560" w:lineRule="exact"/>
        <w:ind w:left="993" w:firstLine="141"/>
        <w:jc w:val="lef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账      号：</w:t>
      </w:r>
    </w:p>
    <w:p>
      <w:pPr>
        <w:tabs>
          <w:tab w:val="left" w:pos="2"/>
        </w:tabs>
        <w:spacing w:line="560" w:lineRule="exact"/>
        <w:ind w:left="2" w:firstLine="565" w:firstLineChars="176"/>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第六条  乙方项目组成员安排（详见附件二：项目团队成员一览表）</w:t>
      </w:r>
    </w:p>
    <w:p>
      <w:pPr>
        <w:numPr>
          <w:ilvl w:val="0"/>
          <w:numId w:val="9"/>
        </w:numPr>
        <w:tabs>
          <w:tab w:val="left" w:pos="0"/>
          <w:tab w:val="clear" w:pos="178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项目总监、项目经理、项目成员、项目顾问等人员，根据甲方要求采取驻场或非驻场方式。</w:t>
      </w:r>
    </w:p>
    <w:p>
      <w:pPr>
        <w:numPr>
          <w:ilvl w:val="0"/>
          <w:numId w:val="9"/>
        </w:numPr>
        <w:tabs>
          <w:tab w:val="left" w:pos="0"/>
          <w:tab w:val="clear" w:pos="178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项目支持人员：乙方可根据情况安排项目研究和后勤支持人员，项目支持人员为项目组提供后台支持工作，根据需要在甲方现场工作。</w:t>
      </w:r>
    </w:p>
    <w:p>
      <w:pPr>
        <w:tabs>
          <w:tab w:val="left" w:pos="567"/>
        </w:tabs>
        <w:spacing w:line="560" w:lineRule="exact"/>
        <w:ind w:left="542"/>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第七条  项目工作计划及成果文件提交</w:t>
      </w:r>
    </w:p>
    <w:p>
      <w:pPr>
        <w:numPr>
          <w:ilvl w:val="0"/>
          <w:numId w:val="10"/>
        </w:numPr>
        <w:tabs>
          <w:tab w:val="left" w:pos="0"/>
          <w:tab w:val="clear" w:pos="2988"/>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工作计划及确认：</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在项目启动当日内，乙方应向甲方书面提交第一个月《月度工作计划》（《月度工作计划》应包括乙方准备实施的主要工作内容、出具相应的成果文件名称及完成时间节点），经甲方审核确认后，乙方按该计划开展工作并按《月度工作计划》承诺的时间出具成果文件。</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（2）在其后每一个工作月的第四周，乙方必须向甲方书面提交下个月的《月度工作计划》，甲方应及时审核确认。</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项目成果文件：包括但不限于《广州南沙资产经营有限公司管理流程梳理与内部管理诊断报告》（内容包括公司一、二级总部职能部门）、《广州南沙建设投资有限公司管理流程梳理与内部管理诊断报告》、《广州南沙资产经营有限公司组织结构优化报告》（内容包括公司一、二级总部职能部门）、《广州南沙建设投资有限公司组织结构优化报告》、《广州南沙资产经营有限公司岗位评价报告》[公司一、二总部全部岗位(除一级公司领导班子外)及下属公司领导班子]、《广州南沙建设投资有限公司岗位评价报告》（二级总部全部岗位及下属公司领导班子，不含一级领导班子兼任职）、</w:t>
      </w:r>
      <w:bookmarkStart w:id="95" w:name="_Hlk16235961"/>
      <w:r>
        <w:rPr>
          <w:rFonts w:hint="eastAsia" w:ascii="仿宋_GB2312" w:hAnsi="宋体" w:eastAsia="仿宋_GB2312" w:cs="Times New Roman"/>
          <w:color w:val="auto"/>
          <w:sz w:val="32"/>
          <w:szCs w:val="32"/>
        </w:rPr>
        <w:t>《广州南沙资产经营有限公司工资总额管理办法》、《广州南沙资产经营有限公司薪酬管理办法》[公司一、二级总部全部岗位(除一级公司领导班子外)及下属公司领导班子]、《广州南沙建设投资有限公司薪酬管理办法》</w:t>
      </w:r>
      <w:bookmarkEnd w:id="95"/>
      <w:r>
        <w:rPr>
          <w:rFonts w:hint="eastAsia" w:ascii="仿宋_GB2312" w:hAnsi="宋体" w:eastAsia="仿宋_GB2312" w:cs="Times New Roman"/>
          <w:color w:val="auto"/>
          <w:sz w:val="32"/>
          <w:szCs w:val="32"/>
        </w:rPr>
        <w:t>（二级总部全部岗位及下属公司领导班子，不含一级领导班子兼任职）等各一式六份（A4或A3彩色图文册），甲方可根据项目实际情况要求乙方进行增加，乙方按甲方要求将以上成果文件合理在《月度工作计划》中安排并按时出具。项目成果文件以甲方经营班子会、董事会、党委会等通过并接受报告内容为验收标准，</w:t>
      </w:r>
      <w:bookmarkStart w:id="96" w:name="_Hlk16237307"/>
      <w:r>
        <w:rPr>
          <w:rFonts w:hint="eastAsia" w:ascii="仿宋_GB2312" w:hAnsi="宋体" w:eastAsia="仿宋_GB2312" w:cs="Times New Roman"/>
          <w:color w:val="auto"/>
          <w:sz w:val="32"/>
          <w:szCs w:val="32"/>
        </w:rPr>
        <w:t>其中《广州南沙资产经营有限公司工资总额管理办法》、《广州南沙资产经营有限公司薪酬管理办法》、《广州南沙建设投资有限公司薪酬管理办法》等三项成果文件还应经相应职代会或职工大会审议通过作为验收标准</w:t>
      </w:r>
      <w:bookmarkEnd w:id="96"/>
      <w:r>
        <w:rPr>
          <w:rFonts w:hint="eastAsia" w:ascii="仿宋_GB2312" w:hAnsi="宋体" w:eastAsia="仿宋_GB2312" w:cs="Times New Roman"/>
          <w:color w:val="auto"/>
          <w:sz w:val="32"/>
          <w:szCs w:val="32"/>
        </w:rPr>
        <w:t>，若甲方对乙方提供的项目成果文件提出修改意见，乙方应配合并在甲方指定的合理期限内完成，甲方无需因此而额外向乙方支付费用。</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3、乙方将各阶段项目成果文件的电子版发送至甲方指定电子邮箱（公司邮箱：       ），纸质版提交给甲方指定人员，接收时，甲方应在签收单上签字，签收单内容包括且不限于：提交材料的名称、所含内容简要或一级目录、接收时间、接收人姓名等。</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4、成果签收期限：乙方提交各阶段成果后十五个工作日内，以书面形式提出意见；如超过十五个工作日甲方对项目成果未提出书面意见的，则视为甲方默认乙方项目成果报告确认通过。</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5、以上任何一种方式指定对象若发生变化或变更时，变化的一方应及时通知另一方，并确保被通知方收悉。因通知延迟造成相关文件未及时送达，被通知方不承担责任。</w:t>
      </w:r>
    </w:p>
    <w:p>
      <w:pPr>
        <w:tabs>
          <w:tab w:val="left" w:pos="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6、本合同指定接收人员的邮箱及联系方式等内容由双方另行签署“项目备忘录”形式约定。</w:t>
      </w:r>
    </w:p>
    <w:p>
      <w:pPr>
        <w:tabs>
          <w:tab w:val="left" w:pos="1980"/>
        </w:tabs>
        <w:spacing w:line="560" w:lineRule="exact"/>
        <w:jc w:val="center"/>
        <w:rPr>
          <w:rFonts w:ascii="仿宋_GB2312" w:hAnsi="宋体" w:eastAsia="仿宋_GB2312" w:cs="Times New Roman"/>
          <w:b/>
          <w:color w:val="auto"/>
          <w:sz w:val="32"/>
          <w:szCs w:val="32"/>
        </w:rPr>
      </w:pPr>
    </w:p>
    <w:p>
      <w:pPr>
        <w:tabs>
          <w:tab w:val="left" w:pos="1980"/>
        </w:tabs>
        <w:spacing w:line="560" w:lineRule="exact"/>
        <w:jc w:val="center"/>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第二部分 一般条款</w:t>
      </w:r>
    </w:p>
    <w:p>
      <w:pPr>
        <w:tabs>
          <w:tab w:val="left" w:pos="1980"/>
        </w:tabs>
        <w:spacing w:line="560" w:lineRule="exact"/>
        <w:ind w:left="542"/>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第八条  甲方权利和义务</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甲方有权要求乙方按合同约定提供管理咨询服务。</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项目团队成员如不能按项目任务书要求完成项目工作，甲方有权要求在十五个工作日内更换项目团队成员。原定工作计划不变，若逾期未能按甲方审核确认的工作计划提交工作成果，则按本合同约定承担相应违约责任。</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甲方必须严格依约向乙方支付合同款项及工作费用。</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甲方应根据项目需要向乙方提供真实、全面、准确的信息及公司资料。</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甲方提出收回有关资料时，乙方应将有关资料及其复制件交还甲方。</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甲方可请第三方机构对项目成果进行评审，但甲方须做好相应的保密措施。</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等线" w:eastAsia="仿宋_GB2312" w:cs="Times New Roman"/>
          <w:color w:val="auto"/>
          <w:sz w:val="32"/>
          <w:szCs w:val="32"/>
        </w:rPr>
        <w:t>甲方有权在甲方及甲方子公司或母公司、分公司范围内使用前述成果，且无需得到乙方同意或向乙方另外支付费用。</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项目期间或合同履行结束后，若甲方补充新的咨询需求或提议变动咨询工作内容，应与乙方另行协商，并签订补充协议或新的项目合同，本合同按约定执行。</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在项目现场工作期间，甲方应向乙方派出的咨询人员提供必要的办公场所和办公条件。</w:t>
      </w:r>
    </w:p>
    <w:p>
      <w:pPr>
        <w:numPr>
          <w:ilvl w:val="0"/>
          <w:numId w:val="11"/>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在乙方告知通报甲方的前提下，甲方及其关联企业（包括分支机构、控股公司、参股公司等）在合同履行期间或本合同终止之日起1年内不得以高薪、提职或其他物质条件录用乙方本项目组人员。</w:t>
      </w:r>
    </w:p>
    <w:p>
      <w:pPr>
        <w:tabs>
          <w:tab w:val="left" w:pos="1980"/>
        </w:tabs>
        <w:spacing w:line="560" w:lineRule="exact"/>
        <w:ind w:left="542"/>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第九条  乙方权利和义务</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乙方有权要求甲方遵守本合同及其附件的约定。</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乙方按照本合同及附件约定开展咨询服务工作。未经甲方书面同意，乙方不得将本合同中乙方的义务部分或全部委托第三方履行，否则视为乙方严重违约。</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在项目进行期间，乙方将对阶段成果向甲方正式汇报，并根据工作情况，双方将会安排多次的非正式汇报和沟通。</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为完成合同约定的咨询服务内容，乙方有接受委托方提供的技术资料、数据及工作条件的权利。</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根据项目需要，为保证项目如期高质量完成，乙方有权增加咨询顾问人员，增加人员产生额外咨询费用由乙方自行承担，但乙方不得未经甲方书面同意而减少、替换乙方投标时承诺的项目团队成员。</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乙方不得向任何第三方透露在甲方公司（包括其分支机构、控股公司和参股公司）了解和知悉的商业秘密，包括市场秘密、财务秘密、管理秘密及其它方面的秘密信息。</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本项目是针对甲方而开展，并由甲方全额购买、全面支持、双方共同参与完成，本项目成果文件的所有有关知识产权归甲方所有，本项目结束后，未经甲方书面同意乙方不得向任何第三方透漏本项目的成果文件及从甲方获得的商业秘密，不得将本项目的成果文件用于本合同以外的任何其他商业用途。</w:t>
      </w:r>
    </w:p>
    <w:p>
      <w:pPr>
        <w:numPr>
          <w:ilvl w:val="0"/>
          <w:numId w:val="12"/>
        </w:numPr>
        <w:tabs>
          <w:tab w:val="left" w:pos="0"/>
          <w:tab w:val="left" w:pos="1276"/>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乙方人员在甲方公司内活动时，需听从有关人员的安排和引导，未经允许不得进入机房、办公室等工作环境。</w:t>
      </w:r>
    </w:p>
    <w:p>
      <w:pPr>
        <w:numPr>
          <w:ilvl w:val="0"/>
          <w:numId w:val="12"/>
        </w:numPr>
        <w:tabs>
          <w:tab w:val="left" w:pos="0"/>
          <w:tab w:val="left" w:pos="1276"/>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确保已与其安排为甲方提供服务的乙方人员依法建立劳动关系并交纳社会保险，甲方不因乙方所安排人员为甲方提供本合同约定的服务，而与该部分人员建立劳动关系、劳务、雇佣关系，否则由此造成的甲方损失（包括但不限于甲方向第三方作出的所有合法补偿或赔偿、甲方为解决此法律纠纷而支付的律师费、仲裁费或诉讼费、差旅费、公告费、公证费、鉴定费、保全费、邮寄送达费、执行费等，下同）由乙方全额赔偿甲方。</w:t>
      </w:r>
    </w:p>
    <w:p>
      <w:pPr>
        <w:tabs>
          <w:tab w:val="left" w:pos="0"/>
        </w:tabs>
        <w:spacing w:line="56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乙方人员在甲方公司内活动所发生的工伤事故，由乙方自行承担用人单位的法定责任，若因此造成甲方或甲方场所内任何第三方的财产损失或人身伤害，由乙方按本款第1项约定的范围全额赔偿甲方。</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乙方应对咨询服务的工作量、正确性、完整性、合法性和及时性负责。</w:t>
      </w:r>
    </w:p>
    <w:p>
      <w:pPr>
        <w:numPr>
          <w:ilvl w:val="0"/>
          <w:numId w:val="12"/>
        </w:numPr>
        <w:tabs>
          <w:tab w:val="left" w:pos="0"/>
        </w:tabs>
        <w:spacing w:line="560" w:lineRule="exact"/>
        <w:ind w:left="0" w:firstLine="56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项目期间，若甲方补充新的咨询需求或提议变动咨询工作内容，经乙方评估新需求或变动，将影响项目周期或人员投入，从而导致项目价格及付款方式变化时，甲乙双方应另行协商并签订书面《补充协议》，否则乙方有权拒绝甲方的要求，双方应仍按本合同的约定执行。</w:t>
      </w:r>
    </w:p>
    <w:p>
      <w:pPr>
        <w:tabs>
          <w:tab w:val="left" w:pos="1980"/>
        </w:tabs>
        <w:spacing w:line="560" w:lineRule="exact"/>
        <w:ind w:left="542"/>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第十条  售后服务</w:t>
      </w:r>
    </w:p>
    <w:p>
      <w:pPr>
        <w:tabs>
          <w:tab w:val="left" w:pos="1134"/>
        </w:tabs>
        <w:spacing w:line="560" w:lineRule="exact"/>
        <w:ind w:firstLine="707" w:firstLineChars="221"/>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1、售后服务期：项目最终成果经甲方书面确认之日起的</w:t>
      </w:r>
      <w:r>
        <w:rPr>
          <w:rFonts w:hint="eastAsia" w:ascii="仿宋_GB2312" w:hAnsi="宋体" w:eastAsia="仿宋_GB2312" w:cs="Times New Roman"/>
          <w:color w:val="auto"/>
          <w:sz w:val="32"/>
          <w:szCs w:val="32"/>
          <w:u w:val="single"/>
        </w:rPr>
        <w:t>12</w:t>
      </w:r>
      <w:r>
        <w:rPr>
          <w:rFonts w:hint="eastAsia" w:ascii="仿宋_GB2312" w:hAnsi="宋体" w:eastAsia="仿宋_GB2312" w:cs="Times New Roman"/>
          <w:color w:val="auto"/>
          <w:sz w:val="32"/>
          <w:szCs w:val="32"/>
        </w:rPr>
        <w:t>个月。</w:t>
      </w:r>
    </w:p>
    <w:p>
      <w:pPr>
        <w:tabs>
          <w:tab w:val="left" w:pos="1134"/>
        </w:tabs>
        <w:spacing w:line="560" w:lineRule="exact"/>
        <w:ind w:firstLine="707" w:firstLineChars="221"/>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2、服务性质：在售后服务期内，乙方为甲方就咨询报告内容的理解和实施反馈提供的售后服务为免费服务。</w:t>
      </w:r>
    </w:p>
    <w:p>
      <w:pPr>
        <w:tabs>
          <w:tab w:val="left" w:pos="1134"/>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3、售后服务内容：</w:t>
      </w:r>
    </w:p>
    <w:p>
      <w:pPr>
        <w:tabs>
          <w:tab w:val="left" w:pos="1134"/>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（1）包括在实施乙方提供的方案时，乙方帮助甲方对方案的理解;</w:t>
      </w:r>
    </w:p>
    <w:p>
      <w:pPr>
        <w:tabs>
          <w:tab w:val="left" w:pos="1134"/>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（2）包括根据甲方方案实施的反馈对方案报告的修改或调整；</w:t>
      </w:r>
    </w:p>
    <w:p>
      <w:pPr>
        <w:tabs>
          <w:tab w:val="left" w:pos="1134"/>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（3）包括解答甲方在方案实施时遇到问题；</w:t>
      </w:r>
    </w:p>
    <w:p>
      <w:pPr>
        <w:tabs>
          <w:tab w:val="left" w:pos="1134"/>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（4）包括协助甲方开展必要的汇报和宣贯工作；</w:t>
      </w:r>
    </w:p>
    <w:p>
      <w:pPr>
        <w:tabs>
          <w:tab w:val="left" w:pos="1134"/>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（5）不包括大的方案调整或新方案的提供。</w:t>
      </w:r>
    </w:p>
    <w:p>
      <w:pPr>
        <w:tabs>
          <w:tab w:val="left" w:pos="1134"/>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4、售后服务方式：主要是通过电话、电子邮件或传真，必要时甲方可要求乙方派遣合格的顾问亲临甲方现场解答，由此产生的差旅费、住宿费由乙方自行承担。</w:t>
      </w:r>
    </w:p>
    <w:p>
      <w:pPr>
        <w:tabs>
          <w:tab w:val="left" w:pos="1980"/>
        </w:tabs>
        <w:spacing w:line="560" w:lineRule="exact"/>
        <w:ind w:left="542"/>
        <w:rPr>
          <w:rFonts w:ascii="仿宋_GB2312" w:hAnsi="宋体" w:eastAsia="仿宋_GB2312" w:cs="Times New Roman"/>
          <w:b/>
          <w:bCs/>
          <w:color w:val="auto"/>
          <w:sz w:val="32"/>
          <w:szCs w:val="32"/>
        </w:rPr>
      </w:pPr>
      <w:r>
        <w:rPr>
          <w:rFonts w:hint="eastAsia" w:ascii="仿宋_GB2312" w:hAnsi="宋体" w:eastAsia="仿宋_GB2312" w:cs="Times New Roman"/>
          <w:b/>
          <w:color w:val="auto"/>
          <w:sz w:val="32"/>
          <w:szCs w:val="32"/>
        </w:rPr>
        <w:t>第十一条  违约责任</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1、合同期间，乙方出现如下情况，视为严重违约，甲方有权终止合同，解除合同后，乙方应双倍返还甲方定金：</w:t>
      </w:r>
    </w:p>
    <w:p>
      <w:pPr>
        <w:tabs>
          <w:tab w:val="left" w:pos="1134"/>
          <w:tab w:val="left" w:pos="1980"/>
        </w:tabs>
        <w:spacing w:line="560" w:lineRule="exact"/>
        <w:ind w:firstLine="425" w:firstLineChars="133"/>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（1）乙方提交的工作成果经3次修改仍未能达到甲方要求，未经甲方审核通过的。</w:t>
      </w:r>
    </w:p>
    <w:p>
      <w:pPr>
        <w:tabs>
          <w:tab w:val="left" w:pos="1134"/>
          <w:tab w:val="left" w:pos="1980"/>
        </w:tabs>
        <w:spacing w:line="560" w:lineRule="exact"/>
        <w:ind w:firstLine="425" w:firstLineChars="133"/>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（2）乙方逾期15个工作日交付工作成果的。</w:t>
      </w:r>
    </w:p>
    <w:p>
      <w:pPr>
        <w:tabs>
          <w:tab w:val="left" w:pos="1134"/>
          <w:tab w:val="left" w:pos="1980"/>
        </w:tabs>
        <w:spacing w:line="560" w:lineRule="exact"/>
        <w:ind w:firstLine="425" w:firstLineChars="133"/>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（3）乙方未经甲方书面同意调换乙方配置人员。</w:t>
      </w:r>
    </w:p>
    <w:p>
      <w:pPr>
        <w:tabs>
          <w:tab w:val="left" w:pos="1134"/>
          <w:tab w:val="left" w:pos="1980"/>
        </w:tabs>
        <w:spacing w:line="560" w:lineRule="exact"/>
        <w:ind w:firstLine="425" w:firstLineChars="133"/>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（4）未经甲方书面同意，将本合同中乙方的义务部分或全部委托第三方履行。</w:t>
      </w:r>
    </w:p>
    <w:p>
      <w:pPr>
        <w:tabs>
          <w:tab w:val="left" w:pos="1134"/>
          <w:tab w:val="left" w:pos="1980"/>
        </w:tabs>
        <w:spacing w:line="560" w:lineRule="exact"/>
        <w:ind w:firstLine="425" w:firstLineChars="133"/>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（5）乙方无法定或约定理由单方终止合同，或以实际行为表示拒绝履行合同义务的。</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合同期间，甲方出现如下情况，视为严重违约，乙方有权终止合同，甲方应支付乙方已完成的工作量所对应的咨询费用，并按本合同咨询总费用的20%向乙方支付违约金，但甲方向乙方支付咨询费用及违约金的总和不超过本合同总金额。</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（1）甲方逾期15 个工作日支付咨询费。</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（2）甲方无法定或约定理由单方终止合同，或以实际行为表示拒绝履行合同义务的。</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3、合同期间，乙方出现如下情况，视为违约，甲方有权按照如下情况做出相应要求。 </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（1）因乙方原因，未能按合同规定时间提交工作成果但逾期未达到15个工作日的，乙方应继续完善合同约定的工作内容，同时，从逾期之日起，每逾期一天，乙方须承担人民币3000元/天的违约金。</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（2）乙方配置人员不到岗、擅自离开或未按甲方要求及时（“及时”指不超过3个日历天）更换不称职的人员，从逾期之日起，乙方按本人民币3000元/人/次承担违约金。</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4、因甲方原因，未能按合同规定时间支付咨询费的，从逾期之日起，每逾期一天，甲方须承担人民币3000元/天的违约金。</w:t>
      </w:r>
    </w:p>
    <w:p>
      <w:pPr>
        <w:tabs>
          <w:tab w:val="left" w:pos="1134"/>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5、由于不可抗力导致无法履行本合同或者履行本合同已无意义的情况下，甲乙双方可以终止合同，但发生不可抗力的一方必须在发生不可抗力事件后10个工作日内向对方提出相关证明。因此造成的合同无法履行，不能履行合同的一方不承担违约责任或赔偿责任；如因除不可抗力的原因外，任何一方不得在不征得对方同意的情况下单方面终止合同，否则将承担违约责任并承担因此给对方造成的经济损失。</w:t>
      </w:r>
    </w:p>
    <w:p>
      <w:pPr>
        <w:tabs>
          <w:tab w:val="left" w:pos="1980"/>
        </w:tabs>
        <w:spacing w:line="560" w:lineRule="exact"/>
        <w:ind w:left="542"/>
        <w:rPr>
          <w:rFonts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 xml:space="preserve"> 第十二条  生效及其他</w:t>
      </w:r>
    </w:p>
    <w:p>
      <w:pPr>
        <w:tabs>
          <w:tab w:val="left" w:pos="1980"/>
        </w:tabs>
        <w:spacing w:line="560" w:lineRule="exact"/>
        <w:ind w:firstLine="707" w:firstLineChars="221"/>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1、本合同自甲乙双方法定代表人或授权代表签字并加盖双方公章之日起生效，合同一式四份，甲乙双方各执二份。</w:t>
      </w:r>
    </w:p>
    <w:p>
      <w:pPr>
        <w:tabs>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2、本合同履行期间，如双方发生争议，应友好协商解决。如协商无效，任何一方可通过向甲方所在地人民法院诉讼解决。</w:t>
      </w:r>
    </w:p>
    <w:p>
      <w:pPr>
        <w:tabs>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3、本合同未尽事宜，由双方另行协商并签署书面补充协议予以约定。</w:t>
      </w:r>
    </w:p>
    <w:p>
      <w:pPr>
        <w:tabs>
          <w:tab w:val="left" w:pos="1980"/>
        </w:tabs>
        <w:spacing w:line="560" w:lineRule="exact"/>
        <w:ind w:firstLine="566" w:firstLineChars="177"/>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4、本合同之附件为本合同组成部分，与本合同具有同等法律效力。本合同附件与本合同冲突的，以本合同为准。</w:t>
      </w:r>
    </w:p>
    <w:p>
      <w:pPr>
        <w:tabs>
          <w:tab w:val="left" w:pos="1980"/>
        </w:tabs>
        <w:spacing w:line="560" w:lineRule="exact"/>
        <w:ind w:left="54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本合同附件：</w:t>
      </w:r>
    </w:p>
    <w:p>
      <w:pPr>
        <w:tabs>
          <w:tab w:val="left" w:pos="1980"/>
        </w:tabs>
        <w:spacing w:line="560" w:lineRule="exac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附件一：《广州南沙资产经营有限有限公司及广州南沙建设投资有限公司薪酬体系设计专项服务工作任务书》</w:t>
      </w:r>
    </w:p>
    <w:p>
      <w:pPr>
        <w:tabs>
          <w:tab w:val="left" w:pos="1980"/>
        </w:tabs>
        <w:spacing w:line="560" w:lineRule="exact"/>
        <w:rPr>
          <w:rFonts w:ascii="仿宋_GB2312" w:hAnsi="宋体" w:eastAsia="仿宋_GB2312" w:cs="Times New Roman"/>
          <w:b/>
          <w:bCs/>
          <w:color w:val="auto"/>
          <w:sz w:val="32"/>
          <w:szCs w:val="32"/>
        </w:rPr>
      </w:pPr>
      <w:r>
        <w:rPr>
          <w:rFonts w:hint="eastAsia" w:ascii="仿宋_GB2312" w:hAnsi="宋体" w:eastAsia="仿宋_GB2312" w:cs="Times New Roman"/>
          <w:color w:val="auto"/>
          <w:sz w:val="32"/>
          <w:szCs w:val="32"/>
        </w:rPr>
        <w:t>附件二：《项目团队成员一览表》</w:t>
      </w:r>
    </w:p>
    <w:p>
      <w:pPr>
        <w:tabs>
          <w:tab w:val="left" w:pos="1980"/>
        </w:tabs>
        <w:spacing w:line="560" w:lineRule="exact"/>
        <w:ind w:left="54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（以下无正文）</w:t>
      </w:r>
    </w:p>
    <w:p>
      <w:pPr>
        <w:spacing w:line="560" w:lineRule="exact"/>
        <w:ind w:left="4800" w:hanging="4800" w:hangingChars="15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甲方：XX</w:t>
      </w:r>
      <w:r>
        <w:rPr>
          <w:rFonts w:hint="eastAsia" w:ascii="仿宋_GB2312" w:hAnsi="等线" w:eastAsia="仿宋_GB2312" w:cs="Times New Roman"/>
          <w:b/>
          <w:color w:val="auto"/>
          <w:sz w:val="32"/>
          <w:szCs w:val="32"/>
        </w:rPr>
        <w:t>有限公司</w:t>
      </w:r>
      <w:r>
        <w:rPr>
          <w:rFonts w:hint="eastAsia" w:ascii="仿宋_GB2312" w:hAnsi="等线" w:eastAsia="仿宋_GB2312" w:cs="Times New Roman"/>
          <w:b/>
          <w:color w:val="auto"/>
          <w:sz w:val="32"/>
          <w:szCs w:val="32"/>
        </w:rPr>
        <w:tab/>
      </w:r>
      <w:r>
        <w:rPr>
          <w:rFonts w:hint="eastAsia" w:ascii="仿宋_GB2312" w:hAnsi="宋体" w:eastAsia="仿宋_GB2312" w:cs="Times New Roman"/>
          <w:color w:val="auto"/>
          <w:sz w:val="32"/>
          <w:szCs w:val="32"/>
        </w:rPr>
        <w:t xml:space="preserve">       乙方：</w:t>
      </w:r>
      <w:r>
        <w:rPr>
          <w:rFonts w:hint="eastAsia" w:ascii="仿宋_GB2312" w:hAnsi="等线" w:eastAsia="仿宋_GB2312" w:cs="Times New Roman"/>
          <w:b/>
          <w:color w:val="auto"/>
          <w:sz w:val="32"/>
          <w:szCs w:val="32"/>
        </w:rPr>
        <w:t>XX公司</w:t>
      </w:r>
    </w:p>
    <w:p>
      <w:pPr>
        <w:tabs>
          <w:tab w:val="left" w:pos="1980"/>
        </w:tabs>
        <w:spacing w:line="560" w:lineRule="exact"/>
        <w:rPr>
          <w:rFonts w:ascii="仿宋_GB2312" w:hAnsi="宋体" w:eastAsia="仿宋_GB2312" w:cs="Times New Roman"/>
          <w:color w:val="auto"/>
          <w:sz w:val="32"/>
          <w:szCs w:val="32"/>
        </w:rPr>
      </w:pPr>
    </w:p>
    <w:p>
      <w:pPr>
        <w:tabs>
          <w:tab w:val="left" w:pos="1980"/>
        </w:tabs>
        <w:spacing w:line="560" w:lineRule="exac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法定代表或授权代表：                  法定代表或授权代表：</w:t>
      </w:r>
    </w:p>
    <w:p>
      <w:pPr>
        <w:tabs>
          <w:tab w:val="left" w:pos="1980"/>
        </w:tabs>
        <w:spacing w:line="560" w:lineRule="exact"/>
        <w:rPr>
          <w:rFonts w:ascii="仿宋_GB2312" w:hAnsi="宋体" w:eastAsia="仿宋_GB2312" w:cs="Times New Roman"/>
          <w:color w:val="auto"/>
          <w:sz w:val="32"/>
          <w:szCs w:val="32"/>
        </w:rPr>
      </w:pPr>
    </w:p>
    <w:p>
      <w:pPr>
        <w:tabs>
          <w:tab w:val="left" w:pos="1980"/>
        </w:tabs>
        <w:spacing w:line="560" w:lineRule="exact"/>
        <w:rPr>
          <w:rFonts w:ascii="仿宋_GB2312" w:hAnsi="宋体" w:eastAsia="仿宋_GB2312" w:cs="Times New Roman"/>
          <w:color w:val="auto"/>
          <w:sz w:val="32"/>
          <w:szCs w:val="32"/>
        </w:rPr>
      </w:pPr>
    </w:p>
    <w:p>
      <w:pPr>
        <w:tabs>
          <w:tab w:val="left" w:pos="1980"/>
        </w:tabs>
        <w:spacing w:line="560" w:lineRule="exac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签订日期：    年    月    日          签订日期：    年    月    日</w:t>
      </w:r>
    </w:p>
    <w:p>
      <w:pPr>
        <w:spacing w:line="560" w:lineRule="exact"/>
        <w:jc w:val="right"/>
        <w:rPr>
          <w:rFonts w:ascii="仿宋_GB2312" w:hAnsi="等线" w:eastAsia="仿宋_GB2312" w:cs="Times New Roman"/>
          <w:color w:val="auto"/>
          <w:sz w:val="32"/>
          <w:szCs w:val="32"/>
        </w:rPr>
      </w:pPr>
    </w:p>
    <w:p>
      <w:pPr>
        <w:spacing w:line="560" w:lineRule="exact"/>
        <w:rPr>
          <w:rFonts w:ascii="仿宋_GB2312" w:hAnsi="等线" w:eastAsia="仿宋_GB2312" w:cs="Times New Roman"/>
          <w:color w:val="auto"/>
          <w:sz w:val="32"/>
          <w:szCs w:val="32"/>
        </w:rPr>
      </w:pPr>
      <w:bookmarkStart w:id="97" w:name="_Toc413933294"/>
      <w:bookmarkStart w:id="98" w:name="_Toc413933187"/>
    </w:p>
    <w:p>
      <w:pPr>
        <w:keepNext/>
        <w:keepLines/>
        <w:spacing w:before="120" w:after="120" w:line="360" w:lineRule="auto"/>
        <w:jc w:val="center"/>
        <w:outlineLvl w:val="0"/>
        <w:rPr>
          <w:rFonts w:ascii="Times New Roman" w:hAnsi="Times New Roman" w:eastAsia="仿宋_GB2312" w:cs="Times New Roman"/>
          <w:b/>
          <w:bCs/>
          <w:color w:val="auto"/>
          <w:kern w:val="44"/>
          <w:sz w:val="44"/>
          <w:szCs w:val="44"/>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spacing w:after="120"/>
        <w:ind w:firstLine="420"/>
        <w:rPr>
          <w:rFonts w:eastAsia="宋体"/>
          <w:color w:val="auto"/>
          <w:lang w:val="zh-CN"/>
        </w:rPr>
      </w:pPr>
    </w:p>
    <w:p>
      <w:pPr>
        <w:keepNext/>
        <w:keepLines/>
        <w:spacing w:before="120" w:after="120" w:line="360" w:lineRule="auto"/>
        <w:jc w:val="center"/>
        <w:outlineLvl w:val="0"/>
        <w:rPr>
          <w:rFonts w:ascii="黑体" w:hAnsi="黑体" w:eastAsia="黑体" w:cs="Times New Roman"/>
          <w:color w:val="auto"/>
          <w:kern w:val="44"/>
          <w:sz w:val="44"/>
          <w:szCs w:val="44"/>
          <w:lang w:val="zh-CN"/>
        </w:rPr>
      </w:pPr>
      <w:bookmarkStart w:id="99" w:name="_Toc7540"/>
      <w:bookmarkStart w:id="100" w:name="_Toc16238383"/>
      <w:r>
        <w:rPr>
          <w:rFonts w:hint="eastAsia" w:ascii="黑体" w:hAnsi="黑体" w:eastAsia="黑体" w:cs="Times New Roman"/>
          <w:color w:val="auto"/>
          <w:kern w:val="44"/>
          <w:sz w:val="44"/>
          <w:szCs w:val="44"/>
          <w:lang w:val="zh-CN"/>
        </w:rPr>
        <w:t>第五章</w:t>
      </w:r>
      <w:r>
        <w:rPr>
          <w:rFonts w:ascii="黑体" w:hAnsi="黑体" w:eastAsia="黑体" w:cs="Times New Roman"/>
          <w:color w:val="auto"/>
          <w:kern w:val="44"/>
          <w:sz w:val="44"/>
          <w:szCs w:val="44"/>
          <w:lang w:val="zh-CN"/>
        </w:rPr>
        <w:t xml:space="preserve"> </w:t>
      </w:r>
      <w:r>
        <w:rPr>
          <w:rFonts w:hint="eastAsia" w:ascii="黑体" w:hAnsi="黑体" w:eastAsia="黑体" w:cs="Times New Roman"/>
          <w:color w:val="auto"/>
          <w:kern w:val="44"/>
          <w:sz w:val="44"/>
          <w:szCs w:val="44"/>
          <w:lang w:val="zh-CN"/>
        </w:rPr>
        <w:t>投标文件格式</w:t>
      </w:r>
      <w:bookmarkEnd w:id="97"/>
      <w:bookmarkEnd w:id="98"/>
      <w:bookmarkEnd w:id="99"/>
      <w:bookmarkEnd w:id="100"/>
    </w:p>
    <w:p>
      <w:pPr>
        <w:rPr>
          <w:rFonts w:ascii="等线" w:hAnsi="等线" w:eastAsia="等线" w:cs="Times New Roman"/>
          <w:color w:val="auto"/>
          <w:kern w:val="28"/>
          <w:sz w:val="24"/>
          <w:szCs w:val="24"/>
        </w:rPr>
      </w:pPr>
    </w:p>
    <w:p>
      <w:pPr>
        <w:rPr>
          <w:rFonts w:ascii="等线" w:hAnsi="等线" w:eastAsia="等线" w:cs="Times New Roman"/>
          <w:color w:val="auto"/>
          <w:sz w:val="24"/>
          <w:szCs w:val="24"/>
        </w:rPr>
      </w:pPr>
    </w:p>
    <w:p>
      <w:pPr>
        <w:rPr>
          <w:rFonts w:ascii="等线" w:hAnsi="等线" w:eastAsia="等线" w:cs="Times New Roman"/>
          <w:color w:val="auto"/>
          <w:sz w:val="24"/>
          <w:szCs w:val="24"/>
        </w:rPr>
      </w:pPr>
    </w:p>
    <w:p>
      <w:pPr>
        <w:rPr>
          <w:rFonts w:ascii="等线" w:hAnsi="等线" w:eastAsia="等线" w:cs="Times New Roman"/>
          <w:color w:val="auto"/>
          <w:sz w:val="24"/>
          <w:szCs w:val="24"/>
        </w:rPr>
      </w:pPr>
    </w:p>
    <w:p>
      <w:pPr>
        <w:rPr>
          <w:rFonts w:ascii="等线" w:hAnsi="等线" w:eastAsia="等线" w:cs="Times New Roman"/>
          <w:color w:val="auto"/>
          <w:sz w:val="24"/>
          <w:szCs w:val="24"/>
        </w:rPr>
      </w:pPr>
    </w:p>
    <w:p>
      <w:pPr>
        <w:tabs>
          <w:tab w:val="left" w:pos="3150"/>
        </w:tabs>
        <w:rPr>
          <w:rFonts w:ascii="等线" w:hAnsi="等线" w:eastAsia="等线" w:cs="Times New Roman"/>
          <w:color w:val="auto"/>
          <w:sz w:val="24"/>
          <w:szCs w:val="24"/>
        </w:rPr>
      </w:pPr>
    </w:p>
    <w:p>
      <w:pPr>
        <w:rPr>
          <w:rFonts w:ascii="等线" w:hAnsi="等线" w:eastAsia="等线" w:cs="Times New Roman"/>
          <w:color w:val="auto"/>
          <w:sz w:val="24"/>
          <w:szCs w:val="24"/>
        </w:rPr>
      </w:pPr>
    </w:p>
    <w:p>
      <w:pPr>
        <w:rPr>
          <w:rFonts w:ascii="等线" w:hAnsi="等线" w:eastAsia="等线" w:cs="Times New Roman"/>
          <w:color w:val="auto"/>
          <w:sz w:val="24"/>
          <w:szCs w:val="24"/>
        </w:rPr>
        <w:sectPr>
          <w:headerReference r:id="rId5" w:type="default"/>
          <w:footerReference r:id="rId6" w:type="default"/>
          <w:endnotePr>
            <w:numFmt w:val="decimal"/>
          </w:endnotePr>
          <w:pgSz w:w="11906" w:h="16838"/>
          <w:pgMar w:top="1247" w:right="1287" w:bottom="1247" w:left="1287" w:header="851" w:footer="907" w:gutter="0"/>
          <w:cols w:space="720" w:num="1"/>
          <w:docGrid w:linePitch="312" w:charSpace="0"/>
        </w:sectPr>
      </w:pPr>
    </w:p>
    <w:p>
      <w:pPr>
        <w:spacing w:line="360" w:lineRule="auto"/>
        <w:outlineLvl w:val="1"/>
        <w:rPr>
          <w:rFonts w:ascii="宋体" w:eastAsia="宋体"/>
          <w:b/>
          <w:color w:val="auto"/>
          <w:sz w:val="24"/>
          <w:szCs w:val="24"/>
        </w:rPr>
      </w:pPr>
      <w:bookmarkStart w:id="101" w:name="_Toc346895296"/>
      <w:bookmarkStart w:id="102" w:name="_Toc15425"/>
      <w:bookmarkStart w:id="103" w:name="_Toc413933295"/>
      <w:bookmarkStart w:id="104" w:name="_Toc359572274"/>
      <w:bookmarkStart w:id="105" w:name="_Toc10574"/>
      <w:bookmarkStart w:id="106" w:name="_Toc413933188"/>
      <w:bookmarkStart w:id="107" w:name="_Toc16238384"/>
      <w:r>
        <w:rPr>
          <w:rFonts w:hint="eastAsia" w:ascii="宋体" w:hAnsi="宋体" w:eastAsia="宋体"/>
          <w:b/>
          <w:color w:val="auto"/>
          <w:sz w:val="24"/>
          <w:szCs w:val="24"/>
        </w:rPr>
        <w:t>附件</w:t>
      </w:r>
      <w:r>
        <w:rPr>
          <w:rFonts w:ascii="宋体" w:hAnsi="宋体" w:eastAsia="宋体"/>
          <w:b/>
          <w:color w:val="auto"/>
          <w:sz w:val="24"/>
          <w:szCs w:val="24"/>
        </w:rPr>
        <w:t>1</w:t>
      </w:r>
      <w:r>
        <w:rPr>
          <w:rFonts w:hint="eastAsia" w:ascii="宋体" w:hAnsi="宋体" w:eastAsia="宋体"/>
          <w:b/>
          <w:color w:val="auto"/>
          <w:sz w:val="24"/>
          <w:szCs w:val="24"/>
        </w:rPr>
        <w:t>：</w:t>
      </w:r>
      <w:bookmarkEnd w:id="101"/>
      <w:bookmarkEnd w:id="102"/>
      <w:bookmarkEnd w:id="103"/>
      <w:bookmarkEnd w:id="104"/>
      <w:bookmarkEnd w:id="105"/>
      <w:bookmarkEnd w:id="106"/>
      <w:bookmarkEnd w:id="107"/>
    </w:p>
    <w:p>
      <w:pPr>
        <w:spacing w:line="360" w:lineRule="auto"/>
        <w:ind w:firstLine="420"/>
        <w:jc w:val="center"/>
        <w:outlineLvl w:val="1"/>
        <w:rPr>
          <w:rFonts w:eastAsia="宋体"/>
          <w:b/>
          <w:color w:val="auto"/>
          <w:sz w:val="36"/>
          <w:szCs w:val="36"/>
        </w:rPr>
      </w:pPr>
      <w:bookmarkStart w:id="108" w:name="_Toc359572275"/>
      <w:bookmarkStart w:id="109" w:name="_Toc9494"/>
      <w:bookmarkStart w:id="110" w:name="_Toc31276"/>
      <w:bookmarkStart w:id="111" w:name="_Toc413933296"/>
      <w:bookmarkStart w:id="112" w:name="_Toc16238385"/>
      <w:bookmarkStart w:id="113" w:name="_Toc413933189"/>
      <w:r>
        <w:rPr>
          <w:rFonts w:hint="eastAsia" w:eastAsia="宋体"/>
          <w:b/>
          <w:color w:val="auto"/>
          <w:sz w:val="36"/>
          <w:szCs w:val="36"/>
        </w:rPr>
        <w:t>投</w:t>
      </w:r>
      <w:r>
        <w:rPr>
          <w:rFonts w:eastAsia="宋体"/>
          <w:b/>
          <w:color w:val="auto"/>
          <w:sz w:val="36"/>
          <w:szCs w:val="36"/>
        </w:rPr>
        <w:t xml:space="preserve"> </w:t>
      </w:r>
      <w:r>
        <w:rPr>
          <w:rFonts w:hint="eastAsia" w:eastAsia="宋体"/>
          <w:b/>
          <w:color w:val="auto"/>
          <w:sz w:val="36"/>
          <w:szCs w:val="36"/>
        </w:rPr>
        <w:t>标</w:t>
      </w:r>
      <w:r>
        <w:rPr>
          <w:rFonts w:eastAsia="宋体"/>
          <w:b/>
          <w:color w:val="auto"/>
          <w:sz w:val="36"/>
          <w:szCs w:val="36"/>
        </w:rPr>
        <w:t xml:space="preserve"> </w:t>
      </w:r>
      <w:r>
        <w:rPr>
          <w:rFonts w:hint="eastAsia" w:eastAsia="宋体"/>
          <w:b/>
          <w:color w:val="auto"/>
          <w:sz w:val="36"/>
          <w:szCs w:val="36"/>
        </w:rPr>
        <w:t>函</w:t>
      </w:r>
      <w:bookmarkEnd w:id="108"/>
      <w:bookmarkEnd w:id="109"/>
      <w:bookmarkEnd w:id="110"/>
      <w:bookmarkEnd w:id="111"/>
      <w:bookmarkEnd w:id="112"/>
      <w:bookmarkEnd w:id="113"/>
    </w:p>
    <w:p>
      <w:pPr>
        <w:spacing w:line="360" w:lineRule="auto"/>
        <w:ind w:left="315" w:leftChars="150" w:right="254" w:rightChars="121"/>
        <w:rPr>
          <w:rFonts w:ascii="等线" w:hAnsi="等线" w:eastAsia="等线" w:cs="宋体"/>
          <w:color w:val="auto"/>
          <w:kern w:val="0"/>
          <w:sz w:val="24"/>
        </w:rPr>
      </w:pPr>
      <w:r>
        <w:rPr>
          <w:rFonts w:hint="eastAsia" w:ascii="等线" w:hAnsi="宋体" w:eastAsia="等线" w:cs="Times New Roman"/>
          <w:color w:val="auto"/>
          <w:sz w:val="24"/>
        </w:rPr>
        <w:t>XX</w:t>
      </w:r>
      <w:r>
        <w:rPr>
          <w:rFonts w:hint="eastAsia" w:ascii="宋体" w:hAnsi="宋体" w:eastAsia="等线" w:cs="宋体"/>
          <w:color w:val="auto"/>
          <w:kern w:val="0"/>
          <w:sz w:val="24"/>
        </w:rPr>
        <w:t>有限公司</w:t>
      </w:r>
      <w:r>
        <w:rPr>
          <w:rFonts w:hint="eastAsia" w:ascii="等线" w:hAnsi="等线" w:eastAsia="等线" w:cs="宋体"/>
          <w:color w:val="auto"/>
          <w:kern w:val="0"/>
          <w:sz w:val="24"/>
        </w:rPr>
        <w:t>：</w:t>
      </w:r>
    </w:p>
    <w:p>
      <w:pPr>
        <w:spacing w:line="360" w:lineRule="auto"/>
        <w:ind w:left="315" w:leftChars="150" w:right="254" w:rightChars="121" w:firstLine="480" w:firstLineChars="200"/>
        <w:rPr>
          <w:rFonts w:ascii="等线" w:hAnsi="等线" w:eastAsia="等线" w:cs="Times New Roman"/>
          <w:color w:val="auto"/>
          <w:kern w:val="28"/>
          <w:sz w:val="24"/>
          <w:szCs w:val="24"/>
        </w:rPr>
      </w:pPr>
      <w:r>
        <w:rPr>
          <w:rFonts w:ascii="等线" w:hAnsi="等线" w:eastAsia="等线" w:cs="Times New Roman"/>
          <w:color w:val="auto"/>
          <w:kern w:val="28"/>
          <w:sz w:val="24"/>
          <w:szCs w:val="24"/>
        </w:rPr>
        <w:t>1</w:t>
      </w:r>
      <w:r>
        <w:rPr>
          <w:rFonts w:hint="eastAsia" w:ascii="等线" w:hAnsi="等线" w:eastAsia="等线" w:cs="Times New Roman"/>
          <w:color w:val="auto"/>
          <w:kern w:val="28"/>
          <w:sz w:val="24"/>
          <w:szCs w:val="24"/>
        </w:rPr>
        <w:t>．我方已仔细研究了</w:t>
      </w:r>
      <w:r>
        <w:rPr>
          <w:rFonts w:hint="eastAsia" w:ascii="宋体" w:hAnsi="宋体" w:eastAsia="等线" w:cs="宋体"/>
          <w:bCs/>
          <w:color w:val="auto"/>
          <w:kern w:val="0"/>
          <w:sz w:val="24"/>
          <w:u w:val="single"/>
        </w:rPr>
        <w:t xml:space="preserve">        （项目名称）         </w:t>
      </w:r>
      <w:r>
        <w:rPr>
          <w:rFonts w:hint="eastAsia" w:ascii="等线" w:hAnsi="等线" w:eastAsia="等线" w:cs="Times New Roman"/>
          <w:color w:val="auto"/>
          <w:kern w:val="28"/>
          <w:sz w:val="24"/>
          <w:szCs w:val="24"/>
        </w:rPr>
        <w:t>招标文件的全部内容，愿意参与投标。</w:t>
      </w:r>
      <w:r>
        <w:rPr>
          <w:rFonts w:ascii="等线" w:hAnsi="等线" w:eastAsia="等线" w:cs="Times New Roman"/>
          <w:color w:val="auto"/>
          <w:kern w:val="28"/>
          <w:sz w:val="24"/>
          <w:szCs w:val="24"/>
        </w:rPr>
        <w:t xml:space="preserve"> </w:t>
      </w:r>
      <w:r>
        <w:rPr>
          <w:rFonts w:hint="eastAsia" w:ascii="等线" w:hAnsi="等线" w:eastAsia="等线" w:cs="Times New Roman"/>
          <w:color w:val="auto"/>
          <w:kern w:val="28"/>
          <w:sz w:val="24"/>
          <w:szCs w:val="24"/>
        </w:rPr>
        <w:t>投标报价如下：</w:t>
      </w:r>
    </w:p>
    <w:p>
      <w:pPr>
        <w:spacing w:line="360" w:lineRule="auto"/>
        <w:ind w:left="315" w:leftChars="150" w:right="254" w:rightChars="121" w:firstLine="480" w:firstLineChars="200"/>
        <w:rPr>
          <w:rFonts w:eastAsia="宋体"/>
          <w:color w:val="auto"/>
          <w:sz w:val="24"/>
          <w:szCs w:val="24"/>
        </w:rPr>
      </w:pPr>
      <w:r>
        <w:rPr>
          <w:rFonts w:hint="eastAsia" w:hAnsi="宋体" w:eastAsia="宋体"/>
          <w:bCs/>
          <w:color w:val="auto"/>
          <w:sz w:val="24"/>
          <w:u w:val="single"/>
        </w:rPr>
        <w:t>本项目最高限价为人民币</w:t>
      </w:r>
      <w:r>
        <w:rPr>
          <w:rFonts w:hint="eastAsia" w:hAnsi="宋体" w:eastAsia="宋体"/>
          <w:color w:val="auto"/>
          <w:sz w:val="24"/>
          <w:u w:val="single"/>
        </w:rPr>
        <w:t>XX</w:t>
      </w:r>
      <w:r>
        <w:rPr>
          <w:rFonts w:hint="eastAsia" w:hAnsi="宋体" w:eastAsia="宋体"/>
          <w:bCs/>
          <w:color w:val="auto"/>
          <w:sz w:val="24"/>
          <w:u w:val="single"/>
        </w:rPr>
        <w:t>万元。</w:t>
      </w:r>
      <w:r>
        <w:rPr>
          <w:rFonts w:hint="eastAsia" w:hAnsi="宋体" w:eastAsia="宋体"/>
          <w:bCs/>
          <w:color w:val="auto"/>
          <w:sz w:val="24"/>
        </w:rPr>
        <w:t xml:space="preserve"> </w:t>
      </w:r>
      <w:r>
        <w:rPr>
          <w:rFonts w:hint="eastAsia" w:eastAsia="宋体"/>
          <w:color w:val="auto"/>
          <w:sz w:val="24"/>
          <w:szCs w:val="24"/>
        </w:rPr>
        <w:t>投标总报价为</w:t>
      </w:r>
      <w:r>
        <w:rPr>
          <w:rFonts w:eastAsia="宋体"/>
          <w:color w:val="auto"/>
          <w:sz w:val="24"/>
          <w:szCs w:val="24"/>
          <w:u w:val="single"/>
        </w:rPr>
        <w:t xml:space="preserve">  </w:t>
      </w:r>
      <w:r>
        <w:rPr>
          <w:rFonts w:hint="eastAsia" w:eastAsia="宋体"/>
          <w:color w:val="auto"/>
          <w:sz w:val="24"/>
          <w:szCs w:val="24"/>
          <w:u w:val="single"/>
        </w:rPr>
        <w:t xml:space="preserve">      </w:t>
      </w:r>
      <w:r>
        <w:rPr>
          <w:rFonts w:eastAsia="宋体"/>
          <w:color w:val="auto"/>
          <w:sz w:val="24"/>
          <w:szCs w:val="24"/>
          <w:u w:val="single"/>
        </w:rPr>
        <w:t xml:space="preserve">  </w:t>
      </w:r>
      <w:r>
        <w:rPr>
          <w:rFonts w:hint="eastAsia" w:eastAsia="宋体"/>
          <w:color w:val="auto"/>
          <w:kern w:val="28"/>
          <w:sz w:val="24"/>
          <w:szCs w:val="24"/>
        </w:rPr>
        <w:t>元人民币，其中广州南沙资产经营有限公司报价为</w:t>
      </w:r>
      <w:r>
        <w:rPr>
          <w:rFonts w:hint="eastAsia" w:eastAsia="宋体"/>
          <w:color w:val="auto"/>
          <w:kern w:val="28"/>
          <w:sz w:val="24"/>
          <w:szCs w:val="24"/>
          <w:u w:val="single"/>
        </w:rPr>
        <w:t xml:space="preserve"> </w:t>
      </w:r>
      <w:r>
        <w:rPr>
          <w:rFonts w:eastAsia="宋体"/>
          <w:color w:val="auto"/>
          <w:kern w:val="28"/>
          <w:sz w:val="24"/>
          <w:szCs w:val="24"/>
          <w:u w:val="single"/>
        </w:rPr>
        <w:t xml:space="preserve">         </w:t>
      </w:r>
      <w:r>
        <w:rPr>
          <w:rFonts w:hint="eastAsia" w:eastAsia="宋体"/>
          <w:color w:val="auto"/>
          <w:kern w:val="28"/>
          <w:sz w:val="24"/>
          <w:szCs w:val="24"/>
          <w:u w:val="single"/>
        </w:rPr>
        <w:t xml:space="preserve"> </w:t>
      </w:r>
      <w:r>
        <w:rPr>
          <w:rFonts w:eastAsia="宋体"/>
          <w:color w:val="auto"/>
          <w:kern w:val="28"/>
          <w:sz w:val="24"/>
          <w:szCs w:val="24"/>
          <w:u w:val="single"/>
        </w:rPr>
        <w:t xml:space="preserve">  </w:t>
      </w:r>
      <w:r>
        <w:rPr>
          <w:rFonts w:hint="eastAsia" w:eastAsia="宋体"/>
          <w:color w:val="auto"/>
          <w:kern w:val="28"/>
          <w:sz w:val="24"/>
          <w:szCs w:val="24"/>
        </w:rPr>
        <w:t>元人民币、广州南沙建设投资有限公司报价为</w:t>
      </w:r>
      <w:r>
        <w:rPr>
          <w:rFonts w:hint="eastAsia" w:eastAsia="宋体"/>
          <w:color w:val="auto"/>
          <w:kern w:val="28"/>
          <w:sz w:val="24"/>
          <w:szCs w:val="24"/>
          <w:u w:val="single"/>
        </w:rPr>
        <w:t xml:space="preserve"> </w:t>
      </w:r>
      <w:r>
        <w:rPr>
          <w:rFonts w:eastAsia="宋体"/>
          <w:color w:val="auto"/>
          <w:kern w:val="28"/>
          <w:sz w:val="24"/>
          <w:szCs w:val="24"/>
          <w:u w:val="single"/>
        </w:rPr>
        <w:t xml:space="preserve">          </w:t>
      </w:r>
      <w:r>
        <w:rPr>
          <w:rFonts w:hint="eastAsia" w:eastAsia="宋体"/>
          <w:color w:val="auto"/>
          <w:kern w:val="28"/>
          <w:sz w:val="24"/>
          <w:szCs w:val="24"/>
        </w:rPr>
        <w:t>元人民币</w:t>
      </w:r>
      <w:r>
        <w:rPr>
          <w:rFonts w:hint="eastAsia" w:eastAsia="宋体"/>
          <w:color w:val="auto"/>
          <w:sz w:val="24"/>
          <w:szCs w:val="24"/>
        </w:rPr>
        <w:t>。</w:t>
      </w:r>
    </w:p>
    <w:p>
      <w:pPr>
        <w:spacing w:line="360" w:lineRule="auto"/>
        <w:ind w:left="315" w:leftChars="150" w:right="254" w:rightChars="121" w:firstLine="480" w:firstLineChars="200"/>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我方拟派项目负责人（项目总监）为：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；职称（执业资格）：</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pPr>
        <w:spacing w:line="360" w:lineRule="auto"/>
        <w:ind w:left="315" w:leftChars="150" w:right="254" w:rightChars="121" w:firstLine="480" w:firstLineChars="200"/>
        <w:rPr>
          <w:rFonts w:asci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我方</w:t>
      </w:r>
      <w:r>
        <w:rPr>
          <w:rFonts w:hint="eastAsia" w:eastAsia="宋体"/>
          <w:color w:val="auto"/>
          <w:sz w:val="24"/>
          <w:szCs w:val="24"/>
        </w:rPr>
        <w:t>承诺</w:t>
      </w:r>
      <w:r>
        <w:rPr>
          <w:rFonts w:hint="eastAsia" w:ascii="宋体" w:hAnsi="宋体" w:eastAsia="宋体"/>
          <w:color w:val="auto"/>
          <w:sz w:val="24"/>
          <w:szCs w:val="24"/>
        </w:rPr>
        <w:t>在投标有效期内不修改、不撤销投标文件。</w:t>
      </w:r>
    </w:p>
    <w:p>
      <w:pPr>
        <w:spacing w:line="360" w:lineRule="auto"/>
        <w:ind w:left="315" w:leftChars="150" w:right="254" w:rightChars="121" w:firstLine="480" w:firstLineChars="200"/>
        <w:rPr>
          <w:rFonts w:ascii="宋体" w:hAnsi="等线" w:eastAsia="等线" w:cs="Times New Roman"/>
          <w:color w:val="auto"/>
          <w:sz w:val="24"/>
          <w:szCs w:val="24"/>
        </w:rPr>
      </w:pPr>
      <w:r>
        <w:rPr>
          <w:rFonts w:hint="eastAsia" w:ascii="宋体" w:hAnsi="宋体" w:eastAsia="等线" w:cs="Times New Roman"/>
          <w:color w:val="auto"/>
          <w:sz w:val="24"/>
          <w:szCs w:val="24"/>
        </w:rPr>
        <w:t>4．如我方中标：</w:t>
      </w:r>
    </w:p>
    <w:p>
      <w:pPr>
        <w:spacing w:line="360" w:lineRule="auto"/>
        <w:ind w:left="315" w:leftChars="150" w:right="254" w:rightChars="121" w:firstLine="480" w:firstLineChars="200"/>
        <w:rPr>
          <w:rFonts w:ascii="宋体" w:hAnsi="等线" w:eastAsia="等线" w:cs="Times New Roman"/>
          <w:color w:val="auto"/>
          <w:sz w:val="24"/>
          <w:szCs w:val="24"/>
        </w:rPr>
      </w:pPr>
      <w:r>
        <w:rPr>
          <w:rFonts w:ascii="宋体" w:hAnsi="宋体" w:eastAsia="等线" w:cs="Times New Roman"/>
          <w:color w:val="auto"/>
          <w:sz w:val="24"/>
          <w:szCs w:val="24"/>
        </w:rPr>
        <w:t>(l)</w:t>
      </w:r>
      <w:r>
        <w:rPr>
          <w:rFonts w:hint="eastAsia" w:ascii="宋体" w:hAnsi="宋体" w:eastAsia="等线" w:cs="Times New Roman"/>
          <w:color w:val="auto"/>
          <w:sz w:val="24"/>
          <w:szCs w:val="24"/>
        </w:rPr>
        <w:t>我方承诺在收到中标通知书后，在本招标文件规定的期限内与贵司签订合同。</w:t>
      </w:r>
    </w:p>
    <w:p>
      <w:pPr>
        <w:spacing w:line="360" w:lineRule="auto"/>
        <w:ind w:left="315" w:leftChars="150" w:right="254" w:rightChars="121" w:firstLine="480" w:firstLineChars="200"/>
        <w:rPr>
          <w:rFonts w:ascii="宋体" w:hAnsi="等线" w:eastAsia="等线" w:cs="Times New Roman"/>
          <w:color w:val="auto"/>
          <w:sz w:val="24"/>
          <w:szCs w:val="24"/>
        </w:rPr>
      </w:pPr>
      <w:r>
        <w:rPr>
          <w:rFonts w:ascii="宋体" w:hAnsi="宋体" w:eastAsia="等线" w:cs="Times New Roman"/>
          <w:color w:val="auto"/>
          <w:sz w:val="24"/>
          <w:szCs w:val="24"/>
        </w:rPr>
        <w:t>(2)</w:t>
      </w:r>
      <w:r>
        <w:rPr>
          <w:rFonts w:hint="eastAsia" w:ascii="宋体" w:hAnsi="宋体" w:eastAsia="等线" w:cs="Times New Roman"/>
          <w:color w:val="auto"/>
          <w:sz w:val="24"/>
          <w:szCs w:val="24"/>
        </w:rPr>
        <w:t>我方承诺在合同约定的期限内完成全部合同项目。</w:t>
      </w:r>
    </w:p>
    <w:p>
      <w:pPr>
        <w:spacing w:line="360" w:lineRule="auto"/>
        <w:ind w:left="315" w:leftChars="150" w:right="254" w:rightChars="121" w:firstLine="480" w:firstLineChars="200"/>
        <w:rPr>
          <w:rFonts w:ascii="宋体" w:hAnsi="等线" w:eastAsia="等线" w:cs="Times New Roman"/>
          <w:color w:val="auto"/>
          <w:sz w:val="24"/>
          <w:szCs w:val="24"/>
        </w:rPr>
      </w:pPr>
      <w:r>
        <w:rPr>
          <w:rFonts w:ascii="宋体" w:hAnsi="宋体" w:eastAsia="等线" w:cs="Times New Roman"/>
          <w:color w:val="auto"/>
          <w:sz w:val="24"/>
          <w:szCs w:val="24"/>
        </w:rPr>
        <w:t>(3)</w:t>
      </w:r>
      <w:r>
        <w:rPr>
          <w:rFonts w:hint="eastAsia" w:ascii="宋体" w:hAnsi="宋体" w:eastAsia="等线" w:cs="Times New Roman"/>
          <w:color w:val="auto"/>
          <w:sz w:val="24"/>
          <w:szCs w:val="24"/>
        </w:rPr>
        <w:t>我方在此声明，所递交的投标文件及有关资料内容完整、真实和准确。</w:t>
      </w:r>
    </w:p>
    <w:p>
      <w:pPr>
        <w:spacing w:line="360" w:lineRule="auto"/>
        <w:ind w:left="315" w:leftChars="150" w:right="254" w:rightChars="121" w:firstLine="480" w:firstLineChars="200"/>
        <w:rPr>
          <w:rFonts w:ascii="宋体" w:hAnsi="等线" w:eastAsia="等线" w:cs="Times New Roman"/>
          <w:color w:val="auto"/>
          <w:sz w:val="24"/>
          <w:szCs w:val="24"/>
        </w:rPr>
      </w:pPr>
      <w:r>
        <w:rPr>
          <w:rFonts w:ascii="宋体" w:hAnsi="宋体" w:eastAsia="等线" w:cs="Times New Roman"/>
          <w:color w:val="auto"/>
          <w:sz w:val="24"/>
          <w:szCs w:val="24"/>
        </w:rPr>
        <w:t>(4)</w:t>
      </w:r>
      <w:r>
        <w:rPr>
          <w:rFonts w:ascii="宋体" w:hAnsi="宋体" w:eastAsia="等线" w:cs="Times New Roman"/>
          <w:color w:val="auto"/>
          <w:sz w:val="24"/>
          <w:szCs w:val="24"/>
          <w:u w:val="single"/>
        </w:rPr>
        <w:t xml:space="preserve">                    </w:t>
      </w:r>
      <w:r>
        <w:rPr>
          <w:rFonts w:hint="eastAsia" w:ascii="宋体" w:hAnsi="宋体" w:eastAsia="等线" w:cs="Times New Roman"/>
          <w:color w:val="auto"/>
          <w:sz w:val="24"/>
          <w:szCs w:val="24"/>
        </w:rPr>
        <w:t>（其他补充说明）</w:t>
      </w:r>
    </w:p>
    <w:p>
      <w:pPr>
        <w:spacing w:line="360" w:lineRule="auto"/>
        <w:rPr>
          <w:rFonts w:ascii="宋体" w:hAnsi="等线" w:eastAsia="等线" w:cs="Times New Roman"/>
          <w:color w:val="auto"/>
          <w:sz w:val="24"/>
          <w:szCs w:val="24"/>
        </w:rPr>
      </w:pPr>
    </w:p>
    <w:p>
      <w:pPr>
        <w:spacing w:line="360" w:lineRule="auto"/>
        <w:rPr>
          <w:rFonts w:ascii="宋体" w:hAnsi="等线" w:eastAsia="等线" w:cs="Times New Roman"/>
          <w:color w:val="auto"/>
          <w:sz w:val="24"/>
          <w:szCs w:val="24"/>
        </w:rPr>
      </w:pPr>
    </w:p>
    <w:p>
      <w:pPr>
        <w:spacing w:line="360" w:lineRule="auto"/>
        <w:rPr>
          <w:rFonts w:ascii="宋体" w:hAnsi="等线" w:eastAsia="等线" w:cs="Times New Roman"/>
          <w:color w:val="auto"/>
          <w:sz w:val="24"/>
          <w:szCs w:val="24"/>
        </w:rPr>
      </w:pPr>
      <w:r>
        <w:rPr>
          <w:rFonts w:hint="eastAsia" w:ascii="宋体" w:hAnsi="宋体" w:eastAsia="等线" w:cs="Times New Roman"/>
          <w:color w:val="auto"/>
          <w:sz w:val="24"/>
          <w:szCs w:val="24"/>
        </w:rPr>
        <w:t>投标人：</w:t>
      </w:r>
      <w:r>
        <w:rPr>
          <w:rFonts w:ascii="宋体" w:hAnsi="宋体" w:eastAsia="等线" w:cs="Times New Roman"/>
          <w:color w:val="auto"/>
          <w:sz w:val="24"/>
          <w:szCs w:val="24"/>
          <w:u w:val="single"/>
        </w:rPr>
        <w:t xml:space="preserve">                     </w:t>
      </w:r>
      <w:r>
        <w:rPr>
          <w:rFonts w:hint="eastAsia" w:ascii="宋体" w:hAnsi="宋体" w:eastAsia="等线" w:cs="Times New Roman"/>
          <w:color w:val="auto"/>
          <w:sz w:val="24"/>
          <w:szCs w:val="24"/>
        </w:rPr>
        <w:t>（盖章）</w:t>
      </w:r>
    </w:p>
    <w:p>
      <w:pPr>
        <w:spacing w:line="360" w:lineRule="auto"/>
        <w:rPr>
          <w:rFonts w:ascii="宋体" w:hAnsi="等线" w:eastAsia="等线" w:cs="Times New Roman"/>
          <w:color w:val="auto"/>
          <w:sz w:val="24"/>
          <w:szCs w:val="24"/>
        </w:rPr>
      </w:pPr>
    </w:p>
    <w:p>
      <w:pPr>
        <w:spacing w:line="360" w:lineRule="auto"/>
        <w:rPr>
          <w:rFonts w:ascii="宋体" w:hAnsi="等线" w:eastAsia="等线" w:cs="Times New Roman"/>
          <w:color w:val="auto"/>
          <w:sz w:val="24"/>
          <w:szCs w:val="24"/>
        </w:rPr>
      </w:pPr>
      <w:r>
        <w:rPr>
          <w:rFonts w:hint="eastAsia" w:ascii="宋体" w:hAnsi="宋体" w:eastAsia="等线" w:cs="Times New Roman"/>
          <w:color w:val="auto"/>
          <w:sz w:val="24"/>
          <w:szCs w:val="24"/>
        </w:rPr>
        <w:t>法定代表人或其委托代理人：</w:t>
      </w:r>
      <w:r>
        <w:rPr>
          <w:rFonts w:ascii="宋体" w:hAnsi="宋体" w:eastAsia="等线" w:cs="Times New Roman"/>
          <w:color w:val="auto"/>
          <w:sz w:val="24"/>
          <w:szCs w:val="24"/>
          <w:u w:val="single"/>
        </w:rPr>
        <w:t xml:space="preserve">           </w:t>
      </w:r>
      <w:r>
        <w:rPr>
          <w:rFonts w:hint="eastAsia" w:ascii="宋体" w:hAnsi="宋体" w:eastAsia="等线" w:cs="Times New Roman"/>
          <w:color w:val="auto"/>
          <w:sz w:val="24"/>
          <w:szCs w:val="24"/>
        </w:rPr>
        <w:t>（签字）</w:t>
      </w:r>
    </w:p>
    <w:p>
      <w:pPr>
        <w:spacing w:line="360" w:lineRule="auto"/>
        <w:rPr>
          <w:rFonts w:ascii="宋体" w:hAnsi="等线" w:eastAsia="等线" w:cs="Times New Roman"/>
          <w:color w:val="auto"/>
          <w:sz w:val="24"/>
          <w:szCs w:val="24"/>
        </w:rPr>
      </w:pPr>
    </w:p>
    <w:p>
      <w:pPr>
        <w:spacing w:line="360" w:lineRule="auto"/>
        <w:rPr>
          <w:rFonts w:ascii="宋体" w:hAnsi="等线" w:eastAsia="等线" w:cs="Times New Roman"/>
          <w:color w:val="auto"/>
          <w:sz w:val="24"/>
          <w:szCs w:val="24"/>
        </w:rPr>
      </w:pPr>
      <w:r>
        <w:rPr>
          <w:rFonts w:hint="eastAsia" w:ascii="宋体" w:hAnsi="宋体" w:eastAsia="等线" w:cs="Times New Roman"/>
          <w:color w:val="auto"/>
          <w:sz w:val="24"/>
          <w:szCs w:val="24"/>
        </w:rPr>
        <w:t>地</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址：</w:t>
      </w:r>
      <w:r>
        <w:rPr>
          <w:rFonts w:ascii="宋体" w:hAnsi="宋体" w:eastAsia="等线" w:cs="Times New Roman"/>
          <w:color w:val="auto"/>
          <w:sz w:val="24"/>
          <w:szCs w:val="24"/>
          <w:u w:val="single"/>
        </w:rPr>
        <w:t xml:space="preserve">                                   </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邮</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编：</w:t>
      </w:r>
      <w:r>
        <w:rPr>
          <w:rFonts w:ascii="宋体" w:hAnsi="宋体" w:eastAsia="等线" w:cs="Times New Roman"/>
          <w:color w:val="auto"/>
          <w:sz w:val="24"/>
          <w:szCs w:val="24"/>
          <w:u w:val="single"/>
        </w:rPr>
        <w:t xml:space="preserve">               </w:t>
      </w:r>
    </w:p>
    <w:p>
      <w:pPr>
        <w:spacing w:line="360" w:lineRule="auto"/>
        <w:ind w:right="480"/>
        <w:rPr>
          <w:rFonts w:ascii="宋体" w:hAnsi="等线" w:eastAsia="等线" w:cs="Times New Roman"/>
          <w:color w:val="auto"/>
          <w:sz w:val="24"/>
          <w:szCs w:val="24"/>
          <w:u w:val="single"/>
        </w:rPr>
      </w:pPr>
      <w:r>
        <w:rPr>
          <w:rFonts w:hint="eastAsia" w:ascii="宋体" w:hAnsi="宋体" w:eastAsia="等线" w:cs="Times New Roman"/>
          <w:color w:val="auto"/>
          <w:sz w:val="24"/>
          <w:szCs w:val="24"/>
        </w:rPr>
        <w:t>电子邮箱：</w:t>
      </w:r>
      <w:r>
        <w:rPr>
          <w:rFonts w:ascii="宋体" w:hAnsi="宋体" w:eastAsia="等线" w:cs="Times New Roman"/>
          <w:color w:val="auto"/>
          <w:sz w:val="24"/>
          <w:szCs w:val="24"/>
          <w:u w:val="single"/>
        </w:rPr>
        <w:t xml:space="preserve">                                   </w:t>
      </w:r>
    </w:p>
    <w:p>
      <w:pPr>
        <w:spacing w:line="360" w:lineRule="auto"/>
        <w:ind w:right="480"/>
        <w:rPr>
          <w:rFonts w:ascii="宋体" w:hAnsi="等线" w:eastAsia="等线" w:cs="Times New Roman"/>
          <w:color w:val="auto"/>
          <w:sz w:val="24"/>
          <w:szCs w:val="24"/>
          <w:u w:val="single"/>
        </w:rPr>
      </w:pPr>
      <w:r>
        <w:rPr>
          <w:rFonts w:hint="eastAsia" w:ascii="宋体" w:hAnsi="宋体" w:eastAsia="等线" w:cs="Times New Roman"/>
          <w:color w:val="auto"/>
          <w:sz w:val="24"/>
          <w:szCs w:val="24"/>
        </w:rPr>
        <w:t>电</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话：</w:t>
      </w:r>
      <w:r>
        <w:rPr>
          <w:rFonts w:ascii="宋体" w:hAnsi="宋体" w:eastAsia="等线" w:cs="Times New Roman"/>
          <w:color w:val="auto"/>
          <w:sz w:val="24"/>
          <w:szCs w:val="24"/>
          <w:u w:val="single"/>
        </w:rPr>
        <w:t xml:space="preserve">                                   </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传</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真：</w:t>
      </w:r>
      <w:r>
        <w:rPr>
          <w:rFonts w:ascii="宋体" w:hAnsi="宋体" w:eastAsia="等线" w:cs="Times New Roman"/>
          <w:color w:val="auto"/>
          <w:sz w:val="24"/>
          <w:szCs w:val="24"/>
          <w:u w:val="single"/>
        </w:rPr>
        <w:t xml:space="preserve">               </w:t>
      </w:r>
    </w:p>
    <w:p>
      <w:pPr>
        <w:spacing w:line="360" w:lineRule="auto"/>
        <w:ind w:left="481" w:leftChars="229" w:firstLine="4920" w:firstLineChars="2050"/>
        <w:rPr>
          <w:rFonts w:ascii="宋体" w:eastAsia="宋体"/>
          <w:color w:val="auto"/>
          <w:sz w:val="24"/>
          <w:szCs w:val="24"/>
        </w:rPr>
      </w:pPr>
      <w:r>
        <w:rPr>
          <w:rFonts w:ascii="宋体" w:hAnsi="宋体" w:eastAsia="宋体"/>
          <w:color w:val="auto"/>
          <w:sz w:val="24"/>
          <w:szCs w:val="24"/>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年</w:t>
      </w:r>
      <w:r>
        <w:rPr>
          <w:rFonts w:ascii="宋体" w:hAnsi="宋体" w:eastAsia="宋体"/>
          <w:color w:val="auto"/>
          <w:sz w:val="24"/>
          <w:szCs w:val="24"/>
          <w:u w:val="single"/>
        </w:rPr>
        <w:t xml:space="preserve">    </w:t>
      </w:r>
      <w:r>
        <w:rPr>
          <w:rFonts w:hint="eastAsia" w:ascii="宋体" w:hAnsi="宋体" w:eastAsia="宋体"/>
          <w:color w:val="auto"/>
          <w:sz w:val="24"/>
          <w:szCs w:val="24"/>
        </w:rPr>
        <w:t>月</w:t>
      </w:r>
      <w:r>
        <w:rPr>
          <w:rFonts w:ascii="宋体" w:hAnsi="宋体" w:eastAsia="宋体"/>
          <w:color w:val="auto"/>
          <w:sz w:val="24"/>
          <w:szCs w:val="24"/>
          <w:u w:val="single"/>
        </w:rPr>
        <w:t xml:space="preserve">    </w:t>
      </w:r>
      <w:r>
        <w:rPr>
          <w:rFonts w:hint="eastAsia" w:ascii="宋体" w:hAnsi="宋体" w:eastAsia="宋体"/>
          <w:color w:val="auto"/>
          <w:sz w:val="24"/>
          <w:szCs w:val="24"/>
        </w:rPr>
        <w:t>日</w:t>
      </w:r>
    </w:p>
    <w:p>
      <w:pPr>
        <w:spacing w:line="360" w:lineRule="auto"/>
        <w:outlineLvl w:val="1"/>
        <w:rPr>
          <w:rFonts w:ascii="宋体" w:eastAsia="宋体"/>
          <w:b/>
          <w:color w:val="auto"/>
          <w:sz w:val="24"/>
          <w:szCs w:val="24"/>
        </w:rPr>
      </w:pPr>
      <w:r>
        <w:rPr>
          <w:rFonts w:ascii="宋体" w:eastAsia="宋体"/>
          <w:color w:val="auto"/>
          <w:sz w:val="24"/>
          <w:szCs w:val="24"/>
        </w:rPr>
        <w:br w:type="page"/>
      </w:r>
      <w:bookmarkStart w:id="114" w:name="_Toc413933190"/>
      <w:bookmarkStart w:id="115" w:name="_Toc9379"/>
      <w:bookmarkStart w:id="116" w:name="_Toc3495"/>
      <w:bookmarkStart w:id="117" w:name="_Toc16238386"/>
      <w:bookmarkStart w:id="118" w:name="_Toc413933297"/>
      <w:bookmarkStart w:id="119" w:name="_Toc346895298"/>
      <w:bookmarkStart w:id="120" w:name="_Toc359572276"/>
      <w:r>
        <w:rPr>
          <w:rFonts w:hint="eastAsia" w:ascii="宋体" w:hAnsi="宋体" w:eastAsia="宋体"/>
          <w:b/>
          <w:color w:val="auto"/>
          <w:sz w:val="24"/>
          <w:szCs w:val="24"/>
        </w:rPr>
        <w:t>附件</w:t>
      </w:r>
      <w:r>
        <w:rPr>
          <w:rFonts w:ascii="宋体" w:hAnsi="宋体" w:eastAsia="宋体"/>
          <w:b/>
          <w:color w:val="auto"/>
          <w:sz w:val="24"/>
          <w:szCs w:val="24"/>
        </w:rPr>
        <w:t>2</w:t>
      </w:r>
      <w:r>
        <w:rPr>
          <w:rFonts w:hint="eastAsia" w:ascii="宋体" w:hAnsi="宋体" w:eastAsia="宋体"/>
          <w:b/>
          <w:color w:val="auto"/>
          <w:sz w:val="24"/>
          <w:szCs w:val="24"/>
        </w:rPr>
        <w:t>：</w:t>
      </w:r>
      <w:bookmarkEnd w:id="114"/>
      <w:bookmarkEnd w:id="115"/>
      <w:bookmarkEnd w:id="116"/>
      <w:bookmarkEnd w:id="117"/>
      <w:bookmarkEnd w:id="118"/>
      <w:bookmarkEnd w:id="119"/>
      <w:bookmarkEnd w:id="120"/>
    </w:p>
    <w:p>
      <w:pPr>
        <w:spacing w:line="360" w:lineRule="auto"/>
        <w:ind w:left="480"/>
        <w:jc w:val="center"/>
        <w:outlineLvl w:val="1"/>
        <w:rPr>
          <w:rFonts w:eastAsia="宋体"/>
          <w:b/>
          <w:color w:val="auto"/>
          <w:sz w:val="36"/>
          <w:szCs w:val="36"/>
        </w:rPr>
      </w:pPr>
      <w:bookmarkStart w:id="121" w:name="_Toc9958"/>
      <w:bookmarkStart w:id="122" w:name="_Toc7945"/>
      <w:bookmarkStart w:id="123" w:name="_Toc16238387"/>
      <w:bookmarkStart w:id="124" w:name="_Toc413933191"/>
      <w:bookmarkStart w:id="125" w:name="_Toc413933298"/>
      <w:bookmarkStart w:id="126" w:name="_Toc359572277"/>
      <w:r>
        <w:rPr>
          <w:rFonts w:hint="eastAsia" w:eastAsia="宋体"/>
          <w:b/>
          <w:color w:val="auto"/>
          <w:sz w:val="36"/>
          <w:szCs w:val="36"/>
        </w:rPr>
        <w:t>法定代表人证明书</w:t>
      </w:r>
      <w:bookmarkEnd w:id="121"/>
      <w:bookmarkEnd w:id="122"/>
      <w:bookmarkEnd w:id="123"/>
      <w:bookmarkEnd w:id="124"/>
      <w:bookmarkEnd w:id="125"/>
      <w:bookmarkEnd w:id="126"/>
    </w:p>
    <w:p>
      <w:pPr>
        <w:spacing w:line="360" w:lineRule="auto"/>
        <w:ind w:left="480"/>
        <w:jc w:val="center"/>
        <w:rPr>
          <w:rFonts w:eastAsia="宋体"/>
          <w:color w:val="auto"/>
          <w:sz w:val="24"/>
          <w:szCs w:val="24"/>
        </w:rPr>
      </w:pPr>
    </w:p>
    <w:p>
      <w:pPr>
        <w:spacing w:line="360" w:lineRule="auto"/>
        <w:ind w:left="480"/>
        <w:jc w:val="center"/>
        <w:rPr>
          <w:rFonts w:eastAsia="宋体"/>
          <w:color w:val="auto"/>
          <w:sz w:val="24"/>
          <w:szCs w:val="24"/>
        </w:rPr>
      </w:pPr>
    </w:p>
    <w:p>
      <w:pPr>
        <w:spacing w:line="360" w:lineRule="auto"/>
        <w:ind w:left="480"/>
        <w:jc w:val="right"/>
        <w:rPr>
          <w:rFonts w:eastAsia="宋体"/>
          <w:color w:val="auto"/>
          <w:sz w:val="24"/>
          <w:szCs w:val="24"/>
        </w:rPr>
      </w:pPr>
      <w:r>
        <w:rPr>
          <w:rFonts w:hint="eastAsia" w:eastAsia="宋体"/>
          <w:color w:val="auto"/>
          <w:sz w:val="24"/>
          <w:szCs w:val="24"/>
        </w:rPr>
        <w:t>（可采用工商局印制的格式）</w:t>
      </w:r>
    </w:p>
    <w:p>
      <w:pPr>
        <w:spacing w:line="360" w:lineRule="auto"/>
        <w:ind w:left="-2" w:leftChars="-1"/>
        <w:rPr>
          <w:rFonts w:ascii="等线" w:hAnsi="等线" w:eastAsia="等线" w:cs="Times New Roman"/>
          <w:color w:val="auto"/>
          <w:sz w:val="24"/>
          <w:szCs w:val="24"/>
        </w:rPr>
      </w:pPr>
      <w:r>
        <w:rPr>
          <w:rFonts w:hint="eastAsia" w:ascii="等线" w:hAnsi="等线" w:eastAsia="等线" w:cs="Times New Roman"/>
          <w:color w:val="auto"/>
          <w:sz w:val="24"/>
          <w:szCs w:val="24"/>
        </w:rPr>
        <w:t>单位名称：</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单位性质：</w:t>
      </w:r>
      <w:r>
        <w:rPr>
          <w:rFonts w:ascii="等线" w:hAnsi="等线" w:eastAsia="等线" w:cs="Times New Roman"/>
          <w:color w:val="auto"/>
          <w:sz w:val="24"/>
          <w:szCs w:val="24"/>
          <w:u w:val="single"/>
        </w:rPr>
        <w:t xml:space="preserve">           </w:t>
      </w:r>
    </w:p>
    <w:p>
      <w:pPr>
        <w:spacing w:line="360" w:lineRule="auto"/>
        <w:ind w:left="-2" w:leftChars="-1"/>
        <w:rPr>
          <w:rFonts w:ascii="等线" w:hAnsi="等线" w:eastAsia="等线" w:cs="Times New Roman"/>
          <w:color w:val="auto"/>
          <w:sz w:val="24"/>
          <w:szCs w:val="24"/>
          <w:u w:val="single"/>
        </w:rPr>
      </w:pPr>
      <w:r>
        <w:rPr>
          <w:rFonts w:hint="eastAsia" w:ascii="等线" w:hAnsi="等线" w:eastAsia="等线" w:cs="Times New Roman"/>
          <w:color w:val="auto"/>
          <w:sz w:val="24"/>
          <w:szCs w:val="24"/>
        </w:rPr>
        <w:t>地</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址：</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成立时间：</w:t>
      </w:r>
      <w:r>
        <w:rPr>
          <w:rFonts w:ascii="等线" w:hAnsi="等线" w:eastAsia="等线" w:cs="Times New Roman"/>
          <w:color w:val="auto"/>
          <w:sz w:val="24"/>
          <w:szCs w:val="24"/>
          <w:u w:val="single"/>
        </w:rPr>
        <w:t xml:space="preserve">            </w:t>
      </w:r>
    </w:p>
    <w:p>
      <w:pPr>
        <w:spacing w:line="360" w:lineRule="auto"/>
        <w:ind w:left="-2" w:leftChars="-1"/>
        <w:rPr>
          <w:rFonts w:ascii="等线" w:hAnsi="等线" w:eastAsia="等线" w:cs="Times New Roman"/>
          <w:color w:val="auto"/>
          <w:sz w:val="24"/>
          <w:szCs w:val="24"/>
        </w:rPr>
      </w:pPr>
      <w:r>
        <w:rPr>
          <w:rFonts w:hint="eastAsia" w:ascii="等线" w:hAnsi="等线" w:eastAsia="等线" w:cs="Times New Roman"/>
          <w:color w:val="auto"/>
          <w:sz w:val="24"/>
          <w:szCs w:val="24"/>
        </w:rPr>
        <w:t>经营期限：</w:t>
      </w:r>
      <w:r>
        <w:rPr>
          <w:rFonts w:ascii="等线" w:hAnsi="等线" w:eastAsia="等线" w:cs="Times New Roman"/>
          <w:color w:val="auto"/>
          <w:sz w:val="24"/>
          <w:szCs w:val="24"/>
          <w:u w:val="single"/>
        </w:rPr>
        <w:t xml:space="preserve">                                                              </w:t>
      </w:r>
    </w:p>
    <w:p>
      <w:pPr>
        <w:spacing w:line="360" w:lineRule="auto"/>
        <w:ind w:left="-2" w:leftChars="-1"/>
        <w:rPr>
          <w:rFonts w:ascii="等线" w:hAnsi="等线" w:eastAsia="等线" w:cs="Times New Roman"/>
          <w:color w:val="auto"/>
          <w:sz w:val="24"/>
          <w:szCs w:val="24"/>
        </w:rPr>
      </w:pPr>
      <w:r>
        <w:rPr>
          <w:rFonts w:hint="eastAsia" w:ascii="等线" w:hAnsi="等线" w:eastAsia="等线" w:cs="Times New Roman"/>
          <w:color w:val="auto"/>
          <w:sz w:val="24"/>
          <w:szCs w:val="24"/>
        </w:rPr>
        <w:t>姓</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名：</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性别：</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年龄：</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职务：</w:t>
      </w:r>
      <w:r>
        <w:rPr>
          <w:rFonts w:ascii="等线" w:hAnsi="等线" w:eastAsia="等线" w:cs="Times New Roman"/>
          <w:color w:val="auto"/>
          <w:sz w:val="24"/>
          <w:szCs w:val="24"/>
          <w:u w:val="single"/>
        </w:rPr>
        <w:t xml:space="preserve">            </w:t>
      </w:r>
    </w:p>
    <w:p>
      <w:pPr>
        <w:spacing w:line="360" w:lineRule="auto"/>
        <w:ind w:left="-2" w:leftChars="-1"/>
        <w:rPr>
          <w:rFonts w:ascii="等线" w:hAnsi="等线" w:eastAsia="等线" w:cs="Times New Roman"/>
          <w:color w:val="auto"/>
          <w:sz w:val="24"/>
          <w:szCs w:val="24"/>
        </w:rPr>
      </w:pPr>
      <w:r>
        <w:rPr>
          <w:rFonts w:hint="eastAsia" w:ascii="等线" w:hAnsi="等线" w:eastAsia="等线" w:cs="Times New Roman"/>
          <w:color w:val="auto"/>
          <w:sz w:val="24"/>
          <w:szCs w:val="24"/>
        </w:rPr>
        <w:t>为我单位法定代表人，特此证明。</w:t>
      </w:r>
    </w:p>
    <w:p>
      <w:pPr>
        <w:spacing w:line="360" w:lineRule="auto"/>
        <w:ind w:left="-2" w:leftChars="-1"/>
        <w:rPr>
          <w:rFonts w:ascii="等线" w:hAnsi="等线" w:eastAsia="等线" w:cs="Times New Roman"/>
          <w:color w:val="auto"/>
          <w:sz w:val="24"/>
          <w:szCs w:val="24"/>
        </w:rPr>
      </w:pPr>
    </w:p>
    <w:p>
      <w:pPr>
        <w:spacing w:line="360" w:lineRule="auto"/>
        <w:ind w:left="-2" w:leftChars="-1" w:right="2151"/>
        <w:rPr>
          <w:rFonts w:ascii="等线" w:hAnsi="等线" w:eastAsia="等线" w:cs="Times New Roman"/>
          <w:color w:val="auto"/>
          <w:sz w:val="24"/>
          <w:szCs w:val="24"/>
        </w:rPr>
      </w:pPr>
    </w:p>
    <w:p>
      <w:pPr>
        <w:spacing w:line="360" w:lineRule="auto"/>
        <w:ind w:left="-2" w:leftChars="-1" w:right="-9" w:firstLine="3360" w:firstLineChars="1400"/>
        <w:rPr>
          <w:rFonts w:ascii="等线" w:hAnsi="等线" w:eastAsia="等线" w:cs="Times New Roman"/>
          <w:color w:val="auto"/>
          <w:sz w:val="24"/>
          <w:szCs w:val="24"/>
        </w:rPr>
      </w:pPr>
      <w:r>
        <w:rPr>
          <w:rFonts w:hint="eastAsia" w:ascii="等线" w:hAnsi="等线" w:eastAsia="等线" w:cs="Times New Roman"/>
          <w:color w:val="auto"/>
          <w:sz w:val="24"/>
          <w:szCs w:val="24"/>
        </w:rPr>
        <w:t>投标人：</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（盖章）</w:t>
      </w:r>
    </w:p>
    <w:p>
      <w:pPr>
        <w:spacing w:line="360" w:lineRule="auto"/>
        <w:ind w:left="-2" w:leftChars="-1" w:right="-9" w:firstLine="3360" w:firstLineChars="1400"/>
        <w:rPr>
          <w:rFonts w:ascii="等线" w:hAnsi="等线" w:eastAsia="等线" w:cs="Times New Roman"/>
          <w:color w:val="auto"/>
          <w:sz w:val="24"/>
          <w:szCs w:val="24"/>
        </w:rPr>
      </w:pPr>
      <w:r>
        <w:rPr>
          <w:rFonts w:hint="eastAsia" w:ascii="等线" w:hAnsi="等线" w:eastAsia="等线" w:cs="Times New Roman"/>
          <w:color w:val="auto"/>
          <w:sz w:val="24"/>
          <w:szCs w:val="24"/>
        </w:rPr>
        <w:t>日</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期：</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年</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月</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日</w:t>
      </w:r>
    </w:p>
    <w:p>
      <w:pPr>
        <w:numPr>
          <w:ilvl w:val="1"/>
          <w:numId w:val="13"/>
        </w:numPr>
        <w:tabs>
          <w:tab w:val="left" w:pos="0"/>
          <w:tab w:val="clear" w:pos="360"/>
        </w:tabs>
        <w:spacing w:line="360" w:lineRule="auto"/>
        <w:rPr>
          <w:rFonts w:eastAsia="宋体"/>
          <w:b/>
          <w:color w:val="auto"/>
          <w:sz w:val="24"/>
          <w:szCs w:val="24"/>
        </w:rPr>
      </w:pPr>
    </w:p>
    <w:p>
      <w:pPr>
        <w:numPr>
          <w:ilvl w:val="1"/>
          <w:numId w:val="13"/>
        </w:numPr>
        <w:tabs>
          <w:tab w:val="left" w:pos="0"/>
          <w:tab w:val="clear" w:pos="360"/>
        </w:tabs>
        <w:spacing w:line="360" w:lineRule="auto"/>
        <w:rPr>
          <w:rFonts w:eastAsia="宋体"/>
          <w:b/>
          <w:color w:val="auto"/>
          <w:sz w:val="24"/>
          <w:szCs w:val="24"/>
        </w:rPr>
      </w:pPr>
    </w:p>
    <w:p>
      <w:pPr>
        <w:numPr>
          <w:ilvl w:val="1"/>
          <w:numId w:val="13"/>
        </w:numPr>
        <w:tabs>
          <w:tab w:val="left" w:pos="0"/>
          <w:tab w:val="clear" w:pos="360"/>
        </w:tabs>
        <w:spacing w:line="360" w:lineRule="auto"/>
        <w:outlineLvl w:val="1"/>
        <w:rPr>
          <w:rFonts w:eastAsia="宋体"/>
          <w:b/>
          <w:color w:val="auto"/>
          <w:sz w:val="24"/>
          <w:szCs w:val="24"/>
        </w:rPr>
      </w:pPr>
      <w:r>
        <w:rPr>
          <w:rFonts w:eastAsia="宋体"/>
          <w:b/>
          <w:color w:val="auto"/>
          <w:sz w:val="24"/>
          <w:szCs w:val="24"/>
        </w:rPr>
        <w:br w:type="page"/>
      </w:r>
      <w:bookmarkStart w:id="127" w:name="_Toc16238388"/>
      <w:bookmarkStart w:id="128" w:name="_Toc346895300"/>
      <w:bookmarkStart w:id="129" w:name="_Toc359572278"/>
      <w:bookmarkStart w:id="130" w:name="_Toc413933192"/>
      <w:bookmarkStart w:id="131" w:name="_Toc3878"/>
      <w:bookmarkStart w:id="132" w:name="_Toc413933299"/>
      <w:bookmarkStart w:id="133" w:name="_Toc28228"/>
      <w:r>
        <w:rPr>
          <w:rFonts w:hint="eastAsia" w:eastAsia="宋体"/>
          <w:b/>
          <w:color w:val="auto"/>
          <w:sz w:val="24"/>
          <w:szCs w:val="24"/>
        </w:rPr>
        <w:t>附件</w:t>
      </w:r>
      <w:r>
        <w:rPr>
          <w:rFonts w:eastAsia="宋体"/>
          <w:b/>
          <w:color w:val="auto"/>
          <w:sz w:val="24"/>
          <w:szCs w:val="24"/>
        </w:rPr>
        <w:t>3</w:t>
      </w:r>
      <w:r>
        <w:rPr>
          <w:rFonts w:hint="eastAsia" w:eastAsia="宋体"/>
          <w:b/>
          <w:color w:val="auto"/>
          <w:sz w:val="24"/>
          <w:szCs w:val="24"/>
        </w:rPr>
        <w:t>：</w:t>
      </w:r>
      <w:bookmarkEnd w:id="127"/>
      <w:bookmarkEnd w:id="128"/>
      <w:bookmarkEnd w:id="129"/>
      <w:bookmarkEnd w:id="130"/>
      <w:bookmarkEnd w:id="131"/>
      <w:bookmarkEnd w:id="132"/>
      <w:bookmarkEnd w:id="133"/>
    </w:p>
    <w:p>
      <w:pPr>
        <w:spacing w:line="360" w:lineRule="auto"/>
        <w:ind w:left="480"/>
        <w:jc w:val="center"/>
        <w:outlineLvl w:val="1"/>
        <w:rPr>
          <w:rFonts w:eastAsia="宋体"/>
          <w:b/>
          <w:color w:val="auto"/>
          <w:sz w:val="36"/>
          <w:szCs w:val="36"/>
        </w:rPr>
      </w:pPr>
      <w:bookmarkStart w:id="134" w:name="_Toc413933193"/>
      <w:bookmarkStart w:id="135" w:name="_Toc16238389"/>
      <w:bookmarkStart w:id="136" w:name="_Toc31446"/>
      <w:bookmarkStart w:id="137" w:name="_Toc413933300"/>
      <w:bookmarkStart w:id="138" w:name="_Toc359572279"/>
      <w:bookmarkStart w:id="139" w:name="_Toc31502"/>
      <w:r>
        <w:rPr>
          <w:rFonts w:hint="eastAsia" w:eastAsia="宋体"/>
          <w:b/>
          <w:color w:val="auto"/>
          <w:sz w:val="36"/>
          <w:szCs w:val="36"/>
        </w:rPr>
        <w:t>法定代表人授权委托书</w:t>
      </w:r>
      <w:bookmarkEnd w:id="134"/>
      <w:bookmarkEnd w:id="135"/>
      <w:bookmarkEnd w:id="136"/>
      <w:bookmarkEnd w:id="137"/>
      <w:bookmarkEnd w:id="138"/>
      <w:bookmarkEnd w:id="139"/>
    </w:p>
    <w:p>
      <w:pPr>
        <w:spacing w:line="360" w:lineRule="auto"/>
        <w:ind w:left="480"/>
        <w:jc w:val="center"/>
        <w:rPr>
          <w:rFonts w:eastAsia="宋体"/>
          <w:b/>
          <w:color w:val="auto"/>
          <w:sz w:val="36"/>
          <w:szCs w:val="36"/>
        </w:rPr>
      </w:pPr>
    </w:p>
    <w:p>
      <w:pPr>
        <w:spacing w:line="360" w:lineRule="auto"/>
        <w:ind w:left="1180" w:leftChars="465" w:hanging="204" w:hangingChars="85"/>
        <w:jc w:val="right"/>
        <w:rPr>
          <w:rFonts w:ascii="等线" w:hAnsi="等线" w:eastAsia="等线" w:cs="Times New Roman"/>
          <w:color w:val="auto"/>
          <w:sz w:val="24"/>
          <w:szCs w:val="24"/>
        </w:rPr>
      </w:pPr>
      <w:r>
        <w:rPr>
          <w:rFonts w:hint="eastAsia" w:ascii="等线" w:hAnsi="等线" w:eastAsia="等线" w:cs="Times New Roman"/>
          <w:color w:val="auto"/>
          <w:sz w:val="24"/>
          <w:szCs w:val="24"/>
        </w:rPr>
        <w:t>（可采用工商局印制的格式）</w:t>
      </w:r>
    </w:p>
    <w:p>
      <w:pPr>
        <w:spacing w:line="360" w:lineRule="auto"/>
        <w:ind w:right="254" w:rightChars="121"/>
        <w:rPr>
          <w:rFonts w:ascii="等线" w:hAnsi="等线" w:eastAsia="等线" w:cs="宋体"/>
          <w:color w:val="auto"/>
          <w:kern w:val="0"/>
          <w:sz w:val="24"/>
        </w:rPr>
      </w:pPr>
      <w:r>
        <w:rPr>
          <w:rFonts w:hint="eastAsia" w:ascii="等线" w:hAnsi="宋体" w:eastAsia="等线" w:cs="Times New Roman"/>
          <w:color w:val="auto"/>
          <w:sz w:val="24"/>
        </w:rPr>
        <w:t>XX</w:t>
      </w:r>
      <w:r>
        <w:rPr>
          <w:rFonts w:hint="eastAsia" w:ascii="宋体" w:hAnsi="宋体" w:eastAsia="等线" w:cs="宋体"/>
          <w:color w:val="auto"/>
          <w:kern w:val="0"/>
          <w:sz w:val="24"/>
        </w:rPr>
        <w:t>有限公司</w:t>
      </w:r>
      <w:r>
        <w:rPr>
          <w:rFonts w:hint="eastAsia" w:ascii="等线" w:hAnsi="等线" w:eastAsia="等线" w:cs="宋体"/>
          <w:color w:val="auto"/>
          <w:kern w:val="0"/>
          <w:sz w:val="24"/>
        </w:rPr>
        <w:t>:</w:t>
      </w:r>
    </w:p>
    <w:p>
      <w:pPr>
        <w:spacing w:line="360" w:lineRule="auto"/>
        <w:ind w:right="254" w:rightChars="121"/>
        <w:rPr>
          <w:rFonts w:ascii="等线" w:hAnsi="等线" w:eastAsia="等线" w:cs="宋体"/>
          <w:color w:val="auto"/>
          <w:kern w:val="0"/>
          <w:sz w:val="24"/>
        </w:rPr>
      </w:pPr>
    </w:p>
    <w:p>
      <w:pPr>
        <w:spacing w:line="360" w:lineRule="auto"/>
        <w:rPr>
          <w:rFonts w:ascii="等线" w:hAnsi="等线" w:eastAsia="等线" w:cs="Times New Roman"/>
          <w:color w:val="auto"/>
          <w:sz w:val="24"/>
          <w:szCs w:val="24"/>
        </w:rPr>
      </w:pP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现委派</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参加贵司组织的</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项目招标活动，全权代表我司处理招标活动中的一切事宜。</w:t>
      </w: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本授权有效期：</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年</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月</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日至</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年</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月</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日</w:t>
      </w: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附：全权代表姓名：</w:t>
      </w:r>
      <w:r>
        <w:rPr>
          <w:rFonts w:ascii="等线" w:hAnsi="等线" w:eastAsia="等线" w:cs="Times New Roman"/>
          <w:color w:val="auto"/>
          <w:sz w:val="24"/>
          <w:szCs w:val="24"/>
          <w:u w:val="single"/>
        </w:rPr>
        <w:t xml:space="preserve">            </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性别：</w:t>
      </w:r>
      <w:r>
        <w:rPr>
          <w:rFonts w:ascii="等线" w:hAnsi="等线" w:eastAsia="等线" w:cs="Times New Roman"/>
          <w:color w:val="auto"/>
          <w:sz w:val="24"/>
          <w:szCs w:val="24"/>
          <w:u w:val="single"/>
        </w:rPr>
        <w:t xml:space="preserve">     </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年龄：</w:t>
      </w:r>
      <w:r>
        <w:rPr>
          <w:rFonts w:ascii="等线" w:hAnsi="等线" w:eastAsia="等线" w:cs="Times New Roman"/>
          <w:color w:val="auto"/>
          <w:sz w:val="24"/>
          <w:szCs w:val="24"/>
          <w:u w:val="single"/>
        </w:rPr>
        <w:t xml:space="preserve">      </w:t>
      </w:r>
      <w:r>
        <w:rPr>
          <w:rFonts w:ascii="等线" w:hAnsi="等线" w:eastAsia="等线" w:cs="Times New Roman"/>
          <w:color w:val="auto"/>
          <w:sz w:val="24"/>
          <w:szCs w:val="24"/>
        </w:rPr>
        <w:t xml:space="preserve">  </w:t>
      </w: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职务：</w:t>
      </w:r>
      <w:r>
        <w:rPr>
          <w:rFonts w:ascii="等线" w:hAnsi="等线" w:eastAsia="等线" w:cs="Times New Roman"/>
          <w:color w:val="auto"/>
          <w:sz w:val="24"/>
          <w:szCs w:val="24"/>
          <w:u w:val="single"/>
        </w:rPr>
        <w:t xml:space="preserve">           </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身份证号码：</w:t>
      </w:r>
      <w:r>
        <w:rPr>
          <w:rFonts w:ascii="等线" w:hAnsi="等线" w:eastAsia="等线" w:cs="Times New Roman"/>
          <w:color w:val="auto"/>
          <w:sz w:val="24"/>
          <w:szCs w:val="24"/>
          <w:u w:val="single"/>
        </w:rPr>
        <w:t xml:space="preserve">                        </w:t>
      </w: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通讯地址：</w:t>
      </w:r>
      <w:r>
        <w:rPr>
          <w:rFonts w:ascii="等线" w:hAnsi="等线" w:eastAsia="等线" w:cs="Times New Roman"/>
          <w:color w:val="auto"/>
          <w:sz w:val="24"/>
          <w:szCs w:val="24"/>
          <w:u w:val="single"/>
        </w:rPr>
        <w:t xml:space="preserve">                                             </w:t>
      </w: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邮政编码：</w:t>
      </w:r>
      <w:r>
        <w:rPr>
          <w:rFonts w:ascii="等线" w:hAnsi="等线" w:eastAsia="等线" w:cs="Times New Roman"/>
          <w:color w:val="auto"/>
          <w:sz w:val="24"/>
          <w:szCs w:val="24"/>
          <w:u w:val="single"/>
        </w:rPr>
        <w:t xml:space="preserve">                 </w:t>
      </w: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电话：</w:t>
      </w:r>
      <w:r>
        <w:rPr>
          <w:rFonts w:ascii="等线" w:hAnsi="等线" w:eastAsia="等线" w:cs="Times New Roman"/>
          <w:color w:val="auto"/>
          <w:sz w:val="24"/>
          <w:szCs w:val="24"/>
          <w:u w:val="single"/>
        </w:rPr>
        <w:t xml:space="preserve">                  </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电传：</w:t>
      </w:r>
      <w:r>
        <w:rPr>
          <w:rFonts w:ascii="等线" w:hAnsi="等线" w:eastAsia="等线" w:cs="Times New Roman"/>
          <w:color w:val="auto"/>
          <w:sz w:val="24"/>
          <w:szCs w:val="24"/>
          <w:u w:val="single"/>
        </w:rPr>
        <w:t xml:space="preserve">                     </w:t>
      </w:r>
      <w:r>
        <w:rPr>
          <w:rFonts w:ascii="等线" w:hAnsi="等线" w:eastAsia="等线" w:cs="Times New Roman"/>
          <w:color w:val="auto"/>
          <w:sz w:val="24"/>
          <w:szCs w:val="24"/>
        </w:rPr>
        <w:t xml:space="preserve"> </w:t>
      </w:r>
    </w:p>
    <w:p>
      <w:pPr>
        <w:spacing w:line="360" w:lineRule="auto"/>
        <w:rPr>
          <w:rFonts w:ascii="等线" w:hAnsi="等线" w:eastAsia="等线" w:cs="Times New Roman"/>
          <w:color w:val="auto"/>
          <w:sz w:val="24"/>
          <w:szCs w:val="24"/>
        </w:rPr>
      </w:pPr>
    </w:p>
    <w:p>
      <w:pPr>
        <w:spacing w:line="360" w:lineRule="auto"/>
        <w:rPr>
          <w:rFonts w:ascii="等线" w:hAnsi="等线" w:eastAsia="等线" w:cs="Times New Roman"/>
          <w:color w:val="auto"/>
          <w:sz w:val="24"/>
          <w:szCs w:val="24"/>
        </w:rPr>
      </w:pP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单位名称（印章）：</w:t>
      </w:r>
      <w:r>
        <w:rPr>
          <w:rFonts w:ascii="等线" w:hAnsi="等线" w:eastAsia="等线" w:cs="Times New Roman"/>
          <w:color w:val="auto"/>
          <w:sz w:val="24"/>
          <w:szCs w:val="24"/>
        </w:rPr>
        <w:t xml:space="preserve">        </w:t>
      </w:r>
    </w:p>
    <w:p>
      <w:pPr>
        <w:spacing w:line="360" w:lineRule="auto"/>
        <w:rPr>
          <w:rFonts w:ascii="等线" w:hAnsi="等线" w:eastAsia="等线" w:cs="Times New Roman"/>
          <w:color w:val="auto"/>
          <w:sz w:val="24"/>
          <w:szCs w:val="24"/>
        </w:rPr>
      </w:pPr>
      <w:r>
        <w:rPr>
          <w:rFonts w:hint="eastAsia" w:ascii="等线" w:hAnsi="等线" w:eastAsia="等线" w:cs="Times New Roman"/>
          <w:color w:val="auto"/>
          <w:sz w:val="24"/>
          <w:szCs w:val="24"/>
        </w:rPr>
        <w:t>法定代表人（签字或盖章）：</w:t>
      </w:r>
    </w:p>
    <w:p>
      <w:pPr>
        <w:spacing w:line="360" w:lineRule="auto"/>
        <w:rPr>
          <w:rFonts w:ascii="等线" w:hAnsi="等线" w:eastAsia="等线" w:cs="Times New Roman"/>
          <w:color w:val="auto"/>
          <w:sz w:val="24"/>
          <w:szCs w:val="24"/>
        </w:rPr>
      </w:pPr>
    </w:p>
    <w:p>
      <w:pPr>
        <w:spacing w:line="360" w:lineRule="auto"/>
        <w:ind w:right="360"/>
        <w:jc w:val="right"/>
        <w:rPr>
          <w:rFonts w:ascii="等线" w:hAnsi="等线" w:eastAsia="等线" w:cs="Times New Roman"/>
          <w:color w:val="auto"/>
          <w:sz w:val="24"/>
          <w:szCs w:val="24"/>
        </w:rPr>
      </w:pPr>
      <w:r>
        <w:rPr>
          <w:rFonts w:hint="eastAsia" w:ascii="等线" w:hAnsi="等线" w:eastAsia="等线" w:cs="Times New Roman"/>
          <w:color w:val="auto"/>
          <w:sz w:val="24"/>
          <w:szCs w:val="24"/>
        </w:rPr>
        <w:t>日</w:t>
      </w:r>
      <w:r>
        <w:rPr>
          <w:rFonts w:ascii="等线" w:hAnsi="等线" w:eastAsia="等线" w:cs="Times New Roman"/>
          <w:color w:val="auto"/>
          <w:sz w:val="24"/>
          <w:szCs w:val="24"/>
        </w:rPr>
        <w:t xml:space="preserve">  </w:t>
      </w:r>
      <w:r>
        <w:rPr>
          <w:rFonts w:hint="eastAsia" w:ascii="等线" w:hAnsi="等线" w:eastAsia="等线" w:cs="Times New Roman"/>
          <w:color w:val="auto"/>
          <w:sz w:val="24"/>
          <w:szCs w:val="24"/>
        </w:rPr>
        <w:t>期：</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年</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月</w:t>
      </w:r>
      <w:r>
        <w:rPr>
          <w:rFonts w:ascii="等线" w:hAnsi="等线" w:eastAsia="等线" w:cs="Times New Roman"/>
          <w:color w:val="auto"/>
          <w:sz w:val="24"/>
          <w:szCs w:val="24"/>
          <w:u w:val="single"/>
        </w:rPr>
        <w:t xml:space="preserve">      </w:t>
      </w:r>
      <w:r>
        <w:rPr>
          <w:rFonts w:hint="eastAsia" w:ascii="等线" w:hAnsi="等线" w:eastAsia="等线" w:cs="Times New Roman"/>
          <w:color w:val="auto"/>
          <w:sz w:val="24"/>
          <w:szCs w:val="24"/>
        </w:rPr>
        <w:t>日</w:t>
      </w:r>
    </w:p>
    <w:p>
      <w:pPr>
        <w:spacing w:line="360" w:lineRule="auto"/>
        <w:outlineLvl w:val="1"/>
        <w:rPr>
          <w:rFonts w:ascii="宋体" w:eastAsia="宋体"/>
          <w:color w:val="auto"/>
          <w:shd w:val="clear" w:color="auto" w:fill="FFFFFF"/>
        </w:rPr>
        <w:sectPr>
          <w:endnotePr>
            <w:numFmt w:val="decimal"/>
          </w:endnotePr>
          <w:pgSz w:w="11906" w:h="16838"/>
          <w:pgMar w:top="1247" w:right="1287" w:bottom="1247" w:left="1440" w:header="851" w:footer="907" w:gutter="0"/>
          <w:cols w:space="720" w:num="1"/>
          <w:docGrid w:linePitch="312" w:charSpace="0"/>
        </w:sectPr>
      </w:pPr>
      <w:bookmarkStart w:id="140" w:name="_Toc359572280"/>
      <w:bookmarkStart w:id="141" w:name="_Toc413933301"/>
      <w:bookmarkStart w:id="142" w:name="_Toc413933194"/>
    </w:p>
    <w:p>
      <w:pPr>
        <w:spacing w:line="360" w:lineRule="auto"/>
        <w:outlineLvl w:val="1"/>
        <w:rPr>
          <w:rFonts w:eastAsia="宋体"/>
          <w:b/>
          <w:color w:val="auto"/>
          <w:sz w:val="24"/>
          <w:szCs w:val="24"/>
        </w:rPr>
      </w:pPr>
      <w:bookmarkStart w:id="143" w:name="_Toc13793"/>
      <w:bookmarkStart w:id="144" w:name="_Toc6002"/>
      <w:bookmarkStart w:id="145" w:name="_Toc16238390"/>
      <w:r>
        <w:rPr>
          <w:rFonts w:hint="eastAsia" w:eastAsia="宋体"/>
          <w:b/>
          <w:color w:val="auto"/>
          <w:sz w:val="24"/>
          <w:szCs w:val="24"/>
        </w:rPr>
        <w:t>附件</w:t>
      </w:r>
      <w:r>
        <w:rPr>
          <w:rFonts w:eastAsia="宋体"/>
          <w:b/>
          <w:color w:val="auto"/>
          <w:sz w:val="24"/>
          <w:szCs w:val="24"/>
        </w:rPr>
        <w:t>4</w:t>
      </w:r>
      <w:r>
        <w:rPr>
          <w:rFonts w:hint="eastAsia" w:eastAsia="宋体"/>
          <w:b/>
          <w:color w:val="auto"/>
          <w:sz w:val="24"/>
          <w:szCs w:val="24"/>
        </w:rPr>
        <w:t>：</w:t>
      </w:r>
      <w:bookmarkEnd w:id="140"/>
      <w:bookmarkEnd w:id="141"/>
      <w:bookmarkEnd w:id="142"/>
      <w:bookmarkEnd w:id="143"/>
      <w:bookmarkEnd w:id="144"/>
      <w:bookmarkEnd w:id="145"/>
    </w:p>
    <w:p>
      <w:pPr>
        <w:jc w:val="center"/>
        <w:outlineLvl w:val="1"/>
        <w:rPr>
          <w:rFonts w:ascii="宋体" w:hAnsi="等线" w:eastAsia="等线" w:cs="Times New Roman"/>
          <w:b/>
          <w:bCs/>
          <w:color w:val="auto"/>
          <w:sz w:val="28"/>
          <w:szCs w:val="28"/>
        </w:rPr>
      </w:pPr>
      <w:bookmarkStart w:id="146" w:name="_Toc13277"/>
      <w:bookmarkStart w:id="147" w:name="_Toc16238391"/>
      <w:bookmarkStart w:id="148" w:name="_Toc30636"/>
      <w:r>
        <w:rPr>
          <w:rFonts w:hint="eastAsia" w:ascii="宋体" w:hAnsi="宋体" w:eastAsia="等线" w:cs="Times New Roman"/>
          <w:b/>
          <w:bCs/>
          <w:color w:val="auto"/>
          <w:sz w:val="30"/>
          <w:szCs w:val="30"/>
        </w:rPr>
        <w:t>投标人类似业绩一览表</w:t>
      </w:r>
      <w:bookmarkEnd w:id="146"/>
      <w:bookmarkEnd w:id="147"/>
      <w:bookmarkEnd w:id="148"/>
    </w:p>
    <w:tbl>
      <w:tblPr>
        <w:tblStyle w:val="44"/>
        <w:tblW w:w="133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96"/>
        <w:gridCol w:w="1562"/>
        <w:gridCol w:w="1764"/>
        <w:gridCol w:w="2051"/>
        <w:gridCol w:w="2274"/>
        <w:gridCol w:w="2112"/>
        <w:gridCol w:w="1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color w:val="auto"/>
                <w:szCs w:val="21"/>
              </w:rPr>
            </w:pPr>
            <w:r>
              <w:rPr>
                <w:rFonts w:hint="eastAsia" w:ascii="宋体" w:hAnsi="宋体" w:eastAsia="等线" w:cs="Arial"/>
                <w:bCs/>
                <w:color w:val="auto"/>
                <w:szCs w:val="21"/>
              </w:rPr>
              <w:t>序号</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color w:val="auto"/>
                <w:szCs w:val="21"/>
              </w:rPr>
            </w:pPr>
            <w:r>
              <w:rPr>
                <w:rFonts w:hint="eastAsia" w:ascii="宋体" w:hAnsi="宋体" w:eastAsia="等线" w:cs="Arial"/>
                <w:bCs/>
                <w:color w:val="auto"/>
                <w:szCs w:val="21"/>
              </w:rPr>
              <w:t>项目名称</w:t>
            </w:r>
          </w:p>
        </w:tc>
        <w:tc>
          <w:tcPr>
            <w:tcW w:w="1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color w:val="auto"/>
                <w:szCs w:val="21"/>
              </w:rPr>
            </w:pPr>
            <w:r>
              <w:rPr>
                <w:rFonts w:hint="eastAsia" w:ascii="宋体" w:hAnsi="宋体" w:eastAsia="等线" w:cs="Arial"/>
                <w:bCs/>
                <w:color w:val="auto"/>
                <w:szCs w:val="21"/>
              </w:rPr>
              <w:t>委托单位</w:t>
            </w:r>
          </w:p>
        </w:tc>
        <w:tc>
          <w:tcPr>
            <w:tcW w:w="17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bCs/>
                <w:color w:val="auto"/>
                <w:szCs w:val="21"/>
              </w:rPr>
            </w:pPr>
            <w:r>
              <w:rPr>
                <w:rFonts w:hint="eastAsia" w:ascii="等线" w:hAnsi="等线" w:eastAsia="等线" w:cs="Times New Roman"/>
                <w:color w:val="auto"/>
                <w:szCs w:val="21"/>
              </w:rPr>
              <w:t>被咨询服务单位</w:t>
            </w:r>
          </w:p>
        </w:tc>
        <w:tc>
          <w:tcPr>
            <w:tcW w:w="2051" w:type="dxa"/>
            <w:tcBorders>
              <w:top w:val="single" w:color="auto" w:sz="6" w:space="0"/>
              <w:left w:val="single" w:color="auto" w:sz="6" w:space="0"/>
              <w:bottom w:val="single" w:color="auto" w:sz="6" w:space="0"/>
              <w:right w:val="single" w:color="auto" w:sz="6" w:space="0"/>
            </w:tcBorders>
            <w:vAlign w:val="center"/>
          </w:tcPr>
          <w:p>
            <w:pPr>
              <w:jc w:val="center"/>
              <w:rPr>
                <w:rFonts w:ascii="等线" w:hAnsi="等线" w:eastAsia="等线" w:cs="Times New Roman"/>
                <w:color w:val="auto"/>
                <w:szCs w:val="21"/>
              </w:rPr>
            </w:pPr>
            <w:r>
              <w:rPr>
                <w:rFonts w:hint="eastAsia" w:ascii="等线" w:hAnsi="等线" w:eastAsia="等线" w:cs="Times New Roman"/>
                <w:color w:val="auto"/>
                <w:szCs w:val="21"/>
              </w:rPr>
              <w:t>被咨询单位性质</w:t>
            </w:r>
          </w:p>
          <w:p>
            <w:pPr>
              <w:jc w:val="center"/>
              <w:rPr>
                <w:rFonts w:ascii="等线" w:hAnsi="等线" w:eastAsia="等线" w:cs="Times New Roman"/>
                <w:color w:val="auto"/>
                <w:szCs w:val="21"/>
              </w:rPr>
            </w:pPr>
            <w:r>
              <w:rPr>
                <w:rFonts w:hint="eastAsia" w:ascii="等线" w:hAnsi="等线" w:eastAsia="等线" w:cs="Times New Roman"/>
                <w:color w:val="auto"/>
                <w:szCs w:val="21"/>
              </w:rPr>
              <w:t>（国有企业、国资委、国资局）</w:t>
            </w:r>
          </w:p>
        </w:tc>
        <w:tc>
          <w:tcPr>
            <w:tcW w:w="227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color w:val="auto"/>
                <w:szCs w:val="21"/>
              </w:rPr>
            </w:pPr>
            <w:r>
              <w:rPr>
                <w:rFonts w:hint="eastAsia" w:ascii="宋体" w:hAnsi="宋体" w:eastAsia="等线" w:cs="Arial"/>
                <w:bCs/>
                <w:color w:val="auto"/>
                <w:szCs w:val="21"/>
              </w:rPr>
              <w:t>咨询成果</w:t>
            </w:r>
          </w:p>
          <w:p>
            <w:pPr>
              <w:jc w:val="center"/>
              <w:rPr>
                <w:rFonts w:ascii="宋体" w:hAnsi="宋体" w:eastAsia="等线" w:cs="Arial"/>
                <w:bCs/>
                <w:color w:val="auto"/>
                <w:szCs w:val="21"/>
              </w:rPr>
            </w:pPr>
            <w:r>
              <w:rPr>
                <w:rFonts w:hint="eastAsia" w:ascii="宋体" w:hAnsi="宋体" w:eastAsia="等线" w:cs="Arial"/>
                <w:bCs/>
                <w:color w:val="auto"/>
                <w:szCs w:val="21"/>
              </w:rPr>
              <w:t>完成时间</w:t>
            </w:r>
          </w:p>
        </w:tc>
        <w:tc>
          <w:tcPr>
            <w:tcW w:w="21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color w:val="auto"/>
                <w:szCs w:val="21"/>
              </w:rPr>
            </w:pPr>
            <w:r>
              <w:rPr>
                <w:rFonts w:hint="eastAsia" w:ascii="宋体" w:hAnsi="宋体" w:eastAsia="等线" w:cs="Arial"/>
                <w:bCs/>
                <w:color w:val="auto"/>
                <w:szCs w:val="21"/>
              </w:rPr>
              <w:t>委托单位联系人电话</w:t>
            </w: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cs="Arial"/>
                <w:bCs/>
                <w:color w:val="auto"/>
                <w:szCs w:val="21"/>
              </w:rPr>
            </w:pPr>
            <w:r>
              <w:rPr>
                <w:rFonts w:hint="eastAsia" w:ascii="宋体" w:hAnsi="宋体" w:eastAsia="等线" w:cs="Arial"/>
                <w:bCs/>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color w:val="auto"/>
                <w:szCs w:val="21"/>
              </w:rPr>
            </w:pPr>
            <w:r>
              <w:rPr>
                <w:rFonts w:ascii="宋体" w:hAnsi="宋体" w:eastAsia="等线" w:cs="Arial"/>
                <w:color w:val="auto"/>
                <w:szCs w:val="21"/>
              </w:rPr>
              <w:t>1</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color w:val="auto"/>
                <w:szCs w:val="21"/>
              </w:rPr>
            </w:pPr>
            <w:r>
              <w:rPr>
                <w:rFonts w:ascii="宋体" w:hAnsi="宋体" w:eastAsia="等线" w:cs="Arial"/>
                <w:color w:val="auto"/>
                <w:szCs w:val="21"/>
              </w:rPr>
              <w:t>2</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等线" w:eastAsia="等线" w:cs="Arial"/>
                <w:color w:val="auto"/>
                <w:szCs w:val="21"/>
              </w:rPr>
            </w:pPr>
            <w:r>
              <w:rPr>
                <w:rFonts w:ascii="宋体" w:hAnsi="宋体" w:eastAsia="等线" w:cs="Arial"/>
                <w:color w:val="auto"/>
                <w:szCs w:val="21"/>
              </w:rPr>
              <w:t>3</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07"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r>
              <w:rPr>
                <w:rFonts w:hint="eastAsia" w:ascii="宋体" w:hAnsi="等线" w:eastAsia="等线" w:cs="Arial"/>
                <w:color w:val="auto"/>
                <w:szCs w:val="21"/>
              </w:rPr>
              <w:t>…</w:t>
            </w:r>
          </w:p>
        </w:tc>
        <w:tc>
          <w:tcPr>
            <w:tcW w:w="1396"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56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051"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274"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2112"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宋体" w:hAnsi="等线" w:eastAsia="等线" w:cs="Arial"/>
                <w:color w:val="auto"/>
                <w:szCs w:val="21"/>
              </w:rPr>
            </w:pPr>
          </w:p>
        </w:tc>
      </w:tr>
    </w:tbl>
    <w:p>
      <w:pPr>
        <w:tabs>
          <w:tab w:val="left" w:pos="1050"/>
          <w:tab w:val="left" w:pos="1838"/>
        </w:tabs>
        <w:rPr>
          <w:rFonts w:ascii="宋体" w:hAnsi="等线" w:eastAsia="等线" w:cs="Times New Roman"/>
          <w:color w:val="auto"/>
          <w:sz w:val="24"/>
        </w:rPr>
      </w:pPr>
    </w:p>
    <w:p>
      <w:pPr>
        <w:tabs>
          <w:tab w:val="left" w:pos="1050"/>
          <w:tab w:val="left" w:pos="1838"/>
        </w:tabs>
        <w:rPr>
          <w:rFonts w:ascii="宋体" w:hAnsi="宋体" w:eastAsia="等线" w:cs="Times New Roman"/>
          <w:color w:val="auto"/>
          <w:szCs w:val="21"/>
        </w:rPr>
      </w:pPr>
      <w:r>
        <w:rPr>
          <w:rFonts w:hint="eastAsia" w:ascii="宋体" w:hAnsi="宋体" w:eastAsia="等线" w:cs="Times New Roman"/>
          <w:color w:val="auto"/>
          <w:szCs w:val="21"/>
        </w:rPr>
        <w:t>注：1、投标人类似业绩是指：投标人自201</w:t>
      </w:r>
      <w:r>
        <w:rPr>
          <w:rFonts w:ascii="宋体" w:hAnsi="宋体" w:eastAsia="等线" w:cs="Times New Roman"/>
          <w:color w:val="auto"/>
          <w:szCs w:val="21"/>
        </w:rPr>
        <w:t>5</w:t>
      </w:r>
      <w:r>
        <w:rPr>
          <w:rFonts w:hint="eastAsia" w:ascii="宋体" w:hAnsi="宋体" w:eastAsia="等线" w:cs="Times New Roman"/>
          <w:color w:val="auto"/>
          <w:szCs w:val="21"/>
        </w:rPr>
        <w:t>年1月1日至今独立完成过</w:t>
      </w:r>
      <w:r>
        <w:rPr>
          <w:rFonts w:hint="eastAsia" w:ascii="宋体" w:hAnsi="宋体" w:eastAsia="等线" w:cs="宋体"/>
          <w:color w:val="auto"/>
          <w:szCs w:val="21"/>
        </w:rPr>
        <w:t>国内国有企业集团及属下企业薪酬激励体系优化</w:t>
      </w:r>
      <w:r>
        <w:rPr>
          <w:rFonts w:hint="eastAsia" w:ascii="宋体" w:hAnsi="宋体" w:eastAsia="等线" w:cs="Times New Roman"/>
          <w:color w:val="auto"/>
          <w:szCs w:val="21"/>
        </w:rPr>
        <w:t>咨询服务项目</w:t>
      </w:r>
      <w:r>
        <w:rPr>
          <w:rFonts w:hint="eastAsia" w:ascii="宋体" w:hAnsi="宋体" w:eastAsia="等线" w:cs="宋体"/>
          <w:color w:val="auto"/>
          <w:szCs w:val="21"/>
        </w:rPr>
        <w:t>或承接过国资委、国资局有关</w:t>
      </w:r>
      <w:r>
        <w:rPr>
          <w:rFonts w:ascii="宋体" w:hAnsi="宋体" w:eastAsia="等线" w:cs="宋体"/>
          <w:color w:val="auto"/>
          <w:szCs w:val="21"/>
        </w:rPr>
        <w:t>国有企业</w:t>
      </w:r>
      <w:r>
        <w:rPr>
          <w:rFonts w:hint="eastAsia" w:ascii="宋体" w:hAnsi="宋体" w:eastAsia="等线" w:cs="宋体"/>
          <w:color w:val="auto"/>
          <w:szCs w:val="21"/>
        </w:rPr>
        <w:t>收入分配改革相关项目，提供合同关键页复印件，加盖公章</w:t>
      </w:r>
      <w:r>
        <w:rPr>
          <w:rFonts w:hint="eastAsia" w:ascii="宋体" w:hAnsi="宋体" w:eastAsia="等线" w:cs="Times New Roman"/>
          <w:color w:val="auto"/>
          <w:szCs w:val="21"/>
        </w:rPr>
        <w:t>。</w:t>
      </w:r>
    </w:p>
    <w:p>
      <w:pPr>
        <w:tabs>
          <w:tab w:val="left" w:pos="1050"/>
          <w:tab w:val="left" w:pos="1838"/>
        </w:tabs>
        <w:rPr>
          <w:rFonts w:ascii="宋体" w:hAnsi="宋体" w:eastAsia="等线" w:cs="楷体_GB2312"/>
          <w:color w:val="auto"/>
          <w:sz w:val="24"/>
          <w:szCs w:val="24"/>
        </w:rPr>
      </w:pPr>
      <w:r>
        <w:rPr>
          <w:rFonts w:hint="eastAsia" w:ascii="宋体" w:hAnsi="宋体" w:eastAsia="等线" w:cs="Times New Roman"/>
          <w:color w:val="auto"/>
          <w:szCs w:val="21"/>
        </w:rPr>
        <w:t>2、投标人须对所提供资料真实性负责。</w:t>
      </w:r>
    </w:p>
    <w:p>
      <w:pPr>
        <w:ind w:left="3360" w:leftChars="1600" w:firstLine="3360" w:firstLineChars="1600"/>
        <w:rPr>
          <w:rFonts w:ascii="宋体" w:hAnsi="宋体" w:eastAsia="等线" w:cs="Times New Roman"/>
          <w:color w:val="auto"/>
          <w:szCs w:val="21"/>
        </w:rPr>
      </w:pPr>
    </w:p>
    <w:p>
      <w:pPr>
        <w:ind w:left="3360" w:leftChars="1600" w:firstLine="3840" w:firstLineChars="1600"/>
        <w:rPr>
          <w:rFonts w:ascii="宋体" w:hAnsi="等线" w:eastAsia="等线" w:cs="Times New Roman"/>
          <w:color w:val="auto"/>
          <w:sz w:val="24"/>
        </w:rPr>
      </w:pPr>
      <w:r>
        <w:rPr>
          <w:rFonts w:hint="eastAsia" w:ascii="宋体" w:hAnsi="宋体" w:eastAsia="等线" w:cs="Times New Roman"/>
          <w:color w:val="auto"/>
          <w:sz w:val="24"/>
        </w:rPr>
        <w:t xml:space="preserve">                   投</w:t>
      </w:r>
      <w:r>
        <w:rPr>
          <w:rFonts w:ascii="宋体" w:hAnsi="宋体" w:eastAsia="等线" w:cs="Times New Roman"/>
          <w:color w:val="auto"/>
          <w:sz w:val="24"/>
        </w:rPr>
        <w:t xml:space="preserve">  </w:t>
      </w:r>
      <w:r>
        <w:rPr>
          <w:rFonts w:hint="eastAsia" w:ascii="宋体" w:hAnsi="宋体" w:eastAsia="等线" w:cs="Times New Roman"/>
          <w:color w:val="auto"/>
          <w:sz w:val="24"/>
        </w:rPr>
        <w:t>标</w:t>
      </w:r>
      <w:r>
        <w:rPr>
          <w:rFonts w:ascii="宋体" w:hAnsi="宋体" w:eastAsia="等线" w:cs="Times New Roman"/>
          <w:color w:val="auto"/>
          <w:sz w:val="24"/>
        </w:rPr>
        <w:t xml:space="preserve">  </w:t>
      </w:r>
      <w:r>
        <w:rPr>
          <w:rFonts w:hint="eastAsia" w:ascii="宋体" w:hAnsi="宋体" w:eastAsia="等线" w:cs="Times New Roman"/>
          <w:color w:val="auto"/>
          <w:sz w:val="24"/>
        </w:rPr>
        <w:t>人（单位公章）：</w:t>
      </w:r>
    </w:p>
    <w:p>
      <w:pPr>
        <w:ind w:left="3360" w:leftChars="1600" w:firstLine="3840" w:firstLineChars="1600"/>
        <w:rPr>
          <w:rFonts w:ascii="宋体" w:hAnsi="等线" w:eastAsia="等线" w:cs="Times New Roman"/>
          <w:color w:val="auto"/>
          <w:sz w:val="24"/>
        </w:rPr>
      </w:pPr>
      <w:r>
        <w:rPr>
          <w:rFonts w:hint="eastAsia" w:ascii="宋体" w:hAnsi="宋体" w:eastAsia="等线" w:cs="Times New Roman"/>
          <w:color w:val="auto"/>
          <w:sz w:val="24"/>
        </w:rPr>
        <w:t xml:space="preserve">                  法定代表人（或委托代理人）：</w:t>
      </w:r>
    </w:p>
    <w:p>
      <w:pPr>
        <w:spacing w:line="360" w:lineRule="auto"/>
        <w:ind w:left="3360" w:leftChars="1600" w:right="480" w:firstLine="3840" w:firstLineChars="1600"/>
        <w:rPr>
          <w:rFonts w:eastAsia="宋体"/>
          <w:b/>
          <w:color w:val="auto"/>
          <w:sz w:val="24"/>
          <w:szCs w:val="24"/>
        </w:rPr>
      </w:pPr>
      <w:r>
        <w:rPr>
          <w:rFonts w:ascii="宋体" w:hAnsi="宋体" w:eastAsia="宋体"/>
          <w:color w:val="auto"/>
          <w:sz w:val="24"/>
        </w:rPr>
        <w:t xml:space="preserve"> </w:t>
      </w:r>
      <w:r>
        <w:rPr>
          <w:rFonts w:hint="eastAsia" w:ascii="宋体" w:hAnsi="宋体" w:eastAsia="宋体"/>
          <w:color w:val="auto"/>
          <w:sz w:val="24"/>
        </w:rPr>
        <w:t xml:space="preserve">                 日</w:t>
      </w:r>
      <w:r>
        <w:rPr>
          <w:rFonts w:ascii="宋体" w:hAnsi="宋体" w:eastAsia="宋体"/>
          <w:color w:val="auto"/>
          <w:sz w:val="24"/>
        </w:rPr>
        <w:t xml:space="preserve">    </w:t>
      </w:r>
      <w:r>
        <w:rPr>
          <w:rFonts w:hint="eastAsia" w:ascii="宋体" w:hAnsi="宋体" w:eastAsia="宋体"/>
          <w:color w:val="auto"/>
          <w:sz w:val="24"/>
        </w:rPr>
        <w:t>期：</w:t>
      </w:r>
      <w:r>
        <w:rPr>
          <w:rFonts w:ascii="宋体" w:hAnsi="宋体" w:eastAsia="宋体" w:cs="Arial"/>
          <w:color w:val="auto"/>
          <w:sz w:val="24"/>
          <w:szCs w:val="24"/>
        </w:rPr>
        <w:t xml:space="preserve">    </w:t>
      </w:r>
      <w:r>
        <w:rPr>
          <w:rFonts w:hint="eastAsia" w:ascii="宋体" w:hAnsi="宋体" w:eastAsia="宋体" w:cs="Arial"/>
          <w:color w:val="auto"/>
          <w:sz w:val="24"/>
          <w:szCs w:val="24"/>
        </w:rPr>
        <w:t>年</w:t>
      </w:r>
      <w:r>
        <w:rPr>
          <w:rFonts w:ascii="宋体" w:hAnsi="宋体" w:eastAsia="宋体" w:cs="Arial"/>
          <w:color w:val="auto"/>
          <w:sz w:val="24"/>
          <w:szCs w:val="24"/>
        </w:rPr>
        <w:t xml:space="preserve">   </w:t>
      </w:r>
      <w:r>
        <w:rPr>
          <w:rFonts w:hint="eastAsia" w:ascii="宋体" w:hAnsi="宋体" w:eastAsia="宋体" w:cs="Arial"/>
          <w:color w:val="auto"/>
          <w:sz w:val="24"/>
          <w:szCs w:val="24"/>
        </w:rPr>
        <w:t>月</w:t>
      </w:r>
      <w:r>
        <w:rPr>
          <w:rFonts w:ascii="宋体" w:hAnsi="宋体" w:eastAsia="宋体" w:cs="Arial"/>
          <w:color w:val="auto"/>
          <w:sz w:val="24"/>
          <w:szCs w:val="24"/>
        </w:rPr>
        <w:t xml:space="preserve">   </w:t>
      </w:r>
      <w:r>
        <w:rPr>
          <w:rFonts w:hint="eastAsia" w:ascii="宋体" w:hAnsi="宋体" w:eastAsia="宋体" w:cs="Arial"/>
          <w:color w:val="auto"/>
          <w:sz w:val="24"/>
          <w:szCs w:val="24"/>
        </w:rPr>
        <w:t>日</w:t>
      </w:r>
    </w:p>
    <w:p>
      <w:pPr>
        <w:spacing w:line="360" w:lineRule="auto"/>
        <w:outlineLvl w:val="1"/>
        <w:rPr>
          <w:rFonts w:eastAsia="宋体"/>
          <w:b/>
          <w:color w:val="auto"/>
          <w:sz w:val="24"/>
          <w:szCs w:val="24"/>
        </w:rPr>
        <w:sectPr>
          <w:endnotePr>
            <w:numFmt w:val="decimal"/>
          </w:endnotePr>
          <w:pgSz w:w="16838" w:h="11906" w:orient="landscape"/>
          <w:pgMar w:top="1440" w:right="1247" w:bottom="1287" w:left="1247" w:header="851" w:footer="907" w:gutter="0"/>
          <w:cols w:space="720" w:num="1"/>
          <w:docGrid w:linePitch="316" w:charSpace="0"/>
        </w:sectPr>
      </w:pPr>
    </w:p>
    <w:p>
      <w:pPr>
        <w:spacing w:line="360" w:lineRule="auto"/>
        <w:outlineLvl w:val="1"/>
        <w:rPr>
          <w:rFonts w:eastAsia="宋体"/>
          <w:b/>
          <w:color w:val="auto"/>
          <w:sz w:val="24"/>
          <w:szCs w:val="24"/>
        </w:rPr>
      </w:pPr>
      <w:bookmarkStart w:id="149" w:name="_Toc32191"/>
      <w:bookmarkStart w:id="150" w:name="_Toc28737"/>
      <w:bookmarkStart w:id="151" w:name="_Toc16238392"/>
      <w:bookmarkStart w:id="152" w:name="_Toc413933303"/>
      <w:bookmarkStart w:id="153" w:name="_Toc359572282"/>
      <w:bookmarkStart w:id="154" w:name="_Toc413933196"/>
      <w:bookmarkStart w:id="155" w:name="_Toc346895304"/>
      <w:r>
        <w:rPr>
          <w:rFonts w:hint="eastAsia" w:eastAsia="宋体"/>
          <w:b/>
          <w:color w:val="auto"/>
          <w:sz w:val="24"/>
          <w:szCs w:val="24"/>
        </w:rPr>
        <w:t>附件5：</w:t>
      </w:r>
      <w:bookmarkEnd w:id="149"/>
      <w:bookmarkEnd w:id="150"/>
      <w:bookmarkEnd w:id="151"/>
    </w:p>
    <w:p>
      <w:pPr>
        <w:jc w:val="center"/>
        <w:outlineLvl w:val="1"/>
        <w:rPr>
          <w:rFonts w:ascii="宋体" w:hAnsi="宋体" w:eastAsia="等线" w:cs="Times New Roman"/>
          <w:b/>
          <w:bCs/>
          <w:color w:val="auto"/>
          <w:sz w:val="30"/>
          <w:szCs w:val="30"/>
        </w:rPr>
      </w:pPr>
      <w:bookmarkStart w:id="156" w:name="_Toc16238393"/>
      <w:r>
        <w:rPr>
          <w:rFonts w:hint="eastAsia" w:ascii="宋体" w:hAnsi="宋体" w:eastAsia="等线" w:cs="Times New Roman"/>
          <w:b/>
          <w:bCs/>
          <w:color w:val="auto"/>
          <w:sz w:val="30"/>
          <w:szCs w:val="30"/>
        </w:rPr>
        <w:t>项目负责人（项目总监）资历</w:t>
      </w:r>
      <w:r>
        <w:rPr>
          <w:rFonts w:ascii="宋体" w:hAnsi="宋体" w:eastAsia="等线" w:cs="Times New Roman"/>
          <w:b/>
          <w:bCs/>
          <w:color w:val="auto"/>
          <w:sz w:val="30"/>
          <w:szCs w:val="30"/>
        </w:rPr>
        <w:t>表</w:t>
      </w:r>
      <w:bookmarkEnd w:id="156"/>
    </w:p>
    <w:p>
      <w:pPr>
        <w:spacing w:line="360" w:lineRule="auto"/>
        <w:outlineLvl w:val="1"/>
        <w:rPr>
          <w:rFonts w:eastAsia="宋体"/>
          <w:b/>
          <w:color w:val="auto"/>
          <w:sz w:val="24"/>
          <w:szCs w:val="24"/>
        </w:rPr>
      </w:pPr>
    </w:p>
    <w:tbl>
      <w:tblPr>
        <w:tblStyle w:val="44"/>
        <w:tblW w:w="930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910"/>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年龄</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hint="eastAsia" w:ascii="宋体" w:hAnsi="宋体" w:eastAsia="等线" w:cs="Times New Roman"/>
                <w:color w:val="auto"/>
                <w:sz w:val="24"/>
                <w:szCs w:val="24"/>
              </w:rPr>
              <w:t>企业管理（咨询）工作年限</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63"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hint="eastAsia" w:ascii="宋体" w:hAnsi="宋体" w:eastAsia="等线" w:cs="Times New Roman"/>
                <w:color w:val="auto"/>
                <w:sz w:val="24"/>
              </w:rPr>
              <w:t>个人简介（从事企业管理（咨询）工作经验）</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color w:val="auto"/>
                <w:sz w:val="24"/>
              </w:rPr>
            </w:pPr>
          </w:p>
          <w:p>
            <w:pPr>
              <w:spacing w:line="360" w:lineRule="auto"/>
              <w:rPr>
                <w:rFonts w:ascii="宋体" w:hAnsi="宋体" w:eastAsia="等线"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2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主要业绩经历</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color w:val="auto"/>
                <w:sz w:val="24"/>
              </w:rPr>
            </w:pPr>
          </w:p>
        </w:tc>
      </w:tr>
    </w:tbl>
    <w:p>
      <w:pPr>
        <w:spacing w:line="360" w:lineRule="auto"/>
        <w:rPr>
          <w:rFonts w:ascii="宋体" w:hAnsi="宋体" w:eastAsia="等线" w:cs="Times New Roman"/>
          <w:color w:val="auto"/>
          <w:sz w:val="24"/>
          <w:szCs w:val="24"/>
        </w:rPr>
      </w:pPr>
      <w:r>
        <w:rPr>
          <w:rFonts w:ascii="宋体" w:hAnsi="宋体" w:eastAsia="等线" w:cs="Times New Roman"/>
          <w:b/>
          <w:color w:val="auto"/>
          <w:sz w:val="24"/>
        </w:rPr>
        <w:t>注：</w:t>
      </w:r>
      <w:r>
        <w:rPr>
          <w:rFonts w:hint="eastAsia" w:ascii="宋体" w:hAnsi="宋体" w:eastAsia="等线" w:cs="Times New Roman"/>
          <w:color w:val="auto"/>
          <w:sz w:val="24"/>
          <w:szCs w:val="24"/>
        </w:rPr>
        <w:t>1、上述内容须附身份证、学历证、（职称证/资格证/执业证书（如有））的复印件。</w:t>
      </w:r>
    </w:p>
    <w:p>
      <w:pPr>
        <w:numPr>
          <w:ilvl w:val="0"/>
          <w:numId w:val="14"/>
        </w:numPr>
        <w:spacing w:line="360" w:lineRule="auto"/>
        <w:ind w:firstLine="470" w:firstLineChars="196"/>
        <w:rPr>
          <w:rFonts w:ascii="宋体" w:hAnsi="宋体" w:eastAsia="等线" w:cs="Times New Roman"/>
          <w:color w:val="auto"/>
          <w:sz w:val="24"/>
          <w:szCs w:val="24"/>
        </w:rPr>
      </w:pPr>
      <w:r>
        <w:rPr>
          <w:rFonts w:hint="eastAsia" w:ascii="宋体" w:hAnsi="宋体" w:eastAsia="等线" w:cs="Times New Roman"/>
          <w:color w:val="auto"/>
          <w:sz w:val="24"/>
        </w:rPr>
        <w:t>企业管理（咨询）工作经验须附上就职的单位营业执照（含</w:t>
      </w:r>
      <w:r>
        <w:rPr>
          <w:rFonts w:hint="eastAsia" w:ascii="宋体" w:hAnsi="宋体" w:eastAsia="等线" w:cs="宋体"/>
          <w:color w:val="auto"/>
          <w:kern w:val="0"/>
          <w:sz w:val="24"/>
        </w:rPr>
        <w:t>国家企业信用信息公示系统查询结果营业范围含企业管理（咨询）内容截图</w:t>
      </w:r>
      <w:r>
        <w:rPr>
          <w:rFonts w:hint="eastAsia" w:ascii="宋体" w:hAnsi="宋体" w:eastAsia="等线" w:cs="Times New Roman"/>
          <w:color w:val="auto"/>
          <w:sz w:val="24"/>
        </w:rPr>
        <w:t>）及</w:t>
      </w:r>
      <w:r>
        <w:rPr>
          <w:rFonts w:hint="eastAsia" w:ascii="宋体" w:hAnsi="宋体" w:eastAsia="等线" w:cs="Times New Roman"/>
          <w:color w:val="auto"/>
          <w:sz w:val="24"/>
          <w:szCs w:val="24"/>
        </w:rPr>
        <w:t>劳动合同（关键页）或聘书或社保证明等。</w:t>
      </w:r>
    </w:p>
    <w:p>
      <w:pPr>
        <w:numPr>
          <w:ilvl w:val="0"/>
          <w:numId w:val="14"/>
        </w:numPr>
        <w:spacing w:line="360" w:lineRule="auto"/>
        <w:ind w:firstLine="470" w:firstLineChars="196"/>
        <w:rPr>
          <w:rFonts w:ascii="宋体" w:hAnsi="宋体" w:eastAsia="等线" w:cs="Times New Roman"/>
          <w:color w:val="auto"/>
          <w:sz w:val="24"/>
          <w:szCs w:val="24"/>
        </w:rPr>
      </w:pPr>
      <w:r>
        <w:rPr>
          <w:rFonts w:hint="eastAsia" w:ascii="宋体" w:hAnsi="宋体" w:eastAsia="等线" w:cs="Times New Roman"/>
          <w:color w:val="auto"/>
          <w:sz w:val="24"/>
          <w:szCs w:val="24"/>
        </w:rPr>
        <w:t>项目负责人（项目总监）业绩是指：参与或主持完成过国有企业</w:t>
      </w:r>
      <w:r>
        <w:rPr>
          <w:rFonts w:hint="eastAsia" w:ascii="等线" w:hAnsi="等线" w:eastAsia="等线" w:cs="Times New Roman"/>
          <w:color w:val="auto"/>
          <w:sz w:val="24"/>
        </w:rPr>
        <w:t>薪酬激励体系优化</w:t>
      </w:r>
      <w:r>
        <w:rPr>
          <w:rFonts w:hint="eastAsia" w:ascii="宋体" w:hAnsi="宋体" w:eastAsia="等线" w:cs="Times New Roman"/>
          <w:color w:val="auto"/>
          <w:sz w:val="24"/>
          <w:szCs w:val="24"/>
        </w:rPr>
        <w:t>服务项目。须提供</w:t>
      </w:r>
      <w:r>
        <w:rPr>
          <w:rFonts w:hint="eastAsia" w:ascii="等线" w:hAnsi="等线" w:eastAsia="等线" w:cs="Times New Roman"/>
          <w:color w:val="auto"/>
          <w:sz w:val="24"/>
        </w:rPr>
        <w:t>合同关键页</w:t>
      </w:r>
      <w:r>
        <w:rPr>
          <w:rFonts w:hint="eastAsia" w:ascii="宋体" w:hAnsi="宋体" w:eastAsia="等线" w:cs="Times New Roman"/>
          <w:color w:val="auto"/>
          <w:sz w:val="24"/>
          <w:szCs w:val="24"/>
        </w:rPr>
        <w:t>证明资料，所提供资料内容须满足评审要求。</w:t>
      </w:r>
    </w:p>
    <w:p>
      <w:pPr>
        <w:spacing w:line="360" w:lineRule="auto"/>
        <w:outlineLvl w:val="1"/>
        <w:rPr>
          <w:rFonts w:eastAsia="宋体"/>
          <w:b/>
          <w:color w:val="auto"/>
          <w:sz w:val="24"/>
          <w:szCs w:val="24"/>
        </w:rPr>
      </w:pPr>
    </w:p>
    <w:p>
      <w:pPr>
        <w:spacing w:line="360" w:lineRule="auto"/>
        <w:ind w:firstLine="4320" w:firstLineChars="1800"/>
        <w:rPr>
          <w:rFonts w:ascii="宋体" w:hAnsi="等线" w:eastAsia="等线" w:cs="Times New Roman"/>
          <w:color w:val="auto"/>
          <w:sz w:val="24"/>
          <w:szCs w:val="24"/>
        </w:rPr>
      </w:pPr>
      <w:r>
        <w:rPr>
          <w:rFonts w:hint="eastAsia" w:ascii="宋体" w:hAnsi="宋体" w:eastAsia="等线" w:cs="Times New Roman"/>
          <w:color w:val="auto"/>
          <w:sz w:val="24"/>
          <w:szCs w:val="24"/>
        </w:rPr>
        <w:t>投</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标</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人（单位公章）：</w:t>
      </w:r>
    </w:p>
    <w:p>
      <w:pPr>
        <w:spacing w:line="360" w:lineRule="auto"/>
        <w:ind w:firstLine="4320" w:firstLineChars="1800"/>
        <w:rPr>
          <w:rFonts w:ascii="宋体" w:hAnsi="宋体" w:eastAsia="等线" w:cs="Times New Roman"/>
          <w:color w:val="auto"/>
          <w:sz w:val="24"/>
          <w:szCs w:val="24"/>
        </w:rPr>
      </w:pPr>
      <w:r>
        <w:rPr>
          <w:rFonts w:hint="eastAsia" w:ascii="宋体" w:hAnsi="宋体" w:eastAsia="等线" w:cs="Times New Roman"/>
          <w:color w:val="auto"/>
          <w:sz w:val="24"/>
          <w:szCs w:val="24"/>
        </w:rPr>
        <w:t>法定代表人或委托代理人（签字或盖章）：</w:t>
      </w:r>
    </w:p>
    <w:p>
      <w:pPr>
        <w:spacing w:line="360" w:lineRule="auto"/>
        <w:ind w:firstLine="4320" w:firstLineChars="1800"/>
        <w:rPr>
          <w:rFonts w:eastAsia="宋体"/>
          <w:b/>
          <w:color w:val="auto"/>
          <w:sz w:val="24"/>
          <w:szCs w:val="24"/>
        </w:rPr>
      </w:pPr>
      <w:bookmarkStart w:id="157" w:name="_Toc3325"/>
      <w:bookmarkStart w:id="158" w:name="_Toc25201"/>
      <w:r>
        <w:rPr>
          <w:rFonts w:hint="eastAsia" w:ascii="宋体" w:hAnsi="宋体" w:eastAsia="等线" w:cs="Times New Roman"/>
          <w:color w:val="auto"/>
          <w:sz w:val="24"/>
          <w:szCs w:val="24"/>
        </w:rPr>
        <w:t>日</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期：</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年</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月</w:t>
      </w:r>
      <w:r>
        <w:rPr>
          <w:rFonts w:ascii="宋体" w:hAnsi="宋体" w:eastAsia="等线" w:cs="Times New Roman"/>
          <w:color w:val="auto"/>
          <w:sz w:val="24"/>
          <w:szCs w:val="24"/>
        </w:rPr>
        <w:t xml:space="preserve">   </w:t>
      </w:r>
    </w:p>
    <w:p>
      <w:pPr>
        <w:spacing w:line="360" w:lineRule="auto"/>
        <w:outlineLvl w:val="1"/>
        <w:rPr>
          <w:rFonts w:eastAsia="宋体"/>
          <w:b/>
          <w:color w:val="auto"/>
          <w:sz w:val="24"/>
          <w:szCs w:val="24"/>
        </w:rPr>
      </w:pPr>
    </w:p>
    <w:p>
      <w:pPr>
        <w:spacing w:line="360" w:lineRule="auto"/>
        <w:outlineLvl w:val="1"/>
        <w:rPr>
          <w:rFonts w:eastAsia="宋体"/>
          <w:b/>
          <w:color w:val="auto"/>
          <w:sz w:val="24"/>
          <w:szCs w:val="24"/>
        </w:rPr>
      </w:pPr>
    </w:p>
    <w:p>
      <w:pPr>
        <w:spacing w:line="360" w:lineRule="auto"/>
        <w:outlineLvl w:val="1"/>
        <w:rPr>
          <w:rFonts w:eastAsia="宋体"/>
          <w:b/>
          <w:color w:val="auto"/>
          <w:sz w:val="24"/>
          <w:szCs w:val="24"/>
        </w:rPr>
      </w:pPr>
    </w:p>
    <w:p>
      <w:pPr>
        <w:spacing w:line="360" w:lineRule="auto"/>
        <w:outlineLvl w:val="1"/>
        <w:rPr>
          <w:rFonts w:eastAsia="宋体"/>
          <w:b/>
          <w:color w:val="auto"/>
          <w:sz w:val="24"/>
          <w:szCs w:val="24"/>
        </w:rPr>
      </w:pPr>
    </w:p>
    <w:p>
      <w:pPr>
        <w:rPr>
          <w:rFonts w:eastAsia="宋体"/>
          <w:b/>
          <w:color w:val="auto"/>
          <w:sz w:val="24"/>
          <w:szCs w:val="24"/>
        </w:rPr>
      </w:pPr>
      <w:r>
        <w:rPr>
          <w:rFonts w:hint="eastAsia" w:eastAsia="宋体"/>
          <w:b/>
          <w:color w:val="auto"/>
          <w:sz w:val="24"/>
          <w:szCs w:val="24"/>
        </w:rPr>
        <w:br w:type="page"/>
      </w:r>
    </w:p>
    <w:p>
      <w:pPr>
        <w:spacing w:line="360" w:lineRule="auto"/>
        <w:outlineLvl w:val="1"/>
        <w:rPr>
          <w:rFonts w:ascii="宋体" w:eastAsia="宋体"/>
          <w:color w:val="auto"/>
          <w:sz w:val="24"/>
          <w:szCs w:val="24"/>
        </w:rPr>
      </w:pPr>
      <w:bookmarkStart w:id="159" w:name="_Toc16238394"/>
      <w:r>
        <w:rPr>
          <w:rFonts w:hint="eastAsia" w:eastAsia="宋体"/>
          <w:b/>
          <w:color w:val="auto"/>
          <w:sz w:val="24"/>
          <w:szCs w:val="24"/>
        </w:rPr>
        <w:t>附件6：</w:t>
      </w:r>
      <w:bookmarkEnd w:id="152"/>
      <w:bookmarkEnd w:id="153"/>
      <w:bookmarkEnd w:id="154"/>
      <w:bookmarkEnd w:id="155"/>
      <w:bookmarkEnd w:id="157"/>
      <w:bookmarkEnd w:id="158"/>
      <w:bookmarkEnd w:id="159"/>
    </w:p>
    <w:p>
      <w:pPr>
        <w:jc w:val="center"/>
        <w:outlineLvl w:val="1"/>
        <w:rPr>
          <w:rFonts w:ascii="宋体" w:hAnsi="等线" w:eastAsia="等线" w:cs="Times New Roman"/>
          <w:b/>
          <w:bCs/>
          <w:color w:val="auto"/>
          <w:sz w:val="30"/>
          <w:szCs w:val="30"/>
        </w:rPr>
      </w:pPr>
      <w:bookmarkStart w:id="160" w:name="_Toc16238395"/>
      <w:bookmarkStart w:id="161" w:name="_Toc413933197"/>
      <w:bookmarkStart w:id="162" w:name="_Toc19974"/>
      <w:bookmarkStart w:id="163" w:name="_Toc8772"/>
      <w:bookmarkStart w:id="164" w:name="_Toc359572283"/>
      <w:bookmarkStart w:id="165" w:name="_Toc413933304"/>
      <w:r>
        <w:rPr>
          <w:rFonts w:hint="eastAsia" w:ascii="宋体" w:hAnsi="宋体" w:eastAsia="等线" w:cs="Times New Roman"/>
          <w:b/>
          <w:bCs/>
          <w:color w:val="auto"/>
          <w:sz w:val="30"/>
          <w:szCs w:val="30"/>
        </w:rPr>
        <w:t>拟投入项目团队成员一览表</w:t>
      </w:r>
      <w:bookmarkEnd w:id="160"/>
      <w:bookmarkEnd w:id="161"/>
      <w:bookmarkEnd w:id="162"/>
      <w:bookmarkEnd w:id="163"/>
      <w:bookmarkEnd w:id="164"/>
      <w:bookmarkEnd w:id="165"/>
    </w:p>
    <w:p>
      <w:pPr>
        <w:spacing w:line="360" w:lineRule="auto"/>
        <w:jc w:val="center"/>
        <w:rPr>
          <w:rFonts w:ascii="宋体" w:hAnsi="等线" w:eastAsia="等线" w:cs="Times New Roman"/>
          <w:color w:val="auto"/>
          <w:sz w:val="24"/>
          <w:szCs w:val="24"/>
        </w:rPr>
      </w:pPr>
    </w:p>
    <w:tbl>
      <w:tblPr>
        <w:tblStyle w:val="44"/>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708"/>
        <w:gridCol w:w="851"/>
        <w:gridCol w:w="709"/>
        <w:gridCol w:w="1559"/>
        <w:gridCol w:w="1134"/>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6" w:hRule="atLeast"/>
          <w:jc w:val="center"/>
        </w:trPr>
        <w:tc>
          <w:tcPr>
            <w:tcW w:w="747"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序号</w:t>
            </w:r>
          </w:p>
        </w:tc>
        <w:tc>
          <w:tcPr>
            <w:tcW w:w="1375"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姓名</w:t>
            </w:r>
          </w:p>
        </w:tc>
        <w:tc>
          <w:tcPr>
            <w:tcW w:w="708"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性别</w:t>
            </w:r>
          </w:p>
        </w:tc>
        <w:tc>
          <w:tcPr>
            <w:tcW w:w="851"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出生年月</w:t>
            </w:r>
          </w:p>
        </w:tc>
        <w:tc>
          <w:tcPr>
            <w:tcW w:w="709"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学历</w:t>
            </w:r>
          </w:p>
        </w:tc>
        <w:tc>
          <w:tcPr>
            <w:tcW w:w="1559"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职称</w:t>
            </w:r>
            <w:r>
              <w:rPr>
                <w:rFonts w:ascii="宋体" w:hAnsi="宋体" w:eastAsia="等线" w:cs="Times New Roman"/>
                <w:color w:val="auto"/>
                <w:sz w:val="24"/>
                <w:szCs w:val="24"/>
              </w:rPr>
              <w:t>/</w:t>
            </w:r>
            <w:r>
              <w:rPr>
                <w:rFonts w:hint="eastAsia" w:ascii="宋体" w:hAnsi="宋体" w:eastAsia="等线" w:cs="Times New Roman"/>
                <w:color w:val="auto"/>
                <w:sz w:val="24"/>
                <w:szCs w:val="24"/>
              </w:rPr>
              <w:t>资格</w:t>
            </w:r>
          </w:p>
        </w:tc>
        <w:tc>
          <w:tcPr>
            <w:tcW w:w="1134"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专业</w:t>
            </w:r>
          </w:p>
        </w:tc>
        <w:tc>
          <w:tcPr>
            <w:tcW w:w="850"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经验</w:t>
            </w:r>
          </w:p>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年限</w:t>
            </w:r>
          </w:p>
        </w:tc>
        <w:tc>
          <w:tcPr>
            <w:tcW w:w="1276" w:type="dxa"/>
            <w:vAlign w:val="center"/>
          </w:tcPr>
          <w:p>
            <w:pPr>
              <w:spacing w:line="360" w:lineRule="exact"/>
              <w:jc w:val="center"/>
              <w:rPr>
                <w:rFonts w:ascii="宋体" w:hAnsi="等线" w:eastAsia="等线" w:cs="Times New Roman"/>
                <w:color w:val="auto"/>
                <w:sz w:val="24"/>
                <w:szCs w:val="24"/>
              </w:rPr>
            </w:pPr>
            <w:r>
              <w:rPr>
                <w:rFonts w:hint="eastAsia" w:ascii="宋体" w:hAnsi="宋体" w:eastAsia="等线" w:cs="Times New Roman"/>
                <w:color w:val="auto"/>
                <w:sz w:val="24"/>
                <w:szCs w:val="24"/>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47" w:type="dxa"/>
            <w:vAlign w:val="center"/>
          </w:tcPr>
          <w:p>
            <w:pPr>
              <w:jc w:val="center"/>
              <w:rPr>
                <w:rFonts w:ascii="宋体" w:hAnsi="等线" w:eastAsia="等线" w:cs="Arial"/>
                <w:color w:val="auto"/>
                <w:sz w:val="24"/>
                <w:szCs w:val="24"/>
              </w:rPr>
            </w:pPr>
            <w:r>
              <w:rPr>
                <w:rFonts w:ascii="宋体" w:hAnsi="宋体" w:eastAsia="等线" w:cs="Arial"/>
                <w:color w:val="auto"/>
                <w:sz w:val="24"/>
                <w:szCs w:val="24"/>
              </w:rPr>
              <w:t>1</w:t>
            </w: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color w:val="auto"/>
                <w:sz w:val="24"/>
                <w:szCs w:val="24"/>
              </w:rPr>
            </w:pPr>
            <w:r>
              <w:rPr>
                <w:rFonts w:ascii="宋体" w:hAnsi="宋体" w:eastAsia="等线" w:cs="Arial"/>
                <w:color w:val="auto"/>
                <w:sz w:val="24"/>
                <w:szCs w:val="24"/>
              </w:rPr>
              <w:t>2</w:t>
            </w: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color w:val="auto"/>
                <w:sz w:val="24"/>
                <w:szCs w:val="24"/>
              </w:rPr>
            </w:pPr>
            <w:r>
              <w:rPr>
                <w:rFonts w:ascii="宋体" w:hAnsi="宋体" w:eastAsia="等线" w:cs="Arial"/>
                <w:color w:val="auto"/>
                <w:sz w:val="24"/>
                <w:szCs w:val="24"/>
              </w:rPr>
              <w:t>3</w:t>
            </w: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color w:val="auto"/>
                <w:sz w:val="24"/>
                <w:szCs w:val="24"/>
              </w:rPr>
            </w:pPr>
            <w:r>
              <w:rPr>
                <w:rFonts w:hint="eastAsia" w:ascii="宋体" w:hAnsi="宋体" w:eastAsia="等线" w:cs="Arial"/>
                <w:color w:val="auto"/>
                <w:sz w:val="24"/>
                <w:szCs w:val="24"/>
              </w:rPr>
              <w:t>…</w:t>
            </w: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color w:val="auto"/>
                <w:sz w:val="24"/>
                <w:szCs w:val="24"/>
              </w:rPr>
            </w:pP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47" w:type="dxa"/>
            <w:vAlign w:val="center"/>
          </w:tcPr>
          <w:p>
            <w:pPr>
              <w:jc w:val="center"/>
              <w:rPr>
                <w:rFonts w:ascii="宋体" w:hAnsi="等线" w:eastAsia="等线" w:cs="Arial"/>
                <w:color w:val="auto"/>
                <w:sz w:val="24"/>
                <w:szCs w:val="24"/>
              </w:rPr>
            </w:pP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47" w:type="dxa"/>
            <w:vAlign w:val="center"/>
          </w:tcPr>
          <w:p>
            <w:pPr>
              <w:jc w:val="center"/>
              <w:rPr>
                <w:rFonts w:ascii="宋体" w:hAnsi="等线" w:eastAsia="等线" w:cs="Arial"/>
                <w:color w:val="auto"/>
                <w:sz w:val="24"/>
                <w:szCs w:val="24"/>
              </w:rPr>
            </w:pP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47" w:type="dxa"/>
            <w:vAlign w:val="center"/>
          </w:tcPr>
          <w:p>
            <w:pPr>
              <w:rPr>
                <w:rFonts w:ascii="宋体" w:hAnsi="等线" w:eastAsia="等线" w:cs="Arial"/>
                <w:color w:val="auto"/>
                <w:sz w:val="24"/>
                <w:szCs w:val="24"/>
              </w:rPr>
            </w:pPr>
          </w:p>
        </w:tc>
        <w:tc>
          <w:tcPr>
            <w:tcW w:w="1375" w:type="dxa"/>
            <w:vAlign w:val="center"/>
          </w:tcPr>
          <w:p>
            <w:pPr>
              <w:rPr>
                <w:rFonts w:ascii="宋体" w:hAnsi="等线" w:eastAsia="等线" w:cs="Arial"/>
                <w:color w:val="auto"/>
                <w:sz w:val="24"/>
                <w:szCs w:val="24"/>
              </w:rPr>
            </w:pPr>
          </w:p>
        </w:tc>
        <w:tc>
          <w:tcPr>
            <w:tcW w:w="708" w:type="dxa"/>
            <w:vAlign w:val="center"/>
          </w:tcPr>
          <w:p>
            <w:pPr>
              <w:rPr>
                <w:rFonts w:ascii="宋体" w:hAnsi="等线" w:eastAsia="等线" w:cs="Arial"/>
                <w:color w:val="auto"/>
                <w:sz w:val="24"/>
                <w:szCs w:val="24"/>
              </w:rPr>
            </w:pPr>
          </w:p>
        </w:tc>
        <w:tc>
          <w:tcPr>
            <w:tcW w:w="851" w:type="dxa"/>
            <w:vAlign w:val="center"/>
          </w:tcPr>
          <w:p>
            <w:pPr>
              <w:rPr>
                <w:rFonts w:ascii="宋体" w:hAnsi="等线" w:eastAsia="等线" w:cs="Arial"/>
                <w:color w:val="auto"/>
                <w:sz w:val="24"/>
                <w:szCs w:val="24"/>
              </w:rPr>
            </w:pPr>
          </w:p>
        </w:tc>
        <w:tc>
          <w:tcPr>
            <w:tcW w:w="709" w:type="dxa"/>
            <w:vAlign w:val="center"/>
          </w:tcPr>
          <w:p>
            <w:pPr>
              <w:rPr>
                <w:rFonts w:ascii="宋体" w:hAnsi="等线" w:eastAsia="等线" w:cs="Arial"/>
                <w:color w:val="auto"/>
                <w:sz w:val="24"/>
                <w:szCs w:val="24"/>
              </w:rPr>
            </w:pPr>
          </w:p>
        </w:tc>
        <w:tc>
          <w:tcPr>
            <w:tcW w:w="1559" w:type="dxa"/>
            <w:vAlign w:val="center"/>
          </w:tcPr>
          <w:p>
            <w:pPr>
              <w:rPr>
                <w:rFonts w:ascii="宋体" w:hAnsi="等线" w:eastAsia="等线" w:cs="Arial"/>
                <w:color w:val="auto"/>
                <w:sz w:val="24"/>
                <w:szCs w:val="24"/>
              </w:rPr>
            </w:pPr>
          </w:p>
        </w:tc>
        <w:tc>
          <w:tcPr>
            <w:tcW w:w="1134" w:type="dxa"/>
            <w:vAlign w:val="center"/>
          </w:tcPr>
          <w:p>
            <w:pPr>
              <w:rPr>
                <w:rFonts w:ascii="宋体" w:hAnsi="等线" w:eastAsia="等线" w:cs="Arial"/>
                <w:color w:val="auto"/>
                <w:sz w:val="24"/>
                <w:szCs w:val="24"/>
              </w:rPr>
            </w:pPr>
          </w:p>
        </w:tc>
        <w:tc>
          <w:tcPr>
            <w:tcW w:w="850" w:type="dxa"/>
            <w:vAlign w:val="center"/>
          </w:tcPr>
          <w:p>
            <w:pPr>
              <w:rPr>
                <w:rFonts w:ascii="宋体" w:hAnsi="等线" w:eastAsia="等线" w:cs="Arial"/>
                <w:color w:val="auto"/>
                <w:sz w:val="24"/>
                <w:szCs w:val="24"/>
              </w:rPr>
            </w:pPr>
          </w:p>
        </w:tc>
        <w:tc>
          <w:tcPr>
            <w:tcW w:w="1276" w:type="dxa"/>
            <w:vAlign w:val="center"/>
          </w:tcPr>
          <w:p>
            <w:pPr>
              <w:rPr>
                <w:rFonts w:ascii="宋体" w:hAnsi="等线" w:eastAsia="等线" w:cs="Arial"/>
                <w:color w:val="auto"/>
                <w:sz w:val="24"/>
                <w:szCs w:val="24"/>
              </w:rPr>
            </w:pPr>
          </w:p>
        </w:tc>
      </w:tr>
    </w:tbl>
    <w:p>
      <w:pPr>
        <w:spacing w:line="360" w:lineRule="auto"/>
        <w:ind w:left="210"/>
        <w:rPr>
          <w:rFonts w:ascii="宋体" w:hAnsi="等线" w:eastAsia="等线" w:cs="Times New Roman"/>
          <w:color w:val="auto"/>
          <w:sz w:val="24"/>
          <w:szCs w:val="24"/>
        </w:rPr>
      </w:pPr>
    </w:p>
    <w:p>
      <w:pPr>
        <w:widowControl/>
        <w:spacing w:line="360" w:lineRule="auto"/>
        <w:ind w:right="84" w:rightChars="40"/>
        <w:jc w:val="left"/>
        <w:rPr>
          <w:rFonts w:ascii="宋体" w:hAnsi="宋体" w:cs="Courier New"/>
          <w:color w:val="auto"/>
          <w:sz w:val="24"/>
          <w:szCs w:val="24"/>
        </w:rPr>
      </w:pPr>
      <w:r>
        <w:rPr>
          <w:rFonts w:ascii="宋体" w:hAnsi="宋体" w:cs="Courier New"/>
          <w:color w:val="auto"/>
          <w:sz w:val="24"/>
          <w:szCs w:val="24"/>
        </w:rPr>
        <w:t xml:space="preserve">   </w:t>
      </w:r>
    </w:p>
    <w:p>
      <w:pPr>
        <w:spacing w:line="360" w:lineRule="auto"/>
        <w:ind w:firstLine="4320" w:firstLineChars="1800"/>
        <w:rPr>
          <w:rFonts w:ascii="宋体" w:hAnsi="等线" w:eastAsia="等线" w:cs="Times New Roman"/>
          <w:color w:val="auto"/>
          <w:sz w:val="24"/>
          <w:szCs w:val="24"/>
        </w:rPr>
      </w:pPr>
      <w:r>
        <w:rPr>
          <w:rFonts w:hint="eastAsia" w:ascii="宋体" w:hAnsi="宋体" w:eastAsia="等线" w:cs="Times New Roman"/>
          <w:color w:val="auto"/>
          <w:sz w:val="24"/>
          <w:szCs w:val="24"/>
        </w:rPr>
        <w:t>投</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标</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人（单位公章）：</w:t>
      </w:r>
    </w:p>
    <w:p>
      <w:pPr>
        <w:spacing w:line="360" w:lineRule="auto"/>
        <w:ind w:firstLine="4320" w:firstLineChars="1800"/>
        <w:rPr>
          <w:rFonts w:ascii="宋体" w:hAnsi="等线" w:eastAsia="等线" w:cs="Times New Roman"/>
          <w:color w:val="auto"/>
          <w:sz w:val="24"/>
          <w:szCs w:val="24"/>
        </w:rPr>
      </w:pPr>
      <w:r>
        <w:rPr>
          <w:rFonts w:hint="eastAsia" w:ascii="宋体" w:hAnsi="宋体" w:eastAsia="等线" w:cs="Times New Roman"/>
          <w:color w:val="auto"/>
          <w:sz w:val="24"/>
          <w:szCs w:val="24"/>
        </w:rPr>
        <w:t>法定代表人或委托代理人（签字或盖章）：</w:t>
      </w:r>
    </w:p>
    <w:p>
      <w:pPr>
        <w:rPr>
          <w:rFonts w:ascii="宋体" w:hAnsi="宋体" w:eastAsia="等线" w:cs="Arial"/>
          <w:color w:val="auto"/>
          <w:sz w:val="24"/>
          <w:szCs w:val="24"/>
        </w:rPr>
      </w:pPr>
      <w:r>
        <w:rPr>
          <w:rFonts w:hint="eastAsia" w:ascii="宋体" w:hAnsi="宋体" w:eastAsia="等线" w:cs="Times New Roman"/>
          <w:color w:val="auto"/>
          <w:sz w:val="24"/>
          <w:szCs w:val="24"/>
        </w:rPr>
        <w:t xml:space="preserve">                                     日</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期：</w:t>
      </w:r>
      <w:r>
        <w:rPr>
          <w:rFonts w:ascii="宋体" w:hAnsi="宋体" w:eastAsia="等线" w:cs="Arial"/>
          <w:color w:val="auto"/>
          <w:sz w:val="24"/>
          <w:szCs w:val="24"/>
        </w:rPr>
        <w:t xml:space="preserve">    </w:t>
      </w:r>
      <w:r>
        <w:rPr>
          <w:rFonts w:hint="eastAsia" w:ascii="宋体" w:hAnsi="宋体" w:eastAsia="等线" w:cs="Arial"/>
          <w:color w:val="auto"/>
          <w:sz w:val="24"/>
          <w:szCs w:val="24"/>
        </w:rPr>
        <w:t>年</w:t>
      </w:r>
      <w:r>
        <w:rPr>
          <w:rFonts w:ascii="宋体" w:hAnsi="宋体" w:eastAsia="等线" w:cs="Arial"/>
          <w:color w:val="auto"/>
          <w:sz w:val="24"/>
          <w:szCs w:val="24"/>
        </w:rPr>
        <w:t xml:space="preserve">   </w:t>
      </w:r>
      <w:r>
        <w:rPr>
          <w:rFonts w:hint="eastAsia" w:ascii="宋体" w:hAnsi="宋体" w:eastAsia="等线" w:cs="Arial"/>
          <w:color w:val="auto"/>
          <w:sz w:val="24"/>
          <w:szCs w:val="24"/>
        </w:rPr>
        <w:t>月</w:t>
      </w:r>
      <w:r>
        <w:rPr>
          <w:rFonts w:ascii="宋体" w:hAnsi="宋体" w:eastAsia="等线" w:cs="Arial"/>
          <w:color w:val="auto"/>
          <w:sz w:val="24"/>
          <w:szCs w:val="24"/>
        </w:rPr>
        <w:t xml:space="preserve">   </w:t>
      </w:r>
      <w:r>
        <w:rPr>
          <w:rFonts w:hint="eastAsia" w:ascii="宋体" w:hAnsi="宋体" w:eastAsia="等线" w:cs="Arial"/>
          <w:color w:val="auto"/>
          <w:sz w:val="24"/>
          <w:szCs w:val="24"/>
        </w:rPr>
        <w:t>日</w:t>
      </w:r>
    </w:p>
    <w:p>
      <w:pPr>
        <w:spacing w:line="360" w:lineRule="auto"/>
        <w:outlineLvl w:val="1"/>
        <w:rPr>
          <w:rFonts w:eastAsia="宋体"/>
          <w:b/>
          <w:color w:val="auto"/>
          <w:sz w:val="24"/>
          <w:szCs w:val="24"/>
        </w:rPr>
      </w:pPr>
      <w:r>
        <w:rPr>
          <w:rFonts w:hint="eastAsia" w:ascii="等线" w:hAnsi="等线" w:eastAsia="等线" w:cs="Times New Roman"/>
          <w:b/>
          <w:color w:val="auto"/>
          <w:sz w:val="24"/>
          <w:szCs w:val="24"/>
        </w:rPr>
        <w:br w:type="page"/>
      </w:r>
      <w:bookmarkStart w:id="166" w:name="_Toc16238396"/>
      <w:r>
        <w:rPr>
          <w:rFonts w:hint="eastAsia" w:eastAsia="宋体"/>
          <w:b/>
          <w:color w:val="auto"/>
          <w:sz w:val="24"/>
          <w:szCs w:val="24"/>
        </w:rPr>
        <w:t>附件6-1：</w:t>
      </w:r>
      <w:bookmarkEnd w:id="166"/>
    </w:p>
    <w:p>
      <w:pPr>
        <w:spacing w:line="360" w:lineRule="auto"/>
        <w:jc w:val="center"/>
        <w:outlineLvl w:val="1"/>
        <w:rPr>
          <w:rFonts w:ascii="宋体" w:hAnsi="宋体" w:eastAsia="等线" w:cs="Times New Roman"/>
          <w:b/>
          <w:color w:val="auto"/>
          <w:sz w:val="32"/>
          <w:szCs w:val="32"/>
        </w:rPr>
      </w:pPr>
      <w:bookmarkStart w:id="167" w:name="_Toc16238397"/>
      <w:r>
        <w:rPr>
          <w:rFonts w:hint="eastAsia" w:eastAsia="宋体"/>
          <w:b/>
          <w:color w:val="auto"/>
          <w:sz w:val="32"/>
          <w:szCs w:val="32"/>
        </w:rPr>
        <w:t>项目</w:t>
      </w:r>
      <w:r>
        <w:rPr>
          <w:rFonts w:hint="eastAsia" w:ascii="宋体" w:hAnsi="宋体" w:eastAsia="等线" w:cs="Times New Roman"/>
          <w:b/>
          <w:color w:val="auto"/>
          <w:sz w:val="32"/>
          <w:szCs w:val="32"/>
        </w:rPr>
        <w:t>团队成员资历</w:t>
      </w:r>
      <w:r>
        <w:rPr>
          <w:rFonts w:ascii="宋体" w:hAnsi="宋体" w:eastAsia="等线" w:cs="Times New Roman"/>
          <w:b/>
          <w:color w:val="auto"/>
          <w:sz w:val="32"/>
          <w:szCs w:val="32"/>
        </w:rPr>
        <w:t>表</w:t>
      </w:r>
      <w:bookmarkEnd w:id="167"/>
    </w:p>
    <w:p>
      <w:pPr>
        <w:spacing w:line="360" w:lineRule="auto"/>
        <w:jc w:val="center"/>
        <w:rPr>
          <w:rFonts w:ascii="宋体" w:hAnsi="宋体" w:eastAsia="等线" w:cs="Times New Roman"/>
          <w:color w:val="auto"/>
          <w:sz w:val="24"/>
          <w:szCs w:val="24"/>
        </w:rPr>
      </w:pPr>
    </w:p>
    <w:tbl>
      <w:tblPr>
        <w:tblStyle w:val="44"/>
        <w:tblW w:w="923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646"/>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11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年龄</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8"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ascii="宋体" w:hAnsi="宋体" w:eastAsia="等线" w:cs="Times New Roman"/>
                <w:color w:val="auto"/>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hint="eastAsia" w:ascii="宋体" w:hAnsi="宋体" w:eastAsia="等线" w:cs="Times New Roman"/>
                <w:color w:val="auto"/>
                <w:sz w:val="24"/>
              </w:rPr>
              <w:t>职称/</w:t>
            </w:r>
          </w:p>
          <w:p>
            <w:pPr>
              <w:spacing w:line="360" w:lineRule="auto"/>
              <w:jc w:val="center"/>
              <w:rPr>
                <w:rFonts w:ascii="宋体" w:hAnsi="宋体" w:eastAsia="等线" w:cs="Times New Roman"/>
                <w:color w:val="auto"/>
                <w:sz w:val="24"/>
              </w:rPr>
            </w:pPr>
            <w:r>
              <w:rPr>
                <w:rFonts w:hint="eastAsia" w:ascii="宋体" w:hAnsi="宋体" w:eastAsia="等线" w:cs="Times New Roman"/>
                <w:color w:val="auto"/>
                <w:sz w:val="24"/>
              </w:rPr>
              <w:t>资格证书</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6"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等线" w:cs="Times New Roman"/>
                <w:color w:val="auto"/>
                <w:sz w:val="24"/>
              </w:rPr>
            </w:pPr>
            <w:r>
              <w:rPr>
                <w:rFonts w:hint="eastAsia" w:ascii="宋体" w:hAnsi="宋体" w:eastAsia="等线" w:cs="Times New Roman"/>
                <w:color w:val="auto"/>
                <w:sz w:val="24"/>
              </w:rPr>
              <w:t>个人简介（从事国有企业薪酬激励优化相关项目经验、企业管理（咨询）工作经验）</w:t>
            </w:r>
          </w:p>
        </w:tc>
        <w:tc>
          <w:tcPr>
            <w:tcW w:w="719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等线" w:cs="Times New Roman"/>
                <w:color w:val="auto"/>
                <w:sz w:val="24"/>
              </w:rPr>
            </w:pPr>
          </w:p>
          <w:p>
            <w:pPr>
              <w:spacing w:line="360" w:lineRule="auto"/>
              <w:rPr>
                <w:rFonts w:ascii="宋体" w:hAnsi="宋体" w:eastAsia="等线" w:cs="Times New Roman"/>
                <w:color w:val="auto"/>
                <w:sz w:val="24"/>
              </w:rPr>
            </w:pPr>
          </w:p>
        </w:tc>
      </w:tr>
    </w:tbl>
    <w:p>
      <w:pPr>
        <w:spacing w:line="360" w:lineRule="auto"/>
        <w:rPr>
          <w:rFonts w:ascii="宋体" w:hAnsi="宋体" w:eastAsia="等线" w:cs="Times New Roman"/>
          <w:color w:val="auto"/>
          <w:sz w:val="24"/>
          <w:szCs w:val="24"/>
        </w:rPr>
      </w:pPr>
      <w:r>
        <w:rPr>
          <w:rFonts w:ascii="宋体" w:hAnsi="宋体" w:eastAsia="等线" w:cs="Times New Roman"/>
          <w:b/>
          <w:color w:val="auto"/>
          <w:sz w:val="24"/>
        </w:rPr>
        <w:t>注：</w:t>
      </w:r>
      <w:r>
        <w:rPr>
          <w:rFonts w:hint="eastAsia" w:ascii="宋体" w:hAnsi="宋体" w:eastAsia="等线" w:cs="Times New Roman"/>
          <w:color w:val="auto"/>
          <w:sz w:val="24"/>
          <w:szCs w:val="24"/>
        </w:rPr>
        <w:t>1、上述内容须附身份证、学历证、（职称证/资格证/执业证书（如有））的复印件。</w:t>
      </w:r>
    </w:p>
    <w:p>
      <w:pPr>
        <w:numPr>
          <w:ilvl w:val="0"/>
          <w:numId w:val="15"/>
        </w:numPr>
        <w:spacing w:line="360" w:lineRule="auto"/>
        <w:ind w:firstLine="470" w:firstLineChars="196"/>
        <w:rPr>
          <w:rFonts w:ascii="宋体" w:hAnsi="宋体" w:eastAsia="等线" w:cs="Times New Roman"/>
          <w:color w:val="auto"/>
          <w:sz w:val="24"/>
          <w:szCs w:val="24"/>
        </w:rPr>
      </w:pPr>
      <w:r>
        <w:rPr>
          <w:rFonts w:hint="eastAsia" w:ascii="宋体" w:hAnsi="宋体" w:eastAsia="等线" w:cs="Times New Roman"/>
          <w:color w:val="auto"/>
          <w:sz w:val="24"/>
        </w:rPr>
        <w:t>国有企业薪酬激励优化相关</w:t>
      </w:r>
      <w:r>
        <w:rPr>
          <w:rFonts w:hint="eastAsia" w:ascii="宋体" w:hAnsi="宋体" w:eastAsia="等线" w:cs="Times New Roman"/>
          <w:color w:val="auto"/>
          <w:sz w:val="24"/>
          <w:szCs w:val="24"/>
        </w:rPr>
        <w:t>项目经验须提供</w:t>
      </w:r>
      <w:r>
        <w:rPr>
          <w:rFonts w:hint="eastAsia" w:ascii="等线" w:hAnsi="等线" w:eastAsia="等线" w:cs="Times New Roman"/>
          <w:color w:val="auto"/>
          <w:sz w:val="24"/>
        </w:rPr>
        <w:t>合同关键页</w:t>
      </w:r>
      <w:r>
        <w:rPr>
          <w:rFonts w:hint="eastAsia" w:ascii="宋体" w:hAnsi="宋体" w:eastAsia="等线" w:cs="Times New Roman"/>
          <w:color w:val="auto"/>
          <w:sz w:val="24"/>
          <w:szCs w:val="24"/>
        </w:rPr>
        <w:t>证明资料。</w:t>
      </w:r>
    </w:p>
    <w:p>
      <w:pPr>
        <w:numPr>
          <w:ilvl w:val="0"/>
          <w:numId w:val="15"/>
        </w:numPr>
        <w:spacing w:line="360" w:lineRule="auto"/>
        <w:ind w:firstLine="470" w:firstLineChars="196"/>
        <w:rPr>
          <w:rFonts w:ascii="宋体" w:hAnsi="宋体" w:eastAsia="等线" w:cs="Times New Roman"/>
          <w:color w:val="auto"/>
          <w:sz w:val="24"/>
          <w:szCs w:val="24"/>
        </w:rPr>
      </w:pPr>
      <w:r>
        <w:rPr>
          <w:rFonts w:hint="eastAsia" w:ascii="宋体" w:hAnsi="宋体" w:eastAsia="等线" w:cs="Times New Roman"/>
          <w:color w:val="auto"/>
          <w:sz w:val="24"/>
        </w:rPr>
        <w:t>企业管理（咨询）工作经验须附上就职的单位营业执照（含</w:t>
      </w:r>
      <w:r>
        <w:rPr>
          <w:rFonts w:hint="eastAsia" w:ascii="宋体" w:hAnsi="宋体" w:eastAsia="等线" w:cs="宋体"/>
          <w:color w:val="auto"/>
          <w:kern w:val="0"/>
          <w:sz w:val="24"/>
        </w:rPr>
        <w:t>国家企业信用信息公示系统查询结果营业范围含企业管理（咨询）内容截图</w:t>
      </w:r>
      <w:r>
        <w:rPr>
          <w:rFonts w:hint="eastAsia" w:ascii="宋体" w:hAnsi="宋体" w:eastAsia="等线" w:cs="Times New Roman"/>
          <w:color w:val="auto"/>
          <w:sz w:val="24"/>
        </w:rPr>
        <w:t>）及</w:t>
      </w:r>
      <w:r>
        <w:rPr>
          <w:rFonts w:hint="eastAsia" w:ascii="宋体" w:hAnsi="宋体" w:eastAsia="等线" w:cs="Times New Roman"/>
          <w:color w:val="auto"/>
          <w:sz w:val="24"/>
          <w:szCs w:val="24"/>
        </w:rPr>
        <w:t>劳动合同（关键页）或聘书或社保证明等。</w:t>
      </w:r>
    </w:p>
    <w:p>
      <w:pPr>
        <w:spacing w:line="360" w:lineRule="auto"/>
        <w:outlineLvl w:val="1"/>
        <w:rPr>
          <w:rFonts w:eastAsia="宋体"/>
          <w:b/>
          <w:color w:val="auto"/>
          <w:sz w:val="24"/>
          <w:szCs w:val="24"/>
        </w:rPr>
      </w:pPr>
    </w:p>
    <w:p>
      <w:pPr>
        <w:spacing w:line="360" w:lineRule="auto"/>
        <w:outlineLvl w:val="1"/>
        <w:rPr>
          <w:rFonts w:eastAsia="宋体"/>
          <w:b/>
          <w:color w:val="auto"/>
          <w:sz w:val="24"/>
          <w:szCs w:val="24"/>
        </w:rPr>
      </w:pPr>
    </w:p>
    <w:p>
      <w:pPr>
        <w:spacing w:line="360" w:lineRule="auto"/>
        <w:ind w:firstLine="4320" w:firstLineChars="1800"/>
        <w:rPr>
          <w:rFonts w:ascii="宋体" w:hAnsi="等线" w:eastAsia="等线" w:cs="Times New Roman"/>
          <w:color w:val="auto"/>
          <w:sz w:val="24"/>
          <w:szCs w:val="24"/>
        </w:rPr>
      </w:pPr>
      <w:r>
        <w:rPr>
          <w:rFonts w:hint="eastAsia" w:ascii="宋体" w:hAnsi="宋体" w:eastAsia="等线" w:cs="Times New Roman"/>
          <w:color w:val="auto"/>
          <w:sz w:val="24"/>
          <w:szCs w:val="24"/>
        </w:rPr>
        <w:t>投</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标</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人（单位公章）：</w:t>
      </w:r>
    </w:p>
    <w:p>
      <w:pPr>
        <w:spacing w:line="360" w:lineRule="auto"/>
        <w:ind w:firstLine="4320" w:firstLineChars="1800"/>
        <w:rPr>
          <w:rFonts w:ascii="宋体" w:hAnsi="等线" w:eastAsia="等线" w:cs="Times New Roman"/>
          <w:color w:val="auto"/>
          <w:sz w:val="24"/>
          <w:szCs w:val="24"/>
        </w:rPr>
      </w:pPr>
      <w:r>
        <w:rPr>
          <w:rFonts w:hint="eastAsia" w:ascii="宋体" w:hAnsi="宋体" w:eastAsia="等线" w:cs="Times New Roman"/>
          <w:color w:val="auto"/>
          <w:sz w:val="24"/>
          <w:szCs w:val="24"/>
        </w:rPr>
        <w:t>法定代表人或委托代理人（签字或盖章）：</w:t>
      </w:r>
    </w:p>
    <w:p>
      <w:pPr>
        <w:rPr>
          <w:rFonts w:ascii="等线" w:hAnsi="等线" w:eastAsia="等线" w:cs="Times New Roman"/>
          <w:b/>
          <w:color w:val="auto"/>
          <w:sz w:val="24"/>
          <w:szCs w:val="24"/>
        </w:rPr>
      </w:pPr>
      <w:r>
        <w:rPr>
          <w:rFonts w:hint="eastAsia" w:ascii="宋体" w:hAnsi="宋体" w:eastAsia="等线" w:cs="Times New Roman"/>
          <w:color w:val="auto"/>
          <w:sz w:val="24"/>
          <w:szCs w:val="24"/>
        </w:rPr>
        <w:t xml:space="preserve">                                     日</w:t>
      </w:r>
      <w:r>
        <w:rPr>
          <w:rFonts w:ascii="宋体" w:hAnsi="宋体" w:eastAsia="等线" w:cs="Times New Roman"/>
          <w:color w:val="auto"/>
          <w:sz w:val="24"/>
          <w:szCs w:val="24"/>
        </w:rPr>
        <w:t xml:space="preserve">    </w:t>
      </w:r>
      <w:r>
        <w:rPr>
          <w:rFonts w:hint="eastAsia" w:ascii="宋体" w:hAnsi="宋体" w:eastAsia="等线" w:cs="Times New Roman"/>
          <w:color w:val="auto"/>
          <w:sz w:val="24"/>
          <w:szCs w:val="24"/>
        </w:rPr>
        <w:t>期：</w:t>
      </w:r>
      <w:r>
        <w:rPr>
          <w:rFonts w:ascii="宋体" w:hAnsi="宋体" w:eastAsia="等线" w:cs="Arial"/>
          <w:color w:val="auto"/>
          <w:sz w:val="24"/>
          <w:szCs w:val="24"/>
        </w:rPr>
        <w:t xml:space="preserve">    </w:t>
      </w:r>
      <w:r>
        <w:rPr>
          <w:rFonts w:hint="eastAsia" w:ascii="宋体" w:hAnsi="宋体" w:eastAsia="等线" w:cs="Arial"/>
          <w:color w:val="auto"/>
          <w:sz w:val="24"/>
          <w:szCs w:val="24"/>
        </w:rPr>
        <w:t>年</w:t>
      </w:r>
      <w:r>
        <w:rPr>
          <w:rFonts w:ascii="宋体" w:hAnsi="宋体" w:eastAsia="等线" w:cs="Arial"/>
          <w:color w:val="auto"/>
          <w:sz w:val="24"/>
          <w:szCs w:val="24"/>
        </w:rPr>
        <w:t xml:space="preserve">   </w:t>
      </w:r>
      <w:r>
        <w:rPr>
          <w:rFonts w:hint="eastAsia" w:ascii="宋体" w:hAnsi="宋体" w:eastAsia="等线" w:cs="Arial"/>
          <w:color w:val="auto"/>
          <w:sz w:val="24"/>
          <w:szCs w:val="24"/>
        </w:rPr>
        <w:t>月</w:t>
      </w:r>
      <w:r>
        <w:rPr>
          <w:rFonts w:ascii="宋体" w:hAnsi="宋体" w:eastAsia="等线" w:cs="Arial"/>
          <w:color w:val="auto"/>
          <w:sz w:val="24"/>
          <w:szCs w:val="24"/>
        </w:rPr>
        <w:t xml:space="preserve">   </w:t>
      </w:r>
      <w:r>
        <w:rPr>
          <w:rFonts w:hint="eastAsia" w:ascii="宋体" w:hAnsi="宋体" w:eastAsia="等线" w:cs="Arial"/>
          <w:color w:val="auto"/>
          <w:sz w:val="24"/>
          <w:szCs w:val="24"/>
        </w:rPr>
        <w:t>日</w:t>
      </w:r>
    </w:p>
    <w:p>
      <w:pPr>
        <w:spacing w:line="360" w:lineRule="auto"/>
        <w:outlineLvl w:val="1"/>
        <w:rPr>
          <w:rFonts w:eastAsia="宋体"/>
          <w:b/>
          <w:color w:val="auto"/>
          <w:sz w:val="24"/>
          <w:szCs w:val="24"/>
        </w:rPr>
      </w:pPr>
      <w:bookmarkStart w:id="168" w:name="_Toc15467"/>
      <w:r>
        <w:rPr>
          <w:rFonts w:hint="eastAsia"/>
          <w:b/>
          <w:bCs/>
          <w:color w:val="auto"/>
          <w:sz w:val="32"/>
          <w:szCs w:val="32"/>
        </w:rPr>
        <w:tab/>
      </w:r>
      <w:r>
        <w:rPr>
          <w:rFonts w:hint="eastAsia" w:ascii="等线" w:hAnsi="等线" w:eastAsia="等线" w:cs="Times New Roman"/>
          <w:b/>
          <w:color w:val="auto"/>
          <w:sz w:val="24"/>
          <w:szCs w:val="24"/>
        </w:rPr>
        <w:br w:type="page"/>
      </w:r>
      <w:bookmarkStart w:id="169" w:name="_Toc16238398"/>
      <w:r>
        <w:rPr>
          <w:rFonts w:hint="eastAsia" w:eastAsia="宋体"/>
          <w:b/>
          <w:color w:val="auto"/>
          <w:sz w:val="24"/>
          <w:szCs w:val="24"/>
        </w:rPr>
        <w:t>附件7：</w:t>
      </w:r>
      <w:bookmarkEnd w:id="169"/>
    </w:p>
    <w:p>
      <w:pPr>
        <w:spacing w:line="360" w:lineRule="auto"/>
        <w:jc w:val="center"/>
        <w:outlineLvl w:val="1"/>
        <w:rPr>
          <w:rFonts w:eastAsia="宋体"/>
          <w:b/>
          <w:color w:val="auto"/>
          <w:sz w:val="32"/>
          <w:szCs w:val="32"/>
        </w:rPr>
      </w:pPr>
      <w:bookmarkStart w:id="170" w:name="_Toc16238399"/>
      <w:r>
        <w:rPr>
          <w:rFonts w:hint="eastAsia" w:eastAsia="宋体"/>
          <w:b/>
          <w:color w:val="auto"/>
          <w:sz w:val="32"/>
          <w:szCs w:val="32"/>
        </w:rPr>
        <w:t>投标保密承诺书</w:t>
      </w:r>
      <w:bookmarkEnd w:id="170"/>
    </w:p>
    <w:p>
      <w:pPr>
        <w:spacing w:line="560" w:lineRule="exact"/>
        <w:ind w:firstLine="560" w:firstLineChars="200"/>
        <w:jc w:val="center"/>
        <w:rPr>
          <w:color w:val="auto"/>
          <w:sz w:val="28"/>
          <w:szCs w:val="28"/>
        </w:rPr>
      </w:pPr>
    </w:p>
    <w:p>
      <w:pPr>
        <w:spacing w:line="560" w:lineRule="exact"/>
        <w:rPr>
          <w:rFonts w:ascii="仿宋_GB2312" w:hAnsi="华文仿宋" w:eastAsia="仿宋_GB2312"/>
          <w:color w:val="auto"/>
          <w:sz w:val="32"/>
          <w:szCs w:val="32"/>
        </w:rPr>
      </w:pPr>
      <w:r>
        <w:rPr>
          <w:rFonts w:hint="eastAsia" w:ascii="仿宋_GB2312" w:hAnsi="华文仿宋" w:eastAsia="仿宋_GB2312"/>
          <w:color w:val="auto"/>
          <w:sz w:val="32"/>
          <w:szCs w:val="32"/>
        </w:rPr>
        <w:t>致：广州南沙资产经营有限公司</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我司希望参与</w:t>
      </w:r>
      <w:r>
        <w:rPr>
          <w:rFonts w:hint="eastAsia" w:ascii="仿宋_GB2312" w:hAnsi="华文仿宋" w:eastAsia="仿宋_GB2312"/>
          <w:color w:val="auto"/>
          <w:sz w:val="32"/>
          <w:szCs w:val="32"/>
          <w:u w:val="single"/>
        </w:rPr>
        <w:t xml:space="preserve">  </w:t>
      </w:r>
      <w:r>
        <w:rPr>
          <w:rFonts w:ascii="仿宋_GB2312" w:hAnsi="华文仿宋" w:eastAsia="仿宋_GB2312"/>
          <w:color w:val="auto"/>
          <w:sz w:val="32"/>
          <w:szCs w:val="32"/>
          <w:u w:val="single"/>
        </w:rPr>
        <w:t xml:space="preserve">  </w:t>
      </w:r>
      <w:r>
        <w:rPr>
          <w:rFonts w:hint="eastAsia" w:ascii="仿宋_GB2312" w:hAnsi="华文仿宋" w:eastAsia="仿宋_GB2312"/>
          <w:color w:val="auto"/>
          <w:sz w:val="32"/>
          <w:szCs w:val="32"/>
          <w:u w:val="single"/>
        </w:rPr>
        <w:t xml:space="preserve">   </w:t>
      </w:r>
      <w:r>
        <w:rPr>
          <w:rFonts w:hint="eastAsia" w:ascii="仿宋_GB2312" w:hAnsi="华文仿宋" w:eastAsia="仿宋_GB2312"/>
          <w:color w:val="auto"/>
          <w:sz w:val="32"/>
          <w:szCs w:val="32"/>
          <w:lang w:val="zh-CN"/>
        </w:rPr>
        <w:t>项目</w:t>
      </w:r>
      <w:r>
        <w:rPr>
          <w:rFonts w:hint="eastAsia" w:ascii="仿宋_GB2312" w:hAnsi="华文仿宋" w:eastAsia="仿宋_GB2312"/>
          <w:color w:val="auto"/>
          <w:sz w:val="32"/>
          <w:szCs w:val="32"/>
        </w:rPr>
        <w:t>。在本项目投标过程中，贵司同意向我司提供有关本项目的相关信息和技术资料，前提是我司必须根据本承诺书的规定对所提供的信息和资料严格履行保密责任，并且仅为对本项目的招投标及项目实施之目的而使用，为了对保密信息予以有效保护，我司同意做出以下承诺：</w:t>
      </w:r>
    </w:p>
    <w:p>
      <w:pPr>
        <w:spacing w:line="560" w:lineRule="exact"/>
        <w:ind w:firstLine="643" w:firstLineChars="2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一、相关信息和资料的定义</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本承诺书所称的“相关信息和资料”是指本项目实施过程中涉及的全部未向社会公开的信息，无论是书面的、口头的、图形的、电子的或其它任何形式的信息。</w:t>
      </w:r>
    </w:p>
    <w:p>
      <w:pPr>
        <w:spacing w:line="560" w:lineRule="exact"/>
        <w:ind w:firstLine="643" w:firstLineChars="2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二、保密义务</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1．我司同意严格保密本次项目招投标所提供的相关信息和资料。</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2．我司保证采取所有必要的方法对本次项目招投标所提供的相关信息和资料进行保密，严禁非授权透露、使用、复制本次项目招投标所提供的相关信息和资料。</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3．未经贵司书面同意，我司不得因任何理由以任何方式透露本次项目招投标所提供的相关信息和资料。</w:t>
      </w:r>
    </w:p>
    <w:p>
      <w:pPr>
        <w:spacing w:line="560" w:lineRule="exact"/>
        <w:ind w:firstLine="643" w:firstLineChars="2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三、使用方式和不使用的义务</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1.本次项目招投标所提供的相关信息和资料只能被我司用于进行本次参与招投标及中标后的项目实施，我司不能将本次项目招投标所提供的相关信息和资料用于其它任何目的，除我司参与招投标的人员和直接参与本次项目实施的工作人员外，我司不能将本次项目招投标所提供的相关信息和资料透露给其它任何人。</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2.我司应当告知参与本次招投标的工作人员或我司聘请的相关人员遵守本保密协议书的约定，并应采取必要措施，确保其参与本次招投标和项目实施的工作人员履行保密义务。若参与本项工作之人员违反本保密协议的约定，泄露了贵司所提供的相关信息和资料，依据本承诺书约定，我司应与泄密工作人员或其他人员承担连带责任。</w:t>
      </w:r>
    </w:p>
    <w:p>
      <w:pPr>
        <w:spacing w:line="560" w:lineRule="exact"/>
        <w:ind w:firstLine="643" w:firstLineChars="20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四、保密期限</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自本承诺书生效之日起，双方的合作交流都要符合本承诺书的约定，除非贵通过书面通知明确说明，本承诺书所涉及的某项信息和资料可以不用保密，我司必须按照本承诺书所承担的保密义务在所接受的信息和资料被社会公知前所收到的相关信息和资料进行保密，保密期限不受本承诺书有效期限的限制。</w:t>
      </w:r>
    </w:p>
    <w:p>
      <w:pPr>
        <w:numPr>
          <w:ilvl w:val="0"/>
          <w:numId w:val="16"/>
        </w:num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本承诺书自我司加盖公章之日起生效。</w:t>
      </w:r>
    </w:p>
    <w:p>
      <w:pPr>
        <w:spacing w:line="560" w:lineRule="exact"/>
        <w:rPr>
          <w:rFonts w:ascii="仿宋_GB2312" w:hAnsi="华文仿宋" w:eastAsia="仿宋_GB2312"/>
          <w:color w:val="auto"/>
          <w:sz w:val="32"/>
          <w:szCs w:val="32"/>
        </w:rPr>
      </w:pPr>
    </w:p>
    <w:p>
      <w:pPr>
        <w:spacing w:line="560" w:lineRule="exact"/>
        <w:jc w:val="center"/>
        <w:rPr>
          <w:rFonts w:ascii="仿宋_GB2312" w:hAnsi="华文仿宋" w:eastAsia="仿宋_GB2312"/>
          <w:color w:val="auto"/>
          <w:sz w:val="32"/>
          <w:szCs w:val="32"/>
        </w:rPr>
      </w:pPr>
      <w:r>
        <w:rPr>
          <w:rFonts w:hint="eastAsia" w:ascii="仿宋_GB2312" w:hAnsi="华文仿宋" w:eastAsia="仿宋_GB2312"/>
          <w:color w:val="auto"/>
          <w:sz w:val="32"/>
          <w:szCs w:val="32"/>
        </w:rPr>
        <w:t xml:space="preserve"> </w:t>
      </w:r>
      <w:r>
        <w:rPr>
          <w:rFonts w:ascii="仿宋_GB2312" w:hAnsi="华文仿宋" w:eastAsia="仿宋_GB2312"/>
          <w:color w:val="auto"/>
          <w:sz w:val="32"/>
          <w:szCs w:val="32"/>
        </w:rPr>
        <w:t xml:space="preserve">         </w:t>
      </w:r>
    </w:p>
    <w:p>
      <w:pPr>
        <w:spacing w:line="560" w:lineRule="exact"/>
        <w:jc w:val="center"/>
        <w:rPr>
          <w:rFonts w:ascii="仿宋_GB2312" w:hAnsi="华文仿宋" w:eastAsia="仿宋_GB2312"/>
          <w:color w:val="auto"/>
          <w:sz w:val="32"/>
          <w:szCs w:val="32"/>
        </w:rPr>
      </w:pPr>
    </w:p>
    <w:p>
      <w:pPr>
        <w:spacing w:line="560" w:lineRule="exact"/>
        <w:jc w:val="center"/>
        <w:rPr>
          <w:rFonts w:ascii="仿宋_GB2312" w:hAnsi="华文仿宋" w:eastAsia="仿宋_GB2312"/>
          <w:color w:val="auto"/>
          <w:sz w:val="32"/>
          <w:szCs w:val="32"/>
        </w:rPr>
      </w:pPr>
      <w:r>
        <w:rPr>
          <w:rFonts w:ascii="仿宋_GB2312" w:hAnsi="华文仿宋" w:eastAsia="仿宋_GB2312"/>
          <w:color w:val="auto"/>
          <w:sz w:val="32"/>
          <w:szCs w:val="32"/>
        </w:rPr>
        <w:t xml:space="preserve"> </w:t>
      </w:r>
      <w:r>
        <w:rPr>
          <w:rFonts w:hint="eastAsia" w:ascii="仿宋_GB2312" w:hAnsi="华文仿宋" w:eastAsia="仿宋_GB2312"/>
          <w:color w:val="auto"/>
          <w:sz w:val="32"/>
          <w:szCs w:val="32"/>
        </w:rPr>
        <w:t>承诺单位（加盖公章）：</w:t>
      </w:r>
    </w:p>
    <w:p>
      <w:pPr>
        <w:spacing w:line="560" w:lineRule="exact"/>
        <w:jc w:val="center"/>
        <w:rPr>
          <w:rFonts w:ascii="仿宋_GB2312" w:hAnsi="华文仿宋" w:eastAsia="仿宋_GB2312"/>
          <w:color w:val="auto"/>
          <w:sz w:val="32"/>
          <w:szCs w:val="32"/>
        </w:rPr>
      </w:pPr>
      <w:r>
        <w:rPr>
          <w:rFonts w:hint="eastAsia" w:ascii="仿宋_GB2312" w:hAnsi="华文仿宋" w:eastAsia="仿宋_GB2312"/>
          <w:color w:val="auto"/>
          <w:sz w:val="32"/>
          <w:szCs w:val="32"/>
        </w:rPr>
        <w:t xml:space="preserve"> </w:t>
      </w:r>
      <w:r>
        <w:rPr>
          <w:rFonts w:ascii="仿宋_GB2312" w:hAnsi="华文仿宋" w:eastAsia="仿宋_GB2312"/>
          <w:color w:val="auto"/>
          <w:sz w:val="32"/>
          <w:szCs w:val="32"/>
        </w:rPr>
        <w:t xml:space="preserve">    </w:t>
      </w:r>
      <w:r>
        <w:rPr>
          <w:rFonts w:hint="eastAsia" w:ascii="仿宋_GB2312" w:hAnsi="华文仿宋" w:eastAsia="仿宋_GB2312"/>
          <w:color w:val="auto"/>
          <w:sz w:val="32"/>
          <w:szCs w:val="32"/>
        </w:rPr>
        <w:t>日期：</w:t>
      </w:r>
    </w:p>
    <w:p>
      <w:pPr>
        <w:spacing w:line="560" w:lineRule="exact"/>
        <w:ind w:firstLine="560" w:firstLineChars="200"/>
        <w:rPr>
          <w:color w:val="auto"/>
          <w:sz w:val="28"/>
          <w:szCs w:val="28"/>
        </w:rPr>
      </w:pPr>
    </w:p>
    <w:p>
      <w:pPr>
        <w:keepNext/>
        <w:keepLines/>
        <w:spacing w:before="120" w:after="120" w:line="360" w:lineRule="auto"/>
        <w:jc w:val="center"/>
        <w:outlineLvl w:val="0"/>
        <w:rPr>
          <w:rFonts w:ascii="等线" w:hAnsi="等线" w:eastAsia="仿宋_GB2312" w:cs="Times New Roman"/>
          <w:b/>
          <w:bCs/>
          <w:color w:val="auto"/>
          <w:sz w:val="44"/>
        </w:rPr>
      </w:pPr>
      <w:bookmarkStart w:id="171" w:name="_Toc16238400"/>
      <w:r>
        <w:rPr>
          <w:rFonts w:hint="eastAsia" w:ascii="黑体" w:hAnsi="黑体" w:eastAsia="黑体" w:cs="Times New Roman"/>
          <w:color w:val="auto"/>
          <w:kern w:val="44"/>
          <w:sz w:val="44"/>
          <w:szCs w:val="44"/>
          <w:lang w:val="zh-CN"/>
        </w:rPr>
        <w:t>第六章  任务书</w:t>
      </w:r>
      <w:bookmarkEnd w:id="168"/>
      <w:bookmarkEnd w:id="171"/>
    </w:p>
    <w:p>
      <w:pPr>
        <w:keepNext/>
        <w:keepLines/>
        <w:spacing w:line="560" w:lineRule="exact"/>
        <w:outlineLvl w:val="1"/>
        <w:rPr>
          <w:rFonts w:ascii="仿宋_GB2312" w:hAnsi="黑体" w:eastAsia="仿宋_GB2312" w:cs="黑体"/>
          <w:b/>
          <w:bCs/>
          <w:color w:val="auto"/>
          <w:sz w:val="32"/>
          <w:szCs w:val="32"/>
        </w:rPr>
      </w:pPr>
      <w:bookmarkStart w:id="172" w:name="_Toc480442187"/>
      <w:bookmarkStart w:id="173" w:name="_Toc16238401"/>
      <w:r>
        <w:rPr>
          <w:rFonts w:hint="eastAsia" w:ascii="仿宋_GB2312" w:hAnsi="黑体" w:eastAsia="仿宋_GB2312" w:cs="黑体"/>
          <w:b/>
          <w:bCs/>
          <w:color w:val="auto"/>
          <w:sz w:val="32"/>
          <w:szCs w:val="32"/>
        </w:rPr>
        <w:t>一、任务背景</w:t>
      </w:r>
      <w:bookmarkEnd w:id="172"/>
      <w:r>
        <w:rPr>
          <w:rFonts w:hint="eastAsia" w:ascii="仿宋_GB2312" w:hAnsi="黑体" w:eastAsia="仿宋_GB2312" w:cs="黑体"/>
          <w:b/>
          <w:bCs/>
          <w:color w:val="auto"/>
          <w:sz w:val="32"/>
          <w:szCs w:val="32"/>
        </w:rPr>
        <w:t>及概况</w:t>
      </w:r>
      <w:bookmarkEnd w:id="173"/>
    </w:p>
    <w:p>
      <w:pPr>
        <w:widowControl/>
        <w:adjustRightInd w:val="0"/>
        <w:spacing w:line="560" w:lineRule="exact"/>
        <w:ind w:firstLine="640"/>
        <w:rPr>
          <w:rFonts w:ascii="仿宋_GB2312" w:hAnsi="仿宋_GB2312" w:eastAsia="仿宋_GB2312" w:cs="仿宋_GB2312"/>
          <w:color w:val="auto"/>
          <w:kern w:val="0"/>
          <w:sz w:val="32"/>
          <w:szCs w:val="32"/>
        </w:rPr>
      </w:pPr>
      <w:bookmarkStart w:id="174" w:name="_Toc480442188"/>
      <w:r>
        <w:rPr>
          <w:rFonts w:hint="eastAsia" w:ascii="仿宋_GB2312" w:hAnsi="Arial" w:eastAsia="仿宋_GB2312" w:cs="Arial"/>
          <w:color w:val="auto"/>
          <w:sz w:val="32"/>
          <w:szCs w:val="32"/>
        </w:rPr>
        <w:t>2019年2月18日，中共中央、国务院印发了《</w:t>
      </w:r>
      <w:r>
        <w:rPr>
          <w:color w:val="auto"/>
        </w:rPr>
        <w:fldChar w:fldCharType="begin"/>
      </w:r>
      <w:r>
        <w:rPr>
          <w:color w:val="auto"/>
        </w:rPr>
        <w:instrText xml:space="preserve"> HYPERLINK "https://baike.baidu.com/item/%E7%B2%A4%E6%B8%AF%E6%BE%B3%E5%A4%A7%E6%B9%BE%E5%8C%BA%E5%8F%91%E5%B1%95%E8%A7%84%E5%88%92%E7%BA%B2%E8%A6%81/22359240" \t "_blank" </w:instrText>
      </w:r>
      <w:r>
        <w:rPr>
          <w:color w:val="auto"/>
        </w:rPr>
        <w:fldChar w:fldCharType="separate"/>
      </w:r>
      <w:r>
        <w:rPr>
          <w:rFonts w:hint="eastAsia" w:ascii="仿宋_GB2312" w:hAnsi="Arial" w:eastAsia="仿宋_GB2312" w:cs="Arial"/>
          <w:color w:val="auto"/>
          <w:sz w:val="32"/>
          <w:szCs w:val="32"/>
        </w:rPr>
        <w:t>粤港澳大湾区发展规划纲要</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》，南沙区被定位为粤港澳全面合作示范区，要求携手港澳建设高水平对外开放门户、创新发展示范区、金融服务重要平台和优质生活圈。现</w:t>
      </w:r>
      <w:r>
        <w:rPr>
          <w:rFonts w:hint="eastAsia" w:ascii="仿宋_GB2312" w:hAnsi="微软雅黑" w:eastAsia="仿宋_GB2312"/>
          <w:color w:val="auto"/>
          <w:sz w:val="32"/>
          <w:szCs w:val="32"/>
        </w:rPr>
        <w:t>南沙区正在以高标准推进国家新区、自贸试验区、粤港澳全面合作示范区、</w:t>
      </w:r>
      <w:r>
        <w:rPr>
          <w:rStyle w:val="152"/>
          <w:rFonts w:hint="eastAsia" w:ascii="仿宋_GB2312" w:eastAsia="仿宋_GB2312"/>
          <w:b w:val="0"/>
          <w:bCs w:val="0"/>
          <w:color w:val="auto"/>
          <w:sz w:val="32"/>
          <w:szCs w:val="32"/>
        </w:rPr>
        <w:t>广州副中心建设，</w:t>
      </w:r>
      <w:r>
        <w:rPr>
          <w:rFonts w:hint="eastAsia" w:ascii="仿宋_GB2312" w:hAnsi="Helvetica" w:eastAsia="仿宋_GB2312" w:cs="Arial"/>
          <w:color w:val="auto"/>
          <w:sz w:val="32"/>
          <w:szCs w:val="32"/>
        </w:rPr>
        <w:t>南沙的开发建设发展</w:t>
      </w:r>
      <w:r>
        <w:rPr>
          <w:rFonts w:hint="eastAsia" w:ascii="仿宋_GB2312" w:hAnsi="微软雅黑" w:eastAsia="仿宋_GB2312"/>
          <w:color w:val="auto"/>
          <w:sz w:val="32"/>
          <w:szCs w:val="32"/>
        </w:rPr>
        <w:t>迎来了前所未有的重大历史机遇。</w:t>
      </w:r>
    </w:p>
    <w:p>
      <w:pPr>
        <w:widowControl/>
        <w:adjustRightInd w:val="0"/>
        <w:spacing w:line="560" w:lineRule="exact"/>
        <w:ind w:firstLine="640"/>
        <w:rPr>
          <w:rFonts w:ascii="仿宋_GB2312" w:hAnsi="Calibri" w:eastAsia="仿宋_GB2312" w:cs="宋体"/>
          <w:color w:val="auto"/>
          <w:kern w:val="0"/>
          <w:sz w:val="32"/>
          <w:szCs w:val="32"/>
        </w:rPr>
      </w:pPr>
      <w:bookmarkStart w:id="175" w:name="_Hlk15465740"/>
      <w:r>
        <w:rPr>
          <w:rFonts w:hint="eastAsia" w:ascii="仿宋_GB2312" w:hAnsi="仿宋_GB2312" w:eastAsia="仿宋_GB2312" w:cs="仿宋_GB2312"/>
          <w:color w:val="auto"/>
          <w:kern w:val="0"/>
          <w:sz w:val="32"/>
          <w:szCs w:val="32"/>
        </w:rPr>
        <w:t>广州南沙资产经营有限公司</w:t>
      </w:r>
      <w:r>
        <w:rPr>
          <w:rFonts w:hint="eastAsia" w:ascii="仿宋_GB2312" w:hAnsi="Calibri" w:eastAsia="仿宋_GB2312" w:cs="宋体"/>
          <w:color w:val="auto"/>
          <w:kern w:val="0"/>
          <w:sz w:val="32"/>
          <w:szCs w:val="32"/>
        </w:rPr>
        <w:t>成立于2002年，于2011年与广州南沙经济技术开发总公司（成立于1992年）整合重组、合并经营</w:t>
      </w:r>
      <w:r>
        <w:rPr>
          <w:rFonts w:hint="eastAsia" w:ascii="仿宋_GB2312" w:hAnsi="仿宋_GB2312" w:eastAsia="仿宋_GB2312" w:cs="仿宋_GB2312"/>
          <w:color w:val="auto"/>
          <w:kern w:val="0"/>
          <w:sz w:val="32"/>
          <w:szCs w:val="32"/>
        </w:rPr>
        <w:t>（两家公司以下统称为资产公司）</w:t>
      </w:r>
      <w:r>
        <w:rPr>
          <w:rFonts w:hint="eastAsia" w:ascii="仿宋_GB2312" w:hAnsi="Calibri" w:eastAsia="仿宋_GB2312" w:cs="宋体"/>
          <w:color w:val="auto"/>
          <w:kern w:val="0"/>
          <w:sz w:val="32"/>
          <w:szCs w:val="32"/>
        </w:rPr>
        <w:t>，是广州南沙新区、自贸区开发建设的主力军，也是南沙新区较大的城市基础及公共配套设施投资营运商和产业多元化国有集团企业，肩负着推进战略性基础设施、战略性主导产业、战略性发展平台的重任。经过二十多年发展，资产公司壮大成为行业涵盖港航物流、房地产开发、文化旅游、公共交通、市政工程建设、基础设施投资、进出口贸易、教育培训、物业管理、高尔夫球会等多个领域，是南沙区首个获得ISO</w:t>
      </w:r>
      <w:r>
        <w:rPr>
          <w:rFonts w:hint="eastAsia" w:ascii="仿宋_GB2312" w:hAnsi="仿宋_GB2312" w:eastAsia="仿宋_GB2312" w:cs="仿宋_GB2312"/>
          <w:color w:val="auto"/>
          <w:kern w:val="0"/>
          <w:sz w:val="32"/>
          <w:szCs w:val="32"/>
        </w:rPr>
        <w:t xml:space="preserve"> ISO9001：2015</w:t>
      </w:r>
      <w:r>
        <w:rPr>
          <w:rFonts w:hint="eastAsia" w:ascii="仿宋_GB2312" w:hAnsi="Calibri" w:eastAsia="仿宋_GB2312" w:cs="宋体"/>
          <w:color w:val="auto"/>
          <w:kern w:val="0"/>
          <w:sz w:val="32"/>
          <w:szCs w:val="32"/>
        </w:rPr>
        <w:t>质量管理体系认证的区属国企。公司的资产总额约50.05亿元、净资产约20.32亿元，是目前南沙区内唯一一家涉足港口、物流、仓储、贸易、交易等行业于一体的</w:t>
      </w:r>
      <w:bookmarkStart w:id="176" w:name="_Hlk15466145"/>
      <w:r>
        <w:rPr>
          <w:rFonts w:hint="eastAsia" w:ascii="仿宋_GB2312" w:hAnsi="Calibri" w:eastAsia="仿宋_GB2312" w:cs="宋体"/>
          <w:color w:val="auto"/>
          <w:kern w:val="0"/>
          <w:sz w:val="32"/>
          <w:szCs w:val="32"/>
        </w:rPr>
        <w:t>区属国有企业</w:t>
      </w:r>
      <w:bookmarkEnd w:id="176"/>
      <w:r>
        <w:rPr>
          <w:rFonts w:hint="eastAsia" w:ascii="仿宋_GB2312" w:hAnsi="Calibri" w:eastAsia="仿宋_GB2312" w:cs="宋体"/>
          <w:color w:val="auto"/>
          <w:kern w:val="0"/>
          <w:sz w:val="32"/>
          <w:szCs w:val="32"/>
        </w:rPr>
        <w:t>，同时也是进驻龙穴岛进行开发建设的首批投入最大的企业之一，具有强大的行业核心能力</w:t>
      </w:r>
      <w:bookmarkEnd w:id="175"/>
      <w:r>
        <w:rPr>
          <w:rFonts w:hint="eastAsia" w:ascii="仿宋_GB2312" w:hAnsi="Calibri" w:eastAsia="仿宋_GB2312" w:cs="宋体"/>
          <w:color w:val="auto"/>
          <w:kern w:val="0"/>
          <w:sz w:val="32"/>
          <w:szCs w:val="32"/>
        </w:rPr>
        <w:t>。</w:t>
      </w:r>
    </w:p>
    <w:p>
      <w:pPr>
        <w:widowControl/>
        <w:shd w:val="clear" w:color="auto" w:fill="FFFFFF"/>
        <w:spacing w:line="560" w:lineRule="exact"/>
        <w:ind w:firstLine="640" w:firstLineChars="200"/>
        <w:rPr>
          <w:rFonts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rPr>
        <w:t>资产公司</w:t>
      </w:r>
      <w:r>
        <w:rPr>
          <w:rFonts w:hint="eastAsia" w:ascii="仿宋_GB2312" w:hAnsi="微软雅黑" w:eastAsia="仿宋_GB2312" w:cs="宋体"/>
          <w:color w:val="auto"/>
          <w:kern w:val="0"/>
          <w:sz w:val="32"/>
          <w:szCs w:val="32"/>
        </w:rPr>
        <w:t>现设有</w:t>
      </w:r>
      <w:r>
        <w:rPr>
          <w:rFonts w:hint="eastAsia" w:ascii="仿宋_GB2312" w:hAnsi="宋体" w:eastAsia="仿宋_GB2312" w:cs="Times New Roman"/>
          <w:color w:val="auto"/>
          <w:sz w:val="32"/>
          <w:szCs w:val="32"/>
        </w:rPr>
        <w:t>行政管理部、党委办、纪检监察办公室、人力资源部、财务管理部、投资管理部、运营管理部、建设管理部（安委办）、审计部、总工室等部室；</w:t>
      </w:r>
      <w:r>
        <w:rPr>
          <w:rFonts w:hint="eastAsia" w:ascii="仿宋_GB2312" w:hAnsi="仿宋_GB2312" w:eastAsia="仿宋_GB2312" w:cs="仿宋_GB2312"/>
          <w:color w:val="auto"/>
          <w:sz w:val="32"/>
          <w:szCs w:val="32"/>
        </w:rPr>
        <w:t>公司包括资产公司和经发公司2大体系，纳入二级运营管理的全资子公司11家；依照股权结构关系，属下企业共90家公司，其中：属下全资公司（含4家平台公司）51家，控股公司4家，参股公司35家。资产公司总部现</w:t>
      </w:r>
      <w:r>
        <w:rPr>
          <w:rFonts w:hint="eastAsia" w:ascii="仿宋_GB2312" w:hAnsi="微软雅黑" w:eastAsia="仿宋_GB2312" w:cs="宋体"/>
          <w:color w:val="auto"/>
          <w:kern w:val="0"/>
          <w:sz w:val="32"/>
          <w:szCs w:val="32"/>
        </w:rPr>
        <w:t>有人数89人（不含公司领导），下属公司领导班子成员人数29人（不含建投公司），建投公司18人。</w:t>
      </w:r>
    </w:p>
    <w:p>
      <w:pPr>
        <w:keepNext/>
        <w:keepLines/>
        <w:spacing w:line="560" w:lineRule="exact"/>
        <w:outlineLvl w:val="1"/>
        <w:rPr>
          <w:rFonts w:ascii="仿宋_GB2312" w:hAnsi="黑体" w:eastAsia="仿宋_GB2312" w:cs="黑体"/>
          <w:b/>
          <w:bCs/>
          <w:color w:val="auto"/>
          <w:sz w:val="32"/>
          <w:szCs w:val="32"/>
        </w:rPr>
      </w:pPr>
      <w:bookmarkStart w:id="177" w:name="_Toc16238402"/>
      <w:r>
        <w:rPr>
          <w:rFonts w:hint="eastAsia" w:ascii="仿宋_GB2312" w:hAnsi="黑体" w:eastAsia="仿宋_GB2312" w:cs="黑体"/>
          <w:b/>
          <w:bCs/>
          <w:color w:val="auto"/>
          <w:sz w:val="32"/>
          <w:szCs w:val="32"/>
        </w:rPr>
        <w:t>二、工作任务</w:t>
      </w:r>
      <w:bookmarkEnd w:id="177"/>
    </w:p>
    <w:p>
      <w:pPr>
        <w:widowControl/>
        <w:adjustRightInd w:val="0"/>
        <w:spacing w:line="560" w:lineRule="exact"/>
        <w:ind w:firstLine="641"/>
        <w:rPr>
          <w:rFonts w:ascii="仿宋_GB2312" w:hAnsi="Calibri" w:eastAsia="仿宋_GB2312" w:cs="宋体"/>
          <w:color w:val="auto"/>
          <w:kern w:val="0"/>
          <w:sz w:val="32"/>
          <w:szCs w:val="32"/>
        </w:rPr>
      </w:pPr>
      <w:r>
        <w:rPr>
          <w:rFonts w:hint="eastAsia" w:ascii="仿宋_GB2312" w:hAnsi="仿宋_GB2312" w:eastAsia="仿宋_GB2312" w:cs="仿宋_GB2312"/>
          <w:color w:val="auto"/>
          <w:kern w:val="0"/>
          <w:sz w:val="32"/>
          <w:szCs w:val="32"/>
        </w:rPr>
        <w:t>资产公司2011年合并整合后，企业文化差异日渐减少，“专业务实，同心共享”的企业文化理念深植人心，目前资产公司正在进行股权架构梳理，将清理和整合重组一些下属公司，经营的业务结构发生很大调整。为使资产公司</w:t>
      </w:r>
      <w:r>
        <w:rPr>
          <w:rFonts w:hint="eastAsia" w:ascii="仿宋_GB2312" w:hAnsi="Calibri" w:eastAsia="仿宋_GB2312" w:cs="宋体"/>
          <w:bCs/>
          <w:color w:val="auto"/>
          <w:kern w:val="0"/>
          <w:sz w:val="32"/>
          <w:szCs w:val="32"/>
        </w:rPr>
        <w:t>及建投公司</w:t>
      </w:r>
      <w:r>
        <w:rPr>
          <w:rFonts w:hint="eastAsia" w:ascii="仿宋_GB2312" w:hAnsi="仿宋_GB2312" w:eastAsia="仿宋_GB2312" w:cs="仿宋_GB2312"/>
          <w:color w:val="auto"/>
          <w:kern w:val="0"/>
          <w:sz w:val="32"/>
          <w:szCs w:val="32"/>
        </w:rPr>
        <w:t>组织架构更好适应企业未来发展战略和业务经营需要，需对资产公司一、二级总部及建投公司的组织结构进行优化，</w:t>
      </w:r>
      <w:r>
        <w:rPr>
          <w:rFonts w:hint="eastAsia" w:ascii="仿宋_GB2312" w:hAnsi="Calibri" w:eastAsia="仿宋_GB2312" w:cs="宋体"/>
          <w:color w:val="auto"/>
          <w:kern w:val="0"/>
          <w:sz w:val="32"/>
          <w:szCs w:val="32"/>
        </w:rPr>
        <w:t>提出管理诊断意见和优化设计建议方案，以及薪酬体系设计方案，包括但不限于：</w:t>
      </w:r>
    </w:p>
    <w:p>
      <w:pPr>
        <w:widowControl/>
        <w:adjustRightInd w:val="0"/>
        <w:spacing w:line="560" w:lineRule="exact"/>
        <w:ind w:firstLine="641"/>
        <w:rPr>
          <w:rFonts w:ascii="仿宋_GB2312" w:hAnsi="华文楷体" w:eastAsia="仿宋_GB2312" w:cs="华文楷体"/>
          <w:b/>
          <w:color w:val="auto"/>
          <w:kern w:val="0"/>
          <w:sz w:val="32"/>
          <w:szCs w:val="32"/>
        </w:rPr>
      </w:pPr>
      <w:r>
        <w:rPr>
          <w:rFonts w:hint="eastAsia" w:ascii="仿宋_GB2312" w:hAnsi="华文楷体" w:eastAsia="仿宋_GB2312" w:cs="华文楷体"/>
          <w:b/>
          <w:color w:val="auto"/>
          <w:kern w:val="0"/>
          <w:sz w:val="32"/>
          <w:szCs w:val="32"/>
        </w:rPr>
        <w:t>（一）现状梳理</w:t>
      </w:r>
    </w:p>
    <w:p>
      <w:pPr>
        <w:widowControl/>
        <w:adjustRightInd w:val="0"/>
        <w:spacing w:line="560" w:lineRule="exact"/>
        <w:ind w:firstLine="641"/>
        <w:rPr>
          <w:rFonts w:ascii="仿宋_GB2312" w:hAnsi="Calibri" w:eastAsia="仿宋_GB2312" w:cs="宋体"/>
          <w:bCs/>
          <w:color w:val="auto"/>
          <w:kern w:val="0"/>
          <w:sz w:val="32"/>
          <w:szCs w:val="32"/>
        </w:rPr>
      </w:pPr>
      <w:r>
        <w:rPr>
          <w:rFonts w:hint="eastAsia" w:ascii="仿宋_GB2312" w:hAnsi="Calibri" w:eastAsia="仿宋_GB2312" w:cs="宋体"/>
          <w:bCs/>
          <w:color w:val="auto"/>
          <w:kern w:val="0"/>
          <w:sz w:val="32"/>
          <w:szCs w:val="32"/>
        </w:rPr>
        <w:t>结合资产公司发展战略、经营计划和经营业务情况等，</w:t>
      </w:r>
      <w:r>
        <w:rPr>
          <w:rFonts w:hint="eastAsia" w:ascii="仿宋_GB2312" w:hAnsi="Calibri" w:eastAsia="仿宋_GB2312" w:cs="宋体"/>
          <w:color w:val="auto"/>
          <w:kern w:val="0"/>
          <w:sz w:val="32"/>
          <w:szCs w:val="32"/>
        </w:rPr>
        <w:t>充分研究分析资产公司总部及建投公司现有组织架构、部门职责、管理制度与流程、岗位设置、人力资源现状等，对资产公司一、二级总部及建投公司组织架构、部门职责、人员编制、岗位设置、</w:t>
      </w:r>
      <w:r>
        <w:rPr>
          <w:rFonts w:hint="eastAsia" w:ascii="仿宋_GB2312" w:hAnsi="Calibri" w:eastAsia="仿宋_GB2312" w:cs="宋体"/>
          <w:bCs/>
          <w:color w:val="auto"/>
          <w:kern w:val="0"/>
          <w:sz w:val="32"/>
          <w:szCs w:val="32"/>
        </w:rPr>
        <w:t>人力资源管理流程等进行研究与分析，</w:t>
      </w:r>
      <w:r>
        <w:rPr>
          <w:rFonts w:hint="eastAsia" w:ascii="仿宋_GB2312" w:hAnsi="Calibri" w:eastAsia="仿宋_GB2312" w:cs="宋体"/>
          <w:color w:val="auto"/>
          <w:kern w:val="0"/>
          <w:sz w:val="32"/>
          <w:szCs w:val="32"/>
        </w:rPr>
        <w:t>发现存在的问题予以充分揭示（如组织架构是否满足发展战略需要，人力资源管控模式、部门职责划分与定位是否清晰、合理，人员编制、岗位设置、职级体系、业务流程是否科学、合理），出具分析成果，提出改进和完善建议。</w:t>
      </w:r>
    </w:p>
    <w:p>
      <w:pPr>
        <w:tabs>
          <w:tab w:val="left" w:pos="540"/>
        </w:tabs>
        <w:snapToGrid w:val="0"/>
        <w:spacing w:line="560" w:lineRule="exact"/>
        <w:ind w:firstLine="643" w:firstLineChars="200"/>
        <w:rPr>
          <w:rFonts w:ascii="仿宋_GB2312" w:hAnsi="华文楷体" w:eastAsia="仿宋_GB2312" w:cs="华文楷体"/>
          <w:b/>
          <w:bCs/>
          <w:color w:val="auto"/>
          <w:sz w:val="32"/>
          <w:szCs w:val="32"/>
        </w:rPr>
      </w:pPr>
      <w:r>
        <w:rPr>
          <w:rFonts w:hint="eastAsia" w:ascii="仿宋_GB2312" w:hAnsi="华文楷体" w:eastAsia="仿宋_GB2312" w:cs="华文楷体"/>
          <w:b/>
          <w:bCs/>
          <w:color w:val="auto"/>
          <w:sz w:val="32"/>
          <w:szCs w:val="32"/>
        </w:rPr>
        <w:t>（二）管理流程梳理与内部管理诊断（含资产公司一、二级总部及建投公司）</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（1）梳理公司的发展战略</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（2）管理流程的分析</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（3）组织效能与组织结构分析</w:t>
      </w:r>
    </w:p>
    <w:p>
      <w:pPr>
        <w:widowControl/>
        <w:spacing w:line="560" w:lineRule="exact"/>
        <w:ind w:firstLine="640" w:firstLineChars="200"/>
        <w:jc w:val="left"/>
        <w:rPr>
          <w:rFonts w:ascii="仿宋_GB2312" w:hAnsi="宋体" w:eastAsia="仿宋_GB2312" w:cs="宋体"/>
          <w:color w:val="auto"/>
          <w:sz w:val="32"/>
          <w:szCs w:val="32"/>
        </w:rPr>
      </w:pPr>
      <w:r>
        <w:rPr>
          <w:rFonts w:hint="eastAsia" w:ascii="仿宋_GB2312" w:hAnsi="Times New Roman" w:eastAsia="仿宋_GB2312" w:cs="Times New Roman"/>
          <w:color w:val="auto"/>
          <w:sz w:val="32"/>
          <w:szCs w:val="32"/>
        </w:rPr>
        <w:t>（4）人力资源管理现状分析</w:t>
      </w:r>
    </w:p>
    <w:p>
      <w:pPr>
        <w:tabs>
          <w:tab w:val="left" w:pos="540"/>
        </w:tabs>
        <w:snapToGrid w:val="0"/>
        <w:spacing w:line="560" w:lineRule="exact"/>
        <w:ind w:firstLine="643" w:firstLineChars="200"/>
        <w:rPr>
          <w:rFonts w:ascii="仿宋_GB2312" w:hAnsi="华文楷体" w:eastAsia="仿宋_GB2312" w:cs="华文楷体"/>
          <w:b/>
          <w:bCs/>
          <w:color w:val="auto"/>
          <w:sz w:val="32"/>
          <w:szCs w:val="32"/>
        </w:rPr>
      </w:pPr>
      <w:r>
        <w:rPr>
          <w:rFonts w:hint="eastAsia" w:ascii="仿宋_GB2312" w:hAnsi="华文楷体" w:eastAsia="仿宋_GB2312" w:cs="华文楷体"/>
          <w:b/>
          <w:bCs/>
          <w:color w:val="auto"/>
          <w:sz w:val="32"/>
          <w:szCs w:val="32"/>
        </w:rPr>
        <w:t>（三）组织结构优化（含资产公司一、二级总部职能部门及建投公司）</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(1)提出公司总部与下属公司的职能定位与管理关系的建议</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(2)部门职能与权限梳理及建议</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(3)公司与下属公司、各职能部门的管理界面梳理及建议</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(4)主要工作程序梳理及建议</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(5)梳理部门的岗位设置，辅导编制《岗位说明书》</w:t>
      </w:r>
    </w:p>
    <w:p>
      <w:pPr>
        <w:tabs>
          <w:tab w:val="left" w:pos="540"/>
        </w:tabs>
        <w:snapToGrid w:val="0"/>
        <w:spacing w:line="560" w:lineRule="exact"/>
        <w:ind w:left="181" w:firstLine="643" w:firstLineChars="200"/>
        <w:rPr>
          <w:rFonts w:ascii="仿宋_GB2312" w:hAnsi="黑体" w:eastAsia="仿宋_GB2312" w:cs="黑体"/>
          <w:bCs/>
          <w:color w:val="auto"/>
          <w:sz w:val="32"/>
          <w:szCs w:val="32"/>
        </w:rPr>
      </w:pPr>
      <w:r>
        <w:rPr>
          <w:rFonts w:hint="eastAsia" w:ascii="仿宋_GB2312" w:hAnsi="华文楷体" w:eastAsia="仿宋_GB2312" w:cs="华文楷体"/>
          <w:b/>
          <w:color w:val="auto"/>
          <w:sz w:val="32"/>
          <w:szCs w:val="32"/>
        </w:rPr>
        <w:t>（四）岗位评价（含资产公司一、二级总部全部岗位、下属公司领导班子及建投公司）</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（1）岗位评价的意义</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（2）岗位评价的原则</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（3）岗位评价的流程</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（4）组织岗位评价工作的进行</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（5）岗位评价的结果分析</w:t>
      </w:r>
    </w:p>
    <w:p>
      <w:pPr>
        <w:widowControl/>
        <w:spacing w:line="560" w:lineRule="exact"/>
        <w:ind w:firstLine="640" w:firstLineChars="200"/>
        <w:jc w:val="left"/>
        <w:rPr>
          <w:rFonts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rPr>
        <w:t>（6）岗位价值分</w:t>
      </w:r>
      <w:r>
        <w:rPr>
          <w:rFonts w:hint="eastAsia" w:ascii="仿宋_GB2312" w:hAnsi="Times New Roman" w:eastAsia="仿宋_GB2312" w:cs="Times New Roman"/>
          <w:bCs/>
          <w:color w:val="auto"/>
          <w:sz w:val="32"/>
          <w:szCs w:val="32"/>
        </w:rPr>
        <w:t>布图并提出公司岗位价值建议</w:t>
      </w:r>
    </w:p>
    <w:p>
      <w:pPr>
        <w:widowControl/>
        <w:adjustRightInd w:val="0"/>
        <w:spacing w:line="560" w:lineRule="exact"/>
        <w:ind w:firstLine="641"/>
        <w:rPr>
          <w:rFonts w:ascii="仿宋_GB2312" w:hAnsi="华文楷体" w:eastAsia="仿宋_GB2312" w:cs="华文楷体"/>
          <w:b/>
          <w:color w:val="auto"/>
          <w:kern w:val="0"/>
          <w:sz w:val="32"/>
          <w:szCs w:val="32"/>
        </w:rPr>
      </w:pPr>
      <w:r>
        <w:rPr>
          <w:rFonts w:hint="eastAsia" w:ascii="仿宋_GB2312" w:hAnsi="华文楷体" w:eastAsia="仿宋_GB2312" w:cs="华文楷体"/>
          <w:b/>
          <w:color w:val="auto"/>
          <w:kern w:val="0"/>
          <w:sz w:val="32"/>
          <w:szCs w:val="32"/>
        </w:rPr>
        <w:t>（五）薪酬体系设计（含资产公司一、二级总部及建投公司）</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微软雅黑" w:eastAsia="仿宋_GB2312" w:cs="微软雅黑"/>
          <w:bCs/>
          <w:color w:val="auto"/>
          <w:sz w:val="32"/>
          <w:szCs w:val="32"/>
        </w:rPr>
        <w:t>（</w:t>
      </w:r>
      <w:r>
        <w:rPr>
          <w:rFonts w:hint="eastAsia" w:ascii="仿宋_GB2312" w:hAnsi="Times New Roman" w:eastAsia="仿宋_GB2312" w:cs="Times New Roman"/>
          <w:color w:val="auto"/>
          <w:sz w:val="32"/>
          <w:szCs w:val="32"/>
        </w:rPr>
        <w:t>1）资产公司工资总额管理思路及制度</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（2）资产公司及二级总部平台薪酬管理设计方案及制度[公司总部全部岗位(除一级公司领导班子外)及下属公司领导班子]</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（3）建投公司薪酬管理设计方案及制度（二级总部全部岗位及下属公司领导班子，不含一级领导班子兼任职）</w:t>
      </w:r>
    </w:p>
    <w:p>
      <w:pPr>
        <w:widowControl/>
        <w:spacing w:line="560" w:lineRule="exact"/>
        <w:ind w:firstLine="643" w:firstLineChars="200"/>
        <w:jc w:val="left"/>
        <w:rPr>
          <w:rFonts w:ascii="仿宋_GB2312" w:hAnsi="华文楷体" w:eastAsia="仿宋_GB2312" w:cs="华文楷体"/>
          <w:b/>
          <w:color w:val="auto"/>
          <w:kern w:val="0"/>
          <w:sz w:val="32"/>
          <w:szCs w:val="32"/>
        </w:rPr>
      </w:pPr>
      <w:r>
        <w:rPr>
          <w:rFonts w:hint="eastAsia" w:ascii="仿宋_GB2312" w:hAnsi="华文楷体" w:eastAsia="仿宋_GB2312" w:cs="华文楷体"/>
          <w:b/>
          <w:color w:val="auto"/>
          <w:kern w:val="0"/>
          <w:sz w:val="32"/>
          <w:szCs w:val="32"/>
        </w:rPr>
        <w:t>（六）辅导落地</w:t>
      </w:r>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结合在咨询过程了解的情况等，提前预测新的薪酬激励体系在落地过程中可能产生的问题，辅导制度落地，并适时完成方案实施效果评估，在必要的情况下对方案进行修订和完善。</w:t>
      </w:r>
    </w:p>
    <w:p>
      <w:pPr>
        <w:keepNext/>
        <w:keepLines/>
        <w:spacing w:line="560" w:lineRule="exact"/>
        <w:outlineLvl w:val="1"/>
        <w:rPr>
          <w:rFonts w:ascii="仿宋_GB2312" w:hAnsi="黑体" w:eastAsia="仿宋_GB2312" w:cs="黑体"/>
          <w:b/>
          <w:bCs/>
          <w:color w:val="auto"/>
          <w:sz w:val="32"/>
          <w:szCs w:val="32"/>
        </w:rPr>
      </w:pPr>
      <w:bookmarkStart w:id="178" w:name="_Toc16238403"/>
      <w:r>
        <w:rPr>
          <w:rFonts w:hint="eastAsia" w:ascii="仿宋_GB2312" w:hAnsi="黑体" w:eastAsia="仿宋_GB2312" w:cs="黑体"/>
          <w:b/>
          <w:bCs/>
          <w:color w:val="auto"/>
          <w:sz w:val="32"/>
          <w:szCs w:val="32"/>
        </w:rPr>
        <w:t>三、实施效果</w:t>
      </w:r>
      <w:bookmarkEnd w:id="178"/>
    </w:p>
    <w:p>
      <w:pPr>
        <w:widowControl/>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eastAsia="仿宋_GB2312"/>
          <w:color w:val="auto"/>
          <w:sz w:val="32"/>
          <w:szCs w:val="32"/>
        </w:rPr>
        <w:t>此项任务旨在针对资产公司、建投公司的薪酬体系方面提出可行性建议，协助资产公司</w:t>
      </w:r>
      <w:r>
        <w:rPr>
          <w:rFonts w:hint="eastAsia" w:ascii="仿宋_GB2312" w:hAnsi="仿宋" w:eastAsia="仿宋_GB2312" w:cs="仿宋"/>
          <w:color w:val="auto"/>
          <w:sz w:val="32"/>
          <w:szCs w:val="32"/>
        </w:rPr>
        <w:t>创新激励方式，充分体现市场化、差异化薪酬策略，推动薪酬与市场接轨，争取明年实现建投板块薪酬绩效改革试点的突破</w:t>
      </w:r>
      <w:r>
        <w:rPr>
          <w:rFonts w:hint="eastAsia" w:ascii="仿宋_GB2312" w:hAnsi="Times New Roman" w:eastAsia="仿宋_GB2312" w:cs="Times New Roman"/>
          <w:color w:val="auto"/>
          <w:sz w:val="32"/>
          <w:szCs w:val="32"/>
        </w:rPr>
        <w:t>。</w:t>
      </w:r>
    </w:p>
    <w:p>
      <w:pPr>
        <w:keepNext/>
        <w:keepLines/>
        <w:spacing w:line="560" w:lineRule="exact"/>
        <w:outlineLvl w:val="1"/>
        <w:rPr>
          <w:rFonts w:ascii="仿宋_GB2312" w:hAnsi="黑体" w:eastAsia="仿宋_GB2312" w:cs="宋体"/>
          <w:b/>
          <w:color w:val="auto"/>
          <w:kern w:val="0"/>
          <w:sz w:val="32"/>
          <w:szCs w:val="32"/>
        </w:rPr>
      </w:pPr>
      <w:bookmarkStart w:id="179" w:name="_Toc16238404"/>
      <w:bookmarkStart w:id="180" w:name="_Hlk13038015"/>
      <w:r>
        <w:rPr>
          <w:rFonts w:hint="eastAsia" w:ascii="仿宋_GB2312" w:hAnsi="黑体" w:eastAsia="仿宋_GB2312" w:cs="宋体"/>
          <w:b/>
          <w:color w:val="auto"/>
          <w:kern w:val="0"/>
          <w:sz w:val="32"/>
          <w:szCs w:val="32"/>
        </w:rPr>
        <w:t>四、任务工作要求</w:t>
      </w:r>
      <w:bookmarkEnd w:id="179"/>
    </w:p>
    <w:p>
      <w:pPr>
        <w:widowControl/>
        <w:adjustRightInd w:val="0"/>
        <w:spacing w:line="560" w:lineRule="exact"/>
        <w:ind w:firstLine="643" w:firstLineChars="200"/>
        <w:rPr>
          <w:rFonts w:ascii="仿宋_GB2312" w:hAnsi="微软雅黑" w:eastAsia="仿宋_GB2312" w:cs="宋体"/>
          <w:bCs/>
          <w:color w:val="auto"/>
          <w:kern w:val="0"/>
          <w:sz w:val="32"/>
          <w:szCs w:val="32"/>
        </w:rPr>
      </w:pPr>
      <w:r>
        <w:rPr>
          <w:rFonts w:hint="eastAsia" w:ascii="仿宋_GB2312" w:eastAsia="仿宋_GB2312"/>
          <w:b/>
          <w:color w:val="auto"/>
          <w:sz w:val="32"/>
          <w:szCs w:val="32"/>
        </w:rPr>
        <w:t>（一）时间安排。</w:t>
      </w:r>
      <w:r>
        <w:rPr>
          <w:rFonts w:hint="eastAsia" w:ascii="仿宋_GB2312" w:eastAsia="仿宋_GB2312"/>
          <w:bCs/>
          <w:color w:val="auto"/>
          <w:sz w:val="32"/>
          <w:szCs w:val="32"/>
        </w:rPr>
        <w:t>本项目自合同签署后10日历天内开工，项目开工后90日历天内交付并通过项目成果验收。如由于招标人的原因开工日期推迟则项目验收日期相应推后。</w:t>
      </w:r>
    </w:p>
    <w:p>
      <w:pPr>
        <w:widowControl/>
        <w:adjustRightInd w:val="0"/>
        <w:spacing w:line="560" w:lineRule="exact"/>
        <w:ind w:firstLine="643" w:firstLineChars="200"/>
        <w:rPr>
          <w:rFonts w:ascii="仿宋_GB2312" w:hAnsi="Calibri" w:eastAsia="仿宋_GB2312" w:cs="宋体"/>
          <w:bCs/>
          <w:color w:val="auto"/>
          <w:kern w:val="0"/>
          <w:sz w:val="32"/>
          <w:szCs w:val="32"/>
        </w:rPr>
      </w:pPr>
      <w:r>
        <w:rPr>
          <w:rFonts w:hint="eastAsia" w:ascii="仿宋_GB2312" w:hAnsi="微软雅黑" w:eastAsia="仿宋_GB2312" w:cs="宋体"/>
          <w:b/>
          <w:bCs/>
          <w:color w:val="auto"/>
          <w:kern w:val="0"/>
          <w:sz w:val="32"/>
          <w:szCs w:val="32"/>
        </w:rPr>
        <w:t>（二）提交资料成果要求。</w:t>
      </w:r>
      <w:r>
        <w:rPr>
          <w:rFonts w:hint="eastAsia" w:ascii="仿宋_GB2312" w:hAnsi="微软雅黑" w:eastAsia="仿宋_GB2312" w:cs="宋体"/>
          <w:color w:val="auto"/>
          <w:kern w:val="0"/>
          <w:sz w:val="32"/>
          <w:szCs w:val="32"/>
        </w:rPr>
        <w:t>完成咨询服务主要技术成果(包括但不限于以下内容)：</w:t>
      </w:r>
      <w:r>
        <w:rPr>
          <w:rFonts w:hint="eastAsia" w:ascii="仿宋_GB2312" w:hAnsi="Calibri" w:eastAsia="仿宋_GB2312" w:cs="宋体"/>
          <w:color w:val="auto"/>
          <w:kern w:val="0"/>
          <w:sz w:val="32"/>
          <w:szCs w:val="32"/>
        </w:rPr>
        <w:t>《</w:t>
      </w:r>
      <w:bookmarkStart w:id="181" w:name="_Hlk13037719"/>
      <w:r>
        <w:rPr>
          <w:rFonts w:hint="eastAsia" w:ascii="仿宋_GB2312" w:hAnsi="Calibri" w:eastAsia="仿宋_GB2312" w:cs="宋体"/>
          <w:color w:val="auto"/>
          <w:kern w:val="0"/>
          <w:sz w:val="32"/>
          <w:szCs w:val="32"/>
        </w:rPr>
        <w:t>资产公司</w:t>
      </w:r>
      <w:bookmarkEnd w:id="181"/>
      <w:r>
        <w:rPr>
          <w:rFonts w:hint="eastAsia" w:ascii="仿宋_GB2312" w:hAnsi="Calibri" w:eastAsia="仿宋_GB2312" w:cs="宋体"/>
          <w:color w:val="auto"/>
          <w:kern w:val="0"/>
          <w:sz w:val="32"/>
          <w:szCs w:val="32"/>
        </w:rPr>
        <w:t>管理流程梳理与内部管理诊断报告》（内容包括资产公司一、二级总部职能部门）、《</w:t>
      </w:r>
      <w:bookmarkStart w:id="182" w:name="_Hlk13037750"/>
      <w:r>
        <w:rPr>
          <w:rFonts w:hint="eastAsia" w:ascii="仿宋_GB2312" w:hAnsi="Calibri" w:eastAsia="仿宋_GB2312" w:cs="宋体"/>
          <w:color w:val="auto"/>
          <w:kern w:val="0"/>
          <w:sz w:val="32"/>
          <w:szCs w:val="32"/>
        </w:rPr>
        <w:t>资产公司组织结构优化报告》</w:t>
      </w:r>
      <w:bookmarkEnd w:id="182"/>
      <w:bookmarkStart w:id="183" w:name="_Hlk13037815"/>
      <w:r>
        <w:rPr>
          <w:rFonts w:hint="eastAsia" w:ascii="仿宋_GB2312" w:hAnsi="Calibri" w:eastAsia="仿宋_GB2312" w:cs="宋体"/>
          <w:color w:val="auto"/>
          <w:kern w:val="0"/>
          <w:sz w:val="32"/>
          <w:szCs w:val="32"/>
        </w:rPr>
        <w:t>（内容包括资产公司一、二级总部职能部门）、</w:t>
      </w:r>
      <w:bookmarkEnd w:id="183"/>
      <w:r>
        <w:rPr>
          <w:rFonts w:hint="eastAsia" w:ascii="仿宋_GB2312" w:hAnsi="Calibri" w:eastAsia="仿宋_GB2312" w:cs="宋体"/>
          <w:color w:val="auto"/>
          <w:kern w:val="0"/>
          <w:sz w:val="32"/>
          <w:szCs w:val="32"/>
        </w:rPr>
        <w:t>《建投公司组织结构优化报告》</w:t>
      </w:r>
      <w:bookmarkStart w:id="184" w:name="_Hlk13038392"/>
      <w:r>
        <w:rPr>
          <w:rFonts w:hint="eastAsia" w:ascii="仿宋_GB2312" w:hAnsi="Calibri" w:eastAsia="仿宋_GB2312" w:cs="宋体"/>
          <w:color w:val="auto"/>
          <w:kern w:val="0"/>
          <w:sz w:val="32"/>
          <w:szCs w:val="32"/>
        </w:rPr>
        <w:t>、《资产公司岗位评价报告》</w:t>
      </w:r>
      <w:bookmarkStart w:id="185" w:name="_Hlk13474050"/>
      <w:r>
        <w:rPr>
          <w:rFonts w:hint="eastAsia" w:ascii="仿宋_GB2312" w:hAnsi="Calibri" w:eastAsia="仿宋_GB2312" w:cs="宋体"/>
          <w:color w:val="auto"/>
          <w:kern w:val="0"/>
          <w:sz w:val="32"/>
          <w:szCs w:val="32"/>
        </w:rPr>
        <w:t>[资产公司一、二总部全部岗位(除一级公司领导班子外)及下属公司领导班子]</w:t>
      </w:r>
      <w:bookmarkEnd w:id="184"/>
      <w:bookmarkEnd w:id="185"/>
      <w:r>
        <w:rPr>
          <w:rFonts w:hint="eastAsia" w:ascii="仿宋_GB2312" w:hAnsi="Calibri" w:eastAsia="仿宋_GB2312" w:cs="宋体"/>
          <w:color w:val="auto"/>
          <w:kern w:val="0"/>
          <w:sz w:val="32"/>
          <w:szCs w:val="32"/>
        </w:rPr>
        <w:t>、《建投公司岗位评价报告》（二级总部全部岗位及下属公司领导班子，不含一级领导班子兼任职）、《资产公司工资总额管理办法》、《资产公司薪酬管理办法》[资产公司一、二级总部全部岗位(除一级公司领导班子外)及下属公司领导班</w:t>
      </w:r>
      <w:r>
        <w:rPr>
          <w:rFonts w:hint="eastAsia" w:ascii="仿宋_GB2312" w:hAnsi="Calibri" w:eastAsia="仿宋_GB2312" w:cs="宋体"/>
          <w:bCs/>
          <w:color w:val="auto"/>
          <w:kern w:val="0"/>
          <w:sz w:val="32"/>
          <w:szCs w:val="32"/>
        </w:rPr>
        <w:t>子]、《建投公司</w:t>
      </w:r>
      <w:r>
        <w:rPr>
          <w:rFonts w:hint="eastAsia" w:ascii="仿宋_GB2312" w:hAnsi="Calibri" w:eastAsia="仿宋_GB2312" w:cs="宋体"/>
          <w:b/>
          <w:color w:val="auto"/>
          <w:kern w:val="0"/>
          <w:sz w:val="32"/>
          <w:szCs w:val="32"/>
        </w:rPr>
        <w:t>薪酬管理办法</w:t>
      </w:r>
      <w:r>
        <w:rPr>
          <w:rFonts w:hint="eastAsia" w:ascii="仿宋_GB2312" w:hAnsi="Calibri" w:eastAsia="仿宋_GB2312" w:cs="宋体"/>
          <w:bCs/>
          <w:color w:val="auto"/>
          <w:kern w:val="0"/>
          <w:sz w:val="32"/>
          <w:szCs w:val="32"/>
        </w:rPr>
        <w:t>》（二级总部全员及下属公司领导班子，不含一级领导班子兼任职）</w:t>
      </w:r>
      <w:r>
        <w:rPr>
          <w:rFonts w:hint="eastAsia" w:ascii="仿宋_GB2312" w:eastAsia="仿宋_GB2312"/>
          <w:bCs/>
          <w:color w:val="auto"/>
          <w:sz w:val="32"/>
          <w:szCs w:val="32"/>
        </w:rPr>
        <w:t>等各</w:t>
      </w:r>
      <w:r>
        <w:rPr>
          <w:rFonts w:hint="eastAsia" w:ascii="仿宋_GB2312" w:eastAsia="仿宋_GB2312"/>
          <w:color w:val="auto"/>
          <w:sz w:val="32"/>
          <w:szCs w:val="32"/>
        </w:rPr>
        <w:t>一式六份（A4或A3彩色图文册），及相关电子文件</w:t>
      </w:r>
      <w:r>
        <w:rPr>
          <w:rFonts w:hint="eastAsia" w:ascii="仿宋_GB2312" w:hAnsi="Calibri" w:eastAsia="仿宋_GB2312" w:cs="宋体"/>
          <w:bCs/>
          <w:color w:val="auto"/>
          <w:kern w:val="0"/>
          <w:sz w:val="32"/>
          <w:szCs w:val="32"/>
        </w:rPr>
        <w:t>。任务书要求与合同约定不一致的，以合同约定为准。</w:t>
      </w:r>
    </w:p>
    <w:bookmarkEnd w:id="180"/>
    <w:p>
      <w:pPr>
        <w:widowControl/>
        <w:adjustRightInd w:val="0"/>
        <w:spacing w:line="560" w:lineRule="exact"/>
        <w:ind w:firstLine="732" w:firstLineChars="228"/>
        <w:rPr>
          <w:rFonts w:ascii="仿宋_GB2312" w:hAnsi="Calibri" w:eastAsia="仿宋_GB2312" w:cs="宋体"/>
          <w:bCs/>
          <w:color w:val="auto"/>
          <w:kern w:val="0"/>
          <w:sz w:val="32"/>
          <w:szCs w:val="32"/>
        </w:rPr>
      </w:pPr>
      <w:r>
        <w:rPr>
          <w:rFonts w:hint="eastAsia" w:ascii="仿宋_GB2312" w:hAnsi="黑体" w:eastAsia="仿宋_GB2312" w:cs="黑体"/>
          <w:b/>
          <w:color w:val="auto"/>
          <w:kern w:val="0"/>
          <w:sz w:val="32"/>
          <w:szCs w:val="32"/>
        </w:rPr>
        <w:t>（三）验收标准。</w:t>
      </w:r>
      <w:r>
        <w:rPr>
          <w:rFonts w:hint="eastAsia" w:ascii="仿宋_GB2312" w:hAnsi="Calibri" w:eastAsia="仿宋_GB2312" w:cs="宋体"/>
          <w:bCs/>
          <w:color w:val="auto"/>
          <w:kern w:val="0"/>
          <w:sz w:val="32"/>
          <w:szCs w:val="32"/>
        </w:rPr>
        <w:t>符合《人力资源管理咨询服务规范》（GB/T 32625-2016）有关要求，</w:t>
      </w:r>
      <w:r>
        <w:rPr>
          <w:rFonts w:hint="eastAsia" w:ascii="仿宋_GB2312" w:hAnsi="微软雅黑" w:eastAsia="仿宋_GB2312" w:cs="宋体"/>
          <w:color w:val="auto"/>
          <w:kern w:val="0"/>
          <w:sz w:val="32"/>
          <w:szCs w:val="32"/>
        </w:rPr>
        <w:t>项目成果契合实际，可行性强，且</w:t>
      </w:r>
      <w:r>
        <w:rPr>
          <w:rFonts w:hint="eastAsia" w:ascii="仿宋_GB2312" w:hAnsi="Calibri" w:eastAsia="仿宋_GB2312" w:cs="宋体"/>
          <w:bCs/>
          <w:color w:val="auto"/>
          <w:kern w:val="0"/>
          <w:sz w:val="32"/>
          <w:szCs w:val="32"/>
        </w:rPr>
        <w:t>经资产公司经营班子会、董事会、党委会等审议通过，</w:t>
      </w:r>
      <w:r>
        <w:rPr>
          <w:rFonts w:hint="eastAsia" w:ascii="仿宋_GB2312" w:hAnsi="宋体" w:eastAsia="仿宋_GB2312" w:cs="Times New Roman"/>
          <w:color w:val="auto"/>
          <w:sz w:val="32"/>
          <w:szCs w:val="32"/>
        </w:rPr>
        <w:t>其中《广州南沙资产经营有限公司工资总额管理办法》、《广州南沙资产经营有限公司薪酬管理办法》、《广州南沙建设投资有限公司薪酬管理办法》等三项成果文件还应经相应职代会或职工大会审议通过为验收标准</w:t>
      </w:r>
      <w:r>
        <w:rPr>
          <w:rFonts w:hint="eastAsia" w:ascii="仿宋_GB2312" w:hAnsi="Calibri" w:eastAsia="仿宋_GB2312" w:cs="宋体"/>
          <w:bCs/>
          <w:color w:val="auto"/>
          <w:kern w:val="0"/>
          <w:sz w:val="32"/>
          <w:szCs w:val="32"/>
        </w:rPr>
        <w:t>。</w:t>
      </w:r>
    </w:p>
    <w:p>
      <w:pPr>
        <w:keepNext/>
        <w:keepLines/>
        <w:spacing w:line="560" w:lineRule="exact"/>
        <w:outlineLvl w:val="1"/>
        <w:rPr>
          <w:rFonts w:ascii="仿宋_GB2312" w:hAnsi="黑体" w:eastAsia="仿宋_GB2312" w:cs="宋体"/>
          <w:b/>
          <w:color w:val="auto"/>
          <w:kern w:val="0"/>
          <w:sz w:val="32"/>
          <w:szCs w:val="32"/>
        </w:rPr>
      </w:pPr>
      <w:bookmarkStart w:id="186" w:name="_Toc16238405"/>
      <w:r>
        <w:rPr>
          <w:rFonts w:hint="eastAsia" w:ascii="仿宋_GB2312" w:hAnsi="黑体" w:eastAsia="仿宋_GB2312" w:cs="宋体"/>
          <w:b/>
          <w:color w:val="auto"/>
          <w:kern w:val="0"/>
          <w:sz w:val="32"/>
          <w:szCs w:val="32"/>
        </w:rPr>
        <w:t>五、信息保密的相关要求</w:t>
      </w:r>
      <w:bookmarkEnd w:id="186"/>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在服务过程中，服务机构从我司获知与本次论证咨询项目相关而不被公众所知的信息、记录、文件和资料等商业信息。服务机构需要严格遵守保密义务有关承诺、约定、规定等，服务机构应为本方及其工作人员之任何违反保密约定的行为承担责任并赔偿因违反保密约定的行为而导致的资产公司一切损失及费用开支。</w:t>
      </w:r>
    </w:p>
    <w:bookmarkEnd w:id="174"/>
    <w:p>
      <w:pPr>
        <w:spacing w:line="560" w:lineRule="exact"/>
        <w:jc w:val="left"/>
        <w:rPr>
          <w:rFonts w:ascii="仿宋_GB2312" w:hAnsi="仿宋" w:eastAsia="仿宋_GB2312" w:cs="仿宋"/>
          <w:color w:val="auto"/>
          <w:sz w:val="32"/>
          <w:szCs w:val="32"/>
        </w:rPr>
      </w:pPr>
    </w:p>
    <w:p>
      <w:pPr>
        <w:spacing w:line="560" w:lineRule="exact"/>
        <w:rPr>
          <w:rFonts w:ascii="仿宋_GB2312" w:eastAsia="仿宋_GB2312"/>
          <w:color w:val="auto"/>
          <w:sz w:val="32"/>
          <w:szCs w:val="32"/>
        </w:rPr>
      </w:pPr>
    </w:p>
    <w:sectPr>
      <w:headerReference r:id="rId7" w:type="default"/>
      <w:footerReference r:id="rId8" w:type="default"/>
      <w:pgSz w:w="11906" w:h="16838"/>
      <w:pgMar w:top="1247" w:right="1287"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6192" behindDoc="0" locked="0" layoutInCell="1" allowOverlap="1">
              <wp:simplePos x="0" y="0"/>
              <wp:positionH relativeFrom="margin">
                <wp:posOffset>2857500</wp:posOffset>
              </wp:positionH>
              <wp:positionV relativeFrom="paragraph">
                <wp:posOffset>-32385</wp:posOffset>
              </wp:positionV>
              <wp:extent cx="245110" cy="163830"/>
              <wp:effectExtent l="0" t="0" r="2540"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5110" cy="16383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5pt;margin-top:-2.55pt;height:12.9pt;width:19.3pt;mso-position-horizontal-relative:margin;z-index:251656192;mso-width-relative:page;mso-height-relative:page;" filled="f" stroked="f" coordsize="21600,21600" o:gfxdata="UEsDBAoAAAAAAIdO4kAAAAAAAAAAAAAAAAAEAAAAZHJzL1BLAwQUAAAACACHTuJAQoQXmtkAAAAJ&#10;AQAADwAAAGRycy9kb3ducmV2LnhtbE2PzU7DMBCE70i8g7VI3Fo7VRtCyKZCCE5IiDQcODrxNoka&#10;r0Ps/vD2mBMcRzOa+abYXuwoTjT7wTFCslQgiFtnBu4QPuqXRQbCB81Gj44J4Zs8bMvrq0Lnxp25&#10;otMudCKWsM81Qh/ClEvp256s9ks3EUdv72arQ5RzJ82sz7HcjnKlVCqtHjgu9Hqip57aw+5oER4/&#10;uXoevt6a92pfDXV9r/g1PSDe3iTqAUSgS/gLwy9+RIcyMjXuyMaLEWG9UfFLQFhsEhAxsM6yFESD&#10;sFJ3IMtC/n9Q/gBQSwMEFAAAAAgAh07iQBpznVL2AQAAxAMAAA4AAABkcnMvZTJvRG9jLnhtbK1T&#10;zY7TMBC+I/EOlu80TbesVlHT1bKrRUjLj7TwAFPHaSwSjxm7TcoDwBtw2gt3nqvPwdhpywI3xMUa&#10;z8/n+b4ZLy6HrhVbTd6gLWU+mUqhrcLK2HUpP7y/fXYhhQ9gK2jR6lLutJeXy6dPFr0r9AwbbCtN&#10;gkGsL3pXyiYEV2SZV43uwE/QacvBGqmDwFdaZxVBz+hdm82m0/OsR6ocodLes/dmDMplwq9rrcLb&#10;uvY6iLaU3FtIJ6VzFc9suYBiTeAaow5twD900YGx/OgJ6gYCiA2Zv6A6owg91mGisMuwro3SiQOz&#10;yad/sLlvwOnEhcXx7iST/3+w6s32HQlTlXIuhYWOR7T/9nX/8GP//YuYR3l65wvOunecF4YXOPCY&#10;E1Xv7lB99MLidQN2ra+IsG80VNxeHiuzR6Ujjo8gq/41VvwObAImoKGmLmrHaghG5zHtTqPRQxCK&#10;nbP58zzniOJQfn52cZZGl0FxLHbkw0uNnYhGKYknn8Bhe+dDbAaKY0p8y+Ktads0/db+5uDE0aPT&#10;+hyqI5XY/cgjDKvhIM0Kqx2TIhxXi78CGw3SZyl6XqtS+k8bIC1F+8qyMHEHjwYdjdXRAKu4tJRB&#10;itG8DuOubhyZdcPIo/QWr1i82iRisbWxi4PkvCqJ72Gt4y4+vqesX59v+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hBea2QAAAAkBAAAPAAAAAAAAAAEAIAAAACIAAABkcnMvZG93bnJldi54bWxQ&#10;SwECFAAUAAAACACHTuJAGnOdUvYBAADEAwAADgAAAAAAAAABACAAAAAoAQAAZHJzL2Uyb0RvYy54&#10;bWxQSwUGAAAAAAYABgBZAQAAkA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485" cy="1803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2pt;width:5.55pt;mso-position-horizontal:center;mso-position-horizontal-relative:margin;mso-wrap-style:none;z-index:251658240;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HXSVdvuAQAAswMAAA4AAABkcnMvZTJvRG9jLnhtbK1TzY7TMBC+I/EO&#10;lu806XaBKmq6WnZVhLT8SAsP4DpOYhF7rLHbpDwAvAEnLtx5rj4HY6cpC9wQF2synvn8zTdfVleD&#10;6dheoddgSz6f5ZwpK6HStin5h/ebJ0vOfBC2Eh1YVfKD8vxq/fjRqneFuoAWukohIxDri96VvA3B&#10;FVnmZauM8DNwytJlDWhEoE9ssgpFT+imyy7y/FnWA1YOQSrvKXs7XvJ1wq9rJcPbuvYqsK7kxC2k&#10;E9O5jWe2XomiQeFaLU80xD+wMEJbevQMdSuCYDvUf0EZLRE81GEmwWRQ11qqNANNM8//mOa+FU6l&#10;WUgc784y+f8HK9/s3yHTVckXnFlhaEXHr1+O334cv39miyhP73xBVfeO6sLwAgZacxrVuzuQHz2z&#10;cNMK26hrROhbJSqiN4+d2YPWEcdHkG3/Gip6R+wCJKChRhO1IzUYodOaDufVqCEwScnn+eXyKWeS&#10;bubLfHGZNpeJYup16MNLBYbFoORIi0/YYn/nQ+QiiqkkPmVho7suLb+zvyWoMGYS90h3JB6G7XDS&#10;YgvVgaZAGL1E3qegBfzEWU8+Krklo3PWvbKkQ7TcFOAUbKdAWEmNJQ+cjeFNGK25c6iblnAnpa9J&#10;q41Og0RRRw4nluSMNN/JxdF6D79T1a9/b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aDpe9AA&#10;AAADAQAADwAAAAAAAAABACAAAAAiAAAAZHJzL2Rvd25yZXYueG1sUEsBAhQAFAAAAAgAh07iQHXS&#10;VdvuAQAAsw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posOffset>2661285</wp:posOffset>
              </wp:positionH>
              <wp:positionV relativeFrom="paragraph">
                <wp:posOffset>-140970</wp:posOffset>
              </wp:positionV>
              <wp:extent cx="331470" cy="326390"/>
              <wp:effectExtent l="3810" t="1905"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1470" cy="3263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5pt;margin-top:-11.1pt;height:25.7pt;width:26.1pt;mso-position-horizontal-relative:margin;z-index:251659264;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P3bKAr2AQAAxAMAAA4AAABkcnMvZTJvRG9jLnhtbK1T&#10;S47UMBDdI3EHy3s6/UEDE3V6NMxoENLwkQYOUO04HYvEZcruTpoDwA1YsWHPufocU3bSzQA7xMYq&#10;1+e53qvy8qJvG7HT5A3aQs4mUym0VVgauynkh/c3T55L4QPYEhq0upB77eXF6vGjZedyPccam1KT&#10;YBDr884Vsg7B5VnmVa1b8BN02nKwQmoh8JU2WUnQMXrbZPPp9CzrkEpHqLT37L0egnKV8KtKq/C2&#10;qrwOoikk9xbSSelcxzNbLSHfELjaqLEN+IcuWjCWHz1BXUMAsSXzF1RrFKHHKkwUthlWlVE6cWA2&#10;s+kfbO5qcDpxYXG8O8nk/x+serN7R8KUhZxLYaHlER2+fT18/3n48UXMozyd8zln3TnOC/0L7HnM&#10;iap3t6g+emHxqga70ZdE2NUaSm5vFiuzB6UDjo8g6+41lvwObAMmoL6iNmrHaghG5zHtT6PRfRCK&#10;nYvF7OkzjigOLeZni/M0ugzyY7EjH15qbEU0Ckk8+QQOu1sfYjOQH1PiWxZvTNOk6Tf2NwcnDh6d&#10;1mesjlRi9wOP0K/7UZo1lnsmRTisFn8FNmqkz1J0vFaF9J+2QFqK5pVlYeIOHg06GuujAVZxaSGD&#10;FIN5FYZd3Toym5qRB+ktXrJ4lUnEYmtDF6PkvCqJ77jWcRcf3lPWr8+3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ITy42QAAAAoBAAAPAAAAAAAAAAEAIAAAACIAAABkcnMvZG93bnJldi54bWxQ&#10;SwECFAAUAAAACACHTuJA/dsoCvYBAADEAwAADgAAAAAAAAABACAAAAAoAQAAZHJzL2Uyb0RvYy54&#10;bWxQSwUGAAAAAAYABgBZAQAAkA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7216" behindDoc="0" locked="0" layoutInCell="1" allowOverlap="1">
              <wp:simplePos x="0" y="0"/>
              <wp:positionH relativeFrom="margin">
                <wp:posOffset>2661285</wp:posOffset>
              </wp:positionH>
              <wp:positionV relativeFrom="paragraph">
                <wp:posOffset>-140970</wp:posOffset>
              </wp:positionV>
              <wp:extent cx="331470" cy="326390"/>
              <wp:effectExtent l="3810" t="1905"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 cy="3263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5pt;margin-top:-11.1pt;height:25.7pt;width:26.1pt;mso-position-horizontal-relative:margin;z-index:251657216;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NJnEGz1AQAAxAMAAA4AAABkcnMvZTJvRG9jLnhtbK1T&#10;S47UMBDdI3EHy3s6/UEDE3V6NMxoENLwkQYO4Dh2YpG4TNndSXMAuAErNuw5V59jyk6nGWCH2Fjl&#10;+jzXq3peXwxdy3YKvQFb8MVszpmyEipj64J/eH/z5DlnPghbiRasKvheeX6xefxo3btcLaGBtlLI&#10;CMT6vHcFb0JweZZ52ahO+Bk4ZSmoATsR6Ip1VqHoCb1rs+V8fpb1gJVDkMp78l6PQb5J+ForGd5q&#10;7VVgbcGpt5BOTGcZz2yzFnmNwjVGHtsQ/9BFJ4ylR09Q1yIItkXzF1RnJIIHHWYSugy0NlIlDsRm&#10;Mf+DzV0jnEpcaDjencbk/x+sfLN7h8xUtDvOrOhoRYdvXw/ffx5+fGGLOJ7e+Zyy7hzlheEFDDE1&#10;UvXuFuRHzyxcNcLW6hIR+kaJitpLldmD0hHHR5Cyfw0VvSO2ARLQoLGLgDQNRui0pv1pNWoITJJz&#10;tVo8fUYRSaHV8mx1nlaXiXwqdujDSwUdi0bBkTafwMXu1geiQalTSnzLwo1p27T91v7moMTRo5J8&#10;jtWRSux+5BGGcjiOpoRqT6QQRmnRVyCjAfzMWU+yKrj/tBWoOGtfWRpM1OBk4GSUkyGspNKCB85G&#10;8yqMWt06NHVDyOPoLVzS8LRJxGJrYxfEMl5IKonvUdZRiw/vKevX59v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hPLjZAAAACgEAAA8AAAAAAAAAAQAgAAAAIgAAAGRycy9kb3ducmV2LnhtbFBL&#10;AQIUABQAAAAIAIdO4kDSZxBs9QEAAMQDAAAOAAAAAAAAAAEAIAAAACgBAABkcnMvZTJvRG9jLnht&#10;bFBLBQYAAAAABgAGAFkBAACP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9E0BD"/>
    <w:multiLevelType w:val="singleLevel"/>
    <w:tmpl w:val="9C19E0BD"/>
    <w:lvl w:ilvl="0" w:tentative="0">
      <w:start w:val="1"/>
      <w:numFmt w:val="chineseCounting"/>
      <w:suff w:val="space"/>
      <w:lvlText w:val="第%1章"/>
      <w:lvlJc w:val="left"/>
      <w:rPr>
        <w:rFonts w:hint="eastAsia"/>
      </w:rPr>
    </w:lvl>
  </w:abstractNum>
  <w:abstractNum w:abstractNumId="1">
    <w:nsid w:val="E12CE8C5"/>
    <w:multiLevelType w:val="singleLevel"/>
    <w:tmpl w:val="E12CE8C5"/>
    <w:lvl w:ilvl="0" w:tentative="0">
      <w:start w:val="4"/>
      <w:numFmt w:val="decimal"/>
      <w:suff w:val="nothing"/>
      <w:lvlText w:val="（%1）"/>
      <w:lvlJc w:val="left"/>
    </w:lvl>
  </w:abstractNum>
  <w:abstractNum w:abstractNumId="2">
    <w:nsid w:val="0000000F"/>
    <w:multiLevelType w:val="multilevel"/>
    <w:tmpl w:val="0000000F"/>
    <w:lvl w:ilvl="0" w:tentative="0">
      <w:start w:val="1"/>
      <w:numFmt w:val="decimal"/>
      <w:lvlText w:val="%1."/>
      <w:lvlJc w:val="left"/>
      <w:pPr>
        <w:tabs>
          <w:tab w:val="left" w:pos="840"/>
        </w:tabs>
        <w:ind w:left="840" w:hanging="360"/>
      </w:pPr>
      <w:rPr>
        <w:rFonts w:hint="eastAsia" w:cs="Times New Roman"/>
      </w:rPr>
    </w:lvl>
    <w:lvl w:ilvl="1" w:tentative="0">
      <w:start w:val="0"/>
      <w:numFmt w:val="none"/>
      <w:lvlText w:val=""/>
      <w:lvlJc w:val="left"/>
      <w:pPr>
        <w:tabs>
          <w:tab w:val="left" w:pos="360"/>
        </w:tabs>
      </w:pPr>
      <w:rPr>
        <w:rFonts w:hint="eastAsia"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056F1E25"/>
    <w:multiLevelType w:val="multilevel"/>
    <w:tmpl w:val="056F1E25"/>
    <w:lvl w:ilvl="0" w:tentative="0">
      <w:start w:val="1"/>
      <w:numFmt w:val="decimal"/>
      <w:lvlText w:val="%1、"/>
      <w:lvlJc w:val="left"/>
      <w:pPr>
        <w:tabs>
          <w:tab w:val="left" w:pos="2988"/>
        </w:tabs>
        <w:ind w:left="2988"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677CCA"/>
    <w:multiLevelType w:val="multilevel"/>
    <w:tmpl w:val="1B677CCA"/>
    <w:lvl w:ilvl="0" w:tentative="0">
      <w:start w:val="1"/>
      <w:numFmt w:val="decimal"/>
      <w:lvlText w:val="(%1)"/>
      <w:lvlJc w:val="left"/>
      <w:pPr>
        <w:ind w:left="78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6D465BE"/>
    <w:multiLevelType w:val="multilevel"/>
    <w:tmpl w:val="46D465BE"/>
    <w:lvl w:ilvl="0" w:tentative="0">
      <w:start w:val="1"/>
      <w:numFmt w:val="decimal"/>
      <w:lvlText w:val="%1、"/>
      <w:lvlJc w:val="left"/>
      <w:pPr>
        <w:ind w:left="1140" w:hanging="420"/>
      </w:pPr>
      <w:rPr>
        <w:rFonts w:hint="eastAsia"/>
      </w:rPr>
    </w:lvl>
    <w:lvl w:ilvl="1" w:tentative="0">
      <w:start w:val="1"/>
      <w:numFmt w:val="decimal"/>
      <w:lvlText w:val="%2、"/>
      <w:lvlJc w:val="left"/>
      <w:pPr>
        <w:ind w:left="840" w:hanging="420"/>
      </w:pPr>
      <w:rPr>
        <w:rFonts w:hint="eastAsia"/>
        <w:sz w:val="32"/>
        <w:szCs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FB130C"/>
    <w:multiLevelType w:val="multilevel"/>
    <w:tmpl w:val="48FB130C"/>
    <w:lvl w:ilvl="0" w:tentative="0">
      <w:start w:val="1"/>
      <w:numFmt w:val="decimal"/>
      <w:lvlText w:val="（%1）"/>
      <w:lvlJc w:val="left"/>
      <w:pPr>
        <w:ind w:left="11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0400B2"/>
    <w:multiLevelType w:val="multilevel"/>
    <w:tmpl w:val="4F0400B2"/>
    <w:lvl w:ilvl="0" w:tentative="0">
      <w:start w:val="1"/>
      <w:numFmt w:val="decimal"/>
      <w:lvlText w:val="%1、"/>
      <w:lvlJc w:val="left"/>
      <w:pPr>
        <w:ind w:left="1980" w:hanging="420"/>
      </w:pPr>
      <w:rPr>
        <w:rFonts w:hint="eastAsia"/>
      </w:rPr>
    </w:lvl>
    <w:lvl w:ilvl="1" w:tentative="0">
      <w:start w:val="1"/>
      <w:numFmt w:val="lowerLetter"/>
      <w:lvlText w:val="%2)"/>
      <w:lvlJc w:val="left"/>
      <w:pPr>
        <w:ind w:left="206" w:hanging="420"/>
      </w:pPr>
    </w:lvl>
    <w:lvl w:ilvl="2" w:tentative="0">
      <w:start w:val="1"/>
      <w:numFmt w:val="lowerRoman"/>
      <w:lvlText w:val="%3."/>
      <w:lvlJc w:val="right"/>
      <w:pPr>
        <w:ind w:left="626" w:hanging="420"/>
      </w:pPr>
    </w:lvl>
    <w:lvl w:ilvl="3" w:tentative="0">
      <w:start w:val="1"/>
      <w:numFmt w:val="decimal"/>
      <w:lvlText w:val="%4."/>
      <w:lvlJc w:val="left"/>
      <w:pPr>
        <w:ind w:left="1046" w:hanging="420"/>
      </w:pPr>
    </w:lvl>
    <w:lvl w:ilvl="4" w:tentative="0">
      <w:start w:val="1"/>
      <w:numFmt w:val="lowerLetter"/>
      <w:lvlText w:val="%5)"/>
      <w:lvlJc w:val="left"/>
      <w:pPr>
        <w:ind w:left="1466" w:hanging="420"/>
      </w:pPr>
    </w:lvl>
    <w:lvl w:ilvl="5" w:tentative="0">
      <w:start w:val="1"/>
      <w:numFmt w:val="lowerRoman"/>
      <w:lvlText w:val="%6."/>
      <w:lvlJc w:val="right"/>
      <w:pPr>
        <w:ind w:left="1886" w:hanging="420"/>
      </w:pPr>
    </w:lvl>
    <w:lvl w:ilvl="6" w:tentative="0">
      <w:start w:val="1"/>
      <w:numFmt w:val="decimal"/>
      <w:lvlText w:val="%7."/>
      <w:lvlJc w:val="left"/>
      <w:pPr>
        <w:ind w:left="2306" w:hanging="420"/>
      </w:pPr>
    </w:lvl>
    <w:lvl w:ilvl="7" w:tentative="0">
      <w:start w:val="1"/>
      <w:numFmt w:val="lowerLetter"/>
      <w:lvlText w:val="%8)"/>
      <w:lvlJc w:val="left"/>
      <w:pPr>
        <w:ind w:left="2726" w:hanging="420"/>
      </w:pPr>
    </w:lvl>
    <w:lvl w:ilvl="8" w:tentative="0">
      <w:start w:val="1"/>
      <w:numFmt w:val="lowerRoman"/>
      <w:lvlText w:val="%9."/>
      <w:lvlJc w:val="right"/>
      <w:pPr>
        <w:ind w:left="3146" w:hanging="420"/>
      </w:pPr>
    </w:lvl>
  </w:abstractNum>
  <w:abstractNum w:abstractNumId="8">
    <w:nsid w:val="4F8F02C2"/>
    <w:multiLevelType w:val="singleLevel"/>
    <w:tmpl w:val="4F8F02C2"/>
    <w:lvl w:ilvl="0" w:tentative="0">
      <w:start w:val="5"/>
      <w:numFmt w:val="chineseCounting"/>
      <w:suff w:val="nothing"/>
      <w:lvlText w:val="%1、"/>
      <w:lvlJc w:val="left"/>
      <w:rPr>
        <w:rFonts w:hint="eastAsia"/>
      </w:rPr>
    </w:lvl>
  </w:abstractNum>
  <w:abstractNum w:abstractNumId="9">
    <w:nsid w:val="58CCF665"/>
    <w:multiLevelType w:val="singleLevel"/>
    <w:tmpl w:val="58CCF665"/>
    <w:lvl w:ilvl="0" w:tentative="0">
      <w:start w:val="2"/>
      <w:numFmt w:val="decimal"/>
      <w:suff w:val="nothing"/>
      <w:lvlText w:val="%1、"/>
      <w:lvlJc w:val="left"/>
    </w:lvl>
  </w:abstractNum>
  <w:abstractNum w:abstractNumId="10">
    <w:nsid w:val="58DCD1AD"/>
    <w:multiLevelType w:val="singleLevel"/>
    <w:tmpl w:val="58DCD1AD"/>
    <w:lvl w:ilvl="0" w:tentative="0">
      <w:start w:val="2"/>
      <w:numFmt w:val="decimal"/>
      <w:suff w:val="nothing"/>
      <w:lvlText w:val="%1、"/>
      <w:lvlJc w:val="left"/>
    </w:lvl>
  </w:abstractNum>
  <w:abstractNum w:abstractNumId="11">
    <w:nsid w:val="58DCDAF4"/>
    <w:multiLevelType w:val="singleLevel"/>
    <w:tmpl w:val="58DCDAF4"/>
    <w:lvl w:ilvl="0" w:tentative="0">
      <w:start w:val="2"/>
      <w:numFmt w:val="decimal"/>
      <w:suff w:val="nothing"/>
      <w:lvlText w:val="%1、"/>
      <w:lvlJc w:val="left"/>
    </w:lvl>
  </w:abstractNum>
  <w:abstractNum w:abstractNumId="12">
    <w:nsid w:val="5A215719"/>
    <w:multiLevelType w:val="singleLevel"/>
    <w:tmpl w:val="5A215719"/>
    <w:lvl w:ilvl="0" w:tentative="0">
      <w:start w:val="1"/>
      <w:numFmt w:val="chineseCounting"/>
      <w:suff w:val="nothing"/>
      <w:lvlText w:val="%1、"/>
      <w:lvlJc w:val="left"/>
    </w:lvl>
  </w:abstractNum>
  <w:abstractNum w:abstractNumId="13">
    <w:nsid w:val="5EB63A72"/>
    <w:multiLevelType w:val="multilevel"/>
    <w:tmpl w:val="5EB63A72"/>
    <w:lvl w:ilvl="0" w:tentative="0">
      <w:start w:val="1"/>
      <w:numFmt w:val="decimal"/>
      <w:lvlText w:val="%1、"/>
      <w:lvlJc w:val="left"/>
      <w:pPr>
        <w:ind w:left="1980" w:hanging="420"/>
      </w:pPr>
      <w:rPr>
        <w:rFonts w:hint="eastAsia"/>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abstractNum w:abstractNumId="14">
    <w:nsid w:val="659D0499"/>
    <w:multiLevelType w:val="multilevel"/>
    <w:tmpl w:val="659D0499"/>
    <w:lvl w:ilvl="0" w:tentative="0">
      <w:start w:val="1"/>
      <w:numFmt w:val="decimal"/>
      <w:lvlText w:val="%1、"/>
      <w:lvlJc w:val="left"/>
      <w:pPr>
        <w:tabs>
          <w:tab w:val="left" w:pos="1780"/>
        </w:tabs>
        <w:ind w:left="178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383B9F"/>
    <w:multiLevelType w:val="singleLevel"/>
    <w:tmpl w:val="67383B9F"/>
    <w:lvl w:ilvl="0" w:tentative="0">
      <w:start w:val="1"/>
      <w:numFmt w:val="decimal"/>
      <w:suff w:val="nothing"/>
      <w:lvlText w:val="%1、"/>
      <w:lvlJc w:val="left"/>
    </w:lvl>
  </w:abstractNum>
  <w:num w:numId="1">
    <w:abstractNumId w:val="12"/>
  </w:num>
  <w:num w:numId="2">
    <w:abstractNumId w:val="1"/>
  </w:num>
  <w:num w:numId="3">
    <w:abstractNumId w:val="0"/>
  </w:num>
  <w:num w:numId="4">
    <w:abstractNumId w:val="4"/>
  </w:num>
  <w:num w:numId="5">
    <w:abstractNumId w:val="15"/>
  </w:num>
  <w:num w:numId="6">
    <w:abstractNumId w:val="9"/>
  </w:num>
  <w:num w:numId="7">
    <w:abstractNumId w:val="5"/>
  </w:num>
  <w:num w:numId="8">
    <w:abstractNumId w:val="6"/>
  </w:num>
  <w:num w:numId="9">
    <w:abstractNumId w:val="14"/>
  </w:num>
  <w:num w:numId="10">
    <w:abstractNumId w:val="3"/>
  </w:num>
  <w:num w:numId="11">
    <w:abstractNumId w:val="7"/>
  </w:num>
  <w:num w:numId="12">
    <w:abstractNumId w:val="13"/>
  </w:num>
  <w:num w:numId="13">
    <w:abstractNumId w:val="2"/>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4D"/>
    <w:rsid w:val="000353A2"/>
    <w:rsid w:val="000426AC"/>
    <w:rsid w:val="00085AAC"/>
    <w:rsid w:val="000B3E98"/>
    <w:rsid w:val="000F23F3"/>
    <w:rsid w:val="001418A2"/>
    <w:rsid w:val="001E45D3"/>
    <w:rsid w:val="001E5BEC"/>
    <w:rsid w:val="001F6888"/>
    <w:rsid w:val="002349AC"/>
    <w:rsid w:val="00245266"/>
    <w:rsid w:val="00252A31"/>
    <w:rsid w:val="00271B4C"/>
    <w:rsid w:val="002952A7"/>
    <w:rsid w:val="002D184A"/>
    <w:rsid w:val="002D6CA0"/>
    <w:rsid w:val="002E595D"/>
    <w:rsid w:val="002F0F5C"/>
    <w:rsid w:val="00311A3A"/>
    <w:rsid w:val="00312906"/>
    <w:rsid w:val="00315155"/>
    <w:rsid w:val="00331AAD"/>
    <w:rsid w:val="003347B9"/>
    <w:rsid w:val="0034675C"/>
    <w:rsid w:val="00350B6D"/>
    <w:rsid w:val="003B4AF0"/>
    <w:rsid w:val="003C00D7"/>
    <w:rsid w:val="003D1003"/>
    <w:rsid w:val="003E62B7"/>
    <w:rsid w:val="004818C8"/>
    <w:rsid w:val="004C7771"/>
    <w:rsid w:val="0052081F"/>
    <w:rsid w:val="00536E41"/>
    <w:rsid w:val="0054705E"/>
    <w:rsid w:val="005505EA"/>
    <w:rsid w:val="005559F5"/>
    <w:rsid w:val="00584ED8"/>
    <w:rsid w:val="00585ADD"/>
    <w:rsid w:val="005B2EF1"/>
    <w:rsid w:val="005D2FFD"/>
    <w:rsid w:val="005D4B08"/>
    <w:rsid w:val="00645F04"/>
    <w:rsid w:val="00685E91"/>
    <w:rsid w:val="006B4DD6"/>
    <w:rsid w:val="006C68B0"/>
    <w:rsid w:val="00717B63"/>
    <w:rsid w:val="00730068"/>
    <w:rsid w:val="00731C63"/>
    <w:rsid w:val="00755066"/>
    <w:rsid w:val="007709F4"/>
    <w:rsid w:val="0077471A"/>
    <w:rsid w:val="007864CC"/>
    <w:rsid w:val="007954F7"/>
    <w:rsid w:val="007965D7"/>
    <w:rsid w:val="007A0DC3"/>
    <w:rsid w:val="008066B3"/>
    <w:rsid w:val="00814E57"/>
    <w:rsid w:val="00881EF4"/>
    <w:rsid w:val="0088224A"/>
    <w:rsid w:val="008C61F0"/>
    <w:rsid w:val="008F6CE9"/>
    <w:rsid w:val="009109E4"/>
    <w:rsid w:val="00923919"/>
    <w:rsid w:val="0093119C"/>
    <w:rsid w:val="00933D04"/>
    <w:rsid w:val="00992DB0"/>
    <w:rsid w:val="009942A6"/>
    <w:rsid w:val="009A5985"/>
    <w:rsid w:val="009B128A"/>
    <w:rsid w:val="009C639E"/>
    <w:rsid w:val="009F50F3"/>
    <w:rsid w:val="00A211F2"/>
    <w:rsid w:val="00A41930"/>
    <w:rsid w:val="00A6260A"/>
    <w:rsid w:val="00A72082"/>
    <w:rsid w:val="00A74B4D"/>
    <w:rsid w:val="00A953EA"/>
    <w:rsid w:val="00AA07F9"/>
    <w:rsid w:val="00AB3948"/>
    <w:rsid w:val="00B078AA"/>
    <w:rsid w:val="00B657CC"/>
    <w:rsid w:val="00C2400D"/>
    <w:rsid w:val="00C25689"/>
    <w:rsid w:val="00CB760C"/>
    <w:rsid w:val="00CD5D42"/>
    <w:rsid w:val="00D40642"/>
    <w:rsid w:val="00DA20F7"/>
    <w:rsid w:val="00DA2F86"/>
    <w:rsid w:val="00E12994"/>
    <w:rsid w:val="00E31524"/>
    <w:rsid w:val="00E50316"/>
    <w:rsid w:val="00E675EA"/>
    <w:rsid w:val="00E71695"/>
    <w:rsid w:val="00E87FA5"/>
    <w:rsid w:val="00EA7F99"/>
    <w:rsid w:val="00EC7CBD"/>
    <w:rsid w:val="00F2241A"/>
    <w:rsid w:val="00F303CD"/>
    <w:rsid w:val="00F91F27"/>
    <w:rsid w:val="00FC28CD"/>
    <w:rsid w:val="00FC4ABB"/>
    <w:rsid w:val="00FD2253"/>
    <w:rsid w:val="06111ADA"/>
    <w:rsid w:val="0A7301D1"/>
    <w:rsid w:val="0F9463BC"/>
    <w:rsid w:val="11EA76DA"/>
    <w:rsid w:val="1A3D7FDE"/>
    <w:rsid w:val="1D4C5403"/>
    <w:rsid w:val="1D55666A"/>
    <w:rsid w:val="223B7593"/>
    <w:rsid w:val="241C3D37"/>
    <w:rsid w:val="2C5F7E7F"/>
    <w:rsid w:val="3E5D3CAA"/>
    <w:rsid w:val="45A43ADE"/>
    <w:rsid w:val="46645393"/>
    <w:rsid w:val="491C20BB"/>
    <w:rsid w:val="51DC6409"/>
    <w:rsid w:val="66773EAC"/>
    <w:rsid w:val="679F1BA4"/>
    <w:rsid w:val="7C6132B8"/>
    <w:rsid w:val="7DD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link w:val="83"/>
    <w:qFormat/>
    <w:uiPriority w:val="99"/>
    <w:pPr>
      <w:keepNext/>
      <w:keepLines/>
      <w:spacing w:after="120" w:line="360" w:lineRule="auto"/>
      <w:outlineLvl w:val="0"/>
    </w:pPr>
    <w:rPr>
      <w:rFonts w:ascii="Times New Roman" w:hAnsi="Times New Roman" w:eastAsia="宋体" w:cs="Times New Roman"/>
      <w:kern w:val="44"/>
      <w:sz w:val="44"/>
      <w:szCs w:val="44"/>
      <w:lang w:val="zh-CN"/>
    </w:rPr>
  </w:style>
  <w:style w:type="paragraph" w:styleId="6">
    <w:name w:val="heading 2"/>
    <w:basedOn w:val="1"/>
    <w:next w:val="7"/>
    <w:link w:val="84"/>
    <w:qFormat/>
    <w:uiPriority w:val="99"/>
    <w:pPr>
      <w:keepNext/>
      <w:keepLines/>
      <w:spacing w:after="100" w:afterAutospacing="1" w:line="360" w:lineRule="auto"/>
      <w:ind w:left="454" w:hanging="454"/>
      <w:jc w:val="center"/>
      <w:outlineLvl w:val="1"/>
    </w:pPr>
    <w:rPr>
      <w:rFonts w:ascii="宋体" w:hAnsi="宋体" w:eastAsia="宋体" w:cs="Times New Roman"/>
      <w:b/>
      <w:kern w:val="28"/>
      <w:sz w:val="30"/>
      <w:szCs w:val="20"/>
    </w:rPr>
  </w:style>
  <w:style w:type="paragraph" w:styleId="8">
    <w:name w:val="heading 3"/>
    <w:basedOn w:val="1"/>
    <w:next w:val="7"/>
    <w:link w:val="85"/>
    <w:qFormat/>
    <w:uiPriority w:val="99"/>
    <w:pPr>
      <w:keepNext/>
      <w:keepLines/>
      <w:spacing w:beforeLines="50" w:afterLines="50" w:line="360" w:lineRule="auto"/>
      <w:jc w:val="center"/>
      <w:outlineLvl w:val="2"/>
    </w:pPr>
    <w:rPr>
      <w:rFonts w:ascii="Times New Roman" w:hAnsi="Times New Roman" w:eastAsia="宋体" w:cs="Times New Roman"/>
      <w:b/>
      <w:bCs/>
      <w:kern w:val="0"/>
      <w:sz w:val="32"/>
      <w:szCs w:val="32"/>
      <w:lang w:val="zh-CN"/>
    </w:rPr>
  </w:style>
  <w:style w:type="paragraph" w:styleId="9">
    <w:name w:val="heading 4"/>
    <w:basedOn w:val="8"/>
    <w:next w:val="7"/>
    <w:link w:val="86"/>
    <w:qFormat/>
    <w:uiPriority w:val="99"/>
    <w:pPr>
      <w:ind w:left="284" w:hanging="284"/>
      <w:outlineLvl w:val="3"/>
    </w:pPr>
    <w:rPr>
      <w:rFonts w:ascii="Cambria" w:hAnsi="Cambria"/>
      <w:sz w:val="28"/>
      <w:szCs w:val="28"/>
    </w:rPr>
  </w:style>
  <w:style w:type="paragraph" w:styleId="10">
    <w:name w:val="heading 5"/>
    <w:basedOn w:val="9"/>
    <w:next w:val="7"/>
    <w:link w:val="60"/>
    <w:qFormat/>
    <w:uiPriority w:val="99"/>
    <w:pPr>
      <w:spacing w:line="240" w:lineRule="exact"/>
      <w:outlineLvl w:val="4"/>
    </w:pPr>
    <w:rPr>
      <w:rFonts w:ascii="Times New Roman" w:hAnsi="Times New Roman"/>
    </w:rPr>
  </w:style>
  <w:style w:type="paragraph" w:styleId="11">
    <w:name w:val="heading 6"/>
    <w:basedOn w:val="1"/>
    <w:next w:val="1"/>
    <w:link w:val="77"/>
    <w:qFormat/>
    <w:uiPriority w:val="99"/>
    <w:pPr>
      <w:keepNext/>
      <w:keepLines/>
      <w:spacing w:before="240" w:after="64" w:line="319" w:lineRule="auto"/>
      <w:outlineLvl w:val="5"/>
    </w:pPr>
    <w:rPr>
      <w:rFonts w:ascii="Cambria" w:hAnsi="Cambria" w:eastAsia="宋体" w:cs="Times New Roman"/>
      <w:b/>
      <w:bCs/>
      <w:kern w:val="0"/>
      <w:sz w:val="24"/>
      <w:szCs w:val="24"/>
      <w:lang w:val="zh-CN"/>
    </w:rPr>
  </w:style>
  <w:style w:type="paragraph" w:styleId="12">
    <w:name w:val="heading 7"/>
    <w:basedOn w:val="1"/>
    <w:next w:val="7"/>
    <w:link w:val="80"/>
    <w:qFormat/>
    <w:uiPriority w:val="99"/>
    <w:pPr>
      <w:keepNext/>
      <w:keepLines/>
      <w:spacing w:before="240" w:after="64" w:line="319" w:lineRule="auto"/>
      <w:outlineLvl w:val="6"/>
    </w:pPr>
    <w:rPr>
      <w:rFonts w:ascii="Times New Roman" w:hAnsi="Times New Roman" w:eastAsia="宋体" w:cs="Times New Roman"/>
      <w:b/>
      <w:bCs/>
      <w:kern w:val="0"/>
      <w:sz w:val="24"/>
      <w:szCs w:val="24"/>
      <w:lang w:val="zh-CN"/>
    </w:rPr>
  </w:style>
  <w:style w:type="paragraph" w:styleId="13">
    <w:name w:val="heading 8"/>
    <w:basedOn w:val="1"/>
    <w:next w:val="7"/>
    <w:link w:val="56"/>
    <w:qFormat/>
    <w:uiPriority w:val="99"/>
    <w:pPr>
      <w:keepNext/>
      <w:keepLines/>
      <w:spacing w:before="240" w:after="64" w:line="319" w:lineRule="auto"/>
      <w:outlineLvl w:val="7"/>
    </w:pPr>
    <w:rPr>
      <w:rFonts w:ascii="Cambria" w:hAnsi="Cambria" w:eastAsia="宋体" w:cs="Times New Roman"/>
      <w:kern w:val="0"/>
      <w:sz w:val="24"/>
      <w:szCs w:val="24"/>
      <w:lang w:val="zh-CN"/>
    </w:rPr>
  </w:style>
  <w:style w:type="paragraph" w:styleId="14">
    <w:name w:val="heading 9"/>
    <w:basedOn w:val="1"/>
    <w:next w:val="7"/>
    <w:link w:val="59"/>
    <w:qFormat/>
    <w:uiPriority w:val="99"/>
    <w:pPr>
      <w:keepNext/>
      <w:keepLines/>
      <w:spacing w:before="240" w:after="64" w:line="319" w:lineRule="auto"/>
      <w:outlineLvl w:val="8"/>
    </w:pPr>
    <w:rPr>
      <w:rFonts w:ascii="Cambria" w:hAnsi="Cambria" w:eastAsia="宋体" w:cs="Times New Roman"/>
      <w:kern w:val="0"/>
      <w:sz w:val="20"/>
      <w:szCs w:val="21"/>
      <w:lang w:val="zh-CN"/>
    </w:rPr>
  </w:style>
  <w:style w:type="character" w:default="1" w:styleId="38">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link w:val="82"/>
    <w:qFormat/>
    <w:uiPriority w:val="10"/>
    <w:pPr>
      <w:spacing w:before="120" w:after="60"/>
      <w:jc w:val="center"/>
    </w:pPr>
    <w:rPr>
      <w:rFonts w:ascii="Cambria" w:hAnsi="Cambria"/>
      <w:b/>
      <w:bCs/>
      <w:sz w:val="32"/>
      <w:szCs w:val="32"/>
    </w:rPr>
  </w:style>
  <w:style w:type="paragraph" w:styleId="4">
    <w:name w:val="Body Text First Indent"/>
    <w:basedOn w:val="5"/>
    <w:link w:val="72"/>
    <w:qFormat/>
    <w:uiPriority w:val="99"/>
    <w:pPr>
      <w:ind w:firstLine="420"/>
    </w:pPr>
    <w:rPr>
      <w:rFonts w:eastAsia="宋体" w:asciiTheme="minorHAnsi" w:hAnsiTheme="minorHAnsi" w:cstheme="minorBidi"/>
    </w:rPr>
  </w:style>
  <w:style w:type="paragraph" w:styleId="5">
    <w:name w:val="Body Text"/>
    <w:basedOn w:val="1"/>
    <w:link w:val="101"/>
    <w:unhideWhenUsed/>
    <w:qFormat/>
    <w:uiPriority w:val="99"/>
    <w:pPr>
      <w:spacing w:after="120"/>
    </w:pPr>
    <w:rPr>
      <w:rFonts w:ascii="等线" w:hAnsi="等线" w:eastAsia="等线" w:cs="Times New Roman"/>
    </w:r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15">
    <w:name w:val="annotation subject"/>
    <w:basedOn w:val="16"/>
    <w:next w:val="16"/>
    <w:link w:val="95"/>
    <w:qFormat/>
    <w:uiPriority w:val="99"/>
    <w:rPr>
      <w:rFonts w:eastAsiaTheme="minorEastAsia"/>
      <w:b/>
      <w:bCs/>
    </w:rPr>
  </w:style>
  <w:style w:type="paragraph" w:styleId="16">
    <w:name w:val="annotation text"/>
    <w:basedOn w:val="1"/>
    <w:link w:val="76"/>
    <w:qFormat/>
    <w:uiPriority w:val="99"/>
    <w:pPr>
      <w:jc w:val="left"/>
    </w:pPr>
    <w:rPr>
      <w:rFonts w:eastAsia="宋体"/>
    </w:rPr>
  </w:style>
  <w:style w:type="paragraph" w:styleId="17">
    <w:name w:val="toc 7"/>
    <w:basedOn w:val="1"/>
    <w:next w:val="1"/>
    <w:qFormat/>
    <w:uiPriority w:val="99"/>
    <w:pPr>
      <w:ind w:left="1260"/>
      <w:jc w:val="left"/>
    </w:pPr>
    <w:rPr>
      <w:rFonts w:ascii="Times New Roman" w:hAnsi="Times New Roman" w:eastAsia="宋体" w:cs="Times New Roman"/>
      <w:sz w:val="18"/>
      <w:szCs w:val="18"/>
    </w:rPr>
  </w:style>
  <w:style w:type="paragraph" w:styleId="18">
    <w:name w:val="Document Map"/>
    <w:basedOn w:val="1"/>
    <w:link w:val="91"/>
    <w:qFormat/>
    <w:uiPriority w:val="99"/>
    <w:pPr>
      <w:shd w:val="clear" w:color="auto" w:fill="000080"/>
    </w:pPr>
    <w:rPr>
      <w:sz w:val="16"/>
      <w:szCs w:val="16"/>
    </w:rPr>
  </w:style>
  <w:style w:type="paragraph" w:styleId="19">
    <w:name w:val="Body Text Indent"/>
    <w:basedOn w:val="1"/>
    <w:link w:val="94"/>
    <w:qFormat/>
    <w:uiPriority w:val="99"/>
    <w:pPr>
      <w:spacing w:after="120"/>
      <w:ind w:left="420" w:leftChars="200"/>
    </w:pPr>
  </w:style>
  <w:style w:type="paragraph" w:styleId="20">
    <w:name w:val="List Bullet 2"/>
    <w:basedOn w:val="1"/>
    <w:qFormat/>
    <w:uiPriority w:val="99"/>
    <w:pPr>
      <w:widowControl/>
      <w:tabs>
        <w:tab w:val="left" w:pos="720"/>
      </w:tabs>
      <w:ind w:left="720" w:hanging="360"/>
      <w:jc w:val="left"/>
    </w:pPr>
    <w:rPr>
      <w:rFonts w:ascii="Times New Roman" w:hAnsi="Times New Roman" w:eastAsia="宋体" w:cs="Times New Roman"/>
      <w:kern w:val="0"/>
      <w:sz w:val="20"/>
      <w:szCs w:val="20"/>
    </w:rPr>
  </w:style>
  <w:style w:type="paragraph" w:styleId="21">
    <w:name w:val="toc 5"/>
    <w:basedOn w:val="1"/>
    <w:next w:val="1"/>
    <w:qFormat/>
    <w:uiPriority w:val="99"/>
    <w:pPr>
      <w:ind w:left="840"/>
      <w:jc w:val="left"/>
    </w:pPr>
    <w:rPr>
      <w:rFonts w:ascii="Times New Roman" w:hAnsi="Times New Roman" w:eastAsia="宋体" w:cs="Times New Roman"/>
      <w:sz w:val="18"/>
      <w:szCs w:val="18"/>
    </w:rPr>
  </w:style>
  <w:style w:type="paragraph" w:styleId="22">
    <w:name w:val="toc 3"/>
    <w:basedOn w:val="1"/>
    <w:next w:val="1"/>
    <w:qFormat/>
    <w:uiPriority w:val="99"/>
    <w:pPr>
      <w:ind w:left="840" w:leftChars="400"/>
    </w:pPr>
    <w:rPr>
      <w:rFonts w:ascii="Times New Roman" w:hAnsi="Times New Roman" w:eastAsia="宋体" w:cs="Times New Roman"/>
      <w:szCs w:val="20"/>
    </w:rPr>
  </w:style>
  <w:style w:type="paragraph" w:styleId="23">
    <w:name w:val="Plain Text"/>
    <w:basedOn w:val="1"/>
    <w:link w:val="75"/>
    <w:qFormat/>
    <w:uiPriority w:val="99"/>
    <w:pPr>
      <w:widowControl/>
      <w:jc w:val="left"/>
    </w:pPr>
    <w:rPr>
      <w:rFonts w:ascii="宋体" w:hAnsi="Courier New" w:cs="Courier New"/>
      <w:szCs w:val="21"/>
    </w:rPr>
  </w:style>
  <w:style w:type="paragraph" w:styleId="24">
    <w:name w:val="toc 8"/>
    <w:basedOn w:val="1"/>
    <w:next w:val="1"/>
    <w:qFormat/>
    <w:uiPriority w:val="99"/>
    <w:pPr>
      <w:ind w:left="1470"/>
      <w:jc w:val="left"/>
    </w:pPr>
    <w:rPr>
      <w:rFonts w:ascii="Times New Roman" w:hAnsi="Times New Roman" w:eastAsia="宋体" w:cs="Times New Roman"/>
      <w:sz w:val="18"/>
      <w:szCs w:val="18"/>
    </w:rPr>
  </w:style>
  <w:style w:type="paragraph" w:styleId="25">
    <w:name w:val="Date"/>
    <w:basedOn w:val="1"/>
    <w:next w:val="1"/>
    <w:link w:val="64"/>
    <w:qFormat/>
    <w:uiPriority w:val="99"/>
  </w:style>
  <w:style w:type="paragraph" w:styleId="26">
    <w:name w:val="Body Text Indent 2"/>
    <w:basedOn w:val="1"/>
    <w:link w:val="66"/>
    <w:qFormat/>
    <w:uiPriority w:val="99"/>
    <w:pPr>
      <w:ind w:firstLine="720" w:firstLineChars="225"/>
    </w:pPr>
  </w:style>
  <w:style w:type="paragraph" w:styleId="27">
    <w:name w:val="endnote text"/>
    <w:basedOn w:val="1"/>
    <w:link w:val="74"/>
    <w:qFormat/>
    <w:uiPriority w:val="99"/>
    <w:pPr>
      <w:snapToGrid w:val="0"/>
      <w:jc w:val="left"/>
    </w:pPr>
  </w:style>
  <w:style w:type="paragraph" w:styleId="28">
    <w:name w:val="Balloon Text"/>
    <w:basedOn w:val="1"/>
    <w:link w:val="57"/>
    <w:qFormat/>
    <w:uiPriority w:val="99"/>
    <w:rPr>
      <w:sz w:val="16"/>
      <w:szCs w:val="16"/>
    </w:rPr>
  </w:style>
  <w:style w:type="paragraph" w:styleId="29">
    <w:name w:val="footer"/>
    <w:basedOn w:val="1"/>
    <w:link w:val="55"/>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30">
    <w:name w:val="header"/>
    <w:basedOn w:val="1"/>
    <w:link w:val="54"/>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31">
    <w:name w:val="toc 1"/>
    <w:basedOn w:val="1"/>
    <w:next w:val="1"/>
    <w:qFormat/>
    <w:uiPriority w:val="39"/>
    <w:rPr>
      <w:rFonts w:ascii="Times New Roman" w:hAnsi="Times New Roman" w:eastAsia="宋体" w:cs="Times New Roman"/>
      <w:szCs w:val="20"/>
    </w:rPr>
  </w:style>
  <w:style w:type="paragraph" w:styleId="32">
    <w:name w:val="toc 4"/>
    <w:basedOn w:val="1"/>
    <w:next w:val="1"/>
    <w:qFormat/>
    <w:uiPriority w:val="99"/>
    <w:pPr>
      <w:ind w:left="630"/>
      <w:jc w:val="left"/>
    </w:pPr>
    <w:rPr>
      <w:rFonts w:ascii="Times New Roman" w:hAnsi="Times New Roman" w:eastAsia="宋体" w:cs="Times New Roman"/>
      <w:sz w:val="18"/>
      <w:szCs w:val="18"/>
    </w:rPr>
  </w:style>
  <w:style w:type="paragraph" w:styleId="33">
    <w:name w:val="toc 6"/>
    <w:basedOn w:val="1"/>
    <w:next w:val="1"/>
    <w:qFormat/>
    <w:uiPriority w:val="99"/>
    <w:pPr>
      <w:ind w:left="1050"/>
      <w:jc w:val="left"/>
    </w:pPr>
    <w:rPr>
      <w:rFonts w:ascii="Times New Roman" w:hAnsi="Times New Roman" w:eastAsia="宋体" w:cs="Times New Roman"/>
      <w:sz w:val="18"/>
      <w:szCs w:val="18"/>
    </w:rPr>
  </w:style>
  <w:style w:type="paragraph" w:styleId="34">
    <w:name w:val="Body Text Indent 3"/>
    <w:basedOn w:val="1"/>
    <w:link w:val="58"/>
    <w:qFormat/>
    <w:uiPriority w:val="99"/>
    <w:pPr>
      <w:spacing w:after="120"/>
      <w:ind w:left="420" w:leftChars="200"/>
    </w:pPr>
    <w:rPr>
      <w:sz w:val="16"/>
      <w:szCs w:val="16"/>
    </w:rPr>
  </w:style>
  <w:style w:type="paragraph" w:styleId="35">
    <w:name w:val="toc 2"/>
    <w:basedOn w:val="1"/>
    <w:next w:val="1"/>
    <w:qFormat/>
    <w:uiPriority w:val="39"/>
    <w:pPr>
      <w:tabs>
        <w:tab w:val="right" w:leader="dot" w:pos="8820"/>
      </w:tabs>
      <w:snapToGrid w:val="0"/>
      <w:spacing w:line="360" w:lineRule="auto"/>
      <w:jc w:val="left"/>
    </w:pPr>
    <w:rPr>
      <w:rFonts w:ascii="Times New Roman" w:hAnsi="Times New Roman" w:eastAsia="宋体" w:cs="Times New Roman"/>
      <w:sz w:val="24"/>
      <w:szCs w:val="24"/>
    </w:rPr>
  </w:style>
  <w:style w:type="paragraph" w:styleId="36">
    <w:name w:val="toc 9"/>
    <w:basedOn w:val="1"/>
    <w:next w:val="1"/>
    <w:qFormat/>
    <w:uiPriority w:val="99"/>
    <w:pPr>
      <w:ind w:left="1680"/>
      <w:jc w:val="left"/>
    </w:pPr>
    <w:rPr>
      <w:rFonts w:ascii="Times New Roman" w:hAnsi="Times New Roman" w:eastAsia="宋体" w:cs="Times New Roman"/>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39">
    <w:name w:val="Strong"/>
    <w:qFormat/>
    <w:uiPriority w:val="99"/>
    <w:rPr>
      <w:rFonts w:cs="Times New Roman"/>
      <w:b/>
    </w:rPr>
  </w:style>
  <w:style w:type="character" w:styleId="40">
    <w:name w:val="page number"/>
    <w:qFormat/>
    <w:uiPriority w:val="0"/>
    <w:rPr>
      <w:rFonts w:cs="Times New Roman"/>
    </w:rPr>
  </w:style>
  <w:style w:type="character" w:styleId="41">
    <w:name w:val="FollowedHyperlink"/>
    <w:semiHidden/>
    <w:unhideWhenUsed/>
    <w:qFormat/>
    <w:uiPriority w:val="99"/>
    <w:rPr>
      <w:color w:val="954F72"/>
      <w:u w:val="single"/>
    </w:rPr>
  </w:style>
  <w:style w:type="character" w:styleId="42">
    <w:name w:val="Hyperlink"/>
    <w:qFormat/>
    <w:uiPriority w:val="99"/>
    <w:rPr>
      <w:rFonts w:cs="Times New Roman"/>
      <w:color w:val="0000FF"/>
      <w:u w:val="single"/>
    </w:rPr>
  </w:style>
  <w:style w:type="character" w:styleId="43">
    <w:name w:val="annotation reference"/>
    <w:qFormat/>
    <w:uiPriority w:val="99"/>
    <w:rPr>
      <w:rFonts w:cs="Times New Roman"/>
      <w:sz w:val="21"/>
    </w:rPr>
  </w:style>
  <w:style w:type="character" w:customStyle="1" w:styleId="45">
    <w:name w:val="标题 1 字符"/>
    <w:basedOn w:val="38"/>
    <w:qFormat/>
    <w:uiPriority w:val="9"/>
    <w:rPr>
      <w:b/>
      <w:bCs/>
      <w:kern w:val="44"/>
      <w:sz w:val="44"/>
      <w:szCs w:val="44"/>
    </w:rPr>
  </w:style>
  <w:style w:type="character" w:customStyle="1" w:styleId="46">
    <w:name w:val="标题 2 字符"/>
    <w:basedOn w:val="38"/>
    <w:semiHidden/>
    <w:qFormat/>
    <w:uiPriority w:val="9"/>
    <w:rPr>
      <w:rFonts w:asciiTheme="majorHAnsi" w:hAnsiTheme="majorHAnsi" w:eastAsiaTheme="majorEastAsia" w:cstheme="majorBidi"/>
      <w:b/>
      <w:bCs/>
      <w:sz w:val="32"/>
      <w:szCs w:val="32"/>
    </w:rPr>
  </w:style>
  <w:style w:type="character" w:customStyle="1" w:styleId="47">
    <w:name w:val="标题 3 字符"/>
    <w:basedOn w:val="38"/>
    <w:semiHidden/>
    <w:qFormat/>
    <w:uiPriority w:val="9"/>
    <w:rPr>
      <w:b/>
      <w:bCs/>
      <w:sz w:val="32"/>
      <w:szCs w:val="32"/>
    </w:rPr>
  </w:style>
  <w:style w:type="character" w:customStyle="1" w:styleId="48">
    <w:name w:val="标题 4 字符"/>
    <w:basedOn w:val="38"/>
    <w:semiHidden/>
    <w:qFormat/>
    <w:uiPriority w:val="9"/>
    <w:rPr>
      <w:rFonts w:asciiTheme="majorHAnsi" w:hAnsiTheme="majorHAnsi" w:eastAsiaTheme="majorEastAsia" w:cstheme="majorBidi"/>
      <w:b/>
      <w:bCs/>
      <w:sz w:val="28"/>
      <w:szCs w:val="28"/>
    </w:rPr>
  </w:style>
  <w:style w:type="character" w:customStyle="1" w:styleId="49">
    <w:name w:val="标题 5 字符"/>
    <w:basedOn w:val="38"/>
    <w:semiHidden/>
    <w:qFormat/>
    <w:uiPriority w:val="9"/>
    <w:rPr>
      <w:b/>
      <w:bCs/>
      <w:sz w:val="28"/>
      <w:szCs w:val="28"/>
    </w:rPr>
  </w:style>
  <w:style w:type="character" w:customStyle="1" w:styleId="50">
    <w:name w:val="标题 6 字符"/>
    <w:basedOn w:val="38"/>
    <w:semiHidden/>
    <w:qFormat/>
    <w:uiPriority w:val="9"/>
    <w:rPr>
      <w:rFonts w:asciiTheme="majorHAnsi" w:hAnsiTheme="majorHAnsi" w:eastAsiaTheme="majorEastAsia" w:cstheme="majorBidi"/>
      <w:b/>
      <w:bCs/>
      <w:sz w:val="24"/>
      <w:szCs w:val="24"/>
    </w:rPr>
  </w:style>
  <w:style w:type="character" w:customStyle="1" w:styleId="51">
    <w:name w:val="标题 7 字符"/>
    <w:basedOn w:val="38"/>
    <w:semiHidden/>
    <w:qFormat/>
    <w:uiPriority w:val="9"/>
    <w:rPr>
      <w:b/>
      <w:bCs/>
      <w:sz w:val="24"/>
      <w:szCs w:val="24"/>
    </w:rPr>
  </w:style>
  <w:style w:type="character" w:customStyle="1" w:styleId="52">
    <w:name w:val="标题 8 字符"/>
    <w:basedOn w:val="38"/>
    <w:semiHidden/>
    <w:qFormat/>
    <w:uiPriority w:val="9"/>
    <w:rPr>
      <w:rFonts w:asciiTheme="majorHAnsi" w:hAnsiTheme="majorHAnsi" w:eastAsiaTheme="majorEastAsia" w:cstheme="majorBidi"/>
      <w:sz w:val="24"/>
      <w:szCs w:val="24"/>
    </w:rPr>
  </w:style>
  <w:style w:type="character" w:customStyle="1" w:styleId="53">
    <w:name w:val="标题 9 字符"/>
    <w:basedOn w:val="38"/>
    <w:semiHidden/>
    <w:qFormat/>
    <w:uiPriority w:val="9"/>
    <w:rPr>
      <w:rFonts w:asciiTheme="majorHAnsi" w:hAnsiTheme="majorHAnsi" w:eastAsiaTheme="majorEastAsia" w:cstheme="majorBidi"/>
      <w:szCs w:val="21"/>
    </w:rPr>
  </w:style>
  <w:style w:type="character" w:customStyle="1" w:styleId="54">
    <w:name w:val="页眉 字符"/>
    <w:basedOn w:val="38"/>
    <w:link w:val="30"/>
    <w:qFormat/>
    <w:uiPriority w:val="0"/>
    <w:rPr>
      <w:rFonts w:ascii="等线" w:hAnsi="等线" w:eastAsia="等线" w:cs="Times New Roman"/>
      <w:sz w:val="18"/>
      <w:szCs w:val="18"/>
    </w:rPr>
  </w:style>
  <w:style w:type="character" w:customStyle="1" w:styleId="55">
    <w:name w:val="页脚 字符"/>
    <w:basedOn w:val="38"/>
    <w:link w:val="29"/>
    <w:qFormat/>
    <w:uiPriority w:val="0"/>
    <w:rPr>
      <w:rFonts w:ascii="等线" w:hAnsi="等线" w:eastAsia="等线" w:cs="Times New Roman"/>
      <w:sz w:val="18"/>
      <w:szCs w:val="18"/>
    </w:rPr>
  </w:style>
  <w:style w:type="character" w:customStyle="1" w:styleId="56">
    <w:name w:val="标题 8 字符1"/>
    <w:link w:val="13"/>
    <w:qFormat/>
    <w:uiPriority w:val="99"/>
    <w:rPr>
      <w:rFonts w:ascii="Cambria" w:hAnsi="Cambria" w:eastAsia="宋体" w:cs="Times New Roman"/>
      <w:kern w:val="0"/>
      <w:sz w:val="24"/>
      <w:szCs w:val="24"/>
      <w:lang w:val="zh-CN" w:eastAsia="zh-CN"/>
    </w:rPr>
  </w:style>
  <w:style w:type="character" w:customStyle="1" w:styleId="57">
    <w:name w:val="批注框文本 字符1"/>
    <w:link w:val="28"/>
    <w:qFormat/>
    <w:uiPriority w:val="99"/>
    <w:rPr>
      <w:sz w:val="16"/>
      <w:szCs w:val="16"/>
    </w:rPr>
  </w:style>
  <w:style w:type="character" w:customStyle="1" w:styleId="58">
    <w:name w:val="正文文本缩进 3 字符1"/>
    <w:link w:val="34"/>
    <w:qFormat/>
    <w:uiPriority w:val="99"/>
    <w:rPr>
      <w:sz w:val="16"/>
      <w:szCs w:val="16"/>
    </w:rPr>
  </w:style>
  <w:style w:type="character" w:customStyle="1" w:styleId="59">
    <w:name w:val="标题 9 字符1"/>
    <w:link w:val="14"/>
    <w:qFormat/>
    <w:uiPriority w:val="99"/>
    <w:rPr>
      <w:rFonts w:ascii="Cambria" w:hAnsi="Cambria" w:eastAsia="宋体" w:cs="Times New Roman"/>
      <w:kern w:val="0"/>
      <w:sz w:val="20"/>
      <w:szCs w:val="21"/>
      <w:lang w:val="zh-CN" w:eastAsia="zh-CN"/>
    </w:rPr>
  </w:style>
  <w:style w:type="character" w:customStyle="1" w:styleId="60">
    <w:name w:val="标题 5 字符1"/>
    <w:link w:val="10"/>
    <w:qFormat/>
    <w:uiPriority w:val="99"/>
    <w:rPr>
      <w:rFonts w:ascii="Times New Roman" w:hAnsi="Times New Roman" w:eastAsia="宋体" w:cs="Times New Roman"/>
      <w:b/>
      <w:bCs/>
      <w:kern w:val="0"/>
      <w:sz w:val="28"/>
      <w:szCs w:val="28"/>
      <w:lang w:val="zh-CN" w:eastAsia="zh-CN"/>
    </w:rPr>
  </w:style>
  <w:style w:type="character" w:customStyle="1" w:styleId="61">
    <w:name w:val="图表 Char1 Char Char Char"/>
    <w:link w:val="62"/>
    <w:qFormat/>
    <w:locked/>
    <w:uiPriority w:val="99"/>
    <w:rPr>
      <w:rFonts w:eastAsia="华文中宋"/>
      <w:kern w:val="24"/>
      <w:sz w:val="24"/>
    </w:rPr>
  </w:style>
  <w:style w:type="paragraph" w:customStyle="1" w:styleId="62">
    <w:name w:val="图表 Char1 Char"/>
    <w:basedOn w:val="1"/>
    <w:link w:val="61"/>
    <w:qFormat/>
    <w:uiPriority w:val="99"/>
    <w:pPr>
      <w:snapToGrid w:val="0"/>
      <w:spacing w:line="360" w:lineRule="auto"/>
      <w:ind w:firstLine="200" w:firstLineChars="200"/>
      <w:jc w:val="center"/>
    </w:pPr>
    <w:rPr>
      <w:rFonts w:eastAsia="华文中宋"/>
      <w:kern w:val="24"/>
      <w:sz w:val="24"/>
    </w:rPr>
  </w:style>
  <w:style w:type="character" w:customStyle="1" w:styleId="63">
    <w:name w:val="Comment Text Char"/>
    <w:semiHidden/>
    <w:qFormat/>
    <w:uiPriority w:val="99"/>
    <w:rPr>
      <w:szCs w:val="20"/>
    </w:rPr>
  </w:style>
  <w:style w:type="character" w:customStyle="1" w:styleId="64">
    <w:name w:val="日期 字符1"/>
    <w:link w:val="25"/>
    <w:qFormat/>
    <w:uiPriority w:val="99"/>
  </w:style>
  <w:style w:type="character" w:customStyle="1" w:styleId="65">
    <w:name w:val="正文文本 Char1"/>
    <w:qFormat/>
    <w:uiPriority w:val="99"/>
    <w:rPr>
      <w:szCs w:val="20"/>
    </w:rPr>
  </w:style>
  <w:style w:type="character" w:customStyle="1" w:styleId="66">
    <w:name w:val="正文文本缩进 2 字符1"/>
    <w:link w:val="26"/>
    <w:qFormat/>
    <w:uiPriority w:val="99"/>
  </w:style>
  <w:style w:type="character" w:customStyle="1" w:styleId="67">
    <w:name w:val="textcontents"/>
    <w:qFormat/>
    <w:uiPriority w:val="99"/>
    <w:rPr>
      <w:rFonts w:cs="Times New Roman"/>
    </w:rPr>
  </w:style>
  <w:style w:type="character" w:customStyle="1" w:styleId="68">
    <w:name w:val="标题 1 Char Char"/>
    <w:qFormat/>
    <w:uiPriority w:val="99"/>
    <w:rPr>
      <w:rFonts w:ascii="Arial" w:hAnsi="Arial" w:eastAsia="宋体"/>
      <w:b/>
      <w:kern w:val="44"/>
      <w:sz w:val="36"/>
      <w:lang w:val="en-US" w:eastAsia="zh-CN"/>
    </w:rPr>
  </w:style>
  <w:style w:type="character" w:customStyle="1" w:styleId="69">
    <w:name w:val="纯文本 Char"/>
    <w:qFormat/>
    <w:locked/>
    <w:uiPriority w:val="99"/>
    <w:rPr>
      <w:rFonts w:ascii="宋体" w:hAnsi="Courier New" w:eastAsia="宋体"/>
      <w:sz w:val="21"/>
      <w:lang w:val="en-US" w:eastAsia="zh-CN"/>
    </w:rPr>
  </w:style>
  <w:style w:type="character" w:customStyle="1" w:styleId="70">
    <w:name w:val="标题 Char Char"/>
    <w:qFormat/>
    <w:uiPriority w:val="99"/>
    <w:rPr>
      <w:rFonts w:ascii="Arial" w:hAnsi="Arial" w:eastAsia="宋体"/>
      <w:b/>
      <w:kern w:val="2"/>
      <w:sz w:val="44"/>
      <w:lang w:val="en-US" w:eastAsia="zh-CN"/>
    </w:rPr>
  </w:style>
  <w:style w:type="character" w:customStyle="1" w:styleId="71">
    <w:name w:val="页脚 Char"/>
    <w:qFormat/>
    <w:uiPriority w:val="0"/>
    <w:rPr>
      <w:sz w:val="18"/>
      <w:szCs w:val="18"/>
    </w:rPr>
  </w:style>
  <w:style w:type="character" w:customStyle="1" w:styleId="72">
    <w:name w:val="正文文本首行缩进 字符"/>
    <w:link w:val="4"/>
    <w:qFormat/>
    <w:uiPriority w:val="99"/>
    <w:rPr>
      <w:rFonts w:eastAsia="宋体"/>
    </w:rPr>
  </w:style>
  <w:style w:type="character" w:customStyle="1" w:styleId="73">
    <w:name w:val="正文文本 Char"/>
    <w:qFormat/>
    <w:locked/>
    <w:uiPriority w:val="99"/>
    <w:rPr>
      <w:rFonts w:eastAsia="宋体"/>
      <w:kern w:val="2"/>
      <w:sz w:val="21"/>
      <w:lang w:val="en-US" w:eastAsia="zh-CN"/>
    </w:rPr>
  </w:style>
  <w:style w:type="character" w:customStyle="1" w:styleId="74">
    <w:name w:val="尾注文本 字符1"/>
    <w:link w:val="27"/>
    <w:qFormat/>
    <w:uiPriority w:val="99"/>
  </w:style>
  <w:style w:type="character" w:customStyle="1" w:styleId="75">
    <w:name w:val="纯文本 字符1"/>
    <w:link w:val="23"/>
    <w:qFormat/>
    <w:uiPriority w:val="99"/>
    <w:rPr>
      <w:rFonts w:ascii="宋体" w:hAnsi="Courier New" w:cs="Courier New"/>
      <w:szCs w:val="21"/>
    </w:rPr>
  </w:style>
  <w:style w:type="character" w:customStyle="1" w:styleId="76">
    <w:name w:val="批注文字 字符1"/>
    <w:link w:val="16"/>
    <w:qFormat/>
    <w:locked/>
    <w:uiPriority w:val="99"/>
    <w:rPr>
      <w:rFonts w:eastAsia="宋体"/>
    </w:rPr>
  </w:style>
  <w:style w:type="character" w:customStyle="1" w:styleId="77">
    <w:name w:val="标题 6 字符1"/>
    <w:link w:val="11"/>
    <w:qFormat/>
    <w:uiPriority w:val="99"/>
    <w:rPr>
      <w:rFonts w:ascii="Cambria" w:hAnsi="Cambria" w:eastAsia="宋体" w:cs="Times New Roman"/>
      <w:b/>
      <w:bCs/>
      <w:kern w:val="0"/>
      <w:sz w:val="24"/>
      <w:szCs w:val="24"/>
      <w:lang w:val="zh-CN" w:eastAsia="zh-CN"/>
    </w:rPr>
  </w:style>
  <w:style w:type="character" w:customStyle="1" w:styleId="78">
    <w:name w:val="图（居中） Char Char"/>
    <w:link w:val="79"/>
    <w:qFormat/>
    <w:locked/>
    <w:uiPriority w:val="99"/>
    <w:rPr>
      <w:rFonts w:ascii="Verdana" w:hAnsi="Verdana" w:eastAsia="华文仿宋"/>
      <w:sz w:val="28"/>
    </w:rPr>
  </w:style>
  <w:style w:type="paragraph" w:customStyle="1" w:styleId="79">
    <w:name w:val="图（居中）"/>
    <w:basedOn w:val="1"/>
    <w:link w:val="78"/>
    <w:qFormat/>
    <w:uiPriority w:val="99"/>
    <w:pPr>
      <w:adjustRightInd w:val="0"/>
      <w:spacing w:after="120" w:line="360" w:lineRule="auto"/>
      <w:jc w:val="center"/>
      <w:textAlignment w:val="baseline"/>
    </w:pPr>
    <w:rPr>
      <w:rFonts w:ascii="Verdana" w:hAnsi="Verdana" w:eastAsia="华文仿宋"/>
      <w:sz w:val="28"/>
    </w:rPr>
  </w:style>
  <w:style w:type="character" w:customStyle="1" w:styleId="80">
    <w:name w:val="标题 7 字符1"/>
    <w:link w:val="12"/>
    <w:qFormat/>
    <w:uiPriority w:val="99"/>
    <w:rPr>
      <w:rFonts w:ascii="Times New Roman" w:hAnsi="Times New Roman" w:eastAsia="宋体" w:cs="Times New Roman"/>
      <w:b/>
      <w:bCs/>
      <w:kern w:val="0"/>
      <w:sz w:val="24"/>
      <w:szCs w:val="24"/>
      <w:lang w:val="zh-CN" w:eastAsia="zh-CN"/>
    </w:rPr>
  </w:style>
  <w:style w:type="character" w:customStyle="1" w:styleId="81">
    <w:name w:val="Char Char2"/>
    <w:qFormat/>
    <w:uiPriority w:val="99"/>
    <w:rPr>
      <w:rFonts w:eastAsia="宋体"/>
      <w:kern w:val="2"/>
      <w:sz w:val="21"/>
      <w:lang w:val="en-US" w:eastAsia="zh-CN"/>
    </w:rPr>
  </w:style>
  <w:style w:type="character" w:customStyle="1" w:styleId="82">
    <w:name w:val="标题 字符1"/>
    <w:link w:val="3"/>
    <w:qFormat/>
    <w:uiPriority w:val="10"/>
    <w:rPr>
      <w:rFonts w:ascii="Cambria" w:hAnsi="Cambria"/>
      <w:b/>
      <w:bCs/>
      <w:sz w:val="32"/>
      <w:szCs w:val="32"/>
    </w:rPr>
  </w:style>
  <w:style w:type="character" w:customStyle="1" w:styleId="83">
    <w:name w:val="标题 1 字符1"/>
    <w:link w:val="2"/>
    <w:qFormat/>
    <w:uiPriority w:val="99"/>
    <w:rPr>
      <w:rFonts w:ascii="Times New Roman" w:hAnsi="Times New Roman" w:eastAsia="宋体" w:cs="Times New Roman"/>
      <w:b/>
      <w:bCs/>
      <w:kern w:val="44"/>
      <w:sz w:val="44"/>
      <w:szCs w:val="44"/>
      <w:lang w:val="zh-CN" w:eastAsia="zh-CN"/>
    </w:rPr>
  </w:style>
  <w:style w:type="character" w:customStyle="1" w:styleId="84">
    <w:name w:val="标题 2 字符1"/>
    <w:link w:val="6"/>
    <w:qFormat/>
    <w:locked/>
    <w:uiPriority w:val="99"/>
    <w:rPr>
      <w:rFonts w:ascii="宋体" w:hAnsi="宋体" w:eastAsia="宋体" w:cs="Times New Roman"/>
      <w:b/>
      <w:kern w:val="28"/>
      <w:sz w:val="30"/>
      <w:szCs w:val="20"/>
    </w:rPr>
  </w:style>
  <w:style w:type="character" w:customStyle="1" w:styleId="85">
    <w:name w:val="标题 3 字符1"/>
    <w:link w:val="8"/>
    <w:qFormat/>
    <w:uiPriority w:val="99"/>
    <w:rPr>
      <w:rFonts w:ascii="Times New Roman" w:hAnsi="Times New Roman" w:eastAsia="宋体" w:cs="Times New Roman"/>
      <w:b/>
      <w:bCs/>
      <w:kern w:val="0"/>
      <w:sz w:val="32"/>
      <w:szCs w:val="32"/>
      <w:lang w:val="zh-CN" w:eastAsia="zh-CN"/>
    </w:rPr>
  </w:style>
  <w:style w:type="character" w:customStyle="1" w:styleId="86">
    <w:name w:val="标题 4 字符1"/>
    <w:link w:val="9"/>
    <w:qFormat/>
    <w:uiPriority w:val="99"/>
    <w:rPr>
      <w:rFonts w:ascii="Cambria" w:hAnsi="Cambria" w:eastAsia="宋体" w:cs="Times New Roman"/>
      <w:b/>
      <w:bCs/>
      <w:kern w:val="0"/>
      <w:sz w:val="28"/>
      <w:szCs w:val="28"/>
      <w:lang w:val="zh-CN" w:eastAsia="zh-CN"/>
    </w:rPr>
  </w:style>
  <w:style w:type="character" w:customStyle="1" w:styleId="87">
    <w:name w:val="文一 Char Char"/>
    <w:link w:val="88"/>
    <w:qFormat/>
    <w:locked/>
    <w:uiPriority w:val="99"/>
    <w:rPr>
      <w:rFonts w:eastAsia="宋体"/>
      <w:snapToGrid w:val="0"/>
      <w:spacing w:val="4"/>
      <w:sz w:val="24"/>
    </w:rPr>
  </w:style>
  <w:style w:type="paragraph" w:customStyle="1" w:styleId="88">
    <w:name w:val="文一"/>
    <w:basedOn w:val="1"/>
    <w:link w:val="87"/>
    <w:qFormat/>
    <w:uiPriority w:val="99"/>
    <w:pPr>
      <w:topLinePunct/>
      <w:adjustRightInd w:val="0"/>
      <w:snapToGrid w:val="0"/>
      <w:spacing w:line="360" w:lineRule="auto"/>
      <w:ind w:firstLine="200" w:firstLineChars="200"/>
    </w:pPr>
    <w:rPr>
      <w:rFonts w:eastAsia="宋体"/>
      <w:snapToGrid w:val="0"/>
      <w:spacing w:val="4"/>
      <w:sz w:val="24"/>
    </w:rPr>
  </w:style>
  <w:style w:type="character" w:customStyle="1" w:styleId="89">
    <w:name w:val="尾注文本 Char"/>
    <w:qFormat/>
    <w:locked/>
    <w:uiPriority w:val="99"/>
    <w:rPr>
      <w:rFonts w:ascii="宋体" w:hAnsi="宋体" w:eastAsia="宋体"/>
      <w:kern w:val="2"/>
      <w:sz w:val="21"/>
      <w:lang w:val="en-US" w:eastAsia="zh-CN"/>
    </w:rPr>
  </w:style>
  <w:style w:type="character" w:customStyle="1" w:styleId="90">
    <w:name w:val="正文首行缩进 Char"/>
    <w:qFormat/>
    <w:locked/>
    <w:uiPriority w:val="99"/>
    <w:rPr>
      <w:rFonts w:eastAsia="宋体"/>
      <w:kern w:val="2"/>
      <w:sz w:val="21"/>
      <w:lang w:val="en-US" w:eastAsia="zh-CN"/>
    </w:rPr>
  </w:style>
  <w:style w:type="character" w:customStyle="1" w:styleId="91">
    <w:name w:val="文档结构图 字符1"/>
    <w:link w:val="18"/>
    <w:qFormat/>
    <w:uiPriority w:val="99"/>
    <w:rPr>
      <w:sz w:val="16"/>
      <w:szCs w:val="16"/>
      <w:shd w:val="clear" w:color="auto" w:fill="000080"/>
    </w:rPr>
  </w:style>
  <w:style w:type="character" w:customStyle="1" w:styleId="92">
    <w:name w:val="表格文字 Char Char"/>
    <w:link w:val="93"/>
    <w:qFormat/>
    <w:locked/>
    <w:uiPriority w:val="99"/>
    <w:rPr>
      <w:rFonts w:eastAsia="仿宋_GB2312"/>
    </w:rPr>
  </w:style>
  <w:style w:type="paragraph" w:customStyle="1" w:styleId="93">
    <w:name w:val="表格文字"/>
    <w:basedOn w:val="1"/>
    <w:link w:val="92"/>
    <w:qFormat/>
    <w:uiPriority w:val="99"/>
    <w:rPr>
      <w:rFonts w:eastAsia="仿宋_GB2312"/>
    </w:rPr>
  </w:style>
  <w:style w:type="character" w:customStyle="1" w:styleId="94">
    <w:name w:val="正文文本缩进 字符1"/>
    <w:link w:val="19"/>
    <w:qFormat/>
    <w:uiPriority w:val="99"/>
  </w:style>
  <w:style w:type="character" w:customStyle="1" w:styleId="95">
    <w:name w:val="批注主题 字符1"/>
    <w:link w:val="15"/>
    <w:qFormat/>
    <w:uiPriority w:val="99"/>
    <w:rPr>
      <w:b/>
      <w:bCs/>
    </w:rPr>
  </w:style>
  <w:style w:type="character" w:customStyle="1" w:styleId="96">
    <w:name w:val="页眉 Char"/>
    <w:qFormat/>
    <w:uiPriority w:val="0"/>
    <w:rPr>
      <w:sz w:val="18"/>
      <w:szCs w:val="18"/>
    </w:rPr>
  </w:style>
  <w:style w:type="character" w:customStyle="1" w:styleId="97">
    <w:name w:val="表格文字 Char"/>
    <w:qFormat/>
    <w:uiPriority w:val="99"/>
    <w:rPr>
      <w:rFonts w:ascii="宋体" w:hAnsi="Courier New" w:eastAsia="宋体"/>
      <w:kern w:val="2"/>
      <w:sz w:val="21"/>
      <w:lang w:val="en-US" w:eastAsia="zh-CN"/>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批注框文本 字符"/>
    <w:basedOn w:val="38"/>
    <w:semiHidden/>
    <w:qFormat/>
    <w:uiPriority w:val="99"/>
    <w:rPr>
      <w:sz w:val="18"/>
      <w:szCs w:val="18"/>
    </w:rPr>
  </w:style>
  <w:style w:type="character" w:customStyle="1" w:styleId="100">
    <w:name w:val="批注文字 字符"/>
    <w:basedOn w:val="38"/>
    <w:semiHidden/>
    <w:qFormat/>
    <w:uiPriority w:val="99"/>
  </w:style>
  <w:style w:type="character" w:customStyle="1" w:styleId="101">
    <w:name w:val="正文文本 字符"/>
    <w:basedOn w:val="38"/>
    <w:link w:val="5"/>
    <w:qFormat/>
    <w:uiPriority w:val="99"/>
    <w:rPr>
      <w:rFonts w:ascii="等线" w:hAnsi="等线" w:eastAsia="等线" w:cs="Times New Roman"/>
    </w:rPr>
  </w:style>
  <w:style w:type="character" w:customStyle="1" w:styleId="102">
    <w:name w:val="正文文本首行缩进 字符1"/>
    <w:basedOn w:val="101"/>
    <w:semiHidden/>
    <w:uiPriority w:val="99"/>
    <w:rPr>
      <w:rFonts w:ascii="等线" w:hAnsi="等线" w:eastAsia="等线" w:cs="Times New Roman"/>
    </w:rPr>
  </w:style>
  <w:style w:type="character" w:customStyle="1" w:styleId="103">
    <w:name w:val="正文首行缩进 字符"/>
    <w:basedOn w:val="101"/>
    <w:semiHidden/>
    <w:qFormat/>
    <w:uiPriority w:val="99"/>
    <w:rPr>
      <w:rFonts w:ascii="等线" w:hAnsi="等线" w:eastAsia="等线" w:cs="Times New Roman"/>
    </w:rPr>
  </w:style>
  <w:style w:type="character" w:customStyle="1" w:styleId="104">
    <w:name w:val="日期 字符"/>
    <w:basedOn w:val="38"/>
    <w:semiHidden/>
    <w:qFormat/>
    <w:uiPriority w:val="99"/>
  </w:style>
  <w:style w:type="character" w:customStyle="1" w:styleId="105">
    <w:name w:val="正文文本缩进 字符"/>
    <w:basedOn w:val="38"/>
    <w:semiHidden/>
    <w:qFormat/>
    <w:uiPriority w:val="99"/>
  </w:style>
  <w:style w:type="character" w:customStyle="1" w:styleId="106">
    <w:name w:val="纯文本 字符"/>
    <w:basedOn w:val="38"/>
    <w:semiHidden/>
    <w:qFormat/>
    <w:uiPriority w:val="99"/>
    <w:rPr>
      <w:rFonts w:hAnsi="Courier New" w:cs="Courier New" w:asciiTheme="minorEastAsia"/>
    </w:rPr>
  </w:style>
  <w:style w:type="character" w:customStyle="1" w:styleId="107">
    <w:name w:val="文档结构图 字符"/>
    <w:basedOn w:val="38"/>
    <w:semiHidden/>
    <w:qFormat/>
    <w:uiPriority w:val="99"/>
    <w:rPr>
      <w:rFonts w:ascii="Microsoft YaHei UI" w:eastAsia="Microsoft YaHei UI"/>
      <w:sz w:val="18"/>
      <w:szCs w:val="18"/>
    </w:rPr>
  </w:style>
  <w:style w:type="character" w:customStyle="1" w:styleId="108">
    <w:name w:val="标题 字符"/>
    <w:basedOn w:val="38"/>
    <w:qFormat/>
    <w:uiPriority w:val="10"/>
    <w:rPr>
      <w:rFonts w:asciiTheme="majorHAnsi" w:hAnsiTheme="majorHAnsi" w:eastAsiaTheme="majorEastAsia" w:cstheme="majorBidi"/>
      <w:b/>
      <w:bCs/>
      <w:sz w:val="32"/>
      <w:szCs w:val="32"/>
    </w:rPr>
  </w:style>
  <w:style w:type="character" w:customStyle="1" w:styleId="109">
    <w:name w:val="正文文本缩进 3 字符"/>
    <w:basedOn w:val="38"/>
    <w:semiHidden/>
    <w:qFormat/>
    <w:uiPriority w:val="99"/>
    <w:rPr>
      <w:sz w:val="16"/>
      <w:szCs w:val="16"/>
    </w:rPr>
  </w:style>
  <w:style w:type="character" w:customStyle="1" w:styleId="110">
    <w:name w:val="尾注文本 字符"/>
    <w:basedOn w:val="38"/>
    <w:semiHidden/>
    <w:qFormat/>
    <w:uiPriority w:val="99"/>
  </w:style>
  <w:style w:type="character" w:customStyle="1" w:styleId="111">
    <w:name w:val="正文文本缩进 2 字符"/>
    <w:basedOn w:val="38"/>
    <w:semiHidden/>
    <w:qFormat/>
    <w:uiPriority w:val="99"/>
  </w:style>
  <w:style w:type="character" w:customStyle="1" w:styleId="112">
    <w:name w:val="批注主题 字符"/>
    <w:basedOn w:val="100"/>
    <w:semiHidden/>
    <w:qFormat/>
    <w:uiPriority w:val="99"/>
    <w:rPr>
      <w:b/>
      <w:bCs/>
    </w:rPr>
  </w:style>
  <w:style w:type="paragraph" w:customStyle="1" w:styleId="113">
    <w:name w:val="xl39"/>
    <w:basedOn w:val="1"/>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4">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5">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6">
    <w:name w:val="默认段落字体 Para Char"/>
    <w:basedOn w:val="1"/>
    <w:qFormat/>
    <w:uiPriority w:val="99"/>
    <w:rPr>
      <w:rFonts w:ascii="Times New Roman" w:hAnsi="Times New Roman" w:eastAsia="宋体" w:cs="Times New Roman"/>
      <w:sz w:val="30"/>
      <w:szCs w:val="24"/>
    </w:rPr>
  </w:style>
  <w:style w:type="paragraph" w:customStyle="1" w:styleId="117">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9">
    <w:name w:val="_Style 1"/>
    <w:basedOn w:val="1"/>
    <w:qFormat/>
    <w:uiPriority w:val="34"/>
    <w:pPr>
      <w:ind w:firstLine="420" w:firstLineChars="200"/>
    </w:pPr>
    <w:rPr>
      <w:rFonts w:ascii="Times New Roman" w:hAnsi="Times New Roman" w:eastAsia="宋体" w:cs="Times New Roman"/>
      <w:szCs w:val="20"/>
    </w:rPr>
  </w:style>
  <w:style w:type="paragraph" w:customStyle="1" w:styleId="120">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1">
    <w:name w:val="1 Char Char Char Char Char Char Char"/>
    <w:basedOn w:val="1"/>
    <w:qFormat/>
    <w:uiPriority w:val="99"/>
    <w:rPr>
      <w:rFonts w:ascii="Times New Roman" w:hAnsi="Times New Roman" w:eastAsia="宋体" w:cs="Times New Roman"/>
      <w:sz w:val="30"/>
      <w:szCs w:val="20"/>
    </w:rPr>
  </w:style>
  <w:style w:type="paragraph" w:customStyle="1" w:styleId="122">
    <w:name w:val="Char11"/>
    <w:basedOn w:val="1"/>
    <w:qFormat/>
    <w:uiPriority w:val="99"/>
    <w:rPr>
      <w:rFonts w:ascii="Times New Roman" w:hAnsi="Times New Roman" w:eastAsia="宋体" w:cs="Times New Roman"/>
      <w:sz w:val="30"/>
      <w:szCs w:val="24"/>
    </w:rPr>
  </w:style>
  <w:style w:type="paragraph" w:customStyle="1" w:styleId="12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4">
    <w:name w:val="Char1"/>
    <w:basedOn w:val="1"/>
    <w:uiPriority w:val="99"/>
    <w:pPr>
      <w:snapToGrid w:val="0"/>
      <w:spacing w:line="420" w:lineRule="auto"/>
    </w:pPr>
    <w:rPr>
      <w:rFonts w:ascii="Times New Roman" w:hAnsi="Times New Roman" w:eastAsia="宋体" w:cs="Times New Roman"/>
      <w:szCs w:val="21"/>
    </w:rPr>
  </w:style>
  <w:style w:type="paragraph" w:customStyle="1" w:styleId="1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7">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8">
    <w:name w:val="列表段落1"/>
    <w:basedOn w:val="1"/>
    <w:qFormat/>
    <w:uiPriority w:val="99"/>
    <w:pPr>
      <w:ind w:firstLine="420" w:firstLineChars="200"/>
    </w:pPr>
    <w:rPr>
      <w:rFonts w:ascii="Times New Roman" w:hAnsi="Times New Roman" w:eastAsia="宋体" w:cs="Times New Roman"/>
      <w:szCs w:val="20"/>
    </w:rPr>
  </w:style>
  <w:style w:type="paragraph" w:customStyle="1" w:styleId="129">
    <w:name w:val="1"/>
    <w:basedOn w:val="1"/>
    <w:next w:val="23"/>
    <w:qFormat/>
    <w:uiPriority w:val="99"/>
    <w:rPr>
      <w:rFonts w:ascii="宋体" w:hAnsi="Courier New" w:eastAsia="宋体" w:cs="Times New Roman"/>
      <w:szCs w:val="20"/>
    </w:rPr>
  </w:style>
  <w:style w:type="paragraph" w:customStyle="1" w:styleId="130">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2">
    <w:name w:val="xl4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3">
    <w:name w:val="xl2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4">
    <w:name w:val="_Style 41"/>
    <w:basedOn w:val="1"/>
    <w:qFormat/>
    <w:uiPriority w:val="99"/>
    <w:rPr>
      <w:rFonts w:ascii="宋体" w:hAnsi="CG Times (W1)" w:eastAsia="宋体" w:cs="Times New Roman"/>
      <w:kern w:val="0"/>
      <w:szCs w:val="20"/>
    </w:rPr>
  </w:style>
  <w:style w:type="paragraph" w:customStyle="1" w:styleId="135">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7">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38">
    <w:name w:val="样式"/>
    <w:basedOn w:val="1"/>
    <w:next w:val="19"/>
    <w:qFormat/>
    <w:uiPriority w:val="99"/>
    <w:pPr>
      <w:jc w:val="center"/>
    </w:pPr>
    <w:rPr>
      <w:rFonts w:ascii="宋体" w:hAnsi="宋体" w:eastAsia="宋体" w:cs="Times New Roman"/>
      <w:color w:val="FF0000"/>
      <w:sz w:val="24"/>
      <w:szCs w:val="24"/>
    </w:rPr>
  </w:style>
  <w:style w:type="paragraph" w:customStyle="1" w:styleId="13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0">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1">
    <w:name w:val="xl3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2">
    <w:name w:val="修订1"/>
    <w:qFormat/>
    <w:uiPriority w:val="99"/>
    <w:rPr>
      <w:rFonts w:ascii="Times New Roman" w:hAnsi="Times New Roman" w:eastAsia="宋体" w:cs="Times New Roman"/>
      <w:kern w:val="2"/>
      <w:sz w:val="21"/>
      <w:lang w:val="en-US" w:eastAsia="zh-CN" w:bidi="ar-SA"/>
    </w:rPr>
  </w:style>
  <w:style w:type="paragraph" w:customStyle="1" w:styleId="143">
    <w:name w:val="样式2"/>
    <w:basedOn w:val="6"/>
    <w:qFormat/>
    <w:uiPriority w:val="99"/>
    <w:pPr>
      <w:spacing w:before="260" w:after="260" w:afterAutospacing="0" w:line="415" w:lineRule="auto"/>
      <w:ind w:left="0" w:firstLine="0"/>
    </w:pPr>
    <w:rPr>
      <w:rFonts w:ascii="Arial" w:eastAsia="华文中宋"/>
      <w:sz w:val="36"/>
      <w:szCs w:val="36"/>
    </w:rPr>
  </w:style>
  <w:style w:type="paragraph" w:customStyle="1" w:styleId="144">
    <w:name w:val="2"/>
    <w:basedOn w:val="1"/>
    <w:qFormat/>
    <w:uiPriority w:val="99"/>
    <w:rPr>
      <w:rFonts w:ascii="2" w:hAnsi="2" w:eastAsia="宋体" w:cs="Times New Roman"/>
      <w:szCs w:val="20"/>
    </w:rPr>
  </w:style>
  <w:style w:type="paragraph" w:customStyle="1" w:styleId="14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6">
    <w:name w:val="WPS Plain"/>
    <w:uiPriority w:val="99"/>
    <w:rPr>
      <w:rFonts w:ascii="Times New Roman" w:hAnsi="Times New Roman" w:eastAsia="宋体" w:cs="Times New Roman"/>
      <w:lang w:val="en-US" w:eastAsia="zh-CN" w:bidi="ar-SA"/>
    </w:rPr>
  </w:style>
  <w:style w:type="paragraph" w:customStyle="1" w:styleId="147">
    <w:name w:val="Char Char Char Char"/>
    <w:basedOn w:val="1"/>
    <w:uiPriority w:val="99"/>
    <w:rPr>
      <w:rFonts w:ascii="Times New Roman" w:hAnsi="Times New Roman" w:eastAsia="宋体" w:cs="Times New Roman"/>
      <w:sz w:val="24"/>
      <w:szCs w:val="24"/>
    </w:rPr>
  </w:style>
  <w:style w:type="paragraph" w:customStyle="1" w:styleId="148">
    <w:name w:val="标正文"/>
    <w:basedOn w:val="1"/>
    <w:qFormat/>
    <w:uiPriority w:val="99"/>
    <w:rPr>
      <w:rFonts w:ascii="仿宋_GB2312" w:hAnsi="Times New Roman" w:eastAsia="仿宋_GB2312" w:cs="Times New Roman"/>
      <w:sz w:val="32"/>
      <w:szCs w:val="24"/>
    </w:rPr>
  </w:style>
  <w:style w:type="paragraph" w:customStyle="1" w:styleId="149">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修订2"/>
    <w:hidden/>
    <w:unhideWhenUsed/>
    <w:qFormat/>
    <w:uiPriority w:val="99"/>
    <w:rPr>
      <w:rFonts w:ascii="Times New Roman" w:hAnsi="Times New Roman" w:eastAsia="宋体" w:cs="Times New Roman"/>
      <w:kern w:val="2"/>
      <w:sz w:val="21"/>
      <w:lang w:val="en-US" w:eastAsia="zh-CN" w:bidi="ar-SA"/>
    </w:rPr>
  </w:style>
  <w:style w:type="paragraph" w:styleId="151">
    <w:name w:val="List Paragraph"/>
    <w:basedOn w:val="1"/>
    <w:qFormat/>
    <w:uiPriority w:val="34"/>
    <w:pPr>
      <w:ind w:firstLine="420" w:firstLineChars="200"/>
    </w:pPr>
  </w:style>
  <w:style w:type="character" w:customStyle="1" w:styleId="152">
    <w:name w:val="bjh-strong2"/>
    <w:qFormat/>
    <w:uiPriority w:val="0"/>
    <w:rPr>
      <w:b/>
      <w:bCs/>
      <w:color w:val="333333"/>
      <w:sz w:val="27"/>
      <w:szCs w:val="27"/>
    </w:rPr>
  </w:style>
  <w:style w:type="character" w:customStyle="1" w:styleId="153">
    <w:name w:val="未处理的提及1"/>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3623</Words>
  <Characters>20652</Characters>
  <Lines>172</Lines>
  <Paragraphs>48</Paragraphs>
  <TotalTime>16</TotalTime>
  <ScaleCrop>false</ScaleCrop>
  <LinksUpToDate>false</LinksUpToDate>
  <CharactersWithSpaces>24227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2019-08-23T02:39:00Z</dcterms:created>
  <dc:creator>gnao zc</dc:creator>
  <cp:lastModifiedBy>加号</cp:lastModifiedBy>
  <cp:lastPrinted>2019-08-23T01:05:00Z</cp:lastPrinted>
  <dcterms:modified xsi:type="dcterms:W3CDTF">2019-08-26T07:56:43Z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