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52"/>
          <w:szCs w:val="52"/>
        </w:rPr>
      </w:pPr>
      <w:r>
        <w:rPr>
          <w:rFonts w:hint="eastAsia" w:ascii="黑体" w:hAnsi="Times New Roman" w:eastAsia="黑体"/>
          <w:sz w:val="52"/>
          <w:szCs w:val="52"/>
        </w:rPr>
        <w:t>关于对广州信天翁信息科技有限</w:t>
      </w:r>
    </w:p>
    <w:p>
      <w:pPr>
        <w:spacing w:line="360" w:lineRule="auto"/>
        <w:jc w:val="center"/>
        <w:rPr>
          <w:rFonts w:ascii="黑体" w:hAnsi="Times New Roman" w:eastAsia="黑体"/>
          <w:sz w:val="52"/>
          <w:szCs w:val="52"/>
        </w:rPr>
      </w:pPr>
      <w:r>
        <w:rPr>
          <w:rFonts w:hint="eastAsia" w:ascii="黑体" w:hAnsi="Times New Roman" w:eastAsia="黑体"/>
          <w:sz w:val="52"/>
          <w:szCs w:val="52"/>
        </w:rPr>
        <w:t>公司股权收购尽职调查项目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ePN6zs8BAABoAwAADgAAAGRycy9lMm9Eb2MueG1srVPNjtMwEL4j&#10;8Q6W7zRpywKKmu6hq+WyQKVdHsB1nMTC9lget0lfghdA4gYnjtx5G5bHYOz+sMANkcMonp/P830z&#10;XlyO1rCdCqjB1Xw6KTlTTkKjXVfzt3fXT15whlG4RhhwquZ7hfxy+fjRYvCVmkEPplGBEYjDavA1&#10;72P0VVGg7JUVOAGvHAVbCFZEOoauaIIYCN2aYlaWz4oBQuMDSIVI3qtDkC8zftsqGd+0LarITM2p&#10;t5htyHaTbLFciKoLwvdaHtsQ/9CFFdrRpWeoKxEF2wb9F5TVMgBCGycSbAFtq6XKHIjNtPyDzW0v&#10;vMpcSBz0Z5nw/8HK17t1YLqp+YwzJyyN6P7D1+/vP/349pHs/ZfPbJZEGjxWlLty65BoytHd+huQ&#10;75A5WPXCdSo3e7f3hDBNFcVvJemAnq7aDK+goRyxjZAVG9tgEyRpwcY8mP15MGqMTJLzYj5/WpY0&#10;P3mKFaI6FfqA8aUCy9JPzY12STNRid0NxtSIqE4pye3gWhuT524cG2o+nz6/SNDWkwroulyMYHST&#10;ElMJhm6zMoHtRNqi/GWGFHmYFmDrmsOFxh0FSJwP6m2g2a/DSRgaZ+7suHppXx6ec/WvB7L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FoHHSAAAABwEAAA8AAAAAAAAAAQAgAAAAIgAAAGRycy9k&#10;b3ducmV2LnhtbFBLAQIUABQAAAAIAIdO4kB483rOzwEAAGgDAAAOAAAAAAAAAAEAIAAAACEBAABk&#10;cnMvZTJvRG9jLnhtbFBLBQYAAAAABgAGAFkBAABi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询价议标文件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TJ3+XzgEAAGgDAAAOAAAAZHJzL2Uyb0RvYy54bWytU8GO0zAQvSPx&#10;D5bvNOmWBRQ13UNXy2WBSrt8gGs7iYXtsTxu0/4EP4DEDU4cufM3LJ/B2N0WFm6IHEbxzJuXmfec&#10;+cXOWbbVEQ34lk8nNWfaS1DG9y1/e3v15AVnmIRXwoLXLd9r5BeLx4/mY2j0GQxglY6MSDw2Y2j5&#10;kFJoqgrloJ3ACQTtqdhBdCLRMfaVimIkdmers7p+Vo0QVYggNSJlLw9Fvij8XadletN1qBOzLafZ&#10;UomxxHWO1WIumj6KMBh5P4b4hymcMJ4+eqK6FEmwTTR/UTkjIyB0aSLBVdB1RuqyA20zrf/Y5mYQ&#10;QZddSBwMJ5nw/9HK19tVZEaRd5x54ciiuw9fv7//9OPbR4p3Xz6zaRZpDNgQdulXMa8pd/4mXIN8&#10;h8zDchC+12XY230ghtJRPWjJBwz0qfX4ChRhxCZBUWzXRZcpSQu2K8bsT8boXWKSkuez2dO6Jv/k&#10;sVaJ5tgYIqaXGhzLLy23xmfNRCO215hodIIeITnt4cpYW3y3no0tn02fn2dqF0gF9H1pRrBGZWBu&#10;wdivlzayrci3qDxZEyJ+AIuw8eqQt57Kx50P6q1B7Vcxl3Oe7CwE91cv35ffzwX16wdZ/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mBX4t0QAAAAQBAAAPAAAAAAAAAAEAIAAAACIAAABkcnMvZG93&#10;bnJldi54bWxQSwECFAAUAAAACACHTuJA0yd/l84BAABoAwAADgAAAAAAAAABACAAAAAgAQAAZHJz&#10;L2Uyb0RvYy54bWxQSwUGAAAAAAYABgBZAQAAYA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pPr>
      <w:r>
        <w:rPr>
          <w:rFonts w:hint="eastAsia" w:ascii="黑体" w:hAnsi="Times New Roman" w:eastAsia="黑体"/>
          <w:sz w:val="48"/>
          <w:szCs w:val="48"/>
        </w:rPr>
        <w:t>广州南沙资产经营有限公司</w:t>
      </w:r>
    </w:p>
    <w:p>
      <w:pPr>
        <w:pStyle w:val="2"/>
        <w:ind w:firstLine="3092" w:firstLineChars="700"/>
      </w:pPr>
      <w:r>
        <w:rPr>
          <w:rFonts w:hint="eastAsia" w:ascii="黑体" w:hAnsi="Times New Roman" w:eastAsia="黑体"/>
        </w:rPr>
        <w:t>20</w:t>
      </w:r>
      <w:r>
        <w:rPr>
          <w:rFonts w:hint="eastAsia" w:ascii="黑体" w:hAnsi="Times New Roman" w:eastAsia="黑体"/>
          <w:lang w:val="en-US" w:eastAsia="zh-CN"/>
        </w:rPr>
        <w:t>20</w:t>
      </w:r>
      <w:r>
        <w:rPr>
          <w:rFonts w:hint="eastAsia" w:ascii="黑体" w:hAnsi="Times New Roman" w:eastAsia="黑体"/>
        </w:rPr>
        <w:t>年</w:t>
      </w:r>
      <w:r>
        <w:rPr>
          <w:rFonts w:hint="eastAsia" w:ascii="黑体" w:hAnsi="Times New Roman" w:eastAsia="黑体"/>
          <w:lang w:val="en-US" w:eastAsia="zh-CN"/>
        </w:rPr>
        <w:t>1</w:t>
      </w:r>
      <w:r>
        <w:rPr>
          <w:rFonts w:hint="eastAsia" w:ascii="黑体" w:hAnsi="Times New Roman" w:eastAsia="黑体"/>
        </w:rPr>
        <w:t>月</w:t>
      </w:r>
      <w:r>
        <w:br w:type="page"/>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关于对广州信天翁信息科技有限公司</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尽职调查项目询价议标文件</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lang w:bidi="ar"/>
        </w:rPr>
        <w:t>招标人：广州南沙资产经营有限公司</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招标项目名称：关于对广州信天翁信息科技有限公司股权收购尽职调查项目</w:t>
      </w:r>
      <w:bookmarkStart w:id="3" w:name="_GoBack"/>
      <w:bookmarkEnd w:id="3"/>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评审办法：最低价中标法</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招标文件的获取:自行在广州南沙资产经营有限公司网站下载。（http://www.gnao.com.cn/）</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投标文件递交截止日期：20</w:t>
      </w:r>
      <w:r>
        <w:rPr>
          <w:rFonts w:hint="eastAsia" w:ascii="仿宋_GB2312" w:hAnsi="仿宋_GB2312" w:eastAsia="仿宋_GB2312" w:cs="仿宋_GB2312"/>
          <w:color w:val="000000"/>
          <w:kern w:val="0"/>
          <w:sz w:val="32"/>
          <w:szCs w:val="32"/>
          <w:shd w:val="clear" w:color="auto" w:fill="FFFFFF"/>
          <w:lang w:val="en-US" w:eastAsia="zh-CN" w:bidi="ar"/>
        </w:rPr>
        <w:t>20</w:t>
      </w:r>
      <w:r>
        <w:rPr>
          <w:rFonts w:hint="eastAsia" w:ascii="仿宋_GB2312" w:hAnsi="仿宋_GB2312" w:eastAsia="仿宋_GB2312" w:cs="仿宋_GB2312"/>
          <w:color w:val="000000"/>
          <w:kern w:val="0"/>
          <w:sz w:val="32"/>
          <w:szCs w:val="32"/>
          <w:shd w:val="clear" w:color="auto" w:fill="FFFFFF"/>
          <w:lang w:bidi="ar"/>
        </w:rPr>
        <w:t>年</w:t>
      </w:r>
      <w:r>
        <w:rPr>
          <w:rFonts w:hint="eastAsia" w:ascii="仿宋_GB2312" w:hAnsi="仿宋_GB2312" w:eastAsia="仿宋_GB2312" w:cs="仿宋_GB2312"/>
          <w:color w:val="000000"/>
          <w:kern w:val="0"/>
          <w:sz w:val="32"/>
          <w:szCs w:val="32"/>
          <w:shd w:val="clear" w:color="auto" w:fill="FFFFFF"/>
          <w:lang w:val="en-US" w:eastAsia="zh-CN" w:bidi="ar"/>
        </w:rPr>
        <w:t>1</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15</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9</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bidi="ar"/>
        </w:rPr>
        <w:t>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开标与评审日期：20</w:t>
      </w:r>
      <w:r>
        <w:rPr>
          <w:rFonts w:hint="eastAsia" w:ascii="仿宋_GB2312" w:hAnsi="仿宋_GB2312" w:eastAsia="仿宋_GB2312" w:cs="仿宋_GB2312"/>
          <w:color w:val="000000"/>
          <w:kern w:val="0"/>
          <w:sz w:val="32"/>
          <w:szCs w:val="32"/>
          <w:shd w:val="clear" w:color="auto" w:fill="FFFFFF"/>
          <w:lang w:val="en-US" w:eastAsia="zh-CN" w:bidi="ar"/>
        </w:rPr>
        <w:t>20</w:t>
      </w:r>
      <w:r>
        <w:rPr>
          <w:rFonts w:hint="eastAsia" w:ascii="仿宋_GB2312" w:hAnsi="仿宋_GB2312" w:eastAsia="仿宋_GB2312" w:cs="仿宋_GB2312"/>
          <w:color w:val="000000"/>
          <w:kern w:val="0"/>
          <w:sz w:val="32"/>
          <w:szCs w:val="32"/>
          <w:shd w:val="clear" w:color="auto" w:fill="FFFFFF"/>
          <w:lang w:bidi="ar"/>
        </w:rPr>
        <w:t>年1月</w:t>
      </w:r>
      <w:r>
        <w:rPr>
          <w:rFonts w:hint="eastAsia" w:ascii="仿宋_GB2312" w:hAnsi="仿宋_GB2312" w:eastAsia="仿宋_GB2312" w:cs="仿宋_GB2312"/>
          <w:color w:val="000000"/>
          <w:kern w:val="0"/>
          <w:sz w:val="32"/>
          <w:szCs w:val="32"/>
          <w:shd w:val="clear" w:color="auto" w:fill="FFFFFF"/>
          <w:lang w:val="en-US" w:eastAsia="zh-CN" w:bidi="ar"/>
        </w:rPr>
        <w:t>15</w:t>
      </w:r>
      <w:r>
        <w:rPr>
          <w:rFonts w:hint="eastAsia" w:ascii="仿宋_GB2312" w:hAnsi="仿宋_GB2312" w:eastAsia="仿宋_GB2312" w:cs="仿宋_GB2312"/>
          <w:color w:val="000000"/>
          <w:kern w:val="0"/>
          <w:sz w:val="32"/>
          <w:szCs w:val="32"/>
          <w:shd w:val="clear" w:color="auto" w:fill="FFFFFF"/>
          <w:lang w:bidi="ar"/>
        </w:rPr>
        <w:t>日</w:t>
      </w:r>
      <w:r>
        <w:rPr>
          <w:rFonts w:hint="eastAsia" w:ascii="仿宋_GB2312" w:hAnsi="仿宋_GB2312" w:eastAsia="仿宋_GB2312" w:cs="仿宋_GB2312"/>
          <w:color w:val="000000"/>
          <w:kern w:val="0"/>
          <w:sz w:val="32"/>
          <w:szCs w:val="32"/>
          <w:shd w:val="clear" w:color="auto" w:fill="FFFFFF"/>
          <w:lang w:val="en-US" w:eastAsia="zh-CN" w:bidi="ar"/>
        </w:rPr>
        <w:t>10</w:t>
      </w:r>
      <w:r>
        <w:rPr>
          <w:rFonts w:hint="eastAsia" w:ascii="仿宋_GB2312" w:hAnsi="仿宋_GB2312" w:eastAsia="仿宋_GB2312" w:cs="仿宋_GB2312"/>
          <w:color w:val="000000"/>
          <w:kern w:val="0"/>
          <w:sz w:val="32"/>
          <w:szCs w:val="32"/>
          <w:shd w:val="clear" w:color="auto" w:fill="FFFFFF"/>
          <w:lang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bidi="ar"/>
        </w:rPr>
        <w:t>分</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开标地点：广东省广州市南沙区海滨路171号南沙金融大厦1807室。</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投标份数：正本1份，副本1份。</w:t>
      </w:r>
    </w:p>
    <w:p>
      <w:pPr>
        <w:widowControl/>
        <w:shd w:val="clear" w:color="auto" w:fill="FFFFFF"/>
        <w:spacing w:line="520" w:lineRule="atLeast"/>
        <w:ind w:firstLine="640" w:firstLineChars="200"/>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招标人及投标文件递交地址：广东省广州市南沙区海滨路171号南沙金融大厦1808室，联系人：蒋小姐，电话：020-66813692。</w:t>
      </w: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Pr>
        <w:widowControl/>
        <w:shd w:val="clear" w:color="auto" w:fill="FFFFFF"/>
        <w:spacing w:line="520" w:lineRule="atLeast"/>
        <w:jc w:val="left"/>
      </w:pPr>
    </w:p>
    <w:p/>
    <w:p/>
    <w:p>
      <w:pPr>
        <w:widowControl/>
        <w:shd w:val="clear" w:color="auto" w:fill="FFFFFF"/>
        <w:spacing w:line="520" w:lineRule="atLeas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致</w:t>
      </w:r>
      <w:r>
        <w:rPr>
          <w:rFonts w:hint="eastAsia" w:ascii="仿宋_GB2312" w:hAnsi="仿宋_GB2312" w:eastAsia="仿宋_GB2312" w:cs="仿宋_GB2312"/>
          <w:color w:val="000000"/>
          <w:kern w:val="0"/>
          <w:sz w:val="32"/>
          <w:szCs w:val="32"/>
          <w:u w:val="single"/>
          <w:shd w:val="clear" w:color="auto" w:fill="FFFFFF"/>
          <w:lang w:bidi="ar"/>
        </w:rPr>
        <w:t>投标人：</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广州南沙资产经营有限公司（以下简称“资产公司”）经研究决定,就“关于对广州信天翁信息科技有限公司股权收购尽职调查项目”，采取询价议标的方式选择律师或会计师事务所提供专项服务。</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本次招标为选聘律师或会计师事务所，在指定期限内，完成广州信天翁信息科技有限公司（以下简称“信天翁公司”）股权收购尽职调查（包含法务及财务方面）</w:t>
      </w:r>
      <w:r>
        <w:rPr>
          <w:rFonts w:hint="eastAsia" w:ascii="仿宋_GB2312" w:hAnsi="仿宋_GB2312" w:eastAsia="仿宋_GB2312" w:cs="仿宋_GB2312"/>
          <w:color w:val="000000"/>
          <w:kern w:val="0"/>
          <w:sz w:val="32"/>
          <w:szCs w:val="32"/>
          <w:shd w:val="clear" w:color="auto" w:fill="FFFFFF"/>
          <w:lang w:val="en-US" w:eastAsia="zh-CN" w:bidi="ar"/>
        </w:rPr>
        <w:t>及协议合同等法律文件起草</w:t>
      </w:r>
      <w:r>
        <w:rPr>
          <w:rFonts w:hint="eastAsia" w:ascii="仿宋_GB2312" w:hAnsi="仿宋_GB2312" w:eastAsia="仿宋_GB2312" w:cs="仿宋_GB2312"/>
          <w:color w:val="000000"/>
          <w:kern w:val="0"/>
          <w:sz w:val="32"/>
          <w:szCs w:val="32"/>
          <w:shd w:val="clear" w:color="auto" w:fill="FFFFFF"/>
          <w:lang w:bidi="ar"/>
        </w:rPr>
        <w:t>工作。在招标之前，投标人须仔细阅读招标文件，如发现有任何疑问、冲突或技术问题，投标人须要求招标人澄清。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（一）服务内容：对广州信天翁信息科技有限公司进行股权收购的尽职调查</w:t>
      </w:r>
      <w:r>
        <w:rPr>
          <w:rFonts w:hint="eastAsia" w:ascii="仿宋_GB2312" w:hAnsi="仿宋_GB2312" w:eastAsia="仿宋_GB2312" w:cs="仿宋_GB2312"/>
          <w:color w:val="000000"/>
          <w:kern w:val="0"/>
          <w:sz w:val="32"/>
          <w:szCs w:val="32"/>
          <w:shd w:val="clear" w:color="auto" w:fill="FFFFFF"/>
          <w:lang w:val="en-US" w:eastAsia="zh-CN" w:bidi="ar"/>
        </w:rPr>
        <w:t>及起草协议合同等法律文件</w:t>
      </w:r>
      <w:r>
        <w:rPr>
          <w:rFonts w:hint="eastAsia" w:ascii="仿宋_GB2312" w:hAnsi="仿宋_GB2312" w:eastAsia="仿宋_GB2312" w:cs="仿宋_GB2312"/>
          <w:color w:val="000000"/>
          <w:kern w:val="0"/>
          <w:sz w:val="32"/>
          <w:szCs w:val="32"/>
          <w:shd w:val="clear" w:color="auto" w:fill="FFFFFF"/>
          <w:lang w:bidi="ar"/>
        </w:rPr>
        <w:t>工作，包括但不限于法务、财务、税务及无形资产（知识产权）等方面，并出具股权收购法律意见、尽职调查报告</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股权收购协议及合资合同章程等法律文件</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（二）服务期限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此次专项服务期限自本项目合同签署开始时起15个工作日内完成。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投标人应指派至少2名（其中执业律师、注册会计师各1名）以上业务能力强、项目管理水平较高的从业人员，可确保项目服务工作按时按质完成；</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（四）服务价格：最高限价人民币10万元(人民币拾万元整)。</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（五）支付方式：本项目工作完成后且招标人收到中标人开具的足额发票后十个工作日内支付。</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1.应为正常存续的事务所，取得</w:t>
      </w:r>
      <w:r>
        <w:rPr>
          <w:rFonts w:hint="eastAsia" w:ascii="仿宋_GB2312" w:hAnsi="仿宋_GB2312" w:eastAsia="仿宋_GB2312" w:cs="仿宋_GB2312"/>
          <w:color w:val="000000"/>
          <w:kern w:val="0"/>
          <w:sz w:val="32"/>
          <w:szCs w:val="32"/>
          <w:shd w:val="clear" w:color="auto" w:fill="FFFFFF"/>
          <w:lang w:val="en-US" w:eastAsia="zh-CN" w:bidi="ar"/>
        </w:rPr>
        <w:t>会计师或</w:t>
      </w:r>
      <w:r>
        <w:rPr>
          <w:rFonts w:hint="eastAsia" w:ascii="仿宋_GB2312" w:hAnsi="仿宋_GB2312" w:eastAsia="仿宋_GB2312" w:cs="仿宋_GB2312"/>
          <w:color w:val="000000"/>
          <w:kern w:val="0"/>
          <w:sz w:val="32"/>
          <w:szCs w:val="32"/>
          <w:shd w:val="clear" w:color="auto" w:fill="FFFFFF"/>
          <w:lang w:bidi="ar"/>
        </w:rPr>
        <w:t>律师事务所执业许可证</w:t>
      </w:r>
      <w:r>
        <w:rPr>
          <w:rFonts w:hint="eastAsia" w:ascii="仿宋_GB2312" w:hAnsi="仿宋_GB2312" w:eastAsia="仿宋_GB2312" w:cs="仿宋_GB2312"/>
          <w:color w:val="000000"/>
          <w:kern w:val="0"/>
          <w:sz w:val="32"/>
          <w:szCs w:val="32"/>
          <w:shd w:val="clear" w:color="auto" w:fill="FFFFFF"/>
          <w:lang w:val="en-US" w:eastAsia="zh-CN" w:bidi="ar"/>
        </w:rPr>
        <w:t>并在有效期内</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⒉可单独投标或组成联合体共同投标，不接受以个人名义投标。</w:t>
      </w:r>
    </w:p>
    <w:p>
      <w:pPr>
        <w:widowControl/>
        <w:shd w:val="clear" w:color="auto" w:fill="FFFFFF"/>
        <w:spacing w:line="520" w:lineRule="atLeast"/>
        <w:ind w:firstLine="560"/>
        <w:rPr>
          <w:rFonts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（一）投标文件必须包括以下内容：</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1.投标人营业执照复印件（加盖公章）；</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widowControl/>
        <w:shd w:val="clear" w:color="auto" w:fill="FFFFFF"/>
        <w:spacing w:line="520" w:lineRule="atLeast"/>
        <w:ind w:left="1000" w:hanging="3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4.</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项目报价书;</w:t>
      </w:r>
    </w:p>
    <w:p>
      <w:pPr>
        <w:widowControl/>
        <w:shd w:val="clear" w:color="auto" w:fill="FFFFFF"/>
        <w:spacing w:line="520" w:lineRule="atLeast"/>
        <w:ind w:left="1000" w:hanging="360"/>
      </w:pPr>
      <w:r>
        <w:rPr>
          <w:rFonts w:hint="eastAsia" w:ascii="仿宋_GB2312" w:hAnsi="仿宋_GB2312" w:eastAsia="仿宋_GB2312" w:cs="仿宋_GB2312"/>
          <w:color w:val="000000"/>
          <w:kern w:val="0"/>
          <w:sz w:val="32"/>
          <w:szCs w:val="32"/>
          <w:shd w:val="clear" w:color="auto" w:fill="FFFFFF"/>
          <w:lang w:bidi="ar"/>
        </w:rPr>
        <w:t>5.联合投标协议（若组成联合体投标）。</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left="1000" w:hanging="3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1.</w:t>
      </w:r>
      <w:r>
        <w:rPr>
          <w:rFonts w:eastAsia="仿宋_GB2312" w:cs="Calibri"/>
          <w:color w:val="000000"/>
          <w:kern w:val="0"/>
          <w:sz w:val="32"/>
          <w:szCs w:val="32"/>
          <w:shd w:val="clear" w:color="auto" w:fill="FFFFFF"/>
          <w:lang w:bidi="ar"/>
        </w:rPr>
        <w:t> </w:t>
      </w:r>
      <w:r>
        <w:rPr>
          <w:rFonts w:hint="eastAsia" w:ascii="仿宋_GB2312" w:hAnsi="仿宋_GB2312" w:eastAsia="仿宋_GB2312" w:cs="仿宋_GB2312"/>
          <w:color w:val="000000"/>
          <w:kern w:val="0"/>
          <w:sz w:val="32"/>
          <w:szCs w:val="32"/>
          <w:shd w:val="clear" w:color="auto" w:fill="FFFFFF"/>
          <w:lang w:bidi="ar"/>
        </w:rPr>
        <w:t>投标文件一式二份。</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2.投标文件必须密封装订，加盖投标单位公章并在封袋上写明“关于对广州信天翁信息科技有限公司股权收购尽职调查项目投标文件”。投标书须加盖公章，须有法定代表人或其授权人签字，并装订在投标文件首页。</w:t>
      </w:r>
    </w:p>
    <w:p>
      <w:pPr>
        <w:widowControl/>
        <w:shd w:val="clear" w:color="auto" w:fill="FFFFFF"/>
        <w:spacing w:line="520" w:lineRule="atLeast"/>
        <w:ind w:firstLine="640" w:firstLineChars="20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3.文件正本应用不褪色的墨水书写或打印，字迹清晰可辨，任何一页都不应涂改，不应有行间插字或删除。如果出现上述情况，不论何种原因造成，均应由法定代表人或其授权人在改动处小签或盖法人章。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（一）所报价格为费用总额，包括服务费、市内交通费、通讯费、餐费等所有费用。投标人一旦成交，双方将严格按照成交价格签订、执行服务合同。</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（二）各投标人应本着长期合作、专业服务的精神，以优惠的价格投标，但亦应严格保证业务质量。</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（三）投标人未按本招标文件规定所投的投标文件无效。无论成交与否，各投标文件及相关资料恕不退回，由招标人存档备察，招标人将对投标人资料予以保密。</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（四）不论结果如何，投标人均需自行承担所有与编写和递交投标文件及所有参与过程中的全部费用。</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（五）招标人有权在招投标期间内的合适时间发布澄清及参考文件。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（六）招标人在规定的截止时间前，可以对招标文件进行修改，并以书面形式通知投标人，投标人应立即以书面形式回复确认收到修改文件。</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六、投标评审</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（一）最低价中标法评审</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评审委员会对投标文件进行符合性审查，符合性审查通过的单位，根据投标人报价由低到高进行排名，确定投标人的顺序。排名第一的为第一中标候选人。投标人报价出现两个或两个以上相同最低报价时，评审委员会将按投标人股权收购尽职调查类似业绩优者排名在前</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确定</w:t>
      </w:r>
      <w:r>
        <w:rPr>
          <w:rFonts w:hint="eastAsia" w:ascii="仿宋_GB2312" w:hAnsi="仿宋_GB2312" w:eastAsia="仿宋_GB2312" w:cs="仿宋_GB2312"/>
          <w:color w:val="000000"/>
          <w:kern w:val="0"/>
          <w:sz w:val="32"/>
          <w:szCs w:val="32"/>
          <w:shd w:val="clear" w:color="auto" w:fill="FFFFFF"/>
          <w:lang w:val="en-US" w:eastAsia="zh-CN" w:bidi="ar"/>
        </w:rPr>
        <w:t>为</w:t>
      </w:r>
      <w:r>
        <w:rPr>
          <w:rFonts w:hint="eastAsia" w:ascii="仿宋_GB2312" w:hAnsi="仿宋_GB2312" w:eastAsia="仿宋_GB2312" w:cs="仿宋_GB2312"/>
          <w:color w:val="000000"/>
          <w:kern w:val="0"/>
          <w:sz w:val="32"/>
          <w:szCs w:val="32"/>
          <w:shd w:val="clear" w:color="auto" w:fill="FFFFFF"/>
          <w:lang w:bidi="ar"/>
        </w:rPr>
        <w:t>中标人（投标人须提供证明文件）</w:t>
      </w:r>
      <w:r>
        <w:rPr>
          <w:rFonts w:hint="eastAsia" w:ascii="仿宋_GB2312" w:hAnsi="仿宋_GB2312" w:eastAsia="仿宋_GB2312" w:cs="仿宋_GB2312"/>
          <w:color w:val="000000"/>
          <w:kern w:val="0"/>
          <w:sz w:val="32"/>
          <w:szCs w:val="32"/>
          <w:shd w:val="clear" w:color="auto" w:fill="FFFFFF"/>
          <w:lang w:eastAsia="zh-CN" w:bidi="ar"/>
        </w:rPr>
        <w:t>。</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（二）中标公示及中标通知书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widowControl/>
        <w:shd w:val="clear" w:color="auto" w:fill="FFFFFF"/>
        <w:spacing w:line="520" w:lineRule="atLeast"/>
        <w:ind w:firstLine="562"/>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1"/>
        </w:numPr>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广州南沙资产经营有限公司</w:t>
      </w:r>
    </w:p>
    <w:p>
      <w:pPr>
        <w:jc w:val="center"/>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                            20</w:t>
      </w:r>
      <w:r>
        <w:rPr>
          <w:rFonts w:hint="eastAsia" w:ascii="仿宋_GB2312" w:hAnsi="仿宋_GB2312" w:eastAsia="仿宋_GB2312" w:cs="仿宋_GB2312"/>
          <w:color w:val="000000"/>
          <w:kern w:val="0"/>
          <w:sz w:val="32"/>
          <w:szCs w:val="32"/>
          <w:shd w:val="clear" w:color="auto" w:fill="FFFFFF"/>
          <w:lang w:val="en-US" w:eastAsia="zh-CN" w:bidi="ar"/>
        </w:rPr>
        <w:t>20</w:t>
      </w:r>
      <w:r>
        <w:rPr>
          <w:rFonts w:hint="eastAsia" w:ascii="仿宋_GB2312" w:hAnsi="仿宋_GB2312" w:eastAsia="仿宋_GB2312" w:cs="仿宋_GB2312"/>
          <w:color w:val="000000"/>
          <w:kern w:val="0"/>
          <w:sz w:val="32"/>
          <w:szCs w:val="32"/>
          <w:shd w:val="clear" w:color="auto" w:fill="FFFFFF"/>
          <w:lang w:bidi="ar"/>
        </w:rPr>
        <w:t>年1月</w:t>
      </w:r>
      <w:r>
        <w:rPr>
          <w:rFonts w:hint="eastAsia" w:ascii="仿宋_GB2312" w:hAnsi="仿宋_GB2312" w:eastAsia="仿宋_GB2312" w:cs="仿宋_GB2312"/>
          <w:color w:val="000000"/>
          <w:kern w:val="0"/>
          <w:sz w:val="32"/>
          <w:szCs w:val="32"/>
          <w:shd w:val="clear" w:color="auto" w:fill="FFFFFF"/>
          <w:lang w:val="en-US" w:eastAsia="zh-CN" w:bidi="ar"/>
        </w:rPr>
        <w:t>9</w:t>
      </w:r>
      <w:r>
        <w:rPr>
          <w:rFonts w:hint="eastAsia" w:ascii="仿宋_GB2312" w:hAnsi="仿宋_GB2312" w:eastAsia="仿宋_GB2312" w:cs="仿宋_GB2312"/>
          <w:color w:val="000000"/>
          <w:kern w:val="0"/>
          <w:sz w:val="32"/>
          <w:szCs w:val="32"/>
          <w:shd w:val="clear" w:color="auto" w:fill="FFFFFF"/>
          <w:lang w:bidi="ar"/>
        </w:rPr>
        <w:t>日</w:t>
      </w:r>
    </w:p>
    <w:p>
      <w:pPr>
        <w:spacing w:line="360" w:lineRule="auto"/>
        <w:rPr>
          <w:rFonts w:ascii="仿宋_GB2312" w:hAnsi="仿宋_GB2312" w:eastAsia="仿宋_GB2312" w:cs="仿宋_GB2312"/>
          <w:b/>
          <w:sz w:val="28"/>
          <w:szCs w:val="28"/>
        </w:rPr>
      </w:pP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附件：投标文件格式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一、封面（格式）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二、投标书（格式）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三、法定代表人证明书（格式）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四、法定代表人授权书（格式）</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五、报价表</w:t>
      </w:r>
    </w:p>
    <w:p>
      <w:pPr>
        <w:spacing w:line="360" w:lineRule="auto"/>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六、资格证明文件（营业执照、资质证书、与招标人合作的业绩文件等，投标人自备）</w:t>
      </w:r>
    </w:p>
    <w:p/>
    <w:p/>
    <w:p>
      <w:pPr>
        <w:pStyle w:val="2"/>
      </w:pPr>
      <w:r>
        <w:br w:type="page"/>
      </w:r>
    </w:p>
    <w:p>
      <w:pPr>
        <w:spacing w:line="360" w:lineRule="auto"/>
        <w:ind w:firstLine="478" w:firstLineChars="228"/>
        <w:rPr>
          <w:color w:val="000000"/>
        </w:rPr>
      </w:pPr>
      <w:r>
        <w:rPr>
          <w:rFonts w:hint="eastAsia"/>
          <w:color w:val="000000"/>
        </w:rPr>
        <w:t>一、封面（格式）</w:t>
      </w:r>
    </w:p>
    <w:p>
      <w:pPr>
        <w:rPr>
          <w:color w:val="000000"/>
        </w:rPr>
      </w:pPr>
    </w:p>
    <w:p>
      <w:pPr>
        <w:pStyle w:val="4"/>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关于对广州信天翁信息科技有限公司</w:t>
      </w:r>
    </w:p>
    <w:p>
      <w:pPr>
        <w:jc w:val="center"/>
        <w:rPr>
          <w:rFonts w:hAnsi="宋体"/>
          <w:b/>
          <w:color w:val="000000"/>
          <w:spacing w:val="6"/>
          <w:sz w:val="36"/>
          <w:szCs w:val="36"/>
        </w:rPr>
      </w:pPr>
      <w:r>
        <w:rPr>
          <w:rFonts w:hint="eastAsia" w:hAnsi="宋体"/>
          <w:b/>
          <w:color w:val="000000"/>
          <w:spacing w:val="6"/>
          <w:sz w:val="36"/>
          <w:szCs w:val="36"/>
        </w:rPr>
        <w:t>股权收购尽职调查项目</w:t>
      </w:r>
    </w:p>
    <w:p>
      <w:pPr>
        <w:jc w:val="center"/>
        <w:rPr>
          <w:rFonts w:hAnsi="宋体"/>
          <w:b/>
          <w:color w:val="000000"/>
          <w:spacing w:val="6"/>
          <w:sz w:val="36"/>
          <w:szCs w:val="36"/>
        </w:rPr>
      </w:pP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48"/>
        </w:rPr>
      </w:pPr>
      <w:r>
        <w:rPr>
          <w:rFonts w:hint="eastAsia" w:ascii="宋体" w:hAnsi="宋体"/>
          <w:color w:val="000000"/>
          <w:sz w:val="32"/>
          <w:u w:val="single"/>
        </w:rPr>
        <w:t xml:space="preserve">    </w:t>
      </w:r>
      <w:r>
        <w:rPr>
          <w:rFonts w:hint="eastAsia" w:ascii="宋体" w:hAnsi="宋体"/>
          <w:color w:val="000000"/>
          <w:sz w:val="32"/>
        </w:rPr>
        <w:t xml:space="preserve">本（正本或副本） </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  标  人：</w:t>
      </w:r>
      <w:r>
        <w:rPr>
          <w:rFonts w:hint="eastAsia"/>
          <w:color w:val="000000"/>
          <w:sz w:val="28"/>
          <w:u w:val="single"/>
        </w:rPr>
        <w:t xml:space="preserve">               （公章）          </w:t>
      </w:r>
    </w:p>
    <w:p>
      <w:pPr>
        <w:ind w:left="1317" w:leftChars="627"/>
        <w:rPr>
          <w:color w:val="000000"/>
          <w:sz w:val="28"/>
          <w:u w:val="single"/>
        </w:rPr>
      </w:pPr>
      <w:r>
        <w:rPr>
          <w:rFonts w:hint="eastAsia"/>
          <w:color w:val="000000"/>
          <w:sz w:val="28"/>
        </w:rPr>
        <w:t>投标人地址：</w:t>
      </w:r>
      <w:r>
        <w:rPr>
          <w:rFonts w:hint="eastAsia"/>
          <w:color w:val="000000"/>
          <w:sz w:val="28"/>
          <w:u w:val="single"/>
        </w:rPr>
        <w:t xml:space="preserve">                                 </w:t>
      </w:r>
    </w:p>
    <w:p>
      <w:pPr>
        <w:spacing w:line="600" w:lineRule="exact"/>
        <w:jc w:val="center"/>
        <w:rPr>
          <w:rFonts w:ascii="宋体" w:hAnsi="宋体"/>
          <w:color w:val="000000"/>
          <w:kern w:val="0"/>
          <w:sz w:val="32"/>
        </w:rPr>
      </w:pPr>
      <w:r>
        <w:rPr>
          <w:rFonts w:hint="eastAsia" w:ascii="宋体" w:hAnsi="宋体"/>
          <w:b/>
          <w:color w:val="000000"/>
          <w:kern w:val="0"/>
          <w:sz w:val="32"/>
        </w:rPr>
        <w:t xml:space="preserve">  年    月   日</w:t>
      </w:r>
    </w:p>
    <w:p>
      <w:pPr>
        <w:spacing w:line="360" w:lineRule="auto"/>
        <w:rPr>
          <w:color w:val="000000"/>
          <w:sz w:val="24"/>
        </w:rPr>
      </w:pPr>
      <w:r>
        <w:rPr>
          <w:b/>
          <w:color w:val="000000"/>
          <w:sz w:val="44"/>
          <w:szCs w:val="44"/>
        </w:rPr>
        <w:br w:type="page"/>
      </w:r>
      <w:r>
        <w:rPr>
          <w:rFonts w:hint="eastAsia"/>
          <w:color w:val="000000"/>
          <w:sz w:val="24"/>
        </w:rPr>
        <w:t>二、投标书（格式）</w:t>
      </w:r>
    </w:p>
    <w:p>
      <w:pPr>
        <w:spacing w:line="360" w:lineRule="auto"/>
        <w:ind w:firstLine="480" w:firstLineChars="200"/>
        <w:rPr>
          <w:rFonts w:ascii="宋体" w:hAnsi="宋体"/>
          <w:color w:val="000000"/>
          <w:sz w:val="24"/>
        </w:rPr>
      </w:pPr>
    </w:p>
    <w:p>
      <w:pPr>
        <w:spacing w:line="500" w:lineRule="exact"/>
        <w:jc w:val="center"/>
        <w:outlineLvl w:val="0"/>
        <w:rPr>
          <w:rFonts w:ascii="宋体" w:hAnsi="宋体"/>
          <w:b/>
          <w:bCs/>
          <w:color w:val="000000"/>
          <w:sz w:val="36"/>
          <w:szCs w:val="36"/>
        </w:rPr>
      </w:pPr>
      <w:bookmarkStart w:id="0" w:name="_Toc79834503"/>
      <w:bookmarkStart w:id="1" w:name="_Toc79822206"/>
      <w:bookmarkStart w:id="2" w:name="_Toc79399453"/>
      <w:r>
        <w:rPr>
          <w:rFonts w:hint="eastAsia" w:ascii="宋体" w:hAnsi="宋体"/>
          <w:b/>
          <w:bCs/>
          <w:color w:val="000000"/>
          <w:sz w:val="36"/>
          <w:szCs w:val="36"/>
        </w:rPr>
        <w:t>投  标  书</w:t>
      </w:r>
      <w:bookmarkEnd w:id="0"/>
      <w:bookmarkEnd w:id="1"/>
      <w:bookmarkEnd w:id="2"/>
    </w:p>
    <w:p>
      <w:pPr>
        <w:rPr>
          <w:rFonts w:ascii="宋体" w:hAnsi="宋体"/>
          <w:color w:val="000000"/>
        </w:rPr>
      </w:pPr>
    </w:p>
    <w:p>
      <w:pPr>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rPr>
          <w:rFonts w:ascii="宋体" w:hAnsi="宋体"/>
          <w:color w:val="000000"/>
          <w:sz w:val="24"/>
        </w:rPr>
      </w:pPr>
    </w:p>
    <w:p>
      <w:pPr>
        <w:spacing w:line="360" w:lineRule="auto"/>
        <w:ind w:firstLine="510"/>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的邀请招标文件。经研究，愿以人民币（大写） </w:t>
      </w:r>
      <w:r>
        <w:rPr>
          <w:rFonts w:hint="eastAsia" w:ascii="宋体"/>
          <w:color w:val="000000"/>
          <w:sz w:val="24"/>
          <w:u w:val="single"/>
        </w:rPr>
        <w:t xml:space="preserve">      </w:t>
      </w:r>
      <w:r>
        <w:rPr>
          <w:rFonts w:hint="eastAsia" w:ascii="宋体"/>
          <w:color w:val="000000"/>
          <w:sz w:val="24"/>
        </w:rPr>
        <w:t>元的报价，提供邀请招标文件要求的专项服务，并满足邀请招标文件提出的各项规定和要求。</w:t>
      </w:r>
    </w:p>
    <w:p>
      <w:pPr>
        <w:spacing w:line="360" w:lineRule="auto"/>
        <w:ind w:firstLine="480"/>
        <w:rPr>
          <w:rFonts w:ascii="宋体" w:hAnsi="宋体"/>
          <w:color w:val="000000"/>
          <w:sz w:val="24"/>
        </w:rPr>
      </w:pPr>
      <w:r>
        <w:rPr>
          <w:rFonts w:hint="eastAsia" w:ascii="宋体" w:hAnsi="宋体"/>
          <w:color w:val="000000"/>
          <w:sz w:val="24"/>
        </w:rPr>
        <w:t>2、如果贵方接受我方投标，我方保证按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rPr>
          <w:rFonts w:ascii="宋体"/>
          <w:color w:val="000000"/>
          <w:sz w:val="24"/>
        </w:rPr>
      </w:pPr>
      <w:r>
        <w:rPr>
          <w:rFonts w:hint="eastAsia" w:ascii="宋体"/>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rPr>
          <w:rFonts w:ascii="宋体" w:hAnsi="宋体"/>
          <w:color w:val="000000"/>
          <w:sz w:val="24"/>
        </w:rPr>
      </w:pPr>
      <w:r>
        <w:rPr>
          <w:rFonts w:hint="eastAsia" w:ascii="宋体" w:hAnsi="宋体"/>
          <w:color w:val="000000"/>
          <w:sz w:val="24"/>
        </w:rPr>
        <w:t>5、我方理解，贵方可选择任何部分或全部项目与投标人签约，接受最低标价的投标。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rPr>
          <w:rFonts w:ascii="宋体" w:hAnsi="宋体"/>
          <w:color w:val="000000"/>
          <w:sz w:val="24"/>
        </w:rPr>
      </w:pPr>
    </w:p>
    <w:p>
      <w:pPr>
        <w:spacing w:line="360" w:lineRule="auto"/>
        <w:ind w:firstLine="480"/>
        <w:rPr>
          <w:rFonts w:ascii="宋体" w:hAnsi="宋体"/>
          <w:color w:val="000000"/>
          <w:sz w:val="24"/>
        </w:rPr>
      </w:pPr>
    </w:p>
    <w:tbl>
      <w:tblPr>
        <w:tblStyle w:val="11"/>
        <w:tblW w:w="9287" w:type="dxa"/>
        <w:tblInd w:w="0" w:type="dxa"/>
        <w:tblLayout w:type="fixed"/>
        <w:tblCellMar>
          <w:top w:w="0" w:type="dxa"/>
          <w:left w:w="108" w:type="dxa"/>
          <w:bottom w:w="0" w:type="dxa"/>
          <w:right w:w="108" w:type="dxa"/>
        </w:tblCellMar>
      </w:tblPr>
      <w:tblGrid>
        <w:gridCol w:w="4643"/>
        <w:gridCol w:w="4644"/>
      </w:tblGrid>
      <w:tr>
        <w:tblPrEx>
          <w:tblLayout w:type="fixed"/>
        </w:tblPrEx>
        <w:tc>
          <w:tcPr>
            <w:tcW w:w="4643" w:type="dxa"/>
          </w:tcPr>
          <w:p>
            <w:pPr>
              <w:spacing w:line="360" w:lineRule="auto"/>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rPr>
          <w:color w:val="000000"/>
          <w:sz w:val="24"/>
        </w:rPr>
      </w:pPr>
    </w:p>
    <w:p>
      <w:pPr>
        <w:spacing w:line="360" w:lineRule="auto"/>
        <w:rPr>
          <w:rFonts w:ascii="Times New Roman" w:hAnsi="Times New Roman"/>
          <w:sz w:val="28"/>
          <w:szCs w:val="28"/>
        </w:rPr>
      </w:pPr>
      <w:r>
        <w:rPr>
          <w:rFonts w:hint="eastAsia"/>
          <w:color w:val="000000"/>
          <w:sz w:val="24"/>
        </w:rPr>
        <w:t>备注：投标报价时提交</w:t>
      </w:r>
      <w:r>
        <w:rPr>
          <w:color w:val="000000"/>
          <w:sz w:val="24"/>
        </w:rPr>
        <w:br w:type="page"/>
      </w:r>
      <w:r>
        <w:rPr>
          <w:rFonts w:hint="eastAsia" w:ascii="Times New Roman" w:hAnsi="Times New Roman"/>
          <w:sz w:val="28"/>
          <w:szCs w:val="28"/>
        </w:rPr>
        <w:t>三、法定代表人证明书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840" w:firstLineChars="400"/>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840" w:firstLineChars="400"/>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0" t="0" r="28575" b="22860"/>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Bf7xNi7AgAALAgAAA4AAABkcnMvZTJvRG9jLnhtbO1V&#10;zW7UMBC+I/EOlu80yTZpdqNmq6qlFRI/FYUH8DpOYuHYxvZutpw5cOR9eB7EazB2sj9deirqAYkc&#10;HI/HHs9888349GzdCbRixnIlS5wcxRgxSVXFZVPijx+uXkwxso7IigglWYnvmMVn8+fPTntdsIlq&#10;laiYQWBE2qLXJW6d00UUWdqyjtgjpZkEZa1MRxyIpokqQ3qw3oloEscnUa9MpY2izFpYvRyUeB7s&#10;1zWj7l1dW+aQKDH45sJowrjwYzQ/JUVjiG45Hd0gj/CiI1zCpVtTl8QRtDT8D1Mdp0ZZVbsjqrpI&#10;1TWnLMQA0STxQTTXRi11iKUp+kZvYQJoD3B6tFn6dnVjEK9KDImSpIMU/frx9ef3b2jqsel1U8CW&#10;a6Nv9Y0ZF5pB8uGua9P5PwSC1gHVuy2qbO0QhcUsy47jPMOIgi7J02k+G3GnLSTHn0uyGJID6vwY&#10;JiEntH05np/m6Xh4kmep10a7i1nI8Wvr/LL3dutcr4FRdgea/TvQbluiWciF9YiMoM02oL0HphHZ&#10;CIaOB9zCLg+ah8fq14p+skiqixZ2sXNjVN8yUoFTSYjIewtmhwNesHAULfo3qoKUkKVTgV4HeD+A&#10;2wb1FMAaIH8ANW2su2aqQ35SYgPOB/NkNSJJis2W4L4SvLriQgTBNIsLYdCKQEldhW/Mid3fJiTq&#10;SzzLJlmwfE9n903E4XvIRMcd9AbBOyDn/iYhvR8HmR8Q84y1hVsv1oGrtlio6g6ANGqofOhUMGmV&#10;+YJRD1VfYvt5SQzDSLySkIxZkqa+TQQhzfIJCGZfs9jXEEnBVIkdRsP0wg2tZakNb1q4KQnBS3UO&#10;Caz5SNKNV4GxgaSD20/O1gSiGWp8R9dQUPfY93R0zWbZyUGZ7+g6hVryHeI/Xf8BuoZWC09S6MXj&#10;8+nfvH050Hv3yM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CrLMDZAAAACQEAAA8AAAAAAAAA&#10;AQAgAAAAIgAAAGRycy9kb3ducmV2LnhtbFBLAQIUABQAAAAIAIdO4kAX+8TYuwIAACwIAAAOAAAA&#10;AAAAAAEAIAAAACgBAABkcnMvZTJvRG9jLnhtbFBLBQYAAAAABgAGAFkBAABVBg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r>
        <w:rPr>
          <w:rFonts w:hint="eastAsia" w:ascii="宋体" w:hAnsi="宋体" w:cs="宋体"/>
          <w:b/>
          <w:bCs/>
          <w:szCs w:val="21"/>
        </w:rPr>
        <w:t xml:space="preserve">                         </w:t>
      </w:r>
    </w:p>
    <w:p>
      <w:pPr>
        <w:spacing w:line="360" w:lineRule="auto"/>
        <w:jc w:val="center"/>
        <w:rPr>
          <w:rFonts w:ascii="宋体" w:hAnsi="宋体" w:cs="宋体"/>
          <w:szCs w:val="21"/>
        </w:rPr>
      </w:pPr>
      <w:r>
        <w:rPr>
          <w:rFonts w:hint="eastAsia" w:ascii="宋体" w:hAnsi="宋体" w:cs="宋体"/>
          <w:szCs w:val="21"/>
        </w:rPr>
        <w:t xml:space="preserve">                   </w:t>
      </w: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r>
        <w:rPr>
          <w:rFonts w:hint="eastAsia" w:ascii="宋体" w:hAnsi="宋体" w:cs="宋体"/>
          <w:szCs w:val="21"/>
        </w:rPr>
        <w:t xml:space="preserve">                                          </w:t>
      </w: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r>
        <w:rPr>
          <w:rFonts w:hint="eastAsia" w:ascii="Times New Roman" w:hAnsi="Times New Roman"/>
          <w:sz w:val="28"/>
          <w:szCs w:val="28"/>
        </w:rPr>
        <w:t>四、法定代表人授权委托书</w:t>
      </w:r>
    </w:p>
    <w:p/>
    <w:p>
      <w:pPr>
        <w:spacing w:line="360" w:lineRule="auto"/>
        <w:jc w:val="center"/>
        <w:outlineLvl w:val="0"/>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59264" behindDoc="0" locked="0" layoutInCell="1" allowOverlap="1">
                <wp:simplePos x="0" y="0"/>
                <wp:positionH relativeFrom="column">
                  <wp:posOffset>137160</wp:posOffset>
                </wp:positionH>
                <wp:positionV relativeFrom="paragraph">
                  <wp:posOffset>125730</wp:posOffset>
                </wp:positionV>
                <wp:extent cx="5486400" cy="1751965"/>
                <wp:effectExtent l="0" t="0" r="19050" b="19685"/>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59264;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EThKhroCAAArCAAADgAAAGRycy9lMm9Eb2MueG1s7VXN&#10;btQwEL4j8Q6W7zSbdLM/0WarqqUVUoGKwgN4HSexcGxjezdbzj1w5H14HsRrMHayP92WS1ElDuTg&#10;eDye8cw3n8ezk3Uj0IoZy5XMcXw0wIhJqgouqxx/+njxaoKRdUQWRCjJcnzLLD6Zv3wxa3XGElUr&#10;UTCDwIm0WatzXDunsyiytGYNsUdKMwnKUpmGOBBNFRWGtOC9EVEyGIyiVplCG0WZtbB63inxPPgv&#10;S0bd+7K0zCGRY4jNhdGEceHHaD4jWWWIrjntwyBPiKIhXMKhW1fnxBG0NPyBq4ZTo6wq3RFVTaTK&#10;klMWcoBs4sFBNpdGLXXIpcraSm9hAmgPcHqyW/pudW0QL3I8wkiSBkr068fdz+/f0Mhj0+oqgy2X&#10;Rt/oa9MvVJ3k012XpvF/SAStA6q3W1TZ2iEKi+lwMhoOAHwKunicxtNR2uFOayiOt4uPU9CDeppM&#10;wrkko/Xr3t5bd8bJOJ16y2h3MAs1vrLOL/tot8G1Ghhld6DZvwPtpiaahVpYj0gPWroB7QMwjchK&#10;sA1uYZcHzcNj9ZWiny2S6qyGXezUGNXWjBQQVBwy8tGC287ACxZM0aJ9qwooCVk6Feh1gPcjuG1Q&#10;HyajP6OmjXWXTDXIT3JsIPjgnqx6JEm22RLCV4IXF1yIIJhqcSYMWhG4Uhfh62ti97cJiVqoZ5qk&#10;wfM9nd13MQjfYy4a7qA3CN7keLK/SUgfx0HlO8Q8Y23m1ot14KrNFqq4BSCN6m4+dCqY1Mp8xaiF&#10;W59j+2VJDMNIvJFQjGk89GRzQRim4wQEs69Z7GuIpOAqxw6jbnrmutay1IZXNZwUh+SlOoUClrwn&#10;6SaqwNhA0i7sZ2fr+CFbxx74e+R7Pram43R4cMt3bD2G/uMbxCN3fEPF/2z9V9gaOi28SKEV96+n&#10;f/L25cDu3Rs//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7l8cD2AAAAAkBAAAPAAAAAAAAAAEA&#10;IAAAACIAAABkcnMvZG93bnJldi54bWxQSwECFAAUAAAACACHTuJAEThKhroCAAArCAAADgAAAAAA&#10;AAABACAAAAAnAQAAZHJzL2Uyb0RvYy54bWxQSwUGAAAAAAYABgBZAQAAU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r>
        <w:rPr>
          <w:rFonts w:hint="eastAsia" w:ascii="Times New Roman" w:hAnsi="Times New Roman"/>
          <w:sz w:val="28"/>
          <w:szCs w:val="28"/>
        </w:rPr>
        <w:t>五、报价表</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关于对广州信天翁信息科技有限公司</w:t>
      </w:r>
    </w:p>
    <w:p>
      <w:pPr>
        <w:widowControl/>
        <w:spacing w:line="500" w:lineRule="exact"/>
        <w:ind w:firstLine="643" w:firstLineChars="200"/>
        <w:jc w:val="center"/>
        <w:rPr>
          <w:rFonts w:ascii="宋体" w:hAnsi="宋体" w:cs="宋体"/>
          <w:b/>
          <w:bCs/>
          <w:kern w:val="0"/>
          <w:sz w:val="32"/>
          <w:szCs w:val="32"/>
        </w:rPr>
      </w:pPr>
      <w:r>
        <w:rPr>
          <w:rFonts w:hint="eastAsia" w:ascii="宋体" w:hAnsi="宋体" w:cs="宋体"/>
          <w:b/>
          <w:bCs/>
          <w:kern w:val="0"/>
          <w:sz w:val="32"/>
          <w:szCs w:val="32"/>
        </w:rPr>
        <w:t>股权收购尽职调查项目报价表</w:t>
      </w:r>
    </w:p>
    <w:p>
      <w:pPr>
        <w:widowControl/>
        <w:spacing w:line="500" w:lineRule="exact"/>
        <w:ind w:firstLine="643" w:firstLineChars="200"/>
        <w:jc w:val="center"/>
        <w:rPr>
          <w:rFonts w:ascii="宋体" w:hAnsi="宋体" w:cs="宋体"/>
          <w:b/>
          <w:bCs/>
          <w:kern w:val="0"/>
          <w:sz w:val="32"/>
          <w:szCs w:val="32"/>
        </w:rPr>
      </w:pPr>
    </w:p>
    <w:tbl>
      <w:tblPr>
        <w:tblStyle w:val="11"/>
        <w:tblW w:w="9180" w:type="dxa"/>
        <w:tblInd w:w="0" w:type="dxa"/>
        <w:tblLayout w:type="fixed"/>
        <w:tblCellMar>
          <w:top w:w="0" w:type="dxa"/>
          <w:left w:w="108" w:type="dxa"/>
          <w:bottom w:w="0" w:type="dxa"/>
          <w:right w:w="108" w:type="dxa"/>
        </w:tblCellMar>
      </w:tblPr>
      <w:tblGrid>
        <w:gridCol w:w="1342"/>
        <w:gridCol w:w="3731"/>
        <w:gridCol w:w="1245"/>
        <w:gridCol w:w="2862"/>
      </w:tblGrid>
      <w:tr>
        <w:tblPrEx>
          <w:tblLayout w:type="fixed"/>
          <w:tblCellMar>
            <w:top w:w="0" w:type="dxa"/>
            <w:left w:w="108" w:type="dxa"/>
            <w:bottom w:w="0" w:type="dxa"/>
            <w:right w:w="108" w:type="dxa"/>
          </w:tblCellMar>
        </w:tblPrEx>
        <w:trPr>
          <w:trHeight w:val="1406" w:hRule="atLeast"/>
        </w:trPr>
        <w:tc>
          <w:tcPr>
            <w:tcW w:w="134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关于对广州信天翁信息科技有限公司股权收购尽职调查项目</w:t>
            </w:r>
          </w:p>
        </w:tc>
        <w:tc>
          <w:tcPr>
            <w:tcW w:w="1245"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tc>
      </w:tr>
      <w:tr>
        <w:tblPrEx>
          <w:tblLayout w:type="fixed"/>
          <w:tblCellMar>
            <w:top w:w="0" w:type="dxa"/>
            <w:left w:w="108" w:type="dxa"/>
            <w:bottom w:w="0" w:type="dxa"/>
            <w:right w:w="108" w:type="dxa"/>
          </w:tblCellMar>
        </w:tblPrEx>
        <w:trPr>
          <w:trHeight w:val="1413" w:hRule="atLeast"/>
        </w:trPr>
        <w:tc>
          <w:tcPr>
            <w:tcW w:w="918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大写人民币</w:t>
            </w:r>
            <w:r>
              <w:rPr>
                <w:rFonts w:hint="eastAsia" w:ascii="宋体" w:hAnsi="宋体" w:cs="宋体"/>
                <w:kern w:val="0"/>
                <w:sz w:val="24"/>
                <w:szCs w:val="24"/>
                <w:u w:val="single"/>
              </w:rPr>
              <w:t xml:space="preserve">                                   </w:t>
            </w:r>
            <w:r>
              <w:rPr>
                <w:rFonts w:hint="eastAsia" w:ascii="宋体" w:hAnsi="宋体" w:cs="宋体"/>
                <w:kern w:val="0"/>
                <w:sz w:val="24"/>
                <w:szCs w:val="24"/>
              </w:rPr>
              <w:t>元整</w:t>
            </w:r>
          </w:p>
        </w:tc>
      </w:tr>
    </w:tbl>
    <w:p>
      <w:pPr>
        <w:spacing w:line="440" w:lineRule="exact"/>
        <w:rPr>
          <w:rFonts w:ascii="宋体" w:hAnsi="宋体" w:cs="宋体"/>
          <w:sz w:val="24"/>
          <w:szCs w:val="24"/>
        </w:rPr>
      </w:pPr>
      <w:r>
        <w:rPr>
          <w:rFonts w:hint="eastAsia" w:ascii="宋体" w:hAnsi="宋体" w:cs="宋体"/>
          <w:sz w:val="24"/>
          <w:szCs w:val="24"/>
        </w:rPr>
        <w:t>注：本项目结合自身实力和市场因素进行报价。</w:t>
      </w:r>
    </w:p>
    <w:p>
      <w:pPr>
        <w:spacing w:line="360" w:lineRule="auto"/>
        <w:jc w:val="left"/>
        <w:rPr>
          <w:rFonts w:ascii="宋体" w:hAnsi="宋体" w:cs="宋体"/>
          <w:b/>
          <w:sz w:val="24"/>
          <w:szCs w:val="24"/>
        </w:rPr>
      </w:pPr>
    </w:p>
    <w:p>
      <w:pPr>
        <w:spacing w:line="360" w:lineRule="auto"/>
        <w:ind w:firstLine="2880" w:firstLineChars="1200"/>
        <w:jc w:val="left"/>
        <w:rPr>
          <w:rFonts w:ascii="宋体" w:hAnsi="宋体" w:cs="宋体"/>
          <w:bCs/>
          <w:sz w:val="24"/>
          <w:szCs w:val="24"/>
        </w:rPr>
      </w:pPr>
      <w:r>
        <w:rPr>
          <w:rFonts w:hint="eastAsia" w:ascii="宋体" w:hAnsi="宋体" w:cs="宋体"/>
          <w:bCs/>
          <w:sz w:val="24"/>
          <w:szCs w:val="24"/>
        </w:rPr>
        <w:t xml:space="preserve">报价单位（公章）：                                        </w:t>
      </w:r>
    </w:p>
    <w:p>
      <w:pPr>
        <w:spacing w:line="360" w:lineRule="auto"/>
        <w:ind w:firstLine="3360" w:firstLineChars="1400"/>
        <w:jc w:val="left"/>
        <w:rPr>
          <w:rFonts w:ascii="仿宋" w:hAnsi="仿宋" w:eastAsia="仿宋" w:cs="仿宋"/>
          <w:b/>
          <w:sz w:val="28"/>
          <w:szCs w:val="28"/>
        </w:rPr>
      </w:pPr>
      <w:r>
        <w:rPr>
          <w:rFonts w:hint="eastAsia" w:ascii="宋体" w:hAnsi="宋体" w:cs="宋体"/>
          <w:bCs/>
          <w:sz w:val="24"/>
          <w:szCs w:val="24"/>
        </w:rPr>
        <w:t>日期：</w:t>
      </w:r>
    </w:p>
    <w:p/>
    <w:p/>
    <w:p/>
    <w:p/>
    <w:p/>
    <w:p/>
    <w:p/>
    <w:p/>
    <w:p/>
    <w:p/>
    <w:p/>
    <w:p/>
    <w:p/>
    <w:p/>
    <w:p/>
    <w:p/>
    <w:p/>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p>
    <w:p>
      <w:pPr>
        <w:pStyle w:val="3"/>
        <w:spacing w:after="0" w:line="360" w:lineRule="auto"/>
        <w:ind w:firstLine="360"/>
        <w:jc w:val="center"/>
        <w:rPr>
          <w:rFonts w:ascii="黑体" w:eastAsia="黑体"/>
          <w:color w:val="000000"/>
          <w:sz w:val="36"/>
          <w:szCs w:val="36"/>
        </w:rPr>
      </w:pPr>
      <w:r>
        <w:rPr>
          <w:rFonts w:hint="eastAsia" w:ascii="黑体" w:eastAsia="黑体"/>
          <w:color w:val="000000"/>
          <w:sz w:val="36"/>
          <w:szCs w:val="36"/>
        </w:rPr>
        <w:t>《符合性审查表》</w:t>
      </w:r>
    </w:p>
    <w:p>
      <w:pPr>
        <w:pStyle w:val="3"/>
        <w:spacing w:after="0" w:line="360" w:lineRule="auto"/>
        <w:ind w:firstLine="360"/>
        <w:jc w:val="center"/>
        <w:rPr>
          <w:rFonts w:ascii="黑体" w:eastAsia="黑体"/>
          <w:color w:val="000000"/>
          <w:sz w:val="36"/>
          <w:szCs w:val="36"/>
        </w:rPr>
      </w:pPr>
    </w:p>
    <w:tbl>
      <w:tblPr>
        <w:tblStyle w:val="11"/>
        <w:tblpPr w:leftFromText="180" w:rightFromText="180" w:vertAnchor="text" w:horzAnchor="margin" w:tblpXSpec="center" w:tblpY="634"/>
        <w:tblOverlap w:val="never"/>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2561"/>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编号</w:t>
            </w:r>
          </w:p>
        </w:tc>
        <w:tc>
          <w:tcPr>
            <w:tcW w:w="2561" w:type="dxa"/>
            <w:tcBorders>
              <w:tl2br w:val="single" w:color="auto" w:sz="4" w:space="0"/>
            </w:tcBorders>
            <w:vAlign w:val="center"/>
          </w:tcPr>
          <w:p>
            <w:pPr>
              <w:tabs>
                <w:tab w:val="left" w:pos="720"/>
              </w:tabs>
              <w:snapToGrid w:val="0"/>
              <w:ind w:firstLine="840" w:firstLineChars="400"/>
              <w:rPr>
                <w:rFonts w:ascii="宋体" w:hAnsi="Courier New"/>
                <w:color w:val="000000"/>
                <w:szCs w:val="21"/>
              </w:rPr>
            </w:pPr>
            <w:r>
              <w:rPr>
                <w:rFonts w:hint="eastAsia" w:ascii="宋体" w:hAnsi="Courier New"/>
                <w:color w:val="000000"/>
                <w:szCs w:val="21"/>
              </w:rPr>
              <w:t>投标人名称</w:t>
            </w:r>
          </w:p>
          <w:p>
            <w:pPr>
              <w:tabs>
                <w:tab w:val="left" w:pos="720"/>
              </w:tabs>
              <w:snapToGrid w:val="0"/>
              <w:rPr>
                <w:rFonts w:ascii="宋体" w:hAnsi="Courier New"/>
                <w:color w:val="000000"/>
                <w:szCs w:val="21"/>
              </w:rPr>
            </w:pPr>
          </w:p>
          <w:p>
            <w:pPr>
              <w:tabs>
                <w:tab w:val="left" w:pos="720"/>
              </w:tabs>
              <w:snapToGrid w:val="0"/>
              <w:rPr>
                <w:rFonts w:ascii="宋体" w:hAnsi="Courier New"/>
                <w:color w:val="000000"/>
                <w:szCs w:val="21"/>
              </w:rPr>
            </w:pPr>
            <w:r>
              <w:rPr>
                <w:rFonts w:hint="eastAsia" w:ascii="宋体" w:hAnsi="Courier New"/>
                <w:color w:val="000000"/>
                <w:szCs w:val="21"/>
              </w:rPr>
              <w:t>审查项目</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A</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B</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C</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D</w:t>
            </w:r>
          </w:p>
        </w:tc>
        <w:tc>
          <w:tcPr>
            <w:tcW w:w="7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E</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F</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G</w:t>
            </w:r>
          </w:p>
        </w:tc>
        <w:tc>
          <w:tcPr>
            <w:tcW w:w="728"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1</w:t>
            </w:r>
          </w:p>
        </w:tc>
        <w:tc>
          <w:tcPr>
            <w:tcW w:w="2561" w:type="dxa"/>
            <w:vAlign w:val="center"/>
          </w:tcPr>
          <w:p>
            <w:pPr>
              <w:tabs>
                <w:tab w:val="left" w:pos="720"/>
              </w:tabs>
              <w:snapToGrid w:val="0"/>
              <w:rPr>
                <w:rFonts w:ascii="宋体" w:hAnsi="Courier New"/>
                <w:color w:val="000000"/>
                <w:szCs w:val="21"/>
              </w:rPr>
            </w:pPr>
            <w:r>
              <w:rPr>
                <w:rFonts w:hint="eastAsia" w:ascii="宋体" w:hAnsi="宋体"/>
                <w:color w:val="000000"/>
                <w:szCs w:val="21"/>
              </w:rPr>
              <w:t>投标文件中有有效的营业执照复印件、法定代表人证明书原件，及法定代表人授权书</w:t>
            </w:r>
            <w:r>
              <w:rPr>
                <w:rFonts w:hint="eastAsia" w:ascii="宋体" w:hAnsi="宋体"/>
                <w:color w:val="000000"/>
              </w:rPr>
              <w:t>原件</w:t>
            </w:r>
            <w:r>
              <w:rPr>
                <w:rFonts w:hint="eastAsia" w:ascii="宋体" w:hAnsi="宋体"/>
                <w:color w:val="000000"/>
                <w:szCs w:val="21"/>
              </w:rPr>
              <w:t>；</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27" w:type="dxa"/>
            <w:vAlign w:val="center"/>
          </w:tcPr>
          <w:p>
            <w:pPr>
              <w:tabs>
                <w:tab w:val="left" w:pos="720"/>
              </w:tabs>
              <w:snapToGrid w:val="0"/>
              <w:jc w:val="center"/>
              <w:rPr>
                <w:rFonts w:hint="eastAsia" w:ascii="宋体" w:hAnsi="Courier New"/>
                <w:color w:val="000000"/>
                <w:szCs w:val="21"/>
              </w:rPr>
            </w:pPr>
            <w:r>
              <w:rPr>
                <w:rFonts w:hint="eastAsia" w:ascii="宋体" w:hAnsi="Courier New"/>
                <w:color w:val="000000"/>
                <w:szCs w:val="21"/>
              </w:rPr>
              <w:t>2</w:t>
            </w:r>
          </w:p>
        </w:tc>
        <w:tc>
          <w:tcPr>
            <w:tcW w:w="2561" w:type="dxa"/>
            <w:vAlign w:val="center"/>
          </w:tcPr>
          <w:p>
            <w:pPr>
              <w:tabs>
                <w:tab w:val="left" w:pos="720"/>
              </w:tabs>
              <w:snapToGrid w:val="0"/>
              <w:rPr>
                <w:rFonts w:hint="eastAsia" w:ascii="宋体" w:hAnsi="宋体"/>
                <w:color w:val="000000"/>
                <w:szCs w:val="21"/>
              </w:rPr>
            </w:pPr>
            <w:r>
              <w:rPr>
                <w:rFonts w:hint="eastAsia" w:ascii="宋体" w:hAnsi="宋体"/>
                <w:color w:val="000000"/>
                <w:szCs w:val="21"/>
              </w:rPr>
              <w:t>投标文件中有有效的律师资格证、注册会计师证复印件；</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3</w:t>
            </w:r>
          </w:p>
        </w:tc>
        <w:tc>
          <w:tcPr>
            <w:tcW w:w="2561" w:type="dxa"/>
            <w:vAlign w:val="center"/>
          </w:tcPr>
          <w:p>
            <w:pPr>
              <w:tabs>
                <w:tab w:val="left" w:pos="720"/>
              </w:tabs>
              <w:snapToGrid w:val="0"/>
              <w:rPr>
                <w:color w:val="000000"/>
              </w:rPr>
            </w:pPr>
            <w:r>
              <w:rPr>
                <w:rFonts w:hint="eastAsia"/>
                <w:color w:val="000000"/>
              </w:rPr>
              <w:t>投标文件的封面加盖投标单位的法定印章；</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4</w:t>
            </w:r>
          </w:p>
        </w:tc>
        <w:tc>
          <w:tcPr>
            <w:tcW w:w="2561" w:type="dxa"/>
            <w:vAlign w:val="center"/>
          </w:tcPr>
          <w:p>
            <w:pPr>
              <w:tabs>
                <w:tab w:val="left" w:pos="720"/>
              </w:tabs>
              <w:snapToGrid w:val="0"/>
              <w:rPr>
                <w:color w:val="000000"/>
              </w:rPr>
            </w:pPr>
            <w:r>
              <w:rPr>
                <w:rFonts w:hint="eastAsia"/>
                <w:color w:val="000000"/>
              </w:rPr>
              <w:t>投标文件按规定的格式填写，内容齐全或关键字清晰可辩；</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5</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lang w:val="zh-CN"/>
              </w:rPr>
              <w:t>符合本招标文件第三条“投标人资格要求”。</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6</w:t>
            </w:r>
          </w:p>
        </w:tc>
        <w:tc>
          <w:tcPr>
            <w:tcW w:w="2561" w:type="dxa"/>
            <w:vAlign w:val="center"/>
          </w:tcPr>
          <w:p>
            <w:pPr>
              <w:tabs>
                <w:tab w:val="left" w:pos="720"/>
              </w:tabs>
              <w:snapToGrid w:val="0"/>
              <w:rPr>
                <w:color w:val="000000"/>
              </w:rPr>
            </w:pPr>
            <w:r>
              <w:rPr>
                <w:rFonts w:hint="eastAsia"/>
                <w:color w:val="000000"/>
              </w:rPr>
              <w:t>投标报价不高于最高限价。</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427" w:type="dxa"/>
            <w:vAlign w:val="center"/>
          </w:tcPr>
          <w:p>
            <w:pPr>
              <w:tabs>
                <w:tab w:val="left" w:pos="720"/>
              </w:tabs>
              <w:snapToGrid w:val="0"/>
              <w:jc w:val="center"/>
              <w:rPr>
                <w:rFonts w:ascii="宋体" w:hAnsi="Courier New"/>
                <w:color w:val="000000"/>
                <w:szCs w:val="21"/>
              </w:rPr>
            </w:pPr>
            <w:r>
              <w:rPr>
                <w:rFonts w:hint="eastAsia" w:ascii="宋体" w:hAnsi="Courier New"/>
                <w:color w:val="000000"/>
                <w:szCs w:val="21"/>
              </w:rPr>
              <w:t>结论</w:t>
            </w:r>
          </w:p>
        </w:tc>
        <w:tc>
          <w:tcPr>
            <w:tcW w:w="2561" w:type="dxa"/>
            <w:vAlign w:val="center"/>
          </w:tcPr>
          <w:p>
            <w:pPr>
              <w:tabs>
                <w:tab w:val="left" w:pos="720"/>
              </w:tabs>
              <w:snapToGrid w:val="0"/>
              <w:rPr>
                <w:rFonts w:ascii="宋体" w:hAnsi="Courier New"/>
                <w:color w:val="000000"/>
                <w:szCs w:val="21"/>
              </w:rPr>
            </w:pPr>
            <w:r>
              <w:rPr>
                <w:rFonts w:hint="eastAsia" w:ascii="宋体" w:hAnsi="Courier New"/>
                <w:color w:val="000000"/>
                <w:szCs w:val="21"/>
              </w:rPr>
              <w:t>是否通过并进入下一阶段评审</w:t>
            </w: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7"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c>
          <w:tcPr>
            <w:tcW w:w="728" w:type="dxa"/>
            <w:vAlign w:val="center"/>
          </w:tcPr>
          <w:p>
            <w:pPr>
              <w:tabs>
                <w:tab w:val="left" w:pos="720"/>
              </w:tabs>
              <w:snapToGrid w:val="0"/>
              <w:jc w:val="center"/>
              <w:rPr>
                <w:rFonts w:ascii="宋体" w:hAnsi="Courier New"/>
                <w:color w:val="000000"/>
                <w:szCs w:val="21"/>
              </w:rPr>
            </w:pPr>
          </w:p>
        </w:tc>
      </w:tr>
    </w:tbl>
    <w:p>
      <w:pPr>
        <w:rPr>
          <w:color w:val="000000"/>
          <w:sz w:val="28"/>
          <w:szCs w:val="28"/>
        </w:rPr>
      </w:pPr>
      <w:r>
        <w:rPr>
          <w:rFonts w:hint="eastAsia" w:ascii="宋体" w:hAnsi="Courier New"/>
          <w:color w:val="000000"/>
          <w:sz w:val="24"/>
        </w:rPr>
        <w:t>项目名称：</w:t>
      </w:r>
      <w:r>
        <w:rPr>
          <w:rFonts w:hint="eastAsia" w:ascii="宋体" w:hAnsi="Courier New"/>
          <w:color w:val="000000"/>
          <w:sz w:val="24"/>
          <w:szCs w:val="22"/>
        </w:rPr>
        <w:t>关于对广州信天翁信息科技有限公司股权收购尽职调查项目</w:t>
      </w:r>
    </w:p>
    <w:p>
      <w:pPr>
        <w:tabs>
          <w:tab w:val="left" w:pos="720"/>
        </w:tabs>
        <w:snapToGrid w:val="0"/>
        <w:spacing w:before="78" w:beforeLines="25" w:after="78" w:afterLines="25" w:line="460" w:lineRule="exact"/>
        <w:rPr>
          <w:rFonts w:ascii="宋体" w:hAnsi="Courier New"/>
          <w:color w:val="000000"/>
          <w:sz w:val="24"/>
        </w:rPr>
      </w:pP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备注：1、“是否通过并进入下一阶段评审”一栏应写“通过”“不通过”。</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2、符合上述情况的打“○”，不符合的打“×”。</w:t>
      </w:r>
    </w:p>
    <w:p>
      <w:pPr>
        <w:tabs>
          <w:tab w:val="left" w:pos="720"/>
        </w:tabs>
        <w:snapToGrid w:val="0"/>
        <w:spacing w:before="156" w:beforeLines="50"/>
        <w:ind w:firstLine="630" w:firstLineChars="300"/>
        <w:rPr>
          <w:rFonts w:ascii="宋体" w:hAnsi="Courier New"/>
          <w:color w:val="000000"/>
          <w:szCs w:val="21"/>
        </w:rPr>
      </w:pPr>
      <w:r>
        <w:rPr>
          <w:rFonts w:hint="eastAsia" w:ascii="宋体" w:hAnsi="Courier New"/>
          <w:color w:val="000000"/>
          <w:szCs w:val="21"/>
        </w:rPr>
        <w:t>3、出现一个“×”的结论为“不通过”全部为</w:t>
      </w:r>
      <w:r>
        <w:rPr>
          <w:rFonts w:ascii="宋体" w:hAnsi="Courier New"/>
          <w:color w:val="000000"/>
          <w:szCs w:val="21"/>
        </w:rPr>
        <w:t>”</w:t>
      </w:r>
      <w:r>
        <w:rPr>
          <w:rFonts w:hint="eastAsia" w:ascii="宋体" w:hAnsi="Courier New"/>
          <w:color w:val="000000"/>
          <w:szCs w:val="21"/>
        </w:rPr>
        <w:t>O</w:t>
      </w:r>
      <w:r>
        <w:rPr>
          <w:rFonts w:ascii="宋体" w:hAnsi="Courier New"/>
          <w:color w:val="000000"/>
          <w:szCs w:val="21"/>
        </w:rPr>
        <w:t>”</w:t>
      </w:r>
      <w:r>
        <w:rPr>
          <w:rFonts w:hint="eastAsia" w:ascii="宋体" w:hAnsi="Courier New"/>
          <w:color w:val="000000"/>
          <w:szCs w:val="21"/>
        </w:rPr>
        <w:t>的结论为“通过”。</w:t>
      </w:r>
    </w:p>
    <w:p>
      <w:pPr>
        <w:tabs>
          <w:tab w:val="left" w:pos="720"/>
        </w:tabs>
        <w:snapToGrid w:val="0"/>
        <w:spacing w:before="156" w:beforeLines="50"/>
        <w:rPr>
          <w:rFonts w:ascii="宋体" w:hAnsi="Courier New"/>
          <w:color w:val="000000"/>
          <w:szCs w:val="21"/>
        </w:rPr>
      </w:pPr>
      <w:r>
        <w:rPr>
          <w:rFonts w:hint="eastAsia" w:ascii="宋体" w:hAnsi="Courier New"/>
          <w:color w:val="000000"/>
          <w:szCs w:val="21"/>
        </w:rPr>
        <w:t xml:space="preserve">     </w:t>
      </w:r>
    </w:p>
    <w:p>
      <w:pPr>
        <w:tabs>
          <w:tab w:val="left" w:pos="720"/>
        </w:tabs>
        <w:snapToGrid w:val="0"/>
        <w:rPr>
          <w:rFonts w:ascii="宋体" w:hAnsi="Courier New"/>
          <w:color w:val="000000"/>
          <w:sz w:val="18"/>
          <w:szCs w:val="18"/>
        </w:rPr>
      </w:pPr>
    </w:p>
    <w:p>
      <w:pPr>
        <w:tabs>
          <w:tab w:val="left" w:pos="720"/>
        </w:tabs>
        <w:snapToGrid w:val="0"/>
        <w:ind w:firstLine="3780" w:firstLineChars="1800"/>
        <w:rPr>
          <w:rFonts w:ascii="宋体" w:hAnsi="Courier New"/>
          <w:color w:val="000000"/>
          <w:szCs w:val="21"/>
        </w:rPr>
      </w:pPr>
      <w:r>
        <w:rPr>
          <w:rFonts w:hint="eastAsia" w:ascii="宋体" w:hAnsi="Courier New"/>
          <w:color w:val="000000"/>
          <w:szCs w:val="21"/>
        </w:rPr>
        <w:t>评审人员签名：                     日期：</w:t>
      </w:r>
    </w:p>
    <w:p/>
    <w:p/>
    <w:sectPr>
      <w:footerReference r:id="rId5" w:type="first"/>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750541"/>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Fonts w:ascii="Times New Roman" w:hAnsi="Times New Roman"/>
      </w:rPr>
    </w:pPr>
    <w:r>
      <w:rPr>
        <w:rFonts w:ascii="Times New Roman" w:hAnsi="Times New Roman"/>
      </w:rPr>
      <w:fldChar w:fldCharType="begin"/>
    </w:r>
    <w:r>
      <w:rPr>
        <w:rStyle w:val="10"/>
        <w:rFonts w:ascii="Times New Roman" w:hAnsi="Times New Roman"/>
      </w:rPr>
      <w:instrText xml:space="preserve">PAGE  </w:instrText>
    </w:r>
    <w:r>
      <w:rPr>
        <w:rFonts w:ascii="Times New Roman" w:hAnsi="Times New Roman"/>
      </w:rPr>
      <w:fldChar w:fldCharType="end"/>
    </w:r>
  </w:p>
  <w:p>
    <w:pPr>
      <w:pStyle w:val="7"/>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p>
    <w:pPr>
      <w:pStyle w:val="7"/>
      <w:rPr>
        <w:rFonts w:ascii="Times New Roman"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51104E"/>
    <w:rsid w:val="006E3387"/>
    <w:rsid w:val="0096073D"/>
    <w:rsid w:val="009E3532"/>
    <w:rsid w:val="00BC3CEA"/>
    <w:rsid w:val="00C055D7"/>
    <w:rsid w:val="00C214BB"/>
    <w:rsid w:val="00CD2712"/>
    <w:rsid w:val="00DE1785"/>
    <w:rsid w:val="02066B6E"/>
    <w:rsid w:val="075264F6"/>
    <w:rsid w:val="10FE4110"/>
    <w:rsid w:val="16274C42"/>
    <w:rsid w:val="182A2760"/>
    <w:rsid w:val="19121652"/>
    <w:rsid w:val="1949119B"/>
    <w:rsid w:val="1D803738"/>
    <w:rsid w:val="211E29D3"/>
    <w:rsid w:val="263A31A1"/>
    <w:rsid w:val="2F8E2EE1"/>
    <w:rsid w:val="32F5216E"/>
    <w:rsid w:val="348B2521"/>
    <w:rsid w:val="35626913"/>
    <w:rsid w:val="3C915713"/>
    <w:rsid w:val="41580CA0"/>
    <w:rsid w:val="456A1437"/>
    <w:rsid w:val="45C0270C"/>
    <w:rsid w:val="4F90738D"/>
    <w:rsid w:val="538D3EEA"/>
    <w:rsid w:val="57FD1A94"/>
    <w:rsid w:val="62483175"/>
    <w:rsid w:val="6BC27F36"/>
    <w:rsid w:val="701B3ACE"/>
    <w:rsid w:val="718A0E07"/>
    <w:rsid w:val="745E4135"/>
    <w:rsid w:val="747F57FE"/>
    <w:rsid w:val="79A77332"/>
    <w:rsid w:val="7B181ADD"/>
    <w:rsid w:val="7CDC3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First Indent"/>
    <w:basedOn w:val="4"/>
    <w:link w:val="16"/>
    <w:qFormat/>
    <w:uiPriority w:val="0"/>
    <w:pPr>
      <w:ind w:firstLine="420" w:firstLineChars="100"/>
    </w:pPr>
    <w:rPr>
      <w:rFonts w:asciiTheme="minorHAnsi" w:hAnsiTheme="minorHAnsi" w:eastAsiaTheme="minorEastAsia" w:cstheme="minorBidi"/>
      <w:szCs w:val="24"/>
    </w:rPr>
  </w:style>
  <w:style w:type="paragraph" w:styleId="4">
    <w:name w:val="Body Text"/>
    <w:basedOn w:val="1"/>
    <w:link w:val="18"/>
    <w:unhideWhenUsed/>
    <w:qFormat/>
    <w:uiPriority w:val="0"/>
    <w:pPr>
      <w:spacing w:after="120"/>
    </w:pPr>
  </w:style>
  <w:style w:type="paragraph" w:styleId="5">
    <w:name w:val="annotation text"/>
    <w:basedOn w:val="1"/>
    <w:semiHidden/>
    <w:unhideWhenUsed/>
    <w:qFormat/>
    <w:uiPriority w:val="99"/>
    <w:pPr>
      <w:jc w:val="left"/>
    </w:pPr>
  </w:style>
  <w:style w:type="paragraph" w:styleId="6">
    <w:name w:val="Date"/>
    <w:basedOn w:val="1"/>
    <w:next w:val="1"/>
    <w:link w:val="15"/>
    <w:semiHidden/>
    <w:unhideWhenUsed/>
    <w:qFormat/>
    <w:uiPriority w:val="99"/>
    <w:pPr>
      <w:ind w:left="100" w:leftChars="2500"/>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字符"/>
    <w:basedOn w:val="9"/>
    <w:link w:val="8"/>
    <w:qFormat/>
    <w:uiPriority w:val="99"/>
    <w:rPr>
      <w:sz w:val="18"/>
      <w:szCs w:val="18"/>
    </w:rPr>
  </w:style>
  <w:style w:type="character" w:customStyle="1" w:styleId="13">
    <w:name w:val="页脚 字符"/>
    <w:basedOn w:val="9"/>
    <w:link w:val="7"/>
    <w:qFormat/>
    <w:uiPriority w:val="99"/>
    <w:rPr>
      <w:sz w:val="18"/>
      <w:szCs w:val="18"/>
    </w:rPr>
  </w:style>
  <w:style w:type="character" w:customStyle="1" w:styleId="14">
    <w:name w:val="标题 1 字符"/>
    <w:basedOn w:val="9"/>
    <w:link w:val="2"/>
    <w:qFormat/>
    <w:uiPriority w:val="9"/>
    <w:rPr>
      <w:rFonts w:ascii="Calibri" w:hAnsi="Calibri" w:eastAsia="宋体" w:cs="Times New Roman"/>
      <w:b/>
      <w:bCs/>
      <w:kern w:val="44"/>
      <w:sz w:val="44"/>
      <w:szCs w:val="44"/>
    </w:rPr>
  </w:style>
  <w:style w:type="character" w:customStyle="1" w:styleId="15">
    <w:name w:val="日期 字符"/>
    <w:basedOn w:val="9"/>
    <w:link w:val="6"/>
    <w:semiHidden/>
    <w:qFormat/>
    <w:uiPriority w:val="99"/>
    <w:rPr>
      <w:rFonts w:ascii="Calibri" w:hAnsi="Calibri" w:eastAsia="宋体" w:cs="Times New Roman"/>
      <w:szCs w:val="20"/>
    </w:rPr>
  </w:style>
  <w:style w:type="character" w:customStyle="1" w:styleId="16">
    <w:name w:val="正文文本首行缩进 字符"/>
    <w:basedOn w:val="9"/>
    <w:link w:val="3"/>
    <w:qFormat/>
    <w:uiPriority w:val="0"/>
    <w:rPr>
      <w:szCs w:val="24"/>
    </w:rPr>
  </w:style>
  <w:style w:type="character" w:customStyle="1" w:styleId="17">
    <w:name w:val="正文文本 字符"/>
    <w:basedOn w:val="9"/>
    <w:semiHidden/>
    <w:qFormat/>
    <w:uiPriority w:val="99"/>
    <w:rPr>
      <w:rFonts w:ascii="Calibri" w:hAnsi="Calibri" w:eastAsia="宋体" w:cs="Times New Roman"/>
      <w:szCs w:val="20"/>
    </w:rPr>
  </w:style>
  <w:style w:type="character" w:customStyle="1" w:styleId="18">
    <w:name w:val="正文文本 字符1"/>
    <w:basedOn w:val="9"/>
    <w:link w:val="4"/>
    <w:qFormat/>
    <w:uiPriority w:val="0"/>
    <w:rPr>
      <w:rFonts w:ascii="Calibri" w:hAnsi="Calibri" w:eastAsia="宋体" w:cs="Times New Roman"/>
      <w:szCs w:val="20"/>
    </w:rPr>
  </w:style>
  <w:style w:type="character" w:customStyle="1" w:styleId="19">
    <w:name w:val="正文文本首行缩进 字符1"/>
    <w:basedOn w:val="17"/>
    <w:semiHidden/>
    <w:qFormat/>
    <w:uiPriority w:val="99"/>
    <w:rPr>
      <w:rFonts w:ascii="Calibri" w:hAnsi="Calibri"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672</Words>
  <Characters>3835</Characters>
  <Lines>31</Lines>
  <Paragraphs>8</Paragraphs>
  <TotalTime>21</TotalTime>
  <ScaleCrop>false</ScaleCrop>
  <LinksUpToDate>false</LinksUpToDate>
  <CharactersWithSpaces>4499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2019-11-15T09:42:00Z</dcterms:created>
  <dc:creator>文勇 敖</dc:creator>
  <cp:lastModifiedBy>Mariza</cp:lastModifiedBy>
  <dcterms:modified xsi:type="dcterms:W3CDTF">2020-01-09T03:12:43Z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