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spacing w:before="855" w:beforeLines="300"/>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lang w:val="en-US" w:eastAsia="zh-CN"/>
        </w:rPr>
        <w:t>南沙资产经营集团公司年度项目前期方案设计及设计咨询服务</w:t>
      </w:r>
    </w:p>
    <w:p>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pPr>
        <w:rPr>
          <w:rFonts w:ascii="宋体" w:hAnsi="宋体" w:eastAsia="宋体" w:cs="宋体"/>
          <w:color w:val="auto"/>
          <w:sz w:val="72"/>
          <w:szCs w:val="72"/>
          <w:highlight w:val="none"/>
        </w:rPr>
      </w:pP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360" w:lineRule="auto"/>
        <w:ind w:firstLine="1805" w:firstLineChars="562"/>
        <w:rPr>
          <w:rFonts w:ascii="宋体" w:hAnsi="宋体" w:eastAsia="宋体" w:cs="宋体"/>
          <w:b/>
          <w:color w:val="auto"/>
          <w:sz w:val="32"/>
          <w:szCs w:val="32"/>
          <w:highlight w:val="none"/>
        </w:rPr>
      </w:pPr>
      <w:bookmarkStart w:id="0" w:name="OLE_LINK4"/>
      <w:bookmarkEnd w:id="0"/>
      <w:r>
        <w:rPr>
          <w:rFonts w:hint="eastAsia" w:ascii="宋体" w:hAnsi="宋体" w:eastAsia="宋体" w:cs="宋体"/>
          <w:b/>
          <w:color w:val="auto"/>
          <w:sz w:val="32"/>
          <w:szCs w:val="32"/>
          <w:highlight w:val="none"/>
        </w:rPr>
        <w:t>招标人：广州南沙</w:t>
      </w:r>
      <w:r>
        <w:rPr>
          <w:rFonts w:hint="eastAsia" w:ascii="宋体" w:hAnsi="宋体" w:eastAsia="宋体" w:cs="宋体"/>
          <w:b/>
          <w:color w:val="auto"/>
          <w:sz w:val="32"/>
          <w:szCs w:val="32"/>
          <w:highlight w:val="none"/>
          <w:lang w:val="en-US" w:eastAsia="zh-CN"/>
        </w:rPr>
        <w:t>建设维护管理</w:t>
      </w:r>
      <w:r>
        <w:rPr>
          <w:rFonts w:hint="eastAsia" w:ascii="宋体" w:hAnsi="宋体" w:eastAsia="宋体" w:cs="宋体"/>
          <w:b/>
          <w:color w:val="auto"/>
          <w:sz w:val="32"/>
          <w:szCs w:val="32"/>
          <w:highlight w:val="none"/>
        </w:rPr>
        <w:t>有限公司</w:t>
      </w:r>
    </w:p>
    <w:p>
      <w:pPr>
        <w:spacing w:line="520" w:lineRule="exact"/>
        <w:ind w:right="-101" w:rightChars="-48" w:firstLine="1751" w:firstLineChars="545"/>
        <w:rPr>
          <w:rFonts w:ascii="宋体" w:hAnsi="宋体" w:eastAsia="宋体" w:cs="宋体"/>
          <w:color w:val="auto"/>
          <w:spacing w:val="28"/>
          <w:position w:val="8"/>
          <w:sz w:val="28"/>
          <w:szCs w:val="28"/>
          <w:highlight w:val="none"/>
        </w:rPr>
      </w:pPr>
      <w:r>
        <w:rPr>
          <w:rFonts w:hint="eastAsia" w:ascii="宋体" w:hAnsi="宋体" w:eastAsia="宋体" w:cs="宋体"/>
          <w:b/>
          <w:color w:val="auto"/>
          <w:sz w:val="32"/>
          <w:szCs w:val="32"/>
          <w:highlight w:val="none"/>
        </w:rPr>
        <w:t>日    期：2020年</w:t>
      </w: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rPr>
        <w:t>月</w:t>
      </w:r>
    </w:p>
    <w:p>
      <w:pPr>
        <w:rPr>
          <w:rFonts w:hint="eastAsia" w:ascii="黑体" w:hAnsi="宋体" w:eastAsia="黑体" w:cs="黑体"/>
          <w:color w:val="auto"/>
          <w:sz w:val="36"/>
          <w:szCs w:val="36"/>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bookmarkStart w:id="1" w:name="_Toc29976"/>
    </w:p>
    <w:p>
      <w:pPr>
        <w:rPr>
          <w:rFonts w:hint="eastAsia" w:ascii="黑体" w:hAnsi="宋体" w:eastAsia="黑体" w:cs="黑体"/>
          <w:color w:val="auto"/>
          <w:sz w:val="36"/>
          <w:szCs w:val="36"/>
          <w:highlight w:val="none"/>
        </w:rPr>
      </w:pPr>
    </w:p>
    <w:bookmarkEnd w:id="1"/>
    <w:sdt>
      <w:sdtPr>
        <w:rPr>
          <w:rFonts w:ascii="宋体" w:hAnsi="宋体" w:eastAsia="宋体" w:cstheme="minorBidi"/>
          <w:color w:val="auto"/>
          <w:kern w:val="2"/>
          <w:sz w:val="21"/>
          <w:szCs w:val="24"/>
          <w:highlight w:val="none"/>
          <w:lang w:val="en-US" w:eastAsia="zh-CN" w:bidi="ar-SA"/>
        </w:rPr>
        <w:id w:val="147481204"/>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lang w:val="en-US" w:eastAsia="zh-CN"/>
            </w:rPr>
            <w:t xml:space="preserve"> </w:t>
          </w:r>
          <w:r>
            <w:rPr>
              <w:rFonts w:ascii="宋体" w:hAnsi="宋体" w:eastAsia="宋体"/>
              <w:b/>
              <w:bCs/>
              <w:color w:val="auto"/>
              <w:sz w:val="36"/>
              <w:szCs w:val="36"/>
              <w:highlight w:val="none"/>
            </w:rPr>
            <w:t>录</w:t>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_Toc14617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pacing w:val="34"/>
              <w:w w:val="100"/>
              <w:kern w:val="44"/>
              <w:sz w:val="24"/>
              <w:szCs w:val="24"/>
              <w:highlight w:val="none"/>
            </w:rPr>
            <w:t>投标邀请函</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_Toc14617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_Toc3704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投标邀请书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_Toc3704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第1章 投标须知及前附表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第2章 项目需求书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第3章  投标格式文件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第4章 评标办法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第5章</w:t>
          </w:r>
          <w:r>
            <w:rPr>
              <w:rFonts w:hint="eastAsia" w:asciiTheme="minorEastAsia" w:hAnsiTheme="minorEastAsia" w:eastAsiaTheme="minorEastAsia" w:cstheme="minorEastAsia"/>
              <w:color w:val="auto"/>
              <w:kern w:val="44"/>
              <w:sz w:val="24"/>
              <w:szCs w:val="24"/>
              <w:highlight w:val="none"/>
              <w:lang w:val="en-US" w:eastAsia="zh-CN"/>
            </w:rPr>
            <w:t xml:space="preserve"> </w:t>
          </w:r>
          <w:r>
            <w:rPr>
              <w:rFonts w:hint="eastAsia" w:asciiTheme="minorEastAsia" w:hAnsiTheme="minorEastAsia" w:eastAsiaTheme="minorEastAsia" w:cstheme="minorEastAsia"/>
              <w:color w:val="auto"/>
              <w:kern w:val="44"/>
              <w:sz w:val="24"/>
              <w:szCs w:val="24"/>
              <w:highlight w:val="none"/>
            </w:rPr>
            <w:t>附件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附件1：有效性审查表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附件2综合评分表（100分）</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_Toc22949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_Toc22949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rPr>
              <w:color w:val="auto"/>
              <w:highlight w:val="none"/>
            </w:rPr>
          </w:pPr>
          <w:r>
            <w:rPr>
              <w:rFonts w:hint="eastAsia" w:asciiTheme="minorEastAsia" w:hAnsiTheme="minorEastAsia" w:eastAsiaTheme="minorEastAsia" w:cstheme="minorEastAsia"/>
              <w:color w:val="auto"/>
              <w:sz w:val="24"/>
              <w:szCs w:val="24"/>
              <w:highlight w:val="none"/>
            </w:rPr>
            <w:fldChar w:fldCharType="end"/>
          </w:r>
        </w:p>
      </w:sdtContent>
    </w:sdt>
    <w:p>
      <w:pPr>
        <w:pStyle w:val="4"/>
        <w:widowControl/>
        <w:spacing w:after="0"/>
        <w:ind w:firstLine="0"/>
        <w:rPr>
          <w:rFonts w:ascii="宋体" w:hAnsi="宋体" w:cs="宋体"/>
          <w:color w:val="auto"/>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r>
        <w:rPr>
          <w:rFonts w:hint="eastAsia" w:ascii="宋体" w:hAnsi="宋体" w:cs="宋体"/>
          <w:color w:val="auto"/>
          <w:highlight w:val="none"/>
        </w:rPr>
        <w:t xml:space="preserve"> </w:t>
      </w:r>
    </w:p>
    <w:p>
      <w:pPr>
        <w:pStyle w:val="3"/>
        <w:keepNext/>
        <w:keepLines/>
        <w:pageBreakBefore w:val="0"/>
        <w:widowControl/>
        <w:kinsoku/>
        <w:wordWrap/>
        <w:overflowPunct/>
        <w:topLinePunct w:val="0"/>
        <w:autoSpaceDE/>
        <w:autoSpaceDN/>
        <w:bidi w:val="0"/>
        <w:adjustRightInd w:val="0"/>
        <w:snapToGrid/>
        <w:spacing w:before="0" w:after="0" w:line="240" w:lineRule="auto"/>
        <w:jc w:val="center"/>
        <w:textAlignment w:val="auto"/>
        <w:outlineLvl w:val="1"/>
        <w:rPr>
          <w:rFonts w:asciiTheme="minorEastAsia" w:hAnsiTheme="minorEastAsia" w:eastAsiaTheme="minorEastAsia" w:cstheme="minorEastAsia"/>
          <w:b/>
          <w:bCs/>
          <w:color w:val="auto"/>
          <w:sz w:val="36"/>
          <w:szCs w:val="36"/>
          <w:highlight w:val="none"/>
        </w:rPr>
      </w:pPr>
      <w:bookmarkStart w:id="2" w:name="_Toc25515"/>
      <w:bookmarkStart w:id="3" w:name="_Toc7584"/>
      <w:bookmarkStart w:id="4" w:name="_Toc3769"/>
      <w:bookmarkStart w:id="5" w:name="_Toc29576"/>
      <w:r>
        <w:rPr>
          <w:rFonts w:hint="eastAsia" w:asciiTheme="minorEastAsia" w:hAnsiTheme="minorEastAsia" w:eastAsiaTheme="minorEastAsia" w:cstheme="minorEastAsia"/>
          <w:b/>
          <w:bCs/>
          <w:color w:val="auto"/>
          <w:sz w:val="36"/>
          <w:szCs w:val="36"/>
          <w:highlight w:val="none"/>
        </w:rPr>
        <w:t>投标邀请函</w:t>
      </w:r>
      <w:bookmarkEnd w:id="2"/>
      <w:bookmarkEnd w:id="3"/>
      <w:bookmarkEnd w:id="4"/>
      <w:bookmarkEnd w:id="5"/>
    </w:p>
    <w:p>
      <w:pPr>
        <w:snapToGrid w:val="0"/>
        <w:spacing w:line="420" w:lineRule="exact"/>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napToGrid w:val="0"/>
        <w:spacing w:line="4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主送：</w:t>
      </w:r>
      <w:r>
        <w:rPr>
          <w:rFonts w:hint="eastAsia" w:ascii="宋体" w:hAnsi="宋体" w:eastAsia="宋体" w:cs="宋体"/>
          <w:color w:val="auto"/>
          <w:szCs w:val="21"/>
          <w:highlight w:val="none"/>
          <w:u w:val="single"/>
        </w:rPr>
        <w:t xml:space="preserve">   1、               2、                 3 、                          </w:t>
      </w:r>
    </w:p>
    <w:p>
      <w:pPr>
        <w:snapToGrid w:val="0"/>
        <w:spacing w:line="420" w:lineRule="exact"/>
        <w:ind w:firstLine="630" w:firstLineChars="300"/>
        <w:rPr>
          <w:rFonts w:ascii="宋体" w:hAnsi="宋体" w:eastAsia="宋体" w:cs="宋体"/>
          <w:color w:val="auto"/>
          <w:highlight w:val="none"/>
          <w:u w:val="single"/>
        </w:rPr>
      </w:pPr>
      <w:r>
        <w:rPr>
          <w:rFonts w:hint="eastAsia" w:ascii="宋体" w:hAnsi="宋体" w:eastAsia="宋体" w:cs="宋体"/>
          <w:color w:val="auto"/>
          <w:szCs w:val="21"/>
          <w:highlight w:val="none"/>
          <w:u w:val="single"/>
        </w:rPr>
        <w:t xml:space="preserve">                                                       </w:t>
      </w:r>
    </w:p>
    <w:p>
      <w:pPr>
        <w:snapToGrid w:val="0"/>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广州南沙建设维护管理有限公司（以下简称“招标人”）</w:t>
      </w:r>
      <w:r>
        <w:rPr>
          <w:rFonts w:hint="eastAsia" w:ascii="宋体" w:hAnsi="宋体" w:eastAsia="宋体" w:cs="宋体"/>
          <w:color w:val="auto"/>
          <w:szCs w:val="21"/>
          <w:highlight w:val="none"/>
          <w:lang w:val="en-US" w:eastAsia="zh-CN"/>
        </w:rPr>
        <w:t>受</w:t>
      </w:r>
      <w:r>
        <w:rPr>
          <w:rFonts w:hint="eastAsia" w:ascii="宋体" w:hAnsi="宋体" w:eastAsia="宋体" w:cs="宋体"/>
          <w:color w:val="auto"/>
          <w:szCs w:val="21"/>
          <w:highlight w:val="none"/>
        </w:rPr>
        <w:t>广州南沙资产经营集团有限公司</w:t>
      </w:r>
      <w:r>
        <w:rPr>
          <w:rFonts w:hint="eastAsia" w:ascii="宋体" w:hAnsi="宋体" w:eastAsia="宋体" w:cs="宋体"/>
          <w:color w:val="auto"/>
          <w:szCs w:val="21"/>
          <w:highlight w:val="none"/>
          <w:lang w:val="en-US" w:eastAsia="zh-CN"/>
        </w:rPr>
        <w:t>委托</w:t>
      </w:r>
      <w:r>
        <w:rPr>
          <w:rFonts w:hint="eastAsia" w:ascii="宋体" w:hAnsi="宋体" w:eastAsia="宋体" w:cs="宋体"/>
          <w:color w:val="auto"/>
          <w:szCs w:val="21"/>
          <w:highlight w:val="none"/>
        </w:rPr>
        <w:t>，就</w:t>
      </w:r>
      <w:r>
        <w:rPr>
          <w:rFonts w:hint="eastAsia" w:ascii="宋体" w:hAnsi="宋体" w:eastAsia="宋体" w:cs="宋体"/>
          <w:color w:val="auto"/>
          <w:szCs w:val="21"/>
          <w:highlight w:val="none"/>
          <w:lang w:val="en-US" w:eastAsia="zh-CN"/>
        </w:rPr>
        <w:t>广州南沙</w:t>
      </w:r>
      <w:r>
        <w:rPr>
          <w:rFonts w:hint="eastAsia" w:ascii="宋体" w:hAnsi="宋体" w:eastAsia="宋体" w:cs="宋体"/>
          <w:color w:val="auto"/>
          <w:szCs w:val="21"/>
          <w:highlight w:val="none"/>
        </w:rPr>
        <w:t>资产经营集团</w:t>
      </w:r>
      <w:r>
        <w:rPr>
          <w:rFonts w:hint="eastAsia" w:ascii="宋体" w:hAnsi="宋体" w:eastAsia="宋体" w:cs="宋体"/>
          <w:color w:val="auto"/>
          <w:szCs w:val="21"/>
          <w:highlight w:val="none"/>
          <w:lang w:val="en-US" w:eastAsia="zh-CN"/>
        </w:rPr>
        <w:t>有限公司（含下属公司）</w:t>
      </w:r>
      <w:r>
        <w:rPr>
          <w:rFonts w:hint="eastAsia" w:ascii="宋体" w:hAnsi="宋体" w:eastAsia="宋体" w:cs="宋体"/>
          <w:color w:val="auto"/>
          <w:szCs w:val="21"/>
          <w:highlight w:val="none"/>
        </w:rPr>
        <w:t>年度项目</w:t>
      </w:r>
      <w:r>
        <w:rPr>
          <w:rFonts w:hint="eastAsia" w:ascii="宋体" w:hAnsi="宋体" w:eastAsia="宋体" w:cs="宋体"/>
          <w:color w:val="auto"/>
          <w:szCs w:val="21"/>
          <w:highlight w:val="none"/>
          <w:lang w:eastAsia="zh-CN"/>
        </w:rPr>
        <w:t>前期方案设计及设计咨询</w:t>
      </w:r>
      <w:r>
        <w:rPr>
          <w:rFonts w:hint="eastAsia" w:ascii="宋体" w:hAnsi="宋体" w:eastAsia="宋体" w:cs="宋体"/>
          <w:color w:val="auto"/>
          <w:szCs w:val="21"/>
          <w:highlight w:val="none"/>
        </w:rPr>
        <w:t>服务单位进行邀请招标，选定承包人。有关事项如下：</w:t>
      </w:r>
    </w:p>
    <w:p>
      <w:pPr>
        <w:snapToGrid w:val="0"/>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一、项目名称：</w:t>
      </w:r>
      <w:r>
        <w:rPr>
          <w:rFonts w:hint="eastAsia" w:ascii="宋体" w:hAnsi="宋体" w:eastAsia="宋体" w:cs="宋体"/>
          <w:color w:val="auto"/>
          <w:szCs w:val="21"/>
          <w:highlight w:val="none"/>
          <w:u w:val="single"/>
          <w:lang w:val="en-US" w:eastAsia="zh-CN"/>
        </w:rPr>
        <w:t xml:space="preserve">南沙资产经营集团公司年度项目前期方案设计及设计咨询服务 </w:t>
      </w:r>
      <w:r>
        <w:rPr>
          <w:rFonts w:hint="eastAsia" w:ascii="宋体" w:hAnsi="宋体" w:eastAsia="宋体" w:cs="宋体"/>
          <w:color w:val="auto"/>
          <w:szCs w:val="21"/>
          <w:highlight w:val="none"/>
        </w:rPr>
        <w:t xml:space="preserve"> </w:t>
      </w:r>
    </w:p>
    <w:p>
      <w:pPr>
        <w:spacing w:line="360" w:lineRule="exact"/>
        <w:ind w:left="1890" w:leftChars="200" w:hanging="1470" w:hangingChars="700"/>
        <w:rPr>
          <w:rFonts w:ascii="宋体" w:hAnsi="宋体" w:eastAsia="宋体" w:cs="宋体"/>
          <w:color w:val="auto"/>
          <w:highlight w:val="none"/>
        </w:rPr>
      </w:pPr>
      <w:r>
        <w:rPr>
          <w:rFonts w:hint="eastAsia" w:ascii="宋体" w:hAnsi="宋体" w:eastAsia="宋体" w:cs="宋体"/>
          <w:color w:val="auto"/>
          <w:szCs w:val="21"/>
          <w:highlight w:val="none"/>
        </w:rPr>
        <w:t>二、项目概况：</w:t>
      </w:r>
      <w:r>
        <w:rPr>
          <w:rFonts w:hint="eastAsia" w:ascii="宋体" w:hAnsi="宋体" w:eastAsia="宋体" w:cs="宋体"/>
          <w:color w:val="auto"/>
          <w:szCs w:val="21"/>
          <w:highlight w:val="none"/>
          <w:u w:val="single"/>
        </w:rPr>
        <w:t>本项目预算为100万元以下，项目数为若干，单个项目</w:t>
      </w:r>
      <w:r>
        <w:rPr>
          <w:rFonts w:hint="eastAsia" w:ascii="宋体" w:hAnsi="宋体" w:eastAsia="宋体" w:cs="宋体"/>
          <w:color w:val="auto"/>
          <w:szCs w:val="21"/>
          <w:highlight w:val="none"/>
          <w:u w:val="single"/>
          <w:lang w:val="en-US" w:eastAsia="zh-CN"/>
        </w:rPr>
        <w:t>不超过50万元</w:t>
      </w:r>
      <w:r>
        <w:rPr>
          <w:rFonts w:hint="eastAsia" w:ascii="宋体" w:hAnsi="宋体" w:eastAsia="宋体" w:cs="宋体"/>
          <w:color w:val="auto"/>
          <w:szCs w:val="21"/>
          <w:highlight w:val="none"/>
          <w:u w:val="single"/>
        </w:rPr>
        <w:t>，按最终投标人报价为准，本次招标具体为</w:t>
      </w:r>
      <w:r>
        <w:rPr>
          <w:rFonts w:hint="eastAsia" w:ascii="宋体" w:hAnsi="宋体" w:eastAsia="宋体" w:cs="宋体"/>
          <w:color w:val="auto"/>
          <w:szCs w:val="21"/>
          <w:highlight w:val="none"/>
          <w:u w:val="single"/>
          <w:lang w:eastAsia="zh-CN"/>
        </w:rPr>
        <w:t>前期方案设计及设计咨询</w:t>
      </w:r>
      <w:r>
        <w:rPr>
          <w:rFonts w:hint="eastAsia" w:ascii="宋体" w:hAnsi="宋体" w:eastAsia="宋体" w:cs="宋体"/>
          <w:color w:val="auto"/>
          <w:szCs w:val="21"/>
          <w:highlight w:val="none"/>
          <w:u w:val="single"/>
        </w:rPr>
        <w:t>年度服务外包，要求中标单位有一定的服务质量保证，且态度良好，信誉可靠。</w:t>
      </w:r>
    </w:p>
    <w:p>
      <w:pPr>
        <w:pStyle w:val="6"/>
        <w:widowControl/>
        <w:spacing w:line="360" w:lineRule="exact"/>
        <w:ind w:firstLine="420" w:firstLineChars="200"/>
        <w:rPr>
          <w:rFonts w:hint="default" w:hAnsi="宋体"/>
          <w:color w:val="auto"/>
          <w:highlight w:val="none"/>
          <w:u w:val="single"/>
        </w:rPr>
      </w:pPr>
      <w:r>
        <w:rPr>
          <w:rFonts w:hAnsi="宋体"/>
          <w:color w:val="auto"/>
          <w:kern w:val="0"/>
          <w:highlight w:val="none"/>
        </w:rPr>
        <w:t>三、招标内容：</w:t>
      </w:r>
      <w:r>
        <w:rPr>
          <w:rFonts w:hAnsi="宋体"/>
          <w:color w:val="auto"/>
          <w:kern w:val="0"/>
          <w:highlight w:val="none"/>
          <w:u w:val="single"/>
        </w:rPr>
        <w:t>本项目为</w:t>
      </w:r>
      <w:r>
        <w:rPr>
          <w:rFonts w:hint="eastAsia" w:hAnsi="宋体"/>
          <w:color w:val="auto"/>
          <w:kern w:val="0"/>
          <w:highlight w:val="none"/>
          <w:u w:val="single"/>
          <w:lang w:eastAsia="zh-CN"/>
        </w:rPr>
        <w:t>前期方案设计及设计咨询</w:t>
      </w:r>
      <w:r>
        <w:rPr>
          <w:rFonts w:hAnsi="宋体"/>
          <w:color w:val="auto"/>
          <w:kern w:val="0"/>
          <w:highlight w:val="none"/>
          <w:u w:val="single"/>
        </w:rPr>
        <w:t>年度服务外包，具体内容包括</w:t>
      </w:r>
      <w:r>
        <w:rPr>
          <w:rFonts w:hAnsi="宋体"/>
          <w:color w:val="auto"/>
          <w:highlight w:val="none"/>
          <w:u w:val="single"/>
        </w:rPr>
        <w:t>项目</w:t>
      </w:r>
      <w:r>
        <w:rPr>
          <w:rFonts w:hint="eastAsia" w:hAnsi="宋体"/>
          <w:color w:val="auto"/>
          <w:highlight w:val="none"/>
          <w:u w:val="single"/>
          <w:lang w:eastAsia="zh-CN"/>
        </w:rPr>
        <w:t>前期方案设计及设计咨询</w:t>
      </w:r>
      <w:r>
        <w:rPr>
          <w:rFonts w:hAnsi="宋体"/>
          <w:color w:val="auto"/>
          <w:highlight w:val="none"/>
          <w:u w:val="single"/>
        </w:rPr>
        <w:t>服务。</w:t>
      </w:r>
    </w:p>
    <w:p>
      <w:pPr>
        <w:pStyle w:val="6"/>
        <w:widowControl/>
        <w:spacing w:line="360" w:lineRule="exact"/>
        <w:ind w:firstLine="420" w:firstLineChars="200"/>
        <w:rPr>
          <w:rFonts w:hint="default" w:hAnsi="宋体"/>
          <w:color w:val="auto"/>
          <w:highlight w:val="none"/>
        </w:rPr>
      </w:pPr>
      <w:r>
        <w:rPr>
          <w:rFonts w:hAnsi="宋体"/>
          <w:color w:val="auto"/>
          <w:highlight w:val="none"/>
        </w:rPr>
        <w:t>四、服务任务期限：</w:t>
      </w:r>
      <w:r>
        <w:rPr>
          <w:rFonts w:hint="eastAsia" w:hAnsi="宋体"/>
          <w:color w:val="auto"/>
          <w:highlight w:val="none"/>
          <w:u w:val="single"/>
        </w:rPr>
        <w:t>2020年3月</w:t>
      </w:r>
      <w:r>
        <w:rPr>
          <w:rFonts w:hint="eastAsia" w:hAnsi="宋体"/>
          <w:color w:val="auto"/>
          <w:highlight w:val="none"/>
          <w:u w:val="single"/>
          <w:lang w:val="en-US" w:eastAsia="zh-CN"/>
        </w:rPr>
        <w:t>至</w:t>
      </w:r>
      <w:r>
        <w:rPr>
          <w:rFonts w:hint="eastAsia" w:hAnsi="宋体"/>
          <w:color w:val="auto"/>
          <w:highlight w:val="none"/>
          <w:u w:val="single"/>
        </w:rPr>
        <w:t>2021年3月或者</w:t>
      </w:r>
      <w:r>
        <w:rPr>
          <w:rFonts w:hint="eastAsia" w:hAnsi="宋体"/>
          <w:color w:val="auto"/>
          <w:highlight w:val="none"/>
          <w:u w:val="single"/>
          <w:lang w:eastAsia="zh-CN"/>
        </w:rPr>
        <w:t>累计服务费接近100万为止</w:t>
      </w:r>
      <w:r>
        <w:rPr>
          <w:rFonts w:hAnsi="宋体"/>
          <w:color w:val="auto"/>
          <w:highlight w:val="none"/>
          <w:u w:val="single"/>
        </w:rPr>
        <w:t>。</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五、建设地点：</w:t>
      </w:r>
      <w:r>
        <w:rPr>
          <w:rFonts w:hint="eastAsia" w:ascii="宋体" w:hAnsi="宋体" w:eastAsia="宋体" w:cs="宋体"/>
          <w:color w:val="auto"/>
          <w:szCs w:val="21"/>
          <w:highlight w:val="none"/>
          <w:u w:val="single"/>
        </w:rPr>
        <w:t>广州市南沙区</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六、投标人要求：</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1、投标人均具有独立法人资格，持有工商行政管理部门核发的法人营业执照或各级登记管理机关颁发的事业单位法定代表人证，按国家法律经营。</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2、投标人均具有工程设计综合甲级资质证书，或建筑行业（建筑工程）甲级设计资质。</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3、投标申请人委派的项目负责人须具备建筑工程（含相近专业）高级工程师或以上职称。</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七、递交</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资料时间及地点：</w:t>
      </w:r>
    </w:p>
    <w:p>
      <w:pPr>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广州南沙区金融大厦18</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rPr>
        <w:t>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收件人：</w:t>
      </w:r>
      <w:r>
        <w:rPr>
          <w:rFonts w:hint="eastAsia" w:ascii="宋体" w:hAnsi="宋体" w:eastAsia="宋体" w:cs="宋体"/>
          <w:color w:val="auto"/>
          <w:szCs w:val="21"/>
          <w:highlight w:val="none"/>
          <w:lang w:eastAsia="zh-CN"/>
        </w:rPr>
        <w:t>蒋小姐，</w:t>
      </w:r>
      <w:r>
        <w:rPr>
          <w:rFonts w:hint="eastAsia" w:ascii="宋体" w:hAnsi="宋体" w:eastAsia="宋体" w:cs="宋体"/>
          <w:color w:val="auto"/>
          <w:szCs w:val="21"/>
          <w:highlight w:val="none"/>
          <w:lang w:val="en-US" w:eastAsia="zh-CN"/>
        </w:rPr>
        <w:t>66813692。</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投标截止时间为：2020年3月26日上午9时30分前。</w:t>
      </w:r>
    </w:p>
    <w:p>
      <w:pPr>
        <w:spacing w:line="360" w:lineRule="exact"/>
        <w:ind w:firstLine="420" w:firstLineChars="200"/>
        <w:rPr>
          <w:color w:val="auto"/>
          <w:highlight w:val="none"/>
        </w:rPr>
      </w:pPr>
      <w:r>
        <w:rPr>
          <w:rFonts w:hint="eastAsia" w:ascii="宋体" w:hAnsi="宋体" w:eastAsia="宋体" w:cs="宋体"/>
          <w:color w:val="auto"/>
          <w:szCs w:val="21"/>
          <w:highlight w:val="none"/>
        </w:rPr>
        <w:t>八、有关此次招标之事宜，可按下列地址以书面形式向</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 xml:space="preserve">查询： </w:t>
      </w:r>
    </w:p>
    <w:p>
      <w:pPr>
        <w:spacing w:line="36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地址：广州市南沙区环市大道中富汇街3号404室</w:t>
      </w:r>
    </w:p>
    <w:p>
      <w:pPr>
        <w:spacing w:line="360" w:lineRule="exact"/>
        <w:ind w:left="237" w:leftChars="113" w:firstLine="682" w:firstLineChars="325"/>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exact"/>
        <w:ind w:left="525" w:hanging="525"/>
        <w:rPr>
          <w:rFonts w:eastAsia="宋体"/>
          <w:color w:val="auto"/>
          <w:highlight w:val="none"/>
        </w:rPr>
      </w:pPr>
      <w:r>
        <w:rPr>
          <w:rFonts w:hint="eastAsia" w:ascii="宋体" w:hAnsi="宋体" w:eastAsia="宋体" w:cs="宋体"/>
          <w:color w:val="auto"/>
          <w:szCs w:val="21"/>
          <w:highlight w:val="none"/>
        </w:rPr>
        <w:t xml:space="preserve">  联系电话：</w:t>
      </w:r>
      <w:r>
        <w:rPr>
          <w:rFonts w:hint="eastAsia" w:ascii="宋体" w:hAnsi="宋体" w:eastAsia="宋体" w:cs="宋体"/>
          <w:color w:val="auto"/>
          <w:szCs w:val="21"/>
          <w:highlight w:val="none"/>
          <w:lang w:val="en-US" w:eastAsia="zh-CN"/>
        </w:rPr>
        <w:t>66806279</w:t>
      </w:r>
      <w:r>
        <w:rPr>
          <w:rFonts w:hint="eastAsia" w:ascii="宋体" w:hAnsi="宋体" w:eastAsia="宋体" w:cs="宋体"/>
          <w:color w:val="auto"/>
          <w:szCs w:val="21"/>
          <w:highlight w:val="none"/>
        </w:rPr>
        <w:t xml:space="preserve">    联系人：</w:t>
      </w:r>
      <w:r>
        <w:rPr>
          <w:rFonts w:hint="eastAsia" w:ascii="宋体" w:hAnsi="宋体" w:eastAsia="宋体" w:cs="宋体"/>
          <w:color w:val="auto"/>
          <w:szCs w:val="21"/>
          <w:highlight w:val="none"/>
          <w:lang w:eastAsia="zh-CN"/>
        </w:rPr>
        <w:t>李先生</w:t>
      </w:r>
      <w:r>
        <w:rPr>
          <w:rFonts w:hint="eastAsia" w:ascii="宋体" w:hAnsi="宋体" w:eastAsia="宋体" w:cs="宋体"/>
          <w:color w:val="auto"/>
          <w:szCs w:val="21"/>
          <w:highlight w:val="none"/>
        </w:rPr>
        <w:t xml:space="preserve">    </w:t>
      </w:r>
      <w:bookmarkStart w:id="94" w:name="_GoBack"/>
      <w:bookmarkEnd w:id="94"/>
    </w:p>
    <w:p>
      <w:pPr>
        <w:spacing w:line="360" w:lineRule="exact"/>
        <w:jc w:val="both"/>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exact"/>
        <w:ind w:firstLine="420" w:firstLineChars="200"/>
        <w:jc w:val="right"/>
        <w:rPr>
          <w:rFonts w:ascii="宋体" w:hAnsi="宋体" w:eastAsia="宋体" w:cs="宋体"/>
          <w:color w:val="auto"/>
          <w:highlight w:val="none"/>
        </w:rPr>
      </w:pPr>
      <w:r>
        <w:rPr>
          <w:rFonts w:hint="eastAsia" w:ascii="宋体" w:hAnsi="宋体" w:eastAsia="宋体" w:cs="宋体"/>
          <w:color w:val="auto"/>
          <w:szCs w:val="21"/>
          <w:highlight w:val="none"/>
        </w:rPr>
        <w:t>广州南沙</w:t>
      </w:r>
      <w:r>
        <w:rPr>
          <w:rFonts w:hint="eastAsia" w:ascii="宋体" w:hAnsi="宋体" w:eastAsia="宋体" w:cs="宋体"/>
          <w:color w:val="auto"/>
          <w:szCs w:val="21"/>
          <w:highlight w:val="none"/>
          <w:lang w:val="en-US" w:eastAsia="zh-CN"/>
        </w:rPr>
        <w:t>建设维护管理</w:t>
      </w:r>
      <w:r>
        <w:rPr>
          <w:rFonts w:hint="eastAsia" w:ascii="宋体" w:hAnsi="宋体" w:eastAsia="宋体" w:cs="宋体"/>
          <w:color w:val="auto"/>
          <w:szCs w:val="21"/>
          <w:highlight w:val="none"/>
        </w:rPr>
        <w:t>有限公司</w:t>
      </w:r>
    </w:p>
    <w:p>
      <w:pPr>
        <w:spacing w:line="360" w:lineRule="exact"/>
        <w:ind w:firstLine="420" w:firstLineChars="200"/>
        <w:jc w:val="right"/>
        <w:rPr>
          <w:rFonts w:ascii="宋体" w:hAnsi="宋体" w:eastAsia="宋体" w:cs="宋体"/>
          <w:color w:val="auto"/>
          <w:szCs w:val="21"/>
          <w:highlight w:val="none"/>
        </w:rPr>
      </w:pPr>
      <w:r>
        <w:rPr>
          <w:rFonts w:hint="eastAsia" w:ascii="宋体" w:hAnsi="宋体" w:eastAsia="宋体" w:cs="宋体"/>
          <w:color w:val="auto"/>
          <w:szCs w:val="21"/>
          <w:highlight w:val="none"/>
        </w:rPr>
        <w:t>2020年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日</w:t>
      </w:r>
    </w:p>
    <w:p>
      <w:pPr>
        <w:spacing w:line="360" w:lineRule="exact"/>
        <w:rPr>
          <w:rFonts w:ascii="宋体" w:hAnsi="宋体" w:eastAsia="宋体" w:cs="宋体"/>
          <w:color w:val="auto"/>
          <w:szCs w:val="21"/>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p>
    <w:p>
      <w:pPr>
        <w:spacing w:line="360" w:lineRule="auto"/>
        <w:jc w:val="center"/>
        <w:rPr>
          <w:rFonts w:cs="黑体"/>
          <w:color w:val="auto"/>
          <w:w w:val="150"/>
          <w:kern w:val="44"/>
          <w:sz w:val="44"/>
          <w:szCs w:val="44"/>
          <w:highlight w:val="none"/>
        </w:rPr>
      </w:pPr>
    </w:p>
    <w:p>
      <w:pPr>
        <w:jc w:val="center"/>
        <w:rPr>
          <w:rFonts w:ascii="宋体" w:hAnsi="宋体" w:eastAsia="宋体" w:cs="宋体"/>
          <w:b/>
          <w:color w:val="auto"/>
          <w:sz w:val="36"/>
          <w:szCs w:val="36"/>
          <w:highlight w:val="none"/>
        </w:rPr>
      </w:pPr>
      <w:bookmarkStart w:id="6" w:name="_Toc3704"/>
      <w:r>
        <w:rPr>
          <w:rFonts w:hint="eastAsia" w:ascii="宋体" w:hAnsi="宋体" w:eastAsia="宋体" w:cs="宋体"/>
          <w:b/>
          <w:color w:val="auto"/>
          <w:sz w:val="36"/>
          <w:szCs w:val="36"/>
          <w:highlight w:val="none"/>
        </w:rPr>
        <w:t>投标邀请书</w:t>
      </w:r>
      <w:bookmarkEnd w:id="6"/>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[投标人名称]  </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如</w:t>
      </w:r>
      <w:r>
        <w:rPr>
          <w:rFonts w:hint="eastAsia" w:ascii="宋体" w:hAnsi="宋体" w:eastAsia="宋体" w:cs="宋体"/>
          <w:color w:val="auto"/>
          <w:sz w:val="24"/>
          <w:highlight w:val="none"/>
        </w:rPr>
        <w:t>贵公司对我</w:t>
      </w:r>
      <w:r>
        <w:rPr>
          <w:rFonts w:hint="eastAsia" w:ascii="宋体" w:hAnsi="宋体" w:eastAsia="宋体" w:cs="宋体"/>
          <w:color w:val="auto"/>
          <w:sz w:val="24"/>
          <w:highlight w:val="none"/>
          <w:lang w:val="en-US" w:eastAsia="zh-CN"/>
        </w:rPr>
        <w:t>司</w:t>
      </w:r>
      <w:r>
        <w:rPr>
          <w:rFonts w:hint="eastAsia" w:ascii="宋体" w:hAnsi="宋体" w:eastAsia="宋体" w:cs="宋体"/>
          <w:color w:val="auto"/>
          <w:sz w:val="24"/>
          <w:highlight w:val="none"/>
          <w:u w:val="single"/>
          <w:lang w:val="en-US" w:eastAsia="zh-CN"/>
        </w:rPr>
        <w:t>南沙</w:t>
      </w:r>
      <w:r>
        <w:rPr>
          <w:rFonts w:hint="eastAsia" w:ascii="宋体" w:hAnsi="宋体" w:eastAsia="宋体" w:cs="宋体"/>
          <w:color w:val="auto"/>
          <w:sz w:val="24"/>
          <w:highlight w:val="none"/>
          <w:u w:val="single"/>
        </w:rPr>
        <w:t>资产经营集团公司年度项目前期</w:t>
      </w:r>
      <w:r>
        <w:rPr>
          <w:rFonts w:hint="eastAsia" w:ascii="宋体" w:hAnsi="宋体" w:eastAsia="宋体" w:cs="宋体"/>
          <w:color w:val="auto"/>
          <w:sz w:val="24"/>
          <w:highlight w:val="none"/>
          <w:u w:val="single"/>
          <w:lang w:eastAsia="zh-CN"/>
        </w:rPr>
        <w:t>方案</w:t>
      </w:r>
      <w:r>
        <w:rPr>
          <w:rFonts w:hint="eastAsia" w:ascii="宋体" w:hAnsi="宋体" w:eastAsia="宋体" w:cs="宋体"/>
          <w:color w:val="auto"/>
          <w:sz w:val="24"/>
          <w:highlight w:val="none"/>
          <w:u w:val="single"/>
        </w:rPr>
        <w:t>设计</w:t>
      </w:r>
      <w:r>
        <w:rPr>
          <w:rFonts w:hint="eastAsia" w:ascii="宋体" w:hAnsi="宋体" w:eastAsia="宋体" w:cs="宋体"/>
          <w:color w:val="auto"/>
          <w:sz w:val="24"/>
          <w:highlight w:val="none"/>
          <w:u w:val="single"/>
          <w:lang w:eastAsia="zh-CN"/>
        </w:rPr>
        <w:t>及设计</w:t>
      </w:r>
      <w:r>
        <w:rPr>
          <w:rFonts w:hint="eastAsia" w:ascii="宋体" w:hAnsi="宋体" w:eastAsia="宋体" w:cs="宋体"/>
          <w:color w:val="auto"/>
          <w:sz w:val="24"/>
          <w:highlight w:val="none"/>
          <w:u w:val="single"/>
        </w:rPr>
        <w:t>咨询服务</w:t>
      </w:r>
      <w:r>
        <w:rPr>
          <w:rFonts w:hint="eastAsia" w:ascii="宋体" w:hAnsi="宋体" w:eastAsia="宋体" w:cs="宋体"/>
          <w:color w:val="auto"/>
          <w:sz w:val="24"/>
          <w:highlight w:val="none"/>
        </w:rPr>
        <w:t>招标工程项目</w:t>
      </w:r>
      <w:r>
        <w:rPr>
          <w:rFonts w:hint="eastAsia" w:ascii="宋体" w:hAnsi="宋体" w:eastAsia="宋体" w:cs="宋体"/>
          <w:color w:val="auto"/>
          <w:sz w:val="24"/>
          <w:highlight w:val="none"/>
          <w:lang w:eastAsia="zh-CN"/>
        </w:rPr>
        <w:t>感兴趣</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拟参加该项目投标，请参照以下投标和开标要求执行</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．贵公司在投标文件中，应按照有关规定提交</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的投标担保。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．投标文件提交的截止时间为</w:t>
      </w:r>
      <w:r>
        <w:rPr>
          <w:rFonts w:hint="eastAsia" w:ascii="宋体" w:hAnsi="宋体" w:eastAsia="宋体" w:cs="宋体"/>
          <w:color w:val="auto"/>
          <w:sz w:val="24"/>
          <w:highlight w:val="none"/>
          <w:u w:val="single"/>
        </w:rPr>
        <w:t xml:space="preserve"> 2020</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26</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前</w:t>
      </w:r>
      <w:r>
        <w:rPr>
          <w:rFonts w:hint="eastAsia" w:ascii="宋体" w:hAnsi="宋体" w:eastAsia="宋体" w:cs="宋体"/>
          <w:color w:val="auto"/>
          <w:sz w:val="24"/>
          <w:highlight w:val="none"/>
        </w:rPr>
        <w:t>，提交到广州南沙资产经营集团有限公司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1808</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室。逾期送达的或不符合规定的投标文件将被拒绝。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．本招标工程项目的开标会将于上述投标截止时间的同一时间在广州南沙资产经营集团有限公司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1807</w:t>
      </w:r>
      <w:r>
        <w:rPr>
          <w:rFonts w:hint="eastAsia" w:ascii="宋体" w:hAnsi="宋体" w:eastAsia="宋体" w:cs="宋体"/>
          <w:color w:val="auto"/>
          <w:sz w:val="24"/>
          <w:highlight w:val="none"/>
        </w:rPr>
        <w:t>会议室公开进行，投标人的法定代表人或其委托代理人应按招标文件的要求准时参加开标会议。</w:t>
      </w:r>
    </w:p>
    <w:p>
      <w:pPr>
        <w:pStyle w:val="4"/>
        <w:widowControl/>
        <w:spacing w:after="0"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招 标 人：</w:t>
      </w:r>
      <w:r>
        <w:rPr>
          <w:rFonts w:hint="eastAsia" w:ascii="宋体" w:hAnsi="宋体" w:cs="宋体"/>
          <w:color w:val="auto"/>
          <w:sz w:val="24"/>
          <w:highlight w:val="none"/>
        </w:rPr>
        <w:t>广州南沙</w:t>
      </w:r>
      <w:r>
        <w:rPr>
          <w:rFonts w:hint="eastAsia" w:ascii="宋体" w:hAnsi="宋体" w:cs="宋体"/>
          <w:color w:val="auto"/>
          <w:sz w:val="24"/>
          <w:highlight w:val="none"/>
          <w:lang w:val="en-US" w:eastAsia="zh-CN"/>
        </w:rPr>
        <w:t>建设维护管理</w:t>
      </w:r>
      <w:r>
        <w:rPr>
          <w:rFonts w:hint="eastAsia" w:ascii="宋体" w:hAnsi="宋体" w:cs="宋体"/>
          <w:color w:val="auto"/>
          <w:sz w:val="24"/>
          <w:szCs w:val="24"/>
          <w:highlight w:val="none"/>
        </w:rPr>
        <w:t>有限公司</w:t>
      </w:r>
    </w:p>
    <w:p>
      <w:pPr>
        <w:pStyle w:val="4"/>
        <w:widowControl/>
        <w:spacing w:after="0"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地    址：</w:t>
      </w:r>
    </w:p>
    <w:p>
      <w:pPr>
        <w:pStyle w:val="4"/>
        <w:widowControl/>
        <w:spacing w:after="0" w:line="360" w:lineRule="auto"/>
        <w:ind w:firstLine="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联 系 人： </w:t>
      </w:r>
      <w:r>
        <w:rPr>
          <w:rFonts w:hint="eastAsia" w:ascii="宋体" w:hAnsi="宋体" w:cs="宋体"/>
          <w:color w:val="auto"/>
          <w:sz w:val="24"/>
          <w:szCs w:val="24"/>
          <w:highlight w:val="none"/>
          <w:lang w:eastAsia="zh-CN"/>
        </w:rPr>
        <w:t>李先生</w:t>
      </w:r>
    </w:p>
    <w:p>
      <w:pPr>
        <w:pStyle w:val="4"/>
        <w:widowControl/>
        <w:spacing w:after="0"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66806279</w:t>
      </w:r>
      <w:r>
        <w:rPr>
          <w:rFonts w:hint="eastAsia" w:ascii="宋体" w:hAnsi="宋体" w:cs="宋体"/>
          <w:color w:val="auto"/>
          <w:sz w:val="24"/>
          <w:szCs w:val="24"/>
          <w:highlight w:val="none"/>
        </w:rPr>
        <w:t xml:space="preserve"> </w:t>
      </w:r>
    </w:p>
    <w:p>
      <w:pPr>
        <w:pStyle w:val="4"/>
        <w:widowControl/>
        <w:spacing w:after="0"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地    址：广州市南沙区环市大道中富汇街3号404室</w:t>
      </w:r>
    </w:p>
    <w:p>
      <w:pPr>
        <w:rPr>
          <w:rFonts w:hint="eastAsia" w:ascii="黑体" w:hAnsi="宋体" w:cs="黑体"/>
          <w:b/>
          <w:color w:val="auto"/>
          <w:kern w:val="44"/>
          <w:sz w:val="44"/>
          <w:szCs w:val="44"/>
          <w:highlight w:val="none"/>
        </w:rPr>
      </w:pPr>
      <w:bookmarkStart w:id="7" w:name="_Toc264562489"/>
      <w:bookmarkEnd w:id="7"/>
      <w:bookmarkStart w:id="8" w:name="_Toc13302"/>
      <w:bookmarkStart w:id="9" w:name="_Toc374128472"/>
      <w:r>
        <w:rPr>
          <w:rFonts w:hint="eastAsia" w:ascii="黑体" w:hAnsi="宋体" w:cs="黑体"/>
          <w:b/>
          <w:color w:val="auto"/>
          <w:kern w:val="44"/>
          <w:sz w:val="44"/>
          <w:szCs w:val="44"/>
          <w:highlight w:val="none"/>
        </w:rPr>
        <w:br w:type="page"/>
      </w:r>
    </w:p>
    <w:p>
      <w:pPr>
        <w:pStyle w:val="2"/>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第1章 投标须知及前附表</w:t>
      </w:r>
      <w:bookmarkEnd w:id="8"/>
      <w:bookmarkEnd w:id="9"/>
    </w:p>
    <w:p>
      <w:pPr>
        <w:spacing w:after="142"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5"/>
        <w:tblW w:w="9709" w:type="dxa"/>
        <w:jc w:val="center"/>
        <w:tblInd w:w="0" w:type="dxa"/>
        <w:tblLayout w:type="fixed"/>
        <w:tblCellMar>
          <w:top w:w="0" w:type="dxa"/>
          <w:left w:w="108" w:type="dxa"/>
          <w:bottom w:w="0" w:type="dxa"/>
          <w:right w:w="108" w:type="dxa"/>
        </w:tblCellMar>
      </w:tblPr>
      <w:tblGrid>
        <w:gridCol w:w="720"/>
        <w:gridCol w:w="990"/>
        <w:gridCol w:w="1706"/>
        <w:gridCol w:w="6293"/>
      </w:tblGrid>
      <w:tr>
        <w:tblPrEx>
          <w:tblLayout w:type="fixed"/>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4"/>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说明与要求</w:t>
            </w:r>
          </w:p>
        </w:tc>
      </w:tr>
      <w:tr>
        <w:tblPrEx>
          <w:tblLayout w:type="fixed"/>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工程名称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u w:val="single"/>
                <w:lang w:val="en-US" w:eastAsia="zh-CN"/>
              </w:rPr>
              <w:t>南沙资产经营集团公司年度项目前期方案设计及设计咨询服务</w:t>
            </w:r>
          </w:p>
        </w:tc>
      </w:tr>
      <w:tr>
        <w:tblPrEx>
          <w:tblLayout w:type="fixed"/>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广州市南沙区</w:t>
            </w:r>
          </w:p>
        </w:tc>
      </w:tr>
      <w:tr>
        <w:tblPrEx>
          <w:tblLayout w:type="fixed"/>
          <w:tblCellMar>
            <w:top w:w="0" w:type="dxa"/>
            <w:left w:w="108" w:type="dxa"/>
            <w:bottom w:w="0" w:type="dxa"/>
            <w:right w:w="108" w:type="dxa"/>
          </w:tblCellMar>
        </w:tblPrEx>
        <w:trPr>
          <w:trHeight w:val="96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本次招标具体为</w:t>
            </w:r>
            <w:r>
              <w:rPr>
                <w:rFonts w:hint="eastAsia" w:ascii="宋体" w:hAnsi="宋体" w:cs="宋体"/>
                <w:color w:val="auto"/>
                <w:highlight w:val="none"/>
                <w:u w:val="single"/>
                <w:lang w:val="en-US" w:eastAsia="zh-CN"/>
              </w:rPr>
              <w:t>南沙</w:t>
            </w:r>
            <w:r>
              <w:rPr>
                <w:rFonts w:hint="eastAsia" w:ascii="宋体" w:hAnsi="宋体" w:cs="宋体"/>
                <w:color w:val="auto"/>
                <w:highlight w:val="none"/>
                <w:u w:val="single"/>
              </w:rPr>
              <w:t>资产经营集团（含下属公司）</w:t>
            </w:r>
            <w:r>
              <w:rPr>
                <w:rFonts w:hint="eastAsia" w:ascii="宋体" w:hAnsi="宋体" w:cs="宋体"/>
                <w:color w:val="auto"/>
                <w:highlight w:val="none"/>
                <w:u w:val="single"/>
                <w:lang w:val="en-US" w:eastAsia="zh-CN"/>
              </w:rPr>
              <w:t>2020</w:t>
            </w:r>
            <w:r>
              <w:rPr>
                <w:rFonts w:hint="eastAsia" w:ascii="宋体" w:hAnsi="宋体" w:cs="宋体"/>
                <w:color w:val="auto"/>
                <w:highlight w:val="none"/>
                <w:u w:val="single"/>
              </w:rPr>
              <w:t>年度</w:t>
            </w:r>
            <w:r>
              <w:rPr>
                <w:rFonts w:hint="eastAsia" w:ascii="宋体" w:hAnsi="宋体" w:cs="宋体"/>
                <w:color w:val="auto"/>
                <w:highlight w:val="none"/>
                <w:u w:val="single"/>
                <w:lang w:eastAsia="zh-CN"/>
              </w:rPr>
              <w:t>前期方案设计及设计咨询</w:t>
            </w:r>
            <w:r>
              <w:rPr>
                <w:rFonts w:hint="eastAsia" w:ascii="宋体" w:hAnsi="宋体" w:cs="宋体"/>
                <w:color w:val="auto"/>
                <w:highlight w:val="none"/>
                <w:u w:val="single"/>
              </w:rPr>
              <w:t>年度服务外包，要求中标单位有一定的服务质量保证，且态度良好，信誉可靠。本项目预算为100万元以下，项目数为若干，单个项目</w:t>
            </w:r>
            <w:r>
              <w:rPr>
                <w:rFonts w:hint="eastAsia" w:ascii="宋体" w:hAnsi="宋体" w:cs="宋体"/>
                <w:color w:val="auto"/>
                <w:highlight w:val="none"/>
                <w:u w:val="single"/>
                <w:lang w:val="en-US" w:eastAsia="zh-CN"/>
              </w:rPr>
              <w:t>不超过50万元</w:t>
            </w:r>
            <w:r>
              <w:rPr>
                <w:rFonts w:hint="eastAsia" w:ascii="宋体" w:hAnsi="宋体" w:cs="宋体"/>
                <w:color w:val="auto"/>
                <w:highlight w:val="none"/>
                <w:u w:val="single"/>
              </w:rPr>
              <w:t>，按最终投标人报价为准。</w:t>
            </w:r>
          </w:p>
        </w:tc>
      </w:tr>
      <w:tr>
        <w:tblPrEx>
          <w:tblLayout w:type="fixed"/>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工程预算</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本项目预算为100万元。</w:t>
            </w:r>
          </w:p>
        </w:tc>
      </w:tr>
      <w:tr>
        <w:tblPrEx>
          <w:tblLayout w:type="fixed"/>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质量目标：合格</w:t>
            </w:r>
          </w:p>
        </w:tc>
      </w:tr>
      <w:tr>
        <w:tblPrEx>
          <w:tblLayout w:type="fixed"/>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rPr>
              <w:t>本项目为南沙资产经营集团（含下属公司）</w:t>
            </w:r>
            <w:r>
              <w:rPr>
                <w:rFonts w:hint="eastAsia" w:ascii="宋体" w:hAnsi="宋体" w:cs="宋体"/>
                <w:color w:val="auto"/>
                <w:highlight w:val="none"/>
                <w:lang w:eastAsia="zh-CN"/>
              </w:rPr>
              <w:t>前期方案设计及设计咨询</w:t>
            </w:r>
            <w:r>
              <w:rPr>
                <w:rFonts w:hint="eastAsia" w:ascii="宋体" w:hAnsi="宋体" w:cs="宋体"/>
                <w:color w:val="auto"/>
                <w:highlight w:val="none"/>
                <w:lang w:val="en-US" w:eastAsia="zh-CN"/>
              </w:rPr>
              <w:t>2020</w:t>
            </w:r>
            <w:r>
              <w:rPr>
                <w:rFonts w:hint="eastAsia" w:ascii="宋体" w:hAnsi="宋体" w:cs="宋体"/>
                <w:color w:val="auto"/>
                <w:highlight w:val="none"/>
              </w:rPr>
              <w:t>年度服务外包，具体内容为项目</w:t>
            </w:r>
            <w:r>
              <w:rPr>
                <w:rFonts w:hint="eastAsia" w:ascii="宋体" w:hAnsi="宋体" w:cs="宋体"/>
                <w:color w:val="auto"/>
                <w:highlight w:val="none"/>
                <w:lang w:eastAsia="zh-CN"/>
              </w:rPr>
              <w:t>前期方案设计及设计咨询</w:t>
            </w:r>
            <w:r>
              <w:rPr>
                <w:rFonts w:hint="eastAsia" w:ascii="宋体" w:hAnsi="宋体" w:cs="宋体"/>
                <w:color w:val="auto"/>
                <w:highlight w:val="none"/>
              </w:rPr>
              <w:t>服务，详见招标内容。</w:t>
            </w:r>
          </w:p>
        </w:tc>
      </w:tr>
      <w:tr>
        <w:tblPrEx>
          <w:tblLayout w:type="fixed"/>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服务任务期限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2020年3月</w:t>
            </w:r>
            <w:r>
              <w:rPr>
                <w:rFonts w:hint="eastAsia" w:ascii="宋体" w:hAnsi="宋体" w:eastAsia="宋体" w:cs="宋体"/>
                <w:color w:val="auto"/>
                <w:szCs w:val="21"/>
                <w:highlight w:val="none"/>
                <w:lang w:val="en-US" w:eastAsia="zh-CN"/>
              </w:rPr>
              <w:t>至</w:t>
            </w:r>
            <w:r>
              <w:rPr>
                <w:rFonts w:hint="eastAsia" w:ascii="宋体" w:hAnsi="宋体" w:eastAsia="宋体" w:cs="宋体"/>
                <w:color w:val="auto"/>
                <w:szCs w:val="21"/>
                <w:highlight w:val="none"/>
              </w:rPr>
              <w:t>2021年3月或者</w:t>
            </w:r>
            <w:r>
              <w:rPr>
                <w:rFonts w:hint="eastAsia" w:ascii="宋体" w:hAnsi="宋体" w:eastAsia="宋体" w:cs="宋体"/>
                <w:color w:val="auto"/>
                <w:szCs w:val="21"/>
                <w:highlight w:val="none"/>
                <w:lang w:eastAsia="zh-CN"/>
              </w:rPr>
              <w:t>累计服务费接近100万为止</w:t>
            </w:r>
            <w:r>
              <w:rPr>
                <w:rFonts w:hint="eastAsia" w:ascii="宋体" w:hAnsi="宋体" w:eastAsia="宋体" w:cs="宋体"/>
                <w:color w:val="auto"/>
                <w:szCs w:val="21"/>
                <w:highlight w:val="none"/>
              </w:rPr>
              <w:t>。</w:t>
            </w:r>
          </w:p>
        </w:tc>
      </w:tr>
      <w:tr>
        <w:tblPrEx>
          <w:tblLayout w:type="fixed"/>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u w:val="single"/>
              </w:rPr>
              <w:t>自筹资金</w:t>
            </w:r>
          </w:p>
        </w:tc>
      </w:tr>
      <w:tr>
        <w:tblPrEx>
          <w:tblLayout w:type="fixed"/>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rPr>
              <w:t>投标人均具有工程设计综合甲级资质证书，或建筑行业（建筑工程）甲级设计资质。</w:t>
            </w:r>
          </w:p>
        </w:tc>
      </w:tr>
      <w:tr>
        <w:tblPrEx>
          <w:tblLayout w:type="fixed"/>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服务人员的专业配套要求</w:t>
            </w:r>
          </w:p>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ind w:right="150"/>
              <w:jc w:val="left"/>
              <w:rPr>
                <w:rFonts w:ascii="宋体" w:hAnsi="宋体" w:eastAsia="宋体" w:cs="宋体"/>
                <w:b/>
                <w:color w:val="auto"/>
                <w:highlight w:val="none"/>
              </w:rPr>
            </w:pPr>
            <w:r>
              <w:rPr>
                <w:rFonts w:hint="eastAsia" w:ascii="宋体" w:hAnsi="宋体" w:eastAsia="宋体" w:cs="宋体"/>
                <w:b/>
                <w:color w:val="auto"/>
                <w:szCs w:val="21"/>
                <w:highlight w:val="none"/>
              </w:rPr>
              <w:t>（1）项目负责人要求： </w:t>
            </w:r>
          </w:p>
          <w:p>
            <w:pPr>
              <w:pStyle w:val="4"/>
              <w:widowControl/>
              <w:spacing w:before="100" w:beforeAutospacing="0" w:after="0" w:line="320" w:lineRule="exact"/>
              <w:ind w:right="150" w:firstLine="0"/>
              <w:jc w:val="left"/>
              <w:rPr>
                <w:rFonts w:ascii="宋体" w:hAnsi="宋体" w:cs="宋体"/>
                <w:color w:val="auto"/>
                <w:highlight w:val="none"/>
              </w:rPr>
            </w:pPr>
            <w:r>
              <w:rPr>
                <w:rFonts w:hint="eastAsia" w:ascii="宋体" w:hAnsi="宋体" w:cs="宋体"/>
                <w:color w:val="auto"/>
                <w:highlight w:val="none"/>
              </w:rPr>
              <w:t>投标申请人委派的项目负责人须具备建筑工程（含相近专业）高级工程师或以上职称。</w:t>
            </w:r>
          </w:p>
          <w:p>
            <w:pPr>
              <w:pStyle w:val="4"/>
              <w:widowControl/>
              <w:spacing w:before="100" w:beforeAutospacing="0" w:after="0" w:line="320" w:lineRule="exact"/>
              <w:ind w:left="535" w:right="150" w:hanging="535" w:hangingChars="254"/>
              <w:jc w:val="left"/>
              <w:rPr>
                <w:rFonts w:ascii="宋体" w:hAnsi="宋体" w:cs="宋体"/>
                <w:b/>
                <w:color w:val="auto"/>
                <w:highlight w:val="none"/>
              </w:rPr>
            </w:pPr>
            <w:r>
              <w:rPr>
                <w:rFonts w:hint="eastAsia" w:ascii="宋体" w:hAnsi="宋体" w:cs="宋体"/>
                <w:b/>
                <w:color w:val="auto"/>
                <w:highlight w:val="none"/>
              </w:rPr>
              <w:t>（2）设计专业人员最低配套要求：</w:t>
            </w:r>
          </w:p>
          <w:p>
            <w:pPr>
              <w:spacing w:line="320" w:lineRule="exact"/>
              <w:ind w:right="150"/>
              <w:jc w:val="left"/>
              <w:rPr>
                <w:rFonts w:ascii="宋体" w:hAnsi="宋体" w:eastAsia="宋体" w:cs="宋体"/>
                <w:color w:val="auto"/>
                <w:highlight w:val="none"/>
              </w:rPr>
            </w:pPr>
            <w:r>
              <w:rPr>
                <w:rFonts w:hint="eastAsia" w:ascii="宋体" w:hAnsi="宋体" w:eastAsia="宋体" w:cs="宋体"/>
                <w:color w:val="auto"/>
                <w:szCs w:val="21"/>
                <w:highlight w:val="none"/>
              </w:rPr>
              <w:t>具备建筑1名、给排水1名、电气1名、结构1名、造价1名，其他专业人员根据项目规模自行考虑。</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59" w:leftChars="-28" w:right="-59" w:rightChars="-28" w:firstLine="0"/>
              <w:jc w:val="center"/>
              <w:rPr>
                <w:rFonts w:ascii="宋体" w:hAnsi="宋体" w:cs="宋体"/>
                <w:color w:val="auto"/>
                <w:highlight w:val="none"/>
              </w:rPr>
            </w:pPr>
            <w:r>
              <w:rPr>
                <w:rFonts w:hint="eastAsia" w:ascii="宋体" w:hAnsi="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rPr>
              <w:t>不需资格审查</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由投标人自行考察。</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strike w:val="0"/>
                <w:dstrike w:val="0"/>
                <w:color w:val="auto"/>
                <w:highlight w:val="none"/>
              </w:rPr>
            </w:pPr>
            <w:r>
              <w:rPr>
                <w:rFonts w:hint="eastAsia" w:ascii="宋体" w:hAnsi="宋体" w:cs="宋体"/>
                <w:strike w:val="0"/>
                <w:dstrike w:val="0"/>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trike w:val="0"/>
                <w:dstrike w:val="0"/>
                <w:color w:val="auto"/>
                <w:highlight w:val="none"/>
              </w:rPr>
            </w:pPr>
            <w:r>
              <w:rPr>
                <w:rFonts w:hint="eastAsia" w:ascii="宋体" w:hAnsi="宋体" w:eastAsia="宋体" w:cs="宋体"/>
                <w:strike w:val="0"/>
                <w:dstrike w:val="0"/>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trike w:val="0"/>
                <w:dstrike w:val="0"/>
                <w:color w:val="auto"/>
                <w:highlight w:val="none"/>
              </w:rPr>
            </w:pPr>
            <w:r>
              <w:rPr>
                <w:rFonts w:hint="eastAsia" w:ascii="宋体" w:hAnsi="宋体" w:eastAsia="宋体" w:cs="宋体"/>
                <w:strike w:val="0"/>
                <w:dstrike w:val="0"/>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jc w:val="center"/>
              <w:rPr>
                <w:rFonts w:hint="default" w:eastAsiaTheme="minorEastAsia"/>
                <w:strike w:val="0"/>
                <w:dstrike w:val="0"/>
                <w:color w:val="auto"/>
                <w:highlight w:val="none"/>
                <w:lang w:val="en-US" w:eastAsia="zh-CN"/>
              </w:rPr>
            </w:pPr>
            <w:r>
              <w:rPr>
                <w:rFonts w:hint="eastAsia"/>
                <w:strike w:val="0"/>
                <w:dstrike w:val="0"/>
                <w:color w:val="auto"/>
                <w:highlight w:val="none"/>
                <w:lang w:val="en-US" w:eastAsia="zh-CN"/>
              </w:rPr>
              <w:t>/</w:t>
            </w:r>
          </w:p>
        </w:tc>
      </w:tr>
      <w:tr>
        <w:tblPrEx>
          <w:tblLayout w:type="fixed"/>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59" w:leftChars="-28" w:right="-44" w:rightChars="-21" w:firstLine="0"/>
              <w:jc w:val="center"/>
              <w:rPr>
                <w:rFonts w:ascii="宋体" w:hAnsi="宋体" w:cs="宋体"/>
                <w:color w:val="auto"/>
                <w:highlight w:val="none"/>
              </w:rPr>
            </w:pPr>
            <w:r>
              <w:rPr>
                <w:rFonts w:hint="eastAsia" w:ascii="宋体" w:hAnsi="宋体" w:cs="宋体"/>
                <w:color w:val="auto"/>
                <w:highlight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rPr>
              <w:t>按照招标文件中规定，投标单位自行报价（投标报价不能超过招标控制价）。（小数点后保留二位小数，第三位小数四舍五入）。</w:t>
            </w:r>
          </w:p>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rPr>
              <w:t>本项目招标控制价为</w:t>
            </w:r>
            <w:r>
              <w:rPr>
                <w:rFonts w:hint="eastAsia" w:ascii="宋体" w:hAnsi="宋体" w:cs="宋体"/>
                <w:color w:val="auto"/>
                <w:highlight w:val="none"/>
                <w:u w:val="single"/>
              </w:rPr>
              <w:t>100万</w:t>
            </w:r>
            <w:r>
              <w:rPr>
                <w:rFonts w:hint="eastAsia" w:ascii="宋体" w:hAnsi="宋体" w:cs="宋体"/>
                <w:color w:val="auto"/>
                <w:highlight w:val="none"/>
                <w:u w:val="single"/>
                <w:lang w:eastAsia="zh-CN"/>
              </w:rPr>
              <w:t>（不含</w:t>
            </w:r>
            <w:r>
              <w:rPr>
                <w:rFonts w:hint="eastAsia" w:ascii="宋体" w:hAnsi="宋体" w:cs="宋体"/>
                <w:color w:val="auto"/>
                <w:highlight w:val="none"/>
                <w:u w:val="single"/>
                <w:lang w:val="en-US" w:eastAsia="zh-CN"/>
              </w:rPr>
              <w:t>100万</w:t>
            </w:r>
            <w:r>
              <w:rPr>
                <w:rFonts w:hint="eastAsia" w:ascii="宋体" w:hAnsi="宋体" w:cs="宋体"/>
                <w:color w:val="auto"/>
                <w:highlight w:val="none"/>
                <w:u w:val="single"/>
                <w:lang w:eastAsia="zh-CN"/>
              </w:rPr>
              <w:t>）</w:t>
            </w:r>
            <w:r>
              <w:rPr>
                <w:rFonts w:hint="eastAsia" w:ascii="宋体" w:hAnsi="宋体" w:cs="宋体"/>
                <w:color w:val="auto"/>
                <w:highlight w:val="none"/>
                <w:u w:val="single"/>
              </w:rPr>
              <w:t>，项目数为若干，单个项目</w:t>
            </w:r>
            <w:r>
              <w:rPr>
                <w:rFonts w:hint="eastAsia" w:ascii="宋体" w:hAnsi="宋体" w:cs="宋体"/>
                <w:color w:val="auto"/>
                <w:highlight w:val="none"/>
                <w:u w:val="single"/>
                <w:lang w:val="en-US" w:eastAsia="zh-CN"/>
              </w:rPr>
              <w:t>控制价不超过50万元（其中20%概念方案不超过3万元，50%概念方案不超过7万元，100%概念方案无多媒体不超过25万元）</w:t>
            </w:r>
            <w:r>
              <w:rPr>
                <w:rFonts w:hint="eastAsia" w:ascii="宋体" w:hAnsi="宋体" w:cs="宋体"/>
                <w:color w:val="auto"/>
                <w:highlight w:val="none"/>
                <w:u w:val="single"/>
              </w:rPr>
              <w:t>，按最终投标人报价为准</w:t>
            </w:r>
            <w:r>
              <w:rPr>
                <w:rFonts w:hint="eastAsia" w:ascii="宋体" w:hAnsi="宋体" w:cs="宋体"/>
                <w:color w:val="auto"/>
                <w:highlight w:val="none"/>
              </w:rPr>
              <w:t>。</w:t>
            </w:r>
          </w:p>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rPr>
              <w:t>结算方式：单价含税包干。</w:t>
            </w:r>
          </w:p>
        </w:tc>
      </w:tr>
      <w:tr>
        <w:tblPrEx>
          <w:tblLayout w:type="fixed"/>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90</w:t>
            </w:r>
            <w:r>
              <w:rPr>
                <w:rFonts w:hint="eastAsia" w:ascii="宋体" w:hAnsi="宋体" w:cs="宋体"/>
                <w:color w:val="auto"/>
                <w:highlight w:val="none"/>
              </w:rPr>
              <w:t>日历天（从投标截止之日算起）。</w:t>
            </w:r>
          </w:p>
        </w:tc>
      </w:tr>
      <w:tr>
        <w:tblPrEx>
          <w:tblLayout w:type="fixed"/>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spacing w:val="-4"/>
                <w:highlight w:val="none"/>
              </w:rPr>
            </w:pPr>
            <w:r>
              <w:rPr>
                <w:rFonts w:hint="eastAsia" w:ascii="宋体" w:hAnsi="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本项目不收投标保证金</w:t>
            </w:r>
          </w:p>
        </w:tc>
      </w:tr>
      <w:tr>
        <w:tblPrEx>
          <w:tblLayout w:type="fixed"/>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46" w:leftChars="-22" w:right="-59" w:rightChars="-28" w:firstLine="0"/>
              <w:jc w:val="center"/>
              <w:rPr>
                <w:rFonts w:ascii="宋体" w:hAnsi="宋体" w:cs="宋体"/>
                <w:color w:val="auto"/>
                <w:highlight w:val="none"/>
              </w:rPr>
            </w:pPr>
            <w:r>
              <w:rPr>
                <w:rFonts w:hint="eastAsia" w:ascii="宋体" w:hAnsi="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黑体" w:hAnsi="宋体" w:eastAsia="黑体" w:cs="黑体"/>
                <w:color w:val="auto"/>
                <w:highlight w:val="none"/>
              </w:rPr>
            </w:pPr>
            <w:r>
              <w:rPr>
                <w:rFonts w:hint="eastAsia" w:ascii="宋体" w:hAnsi="宋体" w:cs="宋体"/>
                <w:color w:val="auto"/>
                <w:highlight w:val="none"/>
              </w:rPr>
              <w:t>投标文件：1份正本（含电子文件一套），</w:t>
            </w:r>
            <w:r>
              <w:rPr>
                <w:rFonts w:hint="eastAsia" w:ascii="宋体" w:hAnsi="宋体" w:cs="宋体"/>
                <w:color w:val="auto"/>
                <w:highlight w:val="none"/>
                <w:u w:val="single"/>
              </w:rPr>
              <w:t>4</w:t>
            </w:r>
            <w:r>
              <w:rPr>
                <w:rFonts w:hint="eastAsia" w:ascii="宋体" w:hAnsi="宋体" w:cs="宋体"/>
                <w:color w:val="auto"/>
                <w:highlight w:val="none"/>
              </w:rPr>
              <w:t>份副本。</w:t>
            </w:r>
          </w:p>
        </w:tc>
      </w:tr>
      <w:tr>
        <w:tblPrEx>
          <w:tblLayout w:type="fixed"/>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投标文件</w:t>
            </w:r>
          </w:p>
          <w:p>
            <w:pPr>
              <w:pStyle w:val="4"/>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提交地点及</w:t>
            </w:r>
          </w:p>
          <w:p>
            <w:pPr>
              <w:pStyle w:val="4"/>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收件人：</w:t>
            </w:r>
            <w:r>
              <w:rPr>
                <w:rFonts w:hint="eastAsia" w:ascii="宋体" w:hAnsi="宋体" w:eastAsia="宋体" w:cs="宋体"/>
                <w:color w:val="auto"/>
                <w:szCs w:val="21"/>
                <w:highlight w:val="none"/>
                <w:u w:val="single"/>
                <w:lang w:eastAsia="zh-CN"/>
              </w:rPr>
              <w:t>蒋小姐，</w:t>
            </w:r>
            <w:r>
              <w:rPr>
                <w:rFonts w:hint="eastAsia" w:ascii="宋体" w:hAnsi="宋体" w:eastAsia="宋体" w:cs="宋体"/>
                <w:color w:val="auto"/>
                <w:szCs w:val="21"/>
                <w:highlight w:val="none"/>
                <w:u w:val="single"/>
                <w:lang w:val="en-US" w:eastAsia="zh-CN"/>
              </w:rPr>
              <w:t>66813692</w:t>
            </w:r>
          </w:p>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提交地点：广州南沙区金融大厦 18</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rPr>
              <w:t>室</w:t>
            </w:r>
          </w:p>
          <w:p>
            <w:pPr>
              <w:spacing w:line="320" w:lineRule="exact"/>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投标截止时间：</w:t>
            </w:r>
            <w:r>
              <w:rPr>
                <w:rFonts w:hint="eastAsia" w:ascii="宋体" w:hAnsi="宋体" w:eastAsia="宋体" w:cs="宋体"/>
                <w:color w:val="auto"/>
                <w:szCs w:val="21"/>
                <w:highlight w:val="none"/>
                <w:u w:val="single"/>
              </w:rPr>
              <w:t>2020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日上午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前</w:t>
            </w:r>
          </w:p>
          <w:p>
            <w:pPr>
              <w:pStyle w:val="4"/>
              <w:widowControl/>
              <w:spacing w:after="0" w:line="320" w:lineRule="exact"/>
              <w:ind w:firstLine="0"/>
              <w:rPr>
                <w:rFonts w:ascii="宋体" w:hAnsi="宋体" w:cs="宋体"/>
                <w:b/>
                <w:color w:val="auto"/>
                <w:highlight w:val="none"/>
              </w:rPr>
            </w:pPr>
            <w:r>
              <w:rPr>
                <w:rFonts w:hint="eastAsia" w:ascii="宋体" w:hAnsi="宋体" w:cs="宋体"/>
                <w:color w:val="auto"/>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Layout w:type="fixed"/>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Cs w:val="21"/>
                <w:highlight w:val="none"/>
                <w:u w:val="single"/>
              </w:rPr>
              <w:t>2020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日上午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地点：广州南沙区金融大厦 18</w:t>
            </w:r>
            <w:r>
              <w:rPr>
                <w:rFonts w:hint="eastAsia" w:ascii="宋体" w:hAnsi="宋体" w:eastAsia="宋体" w:cs="宋体"/>
                <w:color w:val="auto"/>
                <w:szCs w:val="21"/>
                <w:highlight w:val="none"/>
                <w:lang w:val="en-US" w:eastAsia="zh-CN"/>
              </w:rPr>
              <w:t>07</w:t>
            </w:r>
            <w:r>
              <w:rPr>
                <w:rFonts w:hint="eastAsia" w:ascii="宋体" w:hAnsi="宋体" w:eastAsia="宋体" w:cs="宋体"/>
                <w:color w:val="auto"/>
                <w:szCs w:val="21"/>
                <w:highlight w:val="none"/>
              </w:rPr>
              <w:t>会议室</w:t>
            </w:r>
          </w:p>
          <w:p>
            <w:pPr>
              <w:spacing w:line="320" w:lineRule="exact"/>
              <w:rPr>
                <w:rFonts w:ascii="宋体" w:hAnsi="宋体" w:eastAsia="宋体" w:cs="宋体"/>
                <w:b/>
                <w:color w:val="auto"/>
                <w:highlight w:val="none"/>
              </w:rPr>
            </w:pPr>
            <w:r>
              <w:rPr>
                <w:rFonts w:hint="eastAsia" w:ascii="宋体" w:hAnsi="宋体" w:eastAsia="宋体" w:cs="宋体"/>
                <w:color w:val="auto"/>
                <w:szCs w:val="21"/>
                <w:highlight w:val="none"/>
              </w:rPr>
              <w:t>请各投标人的法定代表人或其有效授权委托人务必准时出席，并须带本人身份证以供招标人审查，否则作弃权处理。</w:t>
            </w:r>
          </w:p>
        </w:tc>
      </w:tr>
      <w:tr>
        <w:tblPrEx>
          <w:tblLayout w:type="fixed"/>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20</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综合评分法</w:t>
            </w:r>
          </w:p>
        </w:tc>
      </w:tr>
    </w:tbl>
    <w:p>
      <w:pPr>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auto"/>
        <w:jc w:val="center"/>
        <w:rPr>
          <w:b/>
          <w:color w:val="auto"/>
          <w:highlight w:val="none"/>
        </w:rPr>
      </w:pPr>
      <w:r>
        <w:rPr>
          <w:b/>
          <w:color w:val="auto"/>
          <w:highlight w:val="none"/>
        </w:rPr>
        <w:t xml:space="preserve"> </w:t>
      </w:r>
    </w:p>
    <w:p>
      <w:pPr>
        <w:rPr>
          <w:b/>
          <w:color w:val="auto"/>
          <w:highlight w:val="none"/>
        </w:rPr>
      </w:pPr>
      <w:r>
        <w:rPr>
          <w:b/>
          <w:color w:val="auto"/>
          <w:highlight w:val="none"/>
        </w:rPr>
        <w:br w:type="page"/>
      </w:r>
    </w:p>
    <w:p>
      <w:pPr>
        <w:spacing w:line="360" w:lineRule="auto"/>
        <w:jc w:val="center"/>
        <w:outlineLvl w:val="1"/>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b/>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建设维护管理</w:t>
      </w:r>
      <w:r>
        <w:rPr>
          <w:rFonts w:hint="eastAsia" w:ascii="宋体" w:hAnsi="宋体" w:eastAsia="宋体" w:cs="宋体"/>
          <w:color w:val="auto"/>
          <w:sz w:val="24"/>
          <w:highlight w:val="none"/>
          <w:u w:val="single"/>
        </w:rPr>
        <w:t>有限公司</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“项目建设管理单位”指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“承包商”指被招标人接受并与其签订工程承包合同的当事人；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“投标文件”指投标人根据本招标文件向招标人提交的全部文件。</w:t>
      </w:r>
    </w:p>
    <w:p>
      <w:pPr>
        <w:pStyle w:val="4"/>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工程项目按照《中华人民共和国招标投标法》等有关法律、行政法规和部门规章，采取邀请招标的办法，选择有经验、有实力、社会信誉好的设计咨询单位承担设计咨询服务，确保本工程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2.2工程概况：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2.2.1工程名称：见投标须知前附表第1项。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2.2.4投资概算：见投标须知前附表第4项。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2.2.5服务目标：见投标须知前附表第5项。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本招标项目的设计咨询服务期要求：见投标须知前附表第7项。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2.3.3 项目管理架构要求：见投标须知前附表第10项。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本招标工程项目资金来源见投标须知前附表第8项。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工程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4"/>
        <w:widowControl/>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1）投标须知及前附表</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2）</w:t>
      </w:r>
      <w:r>
        <w:rPr>
          <w:rFonts w:hint="eastAsia" w:ascii="黑体" w:hAnsi="宋体" w:eastAsia="黑体" w:cs="黑体"/>
          <w:b/>
          <w:color w:val="auto"/>
          <w:sz w:val="24"/>
          <w:highlight w:val="none"/>
        </w:rPr>
        <w:t>项目需求书</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3）投标文件格式</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4）服务合同</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5）评标办法</w:t>
      </w:r>
    </w:p>
    <w:p>
      <w:pPr>
        <w:spacing w:line="360" w:lineRule="auto"/>
        <w:ind w:firstLine="480" w:firstLineChars="200"/>
        <w:rPr>
          <w:rFonts w:ascii="宋体" w:hAnsi="宋体" w:eastAsia="宋体" w:cs="宋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6）附件</w:t>
      </w:r>
    </w:p>
    <w:p>
      <w:pPr>
        <w:pStyle w:val="4"/>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4"/>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4"/>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4"/>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10.2 除工程规范另有规定外，投标文件使用的度量衡单位，均采用中华人民共和国法定计量单位。</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11.3服务承诺书（按招标文件第3章格式填写）。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11.4企业法定代表人证明书及法定代表人授权委托证明书（按招标文件第3章格式填写，或使用从工商管理部门购买的版本填写）。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11.5公司法人营业执照及设计资质证书复印件。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11.6项目负责人职称证复印件。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11.7现场设计人员到位承诺书（按招标文件第3章格式填写）；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11.9企业自201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年1月至今企业承担的同类项目（按招标文件第3章格式填写）；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11.10参与本项目的人员一览表及证明文件（按招标文件第3章格式填写）；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11.11项目负责人相关经验及业绩（按招标文件第3章格式填写）；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2报价表</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其它需要提交的资料。</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本工程的投标报价采用投标须知前附表第14项所规定的方式。</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13.3投标报价方式：投标单位自行报价（投标报价不能超过招标控制价）。（小数点后保留二位小数，第三位小数四舍五入）</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13.4本项目招标控制价为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0万</w:t>
      </w:r>
      <w:r>
        <w:rPr>
          <w:rFonts w:hint="eastAsia" w:ascii="宋体" w:hAnsi="宋体" w:cs="宋体"/>
          <w:color w:val="auto"/>
          <w:sz w:val="24"/>
          <w:szCs w:val="24"/>
          <w:highlight w:val="none"/>
          <w:lang w:eastAsia="zh-CN"/>
        </w:rPr>
        <w:t>（不含</w:t>
      </w:r>
      <w:r>
        <w:rPr>
          <w:rFonts w:hint="eastAsia" w:ascii="宋体" w:hAnsi="宋体" w:cs="宋体"/>
          <w:color w:val="auto"/>
          <w:sz w:val="24"/>
          <w:szCs w:val="24"/>
          <w:highlight w:val="none"/>
          <w:lang w:val="en-US" w:eastAsia="zh-CN"/>
        </w:rPr>
        <w:t>100万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本工程投标报价采用的币种为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4"/>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4"/>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本项目不要求递交投标保证金。</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投标文件的包封要求：正本（1本）、副本（4本）一起包封；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前不得开封（填入前附表第19项所述日期及时间）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4"/>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标书密封情况；c.投标报价；d.服务期；e. 质量目标；f.项目负责人等主要内容。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24.7招标人将上述符合要求的投标文件，送至评标委员会进行评审的。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 评标</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在投标文件的评审和比较、中标候选人推荐以及授予合同的过程中，投标人向招标人和评标委员会施加影响的任何行为，都将会导致其投标被拒绝。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中标人确定后，招标人不对未中标人就评标过程以及未能中标原因作出任何解释。未中标人不得向评标委员会组成人员或其他有关人员索问评标过程的情况和材料。</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如果投标文件实质上不响应招标文件的各项要求，评标委员会将予以拒绝，并且不允许投标人通过修改或撤销其不符合要求的差异或保留，使之成为具有响应性的投标。</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27.1 评标委员会将按照本须知第26条规定，仅对在实质上响应招标文件要求的投标文件进行评审和比较。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在评审过程中，评标委员会可以以书面形式要求投标人就投标文件中含义不明确的内容进行书面说明并提供相关材料。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27.3 评标委员会依据投标须知前附表第20项规定的评标标准和方法，详见本招标文件《评标办法》，对投标文件进行评审和比较，向招标人提出书面评标报告，并推荐经评审投标报价由低至高排序的前一～三名为第一、第二和第三中标候选人。招标人根据评标委员会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28．评标委员会依据有关法律、法规和招标文件的规定对投标文件进行评审，经评定的有效投标人不足三名时，招标人应当依法重新组织招标。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本招标(项目)的设计咨询合同将授予按本须知第27.3款所确定的中标人。</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招标人不承诺将合同授予报价最低的投标人。招标人在发出中标通知书前，有权依据评标委员会的评标报告拒绝不合格的投标。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31.1中标通知书经招标人及招标代理机构确认，并由招标人颁发。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32.3中标人在投标过程使用的投标人名称、银行名称和账号至完成竣工结算不得变更，否则，招标人有权停止工程款项的拨付及至解除合同，由此造成的一切责任由中标人承担。</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33．合同生效</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p>
    <w:p>
      <w:pPr>
        <w:rPr>
          <w:rFonts w:ascii="黑体" w:hAnsi="宋体" w:cs="黑体"/>
          <w:b/>
          <w:color w:val="auto"/>
          <w:kern w:val="44"/>
          <w:sz w:val="44"/>
          <w:szCs w:val="44"/>
          <w:highlight w:val="none"/>
        </w:rPr>
      </w:pPr>
      <w:bookmarkStart w:id="10" w:name="_Toc374128473"/>
      <w:bookmarkEnd w:id="10"/>
      <w:r>
        <w:rPr>
          <w:rFonts w:hint="eastAsia" w:ascii="黑体" w:hAnsi="宋体" w:cs="黑体"/>
          <w:b/>
          <w:color w:val="auto"/>
          <w:kern w:val="44"/>
          <w:sz w:val="44"/>
          <w:szCs w:val="44"/>
          <w:highlight w:val="none"/>
        </w:rPr>
        <w:br w:type="page"/>
      </w: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bookmarkStart w:id="11" w:name="_Toc1632"/>
      <w:r>
        <w:rPr>
          <w:rFonts w:hint="eastAsia" w:ascii="黑体" w:hAnsi="宋体" w:cs="黑体"/>
          <w:b/>
          <w:color w:val="auto"/>
          <w:kern w:val="44"/>
          <w:sz w:val="44"/>
          <w:szCs w:val="44"/>
          <w:highlight w:val="none"/>
        </w:rPr>
        <w:t>第2章 项目需求书</w:t>
      </w:r>
      <w:bookmarkEnd w:id="11"/>
    </w:p>
    <w:p>
      <w:pPr>
        <w:spacing w:line="500" w:lineRule="exact"/>
        <w:ind w:firstLine="301" w:firstLineChars="100"/>
        <w:rPr>
          <w:rFonts w:ascii="宋体" w:hAnsi="宋体" w:eastAsia="宋体" w:cs="宋体"/>
          <w:b/>
          <w:color w:val="auto"/>
          <w:sz w:val="30"/>
          <w:szCs w:val="30"/>
          <w:highlight w:val="none"/>
        </w:rPr>
      </w:pPr>
    </w:p>
    <w:p>
      <w:pP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2" w:firstLineChars="200"/>
        <w:textAlignment w:val="auto"/>
        <w:outlineLvl w:val="1"/>
        <w:rPr>
          <w:rFonts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u w:val="single"/>
        </w:rPr>
      </w:pPr>
      <w:r>
        <w:rPr>
          <w:rFonts w:hint="eastAsia" w:ascii="宋体" w:hAnsi="宋体" w:eastAsia="宋体" w:cs="宋体"/>
          <w:b/>
          <w:bCs/>
          <w:color w:val="auto"/>
          <w:sz w:val="24"/>
          <w:highlight w:val="none"/>
        </w:rPr>
        <w:t>建设单位：</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建设维护管理</w:t>
      </w:r>
      <w:r>
        <w:rPr>
          <w:rFonts w:hint="eastAsia" w:ascii="宋体" w:hAnsi="宋体" w:eastAsia="宋体" w:cs="宋体"/>
          <w:color w:val="auto"/>
          <w:sz w:val="24"/>
          <w:highlight w:val="none"/>
          <w:u w:val="single"/>
        </w:rPr>
        <w:t>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工程名称：</w:t>
      </w:r>
      <w:r>
        <w:rPr>
          <w:rFonts w:hint="eastAsia" w:ascii="宋体" w:hAnsi="宋体" w:eastAsia="宋体" w:cs="宋体"/>
          <w:color w:val="auto"/>
          <w:sz w:val="24"/>
          <w:highlight w:val="none"/>
          <w:lang w:val="en-US" w:eastAsia="zh-CN"/>
        </w:rPr>
        <w:t>南沙</w:t>
      </w:r>
      <w:r>
        <w:rPr>
          <w:rFonts w:hint="eastAsia" w:ascii="宋体" w:hAnsi="宋体" w:eastAsia="宋体" w:cs="宋体"/>
          <w:color w:val="auto"/>
          <w:sz w:val="24"/>
          <w:highlight w:val="none"/>
        </w:rPr>
        <w:t>资产经营集团年度项目</w:t>
      </w:r>
      <w:r>
        <w:rPr>
          <w:rFonts w:hint="eastAsia" w:ascii="宋体" w:hAnsi="宋体" w:eastAsia="宋体" w:cs="宋体"/>
          <w:color w:val="auto"/>
          <w:sz w:val="24"/>
          <w:highlight w:val="none"/>
          <w:lang w:eastAsia="zh-CN"/>
        </w:rPr>
        <w:t>前期方案设计及设计咨询</w:t>
      </w:r>
      <w:r>
        <w:rPr>
          <w:rFonts w:hint="eastAsia" w:ascii="宋体" w:hAnsi="宋体" w:eastAsia="宋体" w:cs="宋体"/>
          <w:color w:val="auto"/>
          <w:sz w:val="24"/>
          <w:highlight w:val="none"/>
        </w:rPr>
        <w:t>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rPr>
        <w:t>工程地点：</w:t>
      </w:r>
      <w:r>
        <w:rPr>
          <w:rFonts w:hint="eastAsia" w:ascii="宋体" w:hAnsi="宋体" w:eastAsia="宋体" w:cs="宋体"/>
          <w:color w:val="auto"/>
          <w:sz w:val="24"/>
          <w:highlight w:val="none"/>
        </w:rPr>
        <w:t>广州市南沙区</w:t>
      </w:r>
    </w:p>
    <w:p>
      <w:pPr>
        <w:keepNext w:val="0"/>
        <w:keepLines w:val="0"/>
        <w:pageBreakBefore w:val="0"/>
        <w:widowControl w:val="0"/>
        <w:kinsoku/>
        <w:wordWrap/>
        <w:overflowPunct/>
        <w:topLinePunct w:val="0"/>
        <w:autoSpaceDE/>
        <w:autoSpaceDN/>
        <w:bidi w:val="0"/>
        <w:adjustRightInd/>
        <w:snapToGrid/>
        <w:spacing w:line="360" w:lineRule="auto"/>
        <w:ind w:left="1205" w:leftChars="0" w:hanging="1205" w:hangingChars="50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rPr>
        <w:t>工程规模：</w:t>
      </w:r>
      <w:r>
        <w:rPr>
          <w:rFonts w:hint="eastAsia" w:ascii="宋体" w:hAnsi="宋体" w:eastAsia="宋体" w:cs="宋体"/>
          <w:color w:val="auto"/>
          <w:sz w:val="24"/>
          <w:highlight w:val="none"/>
        </w:rPr>
        <w:t>本项目预算上限为100万元</w:t>
      </w:r>
      <w:r>
        <w:rPr>
          <w:rFonts w:hint="eastAsia" w:ascii="宋体" w:hAnsi="宋体" w:eastAsia="宋体" w:cs="宋体"/>
          <w:color w:val="auto"/>
          <w:sz w:val="24"/>
          <w:highlight w:val="none"/>
          <w:lang w:eastAsia="zh-CN"/>
        </w:rPr>
        <w:t>（不含</w:t>
      </w:r>
      <w:r>
        <w:rPr>
          <w:rFonts w:hint="eastAsia" w:ascii="宋体" w:hAnsi="宋体" w:eastAsia="宋体" w:cs="宋体"/>
          <w:color w:val="auto"/>
          <w:sz w:val="24"/>
          <w:highlight w:val="none"/>
          <w:lang w:val="en-US" w:eastAsia="zh-CN"/>
        </w:rPr>
        <w:t>100万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，项目数量若干，单个项目</w:t>
      </w:r>
      <w:r>
        <w:rPr>
          <w:rFonts w:hint="eastAsia" w:ascii="宋体" w:hAnsi="宋体" w:eastAsia="宋体" w:cs="宋体"/>
          <w:color w:val="auto"/>
          <w:sz w:val="24"/>
          <w:highlight w:val="none"/>
          <w:lang w:val="en-US" w:eastAsia="zh-CN"/>
        </w:rPr>
        <w:t>不超过50万元，以</w:t>
      </w:r>
      <w:r>
        <w:rPr>
          <w:rFonts w:hint="eastAsia" w:ascii="宋体" w:hAnsi="宋体" w:eastAsia="宋体" w:cs="宋体"/>
          <w:color w:val="auto"/>
          <w:sz w:val="24"/>
          <w:highlight w:val="none"/>
        </w:rPr>
        <w:t>中标单位服务报价为准，本次招标具体为</w:t>
      </w:r>
      <w:r>
        <w:rPr>
          <w:rFonts w:hint="eastAsia" w:ascii="宋体" w:hAnsi="宋体" w:eastAsia="宋体" w:cs="宋体"/>
          <w:color w:val="auto"/>
          <w:sz w:val="24"/>
          <w:highlight w:val="none"/>
          <w:lang w:eastAsia="zh-CN"/>
        </w:rPr>
        <w:t>前期方案设计及设计咨询</w:t>
      </w:r>
      <w:r>
        <w:rPr>
          <w:rFonts w:hint="eastAsia" w:ascii="宋体" w:hAnsi="宋体" w:eastAsia="宋体" w:cs="宋体"/>
          <w:color w:val="auto"/>
          <w:sz w:val="24"/>
          <w:highlight w:val="none"/>
        </w:rPr>
        <w:t>年度服务外包，要求中标单位有一定的服务质量保证，且态度良好，信誉可靠。</w:t>
      </w:r>
      <w:r>
        <w:rPr>
          <w:rFonts w:hint="eastAsia" w:ascii="宋体" w:hAnsi="宋体" w:eastAsia="宋体" w:cs="宋体"/>
          <w:color w:val="auto"/>
          <w:sz w:val="24"/>
          <w:highlight w:val="none"/>
          <w:lang w:val="en-US" w:eastAsia="zh-CN"/>
        </w:rPr>
        <w:t>服务期限</w:t>
      </w:r>
      <w:r>
        <w:rPr>
          <w:rFonts w:hint="eastAsia" w:ascii="宋体" w:hAnsi="宋体" w:eastAsia="宋体" w:cs="宋体"/>
          <w:color w:val="auto"/>
          <w:sz w:val="24"/>
          <w:highlight w:val="none"/>
        </w:rPr>
        <w:t>2020年3月至2021年3月或者</w:t>
      </w:r>
      <w:r>
        <w:rPr>
          <w:rFonts w:hint="eastAsia" w:ascii="宋体" w:hAnsi="宋体" w:eastAsia="宋体" w:cs="宋体"/>
          <w:color w:val="auto"/>
          <w:sz w:val="24"/>
          <w:highlight w:val="none"/>
          <w:lang w:eastAsia="zh-CN"/>
        </w:rPr>
        <w:t>累计服务费接近100万为止</w:t>
      </w:r>
      <w:r>
        <w:rPr>
          <w:rFonts w:hint="eastAsia" w:ascii="宋体" w:hAnsi="宋体" w:eastAsia="宋体" w:cs="宋体"/>
          <w:color w:val="auto"/>
          <w:sz w:val="24"/>
          <w:highlight w:val="none"/>
        </w:rPr>
        <w:t>，本项目结束。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rPr>
        <w:t>工程预算：</w:t>
      </w:r>
      <w:r>
        <w:rPr>
          <w:rFonts w:hint="eastAsia" w:ascii="宋体" w:hAnsi="宋体" w:eastAsia="宋体" w:cs="宋体"/>
          <w:color w:val="auto"/>
          <w:sz w:val="24"/>
          <w:highlight w:val="none"/>
        </w:rPr>
        <w:t>100万元人民币</w:t>
      </w:r>
      <w:r>
        <w:rPr>
          <w:rFonts w:hint="eastAsia" w:ascii="宋体" w:hAnsi="宋体" w:eastAsia="宋体" w:cs="宋体"/>
          <w:color w:val="auto"/>
          <w:sz w:val="24"/>
          <w:highlight w:val="none"/>
          <w:lang w:eastAsia="zh-CN"/>
        </w:rPr>
        <w:t>（不含</w:t>
      </w:r>
      <w:r>
        <w:rPr>
          <w:rFonts w:hint="eastAsia" w:ascii="宋体" w:hAnsi="宋体" w:eastAsia="宋体" w:cs="宋体"/>
          <w:color w:val="auto"/>
          <w:sz w:val="24"/>
          <w:highlight w:val="none"/>
          <w:lang w:val="en-US" w:eastAsia="zh-CN"/>
        </w:rPr>
        <w:t>100万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205" w:leftChars="0" w:hanging="1205" w:hangingChars="50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rPr>
        <w:t>招标内容：</w:t>
      </w:r>
      <w:r>
        <w:rPr>
          <w:rFonts w:hint="eastAsia" w:ascii="宋体" w:hAnsi="宋体" w:eastAsia="宋体" w:cs="宋体"/>
          <w:color w:val="auto"/>
          <w:sz w:val="24"/>
          <w:highlight w:val="none"/>
        </w:rPr>
        <w:t>本项目为</w:t>
      </w:r>
      <w:r>
        <w:rPr>
          <w:rFonts w:hint="eastAsia" w:ascii="宋体" w:hAnsi="宋体" w:eastAsia="宋体" w:cs="宋体"/>
          <w:color w:val="auto"/>
          <w:sz w:val="24"/>
          <w:highlight w:val="none"/>
          <w:lang w:eastAsia="zh-CN"/>
        </w:rPr>
        <w:t>前期方案设计及设计咨询</w:t>
      </w:r>
      <w:r>
        <w:rPr>
          <w:rFonts w:hint="eastAsia" w:ascii="宋体" w:hAnsi="宋体" w:eastAsia="宋体" w:cs="宋体"/>
          <w:color w:val="auto"/>
          <w:sz w:val="24"/>
          <w:highlight w:val="none"/>
        </w:rPr>
        <w:t>年度服务外包，具体内容包括招标人2020年度内资产经营集团所有需要完成</w:t>
      </w:r>
      <w:r>
        <w:rPr>
          <w:rFonts w:hint="eastAsia" w:ascii="宋体" w:hAnsi="宋体" w:eastAsia="宋体" w:cs="宋体"/>
          <w:color w:val="auto"/>
          <w:sz w:val="24"/>
          <w:highlight w:val="none"/>
          <w:lang w:eastAsia="zh-CN"/>
        </w:rPr>
        <w:t>前期方案设计及设计咨询</w:t>
      </w:r>
      <w:r>
        <w:rPr>
          <w:rFonts w:hint="eastAsia" w:ascii="宋体" w:hAnsi="宋体" w:eastAsia="宋体" w:cs="宋体"/>
          <w:color w:val="auto"/>
          <w:sz w:val="24"/>
          <w:highlight w:val="none"/>
        </w:rPr>
        <w:t>的项目服务。招标人有权根据完成概念设计项目情况要求发包人完成后续方案设计工作。</w:t>
      </w:r>
    </w:p>
    <w:p>
      <w:pPr>
        <w:keepNext w:val="0"/>
        <w:keepLines w:val="0"/>
        <w:pageBreakBefore w:val="0"/>
        <w:widowControl w:val="0"/>
        <w:kinsoku/>
        <w:wordWrap/>
        <w:overflowPunct/>
        <w:topLinePunct w:val="0"/>
        <w:autoSpaceDE/>
        <w:autoSpaceDN/>
        <w:bidi w:val="0"/>
        <w:adjustRightInd/>
        <w:snapToGrid/>
        <w:spacing w:line="360" w:lineRule="auto"/>
        <w:ind w:left="1050" w:leftChars="50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具体内容包括本集团内既有项目改造升级概念方案研究；存量土地规划及建筑概念方案研究；拟招拍挂土地规划及建筑概念方案研究等。</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2" w:firstLineChars="200"/>
        <w:textAlignment w:val="auto"/>
        <w:outlineLvl w:val="1"/>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前期策划设计工作服务大纲</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2" w:firstLineChars="200"/>
        <w:textAlignment w:val="auto"/>
        <w:rPr>
          <w:rFonts w:ascii="宋体" w:hAnsi="宋体" w:eastAsia="宋体" w:cs="宋体"/>
          <w:color w:val="auto"/>
          <w:sz w:val="24"/>
          <w:highlight w:val="none"/>
        </w:rPr>
      </w:pPr>
      <w:r>
        <w:rPr>
          <w:rFonts w:hint="eastAsia" w:ascii="宋体" w:hAnsi="宋体" w:eastAsia="宋体" w:cs="宋体"/>
          <w:b/>
          <w:bCs/>
          <w:color w:val="auto"/>
          <w:sz w:val="30"/>
          <w:szCs w:val="30"/>
          <w:highlight w:val="none"/>
        </w:rPr>
        <w:t>服务内容成果</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b/>
          <w:bCs/>
          <w:color w:val="auto"/>
          <w:sz w:val="24"/>
          <w:highlight w:val="none"/>
        </w:rPr>
      </w:pPr>
      <w:r>
        <w:rPr>
          <w:rFonts w:hint="eastAsia" w:ascii="宋体" w:hAnsi="宋体" w:eastAsia="宋体" w:cs="宋体"/>
          <w:b/>
          <w:bCs/>
          <w:color w:val="auto"/>
          <w:sz w:val="24"/>
          <w:highlight w:val="none"/>
        </w:rPr>
        <w:t>20%概念方案设计成果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经济技术指标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CAD总平面图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简要说明    </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rFonts w:ascii="宋体" w:hAnsi="宋体" w:eastAsia="宋体" w:cs="宋体"/>
          <w:b/>
          <w:bCs/>
          <w:color w:val="auto"/>
          <w:sz w:val="24"/>
          <w:highlight w:val="none"/>
        </w:rPr>
      </w:pPr>
      <w:r>
        <w:rPr>
          <w:rFonts w:hint="eastAsia" w:ascii="宋体" w:hAnsi="宋体" w:eastAsia="宋体" w:cs="宋体"/>
          <w:b/>
          <w:bCs/>
          <w:color w:val="auto"/>
          <w:sz w:val="24"/>
          <w:highlight w:val="none"/>
        </w:rPr>
        <w:t>50%概念方案设计成果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经济技术指标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SU总体鸟瞰图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SU沿街建筑效果图不少于3张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彩色总平面图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b/>
          <w:bCs/>
          <w:color w:val="auto"/>
          <w:sz w:val="24"/>
          <w:highlight w:val="none"/>
        </w:rPr>
      </w:pPr>
      <w:r>
        <w:rPr>
          <w:rFonts w:hint="eastAsia" w:ascii="宋体" w:hAnsi="宋体" w:eastAsia="宋体" w:cs="宋体"/>
          <w:color w:val="auto"/>
          <w:sz w:val="24"/>
          <w:highlight w:val="none"/>
        </w:rPr>
        <w:t xml:space="preserve">简要说明   </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rFonts w:ascii="宋体" w:hAnsi="宋体" w:eastAsia="宋体" w:cs="宋体"/>
          <w:b/>
          <w:bCs/>
          <w:color w:val="auto"/>
          <w:sz w:val="24"/>
          <w:highlight w:val="none"/>
        </w:rPr>
      </w:pPr>
      <w:r>
        <w:rPr>
          <w:rFonts w:hint="eastAsia" w:ascii="宋体" w:hAnsi="宋体" w:eastAsia="宋体" w:cs="宋体"/>
          <w:b/>
          <w:bCs/>
          <w:color w:val="auto"/>
          <w:sz w:val="24"/>
          <w:highlight w:val="none"/>
        </w:rPr>
        <w:t>100%概念方案设计成果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rPr>
        <w:t>设计说明：</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整体设计立意与构思  </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设计说明</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经济技术指标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效果图</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总体鸟瞰图</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沿街建筑效果图 </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彩色总平面图 </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局部放大透视图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分析图 </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区位分析图</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消防分析图</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景观分析图 </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交通流线分析图</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功能分区图</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视线分析图</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日照分析图</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道路竖向分析图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技术图</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CAD总平面图</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基地剖面图</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典型标准层平面示意图    </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建筑方案设计（根据发包人实际项目由招标人最终确定）</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满足国家《建筑工程设计文件编制深度规定(2016版)》标准</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配合招标人对后续施工图设计单位完成成果进行审核把关。</w:t>
      </w: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spacing w:line="360" w:lineRule="auto"/>
        <w:jc w:val="center"/>
        <w:rPr>
          <w:rFonts w:ascii="黑体" w:hAnsi="宋体" w:cs="黑体"/>
          <w:b/>
          <w:color w:val="auto"/>
          <w:kern w:val="44"/>
          <w:sz w:val="44"/>
          <w:szCs w:val="44"/>
          <w:highlight w:val="none"/>
        </w:rPr>
      </w:pPr>
      <w:bookmarkStart w:id="12" w:name="_Toc264562491"/>
      <w:bookmarkEnd w:id="12"/>
    </w:p>
    <w:p>
      <w:pPr>
        <w:pStyle w:val="2"/>
        <w:widowControl/>
        <w:spacing w:before="0" w:after="0" w:line="360" w:lineRule="auto"/>
        <w:jc w:val="center"/>
        <w:rPr>
          <w:rFonts w:ascii="黑体" w:hAnsi="宋体" w:cs="黑体"/>
          <w:b/>
          <w:color w:val="auto"/>
          <w:kern w:val="44"/>
          <w:sz w:val="44"/>
          <w:szCs w:val="44"/>
          <w:highlight w:val="none"/>
        </w:rPr>
      </w:pPr>
      <w:bookmarkStart w:id="13" w:name="_Toc27492"/>
      <w:r>
        <w:rPr>
          <w:rFonts w:hint="eastAsia" w:ascii="黑体" w:hAnsi="宋体" w:cs="黑体"/>
          <w:b/>
          <w:color w:val="auto"/>
          <w:kern w:val="44"/>
          <w:sz w:val="44"/>
          <w:szCs w:val="44"/>
          <w:highlight w:val="none"/>
        </w:rPr>
        <w:t>第3章  投标格式文件</w:t>
      </w:r>
      <w:bookmarkEnd w:id="13"/>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广州南沙建设维护管理有限公司：</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我方决定参加贵方的</w:t>
      </w:r>
      <w:r>
        <w:rPr>
          <w:rFonts w:hint="eastAsia" w:ascii="宋体" w:hAnsi="宋体" w:eastAsia="宋体" w:cs="Times New Roman"/>
          <w:b w:val="0"/>
          <w:bCs w:val="0"/>
          <w:color w:val="auto"/>
          <w:spacing w:val="20"/>
          <w:sz w:val="24"/>
          <w:szCs w:val="24"/>
          <w:highlight w:val="none"/>
          <w:lang w:eastAsia="zh-CN"/>
        </w:rPr>
        <w:t>南沙资产经营集团公司年度项目前期方案设计及设计咨询服务</w:t>
      </w:r>
      <w:r>
        <w:rPr>
          <w:rFonts w:hint="eastAsia" w:ascii="宋体" w:hAnsi="宋体" w:eastAsia="宋体" w:cs="Times New Roman"/>
          <w:b w:val="0"/>
          <w:bCs w:val="0"/>
          <w:color w:val="auto"/>
          <w:spacing w:val="20"/>
          <w:sz w:val="24"/>
          <w:szCs w:val="24"/>
          <w:highlight w:val="none"/>
        </w:rPr>
        <w:t>单位选定的竞标，并完全接受贵方发出的招标文件及澄清文件中的所有内容。为此，我方作出如下承诺：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1、我方经分析研究了贵方提供上述工程的招标文件中的项目介绍、投标人须知、合同条件以及本次招标答疑或澄清文件后，我公司愿意以投标报价表中承诺报价，完成贵方2020年度多个概念方案设计任务，并提供增值税专业发票税率为</w:t>
      </w:r>
      <w:r>
        <w:rPr>
          <w:rFonts w:hint="eastAsia" w:ascii="宋体" w:hAnsi="宋体" w:eastAsia="宋体" w:cs="Times New Roman"/>
          <w:b w:val="0"/>
          <w:bCs w:val="0"/>
          <w:color w:val="auto"/>
          <w:spacing w:val="23"/>
          <w:sz w:val="24"/>
          <w:szCs w:val="24"/>
          <w:highlight w:val="none"/>
          <w:u w:val="single"/>
        </w:rPr>
        <w:t xml:space="preserve">   </w:t>
      </w:r>
      <w:r>
        <w:rPr>
          <w:rFonts w:hint="eastAsia" w:ascii="宋体" w:hAnsi="宋体" w:eastAsia="宋体" w:cs="Times New Roman"/>
          <w:b w:val="0"/>
          <w:bCs w:val="0"/>
          <w:color w:val="auto"/>
          <w:spacing w:val="20"/>
          <w:sz w:val="24"/>
          <w:szCs w:val="24"/>
          <w:highlight w:val="none"/>
        </w:rPr>
        <w:t>%，并按合同条件的要求，承担并完成上述工程的概念设计服务任务。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2、完全理解和接受全部招标文件（包括修改文件、参考资料和有关附件）的一切规定和要求。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3、我方同意在规定的投标截止之日起</w:t>
      </w:r>
      <w:r>
        <w:rPr>
          <w:rFonts w:hint="eastAsia" w:ascii="宋体" w:hAnsi="宋体" w:eastAsia="宋体" w:cs="Times New Roman"/>
          <w:b w:val="0"/>
          <w:bCs w:val="0"/>
          <w:color w:val="auto"/>
          <w:spacing w:val="23"/>
          <w:sz w:val="24"/>
          <w:szCs w:val="24"/>
          <w:highlight w:val="none"/>
          <w:u w:val="single"/>
        </w:rPr>
        <w:t xml:space="preserve">      </w:t>
      </w:r>
      <w:r>
        <w:rPr>
          <w:rFonts w:hint="eastAsia" w:ascii="宋体" w:hAnsi="宋体" w:eastAsia="宋体" w:cs="Times New Roman"/>
          <w:b w:val="0"/>
          <w:bCs w:val="0"/>
          <w:color w:val="auto"/>
          <w:spacing w:val="20"/>
          <w:sz w:val="24"/>
          <w:szCs w:val="24"/>
          <w:highlight w:val="none"/>
        </w:rPr>
        <w:t>日历天内遵守本投标。在该期限满期之前，本投标书对我单位始终具有约束力，并可随时被接受。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4、在正式签订设计咨询服务协议书之前，本投标书连同贵方的中标通知书应成为约束贵、我双方的合同文件。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5、在整个招、投标过程中及招、投标结束后，未经招标人书面同意，我方保证不向任何第三方泄露本次招、投标的任何信息、资料及内容。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6、投标文件中所有关于投标人资格的文件、证明、陈述均是真实的、准确的。若有违背，我方承担由此而产生的一切后果。</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投标人：（盖章）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3"/>
          <w:sz w:val="24"/>
          <w:szCs w:val="24"/>
          <w:highlight w:val="none"/>
          <w:u w:val="single"/>
        </w:rPr>
      </w:pPr>
      <w:r>
        <w:rPr>
          <w:rFonts w:hint="eastAsia" w:ascii="宋体" w:hAnsi="宋体" w:eastAsia="宋体" w:cs="Times New Roman"/>
          <w:b w:val="0"/>
          <w:bCs w:val="0"/>
          <w:color w:val="auto"/>
          <w:spacing w:val="20"/>
          <w:sz w:val="24"/>
          <w:szCs w:val="24"/>
          <w:highlight w:val="none"/>
        </w:rPr>
        <w:t>法定代表人或被授权人（代理人）(签字或签章):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地    址：</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电    话：</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日    期：</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color w:val="auto"/>
          <w:spacing w:val="20"/>
          <w:sz w:val="24"/>
          <w:szCs w:val="24"/>
          <w:highlight w:val="none"/>
        </w:rPr>
        <w:tab/>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如果我方投标文件中存在计算或表达错误的，我方理解并接受评标委员会按照招标文件规定的原则进行修正，这种修正对我方具有约束力，且不需要我方确认。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17"/>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14" w:name="_Toc223342668"/>
      <w:bookmarkEnd w:id="14"/>
      <w:bookmarkStart w:id="15" w:name="_Toc216145749"/>
      <w:bookmarkEnd w:id="15"/>
      <w:r>
        <w:rPr>
          <w:rFonts w:hint="eastAsia" w:ascii="宋体" w:hAnsi="宋体" w:eastAsia="宋体" w:cs="黑体"/>
          <w:color w:val="auto"/>
          <w:sz w:val="28"/>
          <w:szCs w:val="28"/>
          <w:highlight w:val="none"/>
        </w:rPr>
        <w:t>格式三：</w:t>
      </w:r>
    </w:p>
    <w:p>
      <w:pPr>
        <w:pStyle w:val="19"/>
        <w:widowControl/>
        <w:ind w:firstLine="0" w:firstLineChars="0"/>
        <w:jc w:val="center"/>
        <w:outlineLvl w:val="2"/>
        <w:rPr>
          <w:color w:val="auto"/>
          <w:kern w:val="44"/>
          <w:highlight w:val="none"/>
        </w:rPr>
      </w:pPr>
      <w:bookmarkStart w:id="16" w:name="_Toc172416501"/>
      <w:bookmarkEnd w:id="16"/>
      <w:r>
        <w:rPr>
          <w:rFonts w:hint="eastAsia" w:ascii="宋体" w:hAnsi="宋体" w:cs="宋体"/>
          <w:b/>
          <w:color w:val="auto"/>
          <w:sz w:val="30"/>
          <w:szCs w:val="30"/>
          <w:highlight w:val="none"/>
        </w:rPr>
        <w:t>法定代表人证明书</w:t>
      </w:r>
    </w:p>
    <w:p>
      <w:pPr>
        <w:pStyle w:val="19"/>
        <w:widowControl/>
        <w:ind w:firstLine="496"/>
        <w:jc w:val="right"/>
        <w:rPr>
          <w:b/>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19"/>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19"/>
        <w:widowControl/>
        <w:ind w:firstLine="618"/>
        <w:rPr>
          <w:b/>
          <w:color w:val="auto"/>
          <w:sz w:val="30"/>
          <w:szCs w:val="30"/>
          <w:highlight w:val="none"/>
        </w:rPr>
      </w:pPr>
      <w:r>
        <w:rPr>
          <w:b/>
          <w:color w:val="auto"/>
          <w:sz w:val="30"/>
          <w:szCs w:val="30"/>
          <w:highlight w:val="none"/>
        </w:rPr>
        <w:t xml:space="preserve"> </w:t>
      </w:r>
    </w:p>
    <w:p>
      <w:pPr>
        <w:pStyle w:val="19"/>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19"/>
        <w:widowControl/>
        <w:ind w:firstLine="496"/>
        <w:jc w:val="right"/>
        <w:rPr>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19"/>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17"/>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17" w:name="_Toc216145759"/>
      <w:bookmarkEnd w:id="17"/>
      <w:bookmarkStart w:id="18"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17"/>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8"/>
      <w:r>
        <w:rPr>
          <w:rFonts w:hint="eastAsia" w:ascii="宋体" w:hAnsi="宋体" w:eastAsia="宋体" w:cs="宋体"/>
          <w:color w:val="auto"/>
          <w:sz w:val="28"/>
          <w:szCs w:val="28"/>
          <w:highlight w:val="none"/>
        </w:rPr>
        <w:t xml:space="preserve"> </w:t>
      </w:r>
    </w:p>
    <w:p>
      <w:pPr>
        <w:pStyle w:val="19"/>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现场人员到位承诺书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建设单位名称：</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建设维护管理</w:t>
      </w:r>
      <w:r>
        <w:rPr>
          <w:rFonts w:hint="eastAsia" w:ascii="宋体" w:hAnsi="宋体" w:eastAsia="宋体" w:cs="宋体"/>
          <w:color w:val="auto"/>
          <w:sz w:val="24"/>
          <w:highlight w:val="none"/>
          <w:u w:val="single"/>
        </w:rPr>
        <w:t>有限公司</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投标工程名称：</w:t>
      </w:r>
      <w:r>
        <w:rPr>
          <w:rFonts w:hint="eastAsia" w:ascii="宋体" w:hAnsi="宋体" w:eastAsia="宋体" w:cs="宋体"/>
          <w:color w:val="auto"/>
          <w:sz w:val="24"/>
          <w:highlight w:val="none"/>
          <w:u w:val="single"/>
          <w:lang w:val="en-US" w:eastAsia="zh-CN"/>
        </w:rPr>
        <w:t>南沙资产经营集团公司年度项目前期方案设计及设计咨询服务</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我方如果中标，承诺现场人员的配备不得低于招标人要求（不包括项目负责人）；建筑1名、给排水</w:t>
      </w:r>
      <w:r>
        <w:rPr>
          <w:rFonts w:ascii="Times New Roman" w:hAnsi="Times New Roman" w:eastAsia="宋体" w:cs="Times New Roman"/>
          <w:color w:val="auto"/>
          <w:sz w:val="24"/>
          <w:highlight w:val="none"/>
        </w:rPr>
        <w:t>1</w:t>
      </w:r>
      <w:r>
        <w:rPr>
          <w:rFonts w:hint="eastAsia" w:ascii="宋体" w:hAnsi="宋体" w:eastAsia="宋体" w:cs="宋体"/>
          <w:color w:val="auto"/>
          <w:sz w:val="24"/>
          <w:highlight w:val="none"/>
        </w:rPr>
        <w:t>名、电气</w:t>
      </w:r>
      <w:r>
        <w:rPr>
          <w:rFonts w:ascii="Times New Roman" w:hAnsi="Times New Roman" w:eastAsia="宋体" w:cs="Times New Roman"/>
          <w:color w:val="auto"/>
          <w:sz w:val="24"/>
          <w:highlight w:val="none"/>
        </w:rPr>
        <w:t>1</w:t>
      </w:r>
      <w:r>
        <w:rPr>
          <w:rFonts w:hint="eastAsia" w:ascii="宋体" w:hAnsi="宋体" w:eastAsia="宋体" w:cs="宋体"/>
          <w:color w:val="auto"/>
          <w:sz w:val="24"/>
          <w:highlight w:val="none"/>
        </w:rPr>
        <w:t>名、结构1名、造价</w:t>
      </w:r>
      <w:r>
        <w:rPr>
          <w:rFonts w:ascii="Times New Roman" w:hAnsi="Times New Roman" w:eastAsia="宋体" w:cs="Times New Roman"/>
          <w:color w:val="auto"/>
          <w:sz w:val="24"/>
          <w:highlight w:val="none"/>
        </w:rPr>
        <w:t>1</w:t>
      </w:r>
      <w:r>
        <w:rPr>
          <w:rFonts w:hint="eastAsia" w:ascii="宋体" w:hAnsi="宋体" w:eastAsia="宋体" w:cs="宋体"/>
          <w:color w:val="auto"/>
          <w:sz w:val="24"/>
          <w:highlight w:val="none"/>
        </w:rPr>
        <w:t>名，各专业人员根据工程进度派驻驻地完成概念设计任务。</w:t>
      </w:r>
    </w:p>
    <w:p>
      <w:pPr>
        <w:snapToGrid w:val="0"/>
        <w:spacing w:after="120" w:line="440" w:lineRule="exact"/>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投标单位名称（盖法人公章）：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9" w:name="_Toc326909213"/>
      <w:bookmarkEnd w:id="19"/>
      <w:bookmarkStart w:id="20" w:name="_Toc196036941"/>
      <w:bookmarkEnd w:id="20"/>
      <w:bookmarkStart w:id="21" w:name="_Toc199647675"/>
      <w:bookmarkEnd w:id="21"/>
      <w:bookmarkStart w:id="22" w:name="_Toc196130110"/>
      <w:bookmarkEnd w:id="22"/>
      <w:bookmarkStart w:id="23" w:name="_Toc415833503"/>
      <w:bookmarkEnd w:id="23"/>
      <w:bookmarkStart w:id="24" w:name="_Toc459403394"/>
      <w:bookmarkEnd w:id="24"/>
      <w:bookmarkStart w:id="25" w:name="_Toc415728297"/>
      <w:bookmarkEnd w:id="25"/>
      <w:bookmarkStart w:id="26" w:name="_Toc196037097"/>
      <w:bookmarkEnd w:id="26"/>
      <w:bookmarkStart w:id="27" w:name="_Toc197235848"/>
      <w:bookmarkEnd w:id="27"/>
      <w:bookmarkStart w:id="28" w:name="_Toc41822703"/>
      <w:bookmarkEnd w:id="28"/>
      <w:bookmarkStart w:id="29" w:name="_Toc196130013"/>
      <w:bookmarkEnd w:id="29"/>
      <w:bookmarkStart w:id="30" w:name="_Toc462911098"/>
      <w:r>
        <w:rPr>
          <w:rFonts w:hint="eastAsia" w:ascii="宋体" w:hAnsi="宋体" w:eastAsia="宋体" w:cs="黑体"/>
          <w:b/>
          <w:color w:val="auto"/>
          <w:spacing w:val="4"/>
          <w:kern w:val="0"/>
          <w:sz w:val="28"/>
          <w:szCs w:val="28"/>
          <w:highlight w:val="none"/>
        </w:rPr>
        <w:t>格式五</w:t>
      </w:r>
      <w:bookmarkEnd w:id="30"/>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31" w:name="_Toc41822704"/>
      <w:bookmarkEnd w:id="31"/>
      <w:r>
        <w:rPr>
          <w:rFonts w:hint="eastAsia" w:ascii="仿宋" w:hAnsi="仿宋" w:eastAsia="仿宋" w:cs="仿宋"/>
          <w:b/>
          <w:bCs/>
          <w:color w:val="auto"/>
          <w:sz w:val="36"/>
          <w:szCs w:val="36"/>
          <w:highlight w:val="none"/>
        </w:rPr>
        <w:t>投标人综合概况</w:t>
      </w:r>
    </w:p>
    <w:tbl>
      <w:tblPr>
        <w:tblStyle w:val="15"/>
        <w:tblW w:w="93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318"/>
        <w:gridCol w:w="1302"/>
        <w:gridCol w:w="677"/>
        <w:gridCol w:w="223"/>
        <w:gridCol w:w="1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组织机构代码</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注册登记号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pacing w:val="30"/>
                <w:sz w:val="24"/>
                <w:highlight w:val="none"/>
              </w:rPr>
            </w:pPr>
            <w:r>
              <w:rPr>
                <w:rFonts w:hint="eastAsia" w:ascii="仿宋" w:hAnsi="仿宋" w:eastAsia="仿宋" w:cs="仿宋"/>
                <w:color w:val="auto"/>
                <w:sz w:val="24"/>
                <w:highlight w:val="none"/>
              </w:rPr>
              <w:t>税务登记证号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ISO9000认证号、范围</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restart"/>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32" w:type="dxa"/>
            <w:gridSpan w:val="9"/>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5"/>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90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 历</w:t>
            </w:r>
          </w:p>
        </w:tc>
        <w:tc>
          <w:tcPr>
            <w:tcW w:w="1878"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投标单位简介（请简要说明单位情况，包括成立时间、业务范围、专业构成、规模）：</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投标单位完成本项目所独有的有利条件及相关设计的专业特长：</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outlineLvl w:val="1"/>
        <w:rPr>
          <w:rFonts w:ascii="仿宋" w:hAnsi="仿宋" w:eastAsia="仿宋" w:cs="仿宋"/>
          <w:color w:val="auto"/>
          <w:kern w:val="24"/>
          <w:sz w:val="28"/>
          <w:szCs w:val="28"/>
          <w:highlight w:val="none"/>
        </w:rPr>
      </w:pPr>
      <w:bookmarkStart w:id="32" w:name="_Toc197235849"/>
      <w:bookmarkEnd w:id="32"/>
      <w:bookmarkStart w:id="33" w:name="_Toc196036942"/>
      <w:bookmarkEnd w:id="33"/>
      <w:bookmarkStart w:id="34" w:name="_Toc415728298"/>
      <w:bookmarkEnd w:id="34"/>
      <w:bookmarkStart w:id="35" w:name="_Toc196037098"/>
      <w:bookmarkEnd w:id="35"/>
      <w:bookmarkStart w:id="36" w:name="_Toc199647676"/>
      <w:bookmarkEnd w:id="36"/>
      <w:bookmarkStart w:id="37" w:name="_Toc196130111"/>
      <w:bookmarkEnd w:id="37"/>
      <w:bookmarkStart w:id="38" w:name="_Toc415833504"/>
      <w:bookmarkEnd w:id="38"/>
      <w:bookmarkStart w:id="39" w:name="_Toc196130014"/>
      <w:bookmarkEnd w:id="39"/>
      <w:bookmarkStart w:id="40" w:name="_Toc326909214"/>
      <w:bookmarkEnd w:id="40"/>
      <w:bookmarkStart w:id="41" w:name="_Toc459403395"/>
      <w:bookmarkEnd w:id="41"/>
      <w:bookmarkStart w:id="42" w:name="_Toc462911099"/>
      <w:r>
        <w:rPr>
          <w:rFonts w:hint="eastAsia" w:ascii="宋体" w:hAnsi="宋体" w:eastAsia="宋体" w:cs="黑体"/>
          <w:b/>
          <w:color w:val="auto"/>
          <w:spacing w:val="4"/>
          <w:kern w:val="0"/>
          <w:sz w:val="28"/>
          <w:szCs w:val="28"/>
          <w:highlight w:val="none"/>
        </w:rPr>
        <w:t>格式六</w:t>
      </w:r>
      <w:bookmarkEnd w:id="42"/>
      <w:r>
        <w:rPr>
          <w:rFonts w:hint="eastAsia" w:ascii="仿宋" w:hAnsi="仿宋" w:eastAsia="仿宋" w:cs="仿宋"/>
          <w:color w:val="auto"/>
          <w:kern w:val="24"/>
          <w:sz w:val="28"/>
          <w:szCs w:val="28"/>
          <w:highlight w:val="none"/>
        </w:rPr>
        <w:t>：</w:t>
      </w:r>
    </w:p>
    <w:p>
      <w:pPr>
        <w:ind w:firstLine="480" w:firstLineChars="200"/>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2017年1月至今企业承担的同类项目（方案设计或概念方案设计）</w:t>
      </w:r>
    </w:p>
    <w:p>
      <w:pPr>
        <w:spacing w:before="85" w:beforeLines="30" w:line="360" w:lineRule="auto"/>
        <w:jc w:val="center"/>
        <w:outlineLvl w:val="2"/>
        <w:rPr>
          <w:rFonts w:ascii="仿宋" w:hAnsi="仿宋" w:eastAsia="仿宋" w:cs="仿宋"/>
          <w:color w:val="auto"/>
          <w:kern w:val="24"/>
          <w:sz w:val="28"/>
          <w:szCs w:val="28"/>
          <w:highlight w:val="none"/>
        </w:rPr>
      </w:pPr>
      <w:bookmarkStart w:id="43" w:name="_Toc41822705"/>
      <w:bookmarkEnd w:id="43"/>
      <w:bookmarkStart w:id="44" w:name="_Toc196036943"/>
      <w:bookmarkEnd w:id="44"/>
      <w:bookmarkStart w:id="45" w:name="_Toc196130015"/>
      <w:bookmarkEnd w:id="45"/>
      <w:bookmarkStart w:id="46" w:name="_Toc197235850"/>
      <w:bookmarkEnd w:id="46"/>
      <w:bookmarkStart w:id="47" w:name="_Toc196130112"/>
      <w:bookmarkEnd w:id="47"/>
      <w:bookmarkStart w:id="48" w:name="_Toc199647677"/>
      <w:bookmarkEnd w:id="48"/>
      <w:bookmarkStart w:id="49" w:name="_Toc196037099"/>
      <w:bookmarkEnd w:id="49"/>
      <w:bookmarkStart w:id="50" w:name="_Toc326909215"/>
      <w:r>
        <w:rPr>
          <w:rFonts w:hint="eastAsia" w:ascii="仿宋" w:hAnsi="仿宋" w:eastAsia="仿宋" w:cs="仿宋"/>
          <w:b/>
          <w:bCs/>
          <w:color w:val="auto"/>
          <w:kern w:val="24"/>
          <w:sz w:val="36"/>
          <w:szCs w:val="36"/>
          <w:highlight w:val="none"/>
        </w:rPr>
        <w:t>业绩一览表</w:t>
      </w:r>
      <w:bookmarkEnd w:id="50"/>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5"/>
        <w:tblW w:w="7926" w:type="dxa"/>
        <w:jc w:val="center"/>
        <w:tblInd w:w="0" w:type="dxa"/>
        <w:tblLayout w:type="fixed"/>
        <w:tblCellMar>
          <w:top w:w="0" w:type="dxa"/>
          <w:left w:w="108" w:type="dxa"/>
          <w:bottom w:w="0" w:type="dxa"/>
          <w:right w:w="108" w:type="dxa"/>
        </w:tblCellMar>
      </w:tblPr>
      <w:tblGrid>
        <w:gridCol w:w="724"/>
        <w:gridCol w:w="2002"/>
        <w:gridCol w:w="2567"/>
        <w:gridCol w:w="1303"/>
        <w:gridCol w:w="1330"/>
      </w:tblGrid>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主要业绩名称</w:t>
            </w: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业绩简介</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建筑面积</w:t>
            </w: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完成时间</w:t>
            </w: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bl>
    <w:p>
      <w:pPr>
        <w:spacing w:line="360" w:lineRule="auto"/>
        <w:ind w:firstLine="359" w:firstLineChars="171"/>
        <w:rPr>
          <w:rFonts w:ascii="仿宋" w:hAnsi="仿宋" w:eastAsia="仿宋" w:cs="仿宋"/>
          <w:color w:val="auto"/>
          <w:highlight w:val="none"/>
        </w:rPr>
      </w:pPr>
      <w:r>
        <w:rPr>
          <w:rFonts w:hint="eastAsia" w:ascii="仿宋" w:hAnsi="仿宋" w:eastAsia="仿宋" w:cs="仿宋"/>
          <w:color w:val="auto"/>
          <w:szCs w:val="21"/>
          <w:highlight w:val="none"/>
        </w:rPr>
        <w:t>注：1、投标人提供的同类工程业绩证明资料附于该表后面。业绩证明资料须提供：（1）合同；相关证明资料必须能反映出评标所需指标，否则相应子项不予计分；时间以合同文件签订时间为准。</w:t>
      </w:r>
    </w:p>
    <w:p>
      <w:pPr>
        <w:keepNext w:val="0"/>
        <w:keepLines w:val="0"/>
        <w:pageBreakBefore w:val="0"/>
        <w:widowControl w:val="0"/>
        <w:kinsoku/>
        <w:wordWrap/>
        <w:overflowPunct/>
        <w:topLinePunct w:val="0"/>
        <w:autoSpaceDE/>
        <w:autoSpaceDN/>
        <w:bidi w:val="0"/>
        <w:adjustRightInd/>
        <w:snapToGrid/>
        <w:spacing w:line="360" w:lineRule="auto"/>
        <w:ind w:firstLine="779" w:firstLineChars="371"/>
        <w:textAlignment w:val="auto"/>
        <w:outlineLvl w:val="9"/>
        <w:rPr>
          <w:rFonts w:ascii="仿宋" w:hAnsi="仿宋" w:eastAsia="仿宋" w:cs="仿宋"/>
          <w:color w:val="auto"/>
          <w:sz w:val="24"/>
          <w:highlight w:val="none"/>
        </w:rPr>
      </w:pPr>
      <w:r>
        <w:rPr>
          <w:rFonts w:hint="eastAsia" w:ascii="仿宋" w:hAnsi="仿宋" w:eastAsia="仿宋" w:cs="仿宋"/>
          <w:color w:val="auto"/>
          <w:szCs w:val="21"/>
          <w:highlight w:val="none"/>
        </w:rPr>
        <w:t>2、如有获奖，请附获奖证书复印件。</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600" w:lineRule="exact"/>
        <w:rPr>
          <w:rFonts w:ascii="仿宋" w:hAnsi="仿宋" w:eastAsia="仿宋" w:cs="宋体"/>
          <w:color w:val="auto"/>
          <w:sz w:val="28"/>
          <w:szCs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adjustRightInd w:val="0"/>
        <w:snapToGrid w:val="0"/>
        <w:spacing w:before="85"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5"/>
        <w:tblW w:w="8768" w:type="dxa"/>
        <w:jc w:val="center"/>
        <w:tblInd w:w="0" w:type="dxa"/>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注：1、“拟承担工作”栏，应注明主要设计咨询人员（须注明项目负责人、各专业负责人）等。</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2、项目负责人应按格式八表格及备注的规定附相关证明文件。</w:t>
      </w:r>
    </w:p>
    <w:p>
      <w:pPr>
        <w:adjustRightInd w:val="0"/>
        <w:snapToGrid w:val="0"/>
        <w:spacing w:before="85"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3、其他人员应附上个人注册执业资格证、职称证等文件（复印件，加盖单位公章）。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格式八</w:t>
      </w:r>
      <w:r>
        <w:rPr>
          <w:rFonts w:hint="eastAsia" w:ascii="仿宋" w:hAnsi="仿宋" w:eastAsia="仿宋" w:cs="宋体"/>
          <w:color w:val="auto"/>
          <w:sz w:val="28"/>
          <w:szCs w:val="28"/>
          <w:highlight w:val="none"/>
        </w:rPr>
        <w:t>：</w:t>
      </w:r>
    </w:p>
    <w:p>
      <w:pPr>
        <w:spacing w:line="360" w:lineRule="auto"/>
        <w:jc w:val="center"/>
        <w:outlineLvl w:val="2"/>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项目负责人相关经验及业绩</w:t>
      </w:r>
    </w:p>
    <w:p>
      <w:pPr>
        <w:adjustRightInd w:val="0"/>
        <w:snapToGrid w:val="0"/>
        <w:spacing w:before="85"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2、项目负责人必须附执业证书及资格证书（项目负责人提供）、身份证、职称证书及业绩等证明材料（复印件，加盖单位公章）。</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3、业绩证明资料须提供：（1）合同；相关证明资料中必须能反映出评标所需指标、人员姓名和岗位等，否则相应子项不予计分。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19"/>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Borders>
            <w:top w:val="none" w:sz="0" w:space="0"/>
            <w:left w:val="none" w:sz="0" w:space="0"/>
            <w:bottom w:val="none" w:sz="0" w:space="0"/>
            <w:right w:val="none" w:sz="0" w:space="0"/>
          </w:pgBorders>
          <w:pgNumType w:start="1"/>
          <w:cols w:space="425" w:num="1"/>
          <w:docGrid w:type="lines" w:linePitch="285"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eastAsia="宋体" w:cs="宋体"/>
          <w:color w:val="auto"/>
          <w:sz w:val="24"/>
          <w:highlight w:val="none"/>
        </w:rPr>
      </w:pPr>
      <w:r>
        <w:rPr>
          <w:rFonts w:hint="eastAsia" w:ascii="仿宋" w:hAnsi="仿宋" w:eastAsia="仿宋" w:cs="宋体"/>
          <w:b/>
          <w:color w:val="auto"/>
          <w:sz w:val="36"/>
          <w:szCs w:val="36"/>
          <w:highlight w:val="none"/>
        </w:rPr>
        <w:t>报价表</w:t>
      </w:r>
    </w:p>
    <w:tbl>
      <w:tblPr>
        <w:tblStyle w:val="15"/>
        <w:tblW w:w="14757" w:type="dxa"/>
        <w:tblInd w:w="93" w:type="dxa"/>
        <w:tblLayout w:type="fixed"/>
        <w:tblCellMar>
          <w:top w:w="0" w:type="dxa"/>
          <w:left w:w="108" w:type="dxa"/>
          <w:bottom w:w="0" w:type="dxa"/>
          <w:right w:w="108" w:type="dxa"/>
        </w:tblCellMar>
      </w:tblPr>
      <w:tblGrid>
        <w:gridCol w:w="866"/>
        <w:gridCol w:w="1134"/>
        <w:gridCol w:w="1276"/>
        <w:gridCol w:w="2835"/>
        <w:gridCol w:w="2229"/>
        <w:gridCol w:w="880"/>
        <w:gridCol w:w="1080"/>
        <w:gridCol w:w="914"/>
        <w:gridCol w:w="1842"/>
        <w:gridCol w:w="1701"/>
      </w:tblGrid>
      <w:tr>
        <w:tblPrEx>
          <w:tblLayout w:type="fixed"/>
          <w:tblCellMar>
            <w:top w:w="0" w:type="dxa"/>
            <w:left w:w="108" w:type="dxa"/>
            <w:bottom w:w="0" w:type="dxa"/>
            <w:right w:w="108" w:type="dxa"/>
          </w:tblCellMar>
        </w:tblPrEx>
        <w:trPr>
          <w:trHeight w:val="20" w:hRule="atLeast"/>
        </w:trPr>
        <w:tc>
          <w:tcPr>
            <w:tcW w:w="14757" w:type="dxa"/>
            <w:gridSpan w:val="10"/>
            <w:tcBorders>
              <w:top w:val="single" w:color="auto" w:sz="8" w:space="0"/>
              <w:left w:val="single" w:color="auto" w:sz="8" w:space="0"/>
              <w:bottom w:val="single" w:color="auto" w:sz="4" w:space="0"/>
              <w:right w:val="single" w:color="000000" w:sz="8" w:space="0"/>
            </w:tcBorders>
            <w:shd w:val="clear" w:color="auto" w:fill="auto"/>
            <w:vAlign w:val="center"/>
          </w:tcPr>
          <w:p>
            <w:pPr>
              <w:widowControl/>
              <w:jc w:val="center"/>
              <w:rPr>
                <w:rFonts w:ascii="华文楷体" w:hAnsi="华文楷体" w:eastAsia="华文楷体" w:cs="宋体"/>
                <w:b/>
                <w:bCs/>
                <w:color w:val="auto"/>
                <w:kern w:val="0"/>
                <w:sz w:val="32"/>
                <w:szCs w:val="32"/>
                <w:highlight w:val="none"/>
              </w:rPr>
            </w:pPr>
            <w:bookmarkStart w:id="51" w:name="RANGE!A1:J11"/>
            <w:r>
              <w:rPr>
                <w:rFonts w:hint="eastAsia" w:ascii="华文楷体" w:hAnsi="华文楷体" w:eastAsia="华文楷体" w:cs="宋体"/>
                <w:b/>
                <w:bCs/>
                <w:color w:val="auto"/>
                <w:kern w:val="0"/>
                <w:sz w:val="32"/>
                <w:szCs w:val="32"/>
                <w:highlight w:val="none"/>
              </w:rPr>
              <w:t>概念设计价格清单</w:t>
            </w:r>
            <w:bookmarkEnd w:id="51"/>
          </w:p>
        </w:tc>
      </w:tr>
      <w:tr>
        <w:tblPrEx>
          <w:tblLayout w:type="fixed"/>
          <w:tblCellMar>
            <w:top w:w="0" w:type="dxa"/>
            <w:left w:w="108" w:type="dxa"/>
            <w:bottom w:w="0" w:type="dxa"/>
            <w:right w:w="108" w:type="dxa"/>
          </w:tblCellMar>
        </w:tblPrEx>
        <w:trPr>
          <w:trHeight w:val="20" w:hRule="atLeast"/>
        </w:trPr>
        <w:tc>
          <w:tcPr>
            <w:tcW w:w="866"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任务</w:t>
            </w:r>
          </w:p>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节点</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设计</w:t>
            </w:r>
          </w:p>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周期</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建筑面积</w:t>
            </w:r>
          </w:p>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（万平方米）</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设计成果要求</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输出成果要求</w:t>
            </w:r>
          </w:p>
        </w:tc>
        <w:tc>
          <w:tcPr>
            <w:tcW w:w="471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设计总报价（万元）</w:t>
            </w:r>
          </w:p>
        </w:tc>
        <w:tc>
          <w:tcPr>
            <w:tcW w:w="1701"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18"/>
                <w:szCs w:val="18"/>
                <w:highlight w:val="none"/>
              </w:rPr>
              <w:t>备注</w:t>
            </w:r>
          </w:p>
        </w:tc>
      </w:tr>
      <w:tr>
        <w:tblPrEx>
          <w:tblLayout w:type="fixed"/>
          <w:tblCellMar>
            <w:top w:w="0" w:type="dxa"/>
            <w:left w:w="108" w:type="dxa"/>
            <w:bottom w:w="0" w:type="dxa"/>
            <w:right w:w="108" w:type="dxa"/>
          </w:tblCellMar>
        </w:tblPrEx>
        <w:trPr>
          <w:trHeight w:val="20" w:hRule="atLeast"/>
        </w:trPr>
        <w:tc>
          <w:tcPr>
            <w:tcW w:w="866" w:type="dxa"/>
            <w:vMerge w:val="continue"/>
            <w:tcBorders>
              <w:top w:val="nil"/>
              <w:left w:val="single" w:color="auto" w:sz="8"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2229" w:type="dxa"/>
            <w:vMerge w:val="continue"/>
            <w:tcBorders>
              <w:top w:val="nil"/>
              <w:left w:val="single" w:color="auto" w:sz="4"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无多媒体</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有多媒体（8分钟）,无3D动画</w:t>
            </w:r>
          </w:p>
        </w:tc>
        <w:tc>
          <w:tcPr>
            <w:tcW w:w="27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有多媒体（8分钟）及</w:t>
            </w:r>
          </w:p>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3D动画（2分钟）</w:t>
            </w:r>
          </w:p>
        </w:tc>
        <w:tc>
          <w:tcPr>
            <w:tcW w:w="1701" w:type="dxa"/>
            <w:vMerge w:val="continue"/>
            <w:tcBorders>
              <w:top w:val="nil"/>
              <w:left w:val="single" w:color="auto" w:sz="4" w:space="0"/>
              <w:bottom w:val="single" w:color="auto" w:sz="4" w:space="0"/>
              <w:right w:val="single" w:color="auto" w:sz="8" w:space="0"/>
            </w:tcBorders>
            <w:vAlign w:val="center"/>
          </w:tcPr>
          <w:p>
            <w:pPr>
              <w:widowControl/>
              <w:jc w:val="left"/>
              <w:rPr>
                <w:rFonts w:ascii="华文宋体" w:hAnsi="华文宋体" w:eastAsia="华文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20" w:hRule="atLeast"/>
        </w:trPr>
        <w:tc>
          <w:tcPr>
            <w:tcW w:w="866" w:type="dxa"/>
            <w:vMerge w:val="continue"/>
            <w:tcBorders>
              <w:top w:val="nil"/>
              <w:left w:val="single" w:color="auto" w:sz="8"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2229" w:type="dxa"/>
            <w:vMerge w:val="continue"/>
            <w:tcBorders>
              <w:top w:val="nil"/>
              <w:left w:val="single" w:color="auto" w:sz="4"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无实体模型</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有实体模型≤1:1000（亚克力或木质）</w:t>
            </w:r>
          </w:p>
        </w:tc>
        <w:tc>
          <w:tcPr>
            <w:tcW w:w="1701" w:type="dxa"/>
            <w:vMerge w:val="continue"/>
            <w:tcBorders>
              <w:top w:val="nil"/>
              <w:left w:val="single" w:color="auto" w:sz="4" w:space="0"/>
              <w:bottom w:val="single" w:color="auto" w:sz="4" w:space="0"/>
              <w:right w:val="single" w:color="auto" w:sz="8" w:space="0"/>
            </w:tcBorders>
            <w:vAlign w:val="center"/>
          </w:tcPr>
          <w:p>
            <w:pPr>
              <w:widowControl/>
              <w:jc w:val="left"/>
              <w:rPr>
                <w:rFonts w:ascii="华文宋体" w:hAnsi="华文宋体" w:eastAsia="华文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20" w:hRule="atLeast"/>
        </w:trPr>
        <w:tc>
          <w:tcPr>
            <w:tcW w:w="86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18"/>
                <w:szCs w:val="18"/>
                <w:highlight w:val="none"/>
              </w:rPr>
              <w:t>20%概念方案</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≤5天</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≤2</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 xml:space="preserve">1、经济技术指标                                                                                                             2、CAD总平面图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3、简要说明                                                  </w:t>
            </w:r>
          </w:p>
        </w:tc>
        <w:tc>
          <w:tcPr>
            <w:tcW w:w="2229" w:type="dxa"/>
            <w:tcBorders>
              <w:top w:val="nil"/>
              <w:left w:val="nil"/>
              <w:bottom w:val="single" w:color="auto" w:sz="4" w:space="0"/>
              <w:right w:val="single" w:color="auto" w:sz="4" w:space="0"/>
            </w:tcBorders>
            <w:shd w:val="clear" w:color="auto" w:fill="auto"/>
            <w:vAlign w:val="center"/>
          </w:tcPr>
          <w:p>
            <w:pPr>
              <w:widowControl/>
              <w:jc w:val="left"/>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 xml:space="preserve">一、A3总图8张;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二、电子文件光盘1份</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w:t>
            </w:r>
          </w:p>
        </w:tc>
        <w:tc>
          <w:tcPr>
            <w:tcW w:w="1701" w:type="dxa"/>
            <w:tcBorders>
              <w:top w:val="nil"/>
              <w:left w:val="nil"/>
              <w:bottom w:val="single" w:color="auto" w:sz="4" w:space="0"/>
              <w:right w:val="single" w:color="auto" w:sz="8" w:space="0"/>
            </w:tcBorders>
            <w:shd w:val="clear" w:color="auto" w:fill="auto"/>
            <w:vAlign w:val="center"/>
          </w:tcPr>
          <w:p>
            <w:pPr>
              <w:widowControl/>
              <w:jc w:val="left"/>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20" w:hRule="atLeast"/>
        </w:trPr>
        <w:tc>
          <w:tcPr>
            <w:tcW w:w="86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50%概念方案</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≤10天</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≤5</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 xml:space="preserve">1、经济技术指标                                                           2、SU总体鸟瞰图                                                          3、SU沿街建筑效果图不少于3张                                                      4、彩色总平面图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5、简要说明                                                  </w:t>
            </w:r>
          </w:p>
        </w:tc>
        <w:tc>
          <w:tcPr>
            <w:tcW w:w="2229" w:type="dxa"/>
            <w:tcBorders>
              <w:top w:val="nil"/>
              <w:left w:val="nil"/>
              <w:bottom w:val="single" w:color="auto" w:sz="4" w:space="0"/>
              <w:right w:val="single" w:color="auto" w:sz="4" w:space="0"/>
            </w:tcBorders>
            <w:shd w:val="clear" w:color="auto" w:fill="auto"/>
            <w:vAlign w:val="center"/>
          </w:tcPr>
          <w:p>
            <w:pPr>
              <w:widowControl/>
              <w:jc w:val="left"/>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一、A3文本8份;                 二、电子文件光盘1份</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w:t>
            </w:r>
          </w:p>
        </w:tc>
        <w:tc>
          <w:tcPr>
            <w:tcW w:w="1701" w:type="dxa"/>
            <w:tcBorders>
              <w:top w:val="nil"/>
              <w:left w:val="nil"/>
              <w:bottom w:val="single" w:color="auto" w:sz="4" w:space="0"/>
              <w:right w:val="single" w:color="auto" w:sz="8" w:space="0"/>
            </w:tcBorders>
            <w:shd w:val="clear" w:color="auto" w:fill="auto"/>
            <w:vAlign w:val="center"/>
          </w:tcPr>
          <w:p>
            <w:pPr>
              <w:widowControl/>
              <w:jc w:val="left"/>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510" w:hRule="atLeast"/>
        </w:trPr>
        <w:tc>
          <w:tcPr>
            <w:tcW w:w="866"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100%概念方案</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18"/>
                <w:szCs w:val="18"/>
                <w:highlight w:val="none"/>
              </w:rPr>
              <w:t>1、有多煤体&gt;30天，       2、有多媒体及3D动画  &gt;60天</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≤5</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18"/>
                <w:szCs w:val="18"/>
                <w:highlight w:val="none"/>
              </w:rPr>
              <w:t xml:space="preserve">一、设计说明：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 1、整体设计立意与构思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 2、设计说明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 3、经济技术指标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二、 效果图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 1、总体鸟瞰图</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 2、沿街建筑效果图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 3、彩色总平面图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 4、局部放大透视图                                                                                                       三、分析图                                               1、区位分析图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2、消防分析图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3、景观分析图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4、交通流线分析图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5、功能分区图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6、视线分析图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7、日照分析图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8、道路竖向分析图                           四、技术图                                         1、CAD总平面图                                         2、基地剖面图                                    3、典型标准层平面示意图      </w:t>
            </w:r>
            <w:r>
              <w:rPr>
                <w:rFonts w:hint="eastAsia" w:ascii="华文宋体" w:hAnsi="华文宋体" w:eastAsia="华文宋体" w:cs="宋体"/>
                <w:color w:val="auto"/>
                <w:kern w:val="0"/>
                <w:sz w:val="20"/>
                <w:szCs w:val="20"/>
                <w:highlight w:val="none"/>
              </w:rPr>
              <w:t xml:space="preserve">                  </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 xml:space="preserve">一、A3文本8份 ;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二、电子文件光盘1份;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三、ppt汇报文件</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四、配合业主向主管部门进行方案汇报</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tc>
        <w:tc>
          <w:tcPr>
            <w:tcW w:w="9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tc>
        <w:tc>
          <w:tcPr>
            <w:tcW w:w="170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570" w:hRule="atLeast"/>
        </w:trPr>
        <w:tc>
          <w:tcPr>
            <w:tcW w:w="866" w:type="dxa"/>
            <w:vMerge w:val="continue"/>
            <w:tcBorders>
              <w:top w:val="nil"/>
              <w:left w:val="single" w:color="auto" w:sz="8"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center"/>
              <w:rPr>
                <w:rFonts w:ascii="华文宋体" w:hAnsi="华文宋体" w:eastAsia="华文宋体" w:cs="宋体"/>
                <w:color w:val="auto"/>
                <w:kern w:val="0"/>
                <w:sz w:val="18"/>
                <w:szCs w:val="18"/>
                <w:highlight w:val="none"/>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2229"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8" w:space="0"/>
            </w:tcBorders>
            <w:vAlign w:val="center"/>
          </w:tcPr>
          <w:p>
            <w:pPr>
              <w:widowControl/>
              <w:jc w:val="left"/>
              <w:rPr>
                <w:rFonts w:ascii="华文宋体" w:hAnsi="华文宋体" w:eastAsia="华文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510" w:hRule="atLeast"/>
        </w:trPr>
        <w:tc>
          <w:tcPr>
            <w:tcW w:w="866" w:type="dxa"/>
            <w:vMerge w:val="continue"/>
            <w:tcBorders>
              <w:top w:val="nil"/>
              <w:left w:val="single" w:color="auto" w:sz="8"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5&lt;A≤10</w:t>
            </w: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2229"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p>
            <w:pPr>
              <w:widowControl/>
              <w:jc w:val="center"/>
              <w:rPr>
                <w:rFonts w:ascii="华文宋体" w:hAnsi="华文宋体" w:eastAsia="华文宋体" w:cs="宋体"/>
                <w:color w:val="auto"/>
                <w:kern w:val="0"/>
                <w:sz w:val="20"/>
                <w:szCs w:val="20"/>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tc>
        <w:tc>
          <w:tcPr>
            <w:tcW w:w="1701" w:type="dxa"/>
            <w:tcBorders>
              <w:top w:val="nil"/>
              <w:left w:val="nil"/>
              <w:bottom w:val="single" w:color="auto" w:sz="4" w:space="0"/>
              <w:right w:val="single" w:color="auto" w:sz="8" w:space="0"/>
            </w:tcBorders>
            <w:shd w:val="clear" w:color="auto" w:fill="auto"/>
            <w:vAlign w:val="center"/>
          </w:tcPr>
          <w:p>
            <w:pPr>
              <w:widowControl/>
              <w:jc w:val="left"/>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510" w:hRule="atLeast"/>
        </w:trPr>
        <w:tc>
          <w:tcPr>
            <w:tcW w:w="866" w:type="dxa"/>
            <w:vMerge w:val="continue"/>
            <w:tcBorders>
              <w:top w:val="nil"/>
              <w:left w:val="single" w:color="auto" w:sz="8"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10&lt;A≤20</w:t>
            </w: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2229"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p>
            <w:pPr>
              <w:widowControl/>
              <w:jc w:val="center"/>
              <w:rPr>
                <w:rFonts w:ascii="华文宋体" w:hAnsi="华文宋体" w:eastAsia="华文宋体" w:cs="宋体"/>
                <w:color w:val="auto"/>
                <w:kern w:val="0"/>
                <w:sz w:val="20"/>
                <w:szCs w:val="20"/>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p>
        </w:tc>
        <w:tc>
          <w:tcPr>
            <w:tcW w:w="1701" w:type="dxa"/>
            <w:tcBorders>
              <w:top w:val="nil"/>
              <w:left w:val="nil"/>
              <w:bottom w:val="single" w:color="auto" w:sz="4" w:space="0"/>
              <w:right w:val="single" w:color="auto" w:sz="8" w:space="0"/>
            </w:tcBorders>
            <w:shd w:val="clear" w:color="auto" w:fill="auto"/>
            <w:vAlign w:val="center"/>
          </w:tcPr>
          <w:p>
            <w:pPr>
              <w:widowControl/>
              <w:jc w:val="left"/>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20" w:hRule="atLeast"/>
        </w:trPr>
        <w:tc>
          <w:tcPr>
            <w:tcW w:w="866" w:type="dxa"/>
            <w:vMerge w:val="continue"/>
            <w:tcBorders>
              <w:top w:val="nil"/>
              <w:left w:val="single" w:color="auto" w:sz="8"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A＞20</w:t>
            </w: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2229" w:type="dxa"/>
            <w:vMerge w:val="continue"/>
            <w:tcBorders>
              <w:top w:val="nil"/>
              <w:left w:val="single" w:color="auto" w:sz="4" w:space="0"/>
              <w:bottom w:val="single" w:color="auto" w:sz="4" w:space="0"/>
              <w:right w:val="single" w:color="auto" w:sz="4" w:space="0"/>
            </w:tcBorders>
            <w:vAlign w:val="center"/>
          </w:tcPr>
          <w:p>
            <w:pPr>
              <w:widowControl/>
              <w:jc w:val="left"/>
              <w:rPr>
                <w:rFonts w:ascii="华文宋体" w:hAnsi="华文宋体" w:eastAsia="华文宋体" w:cs="宋体"/>
                <w:color w:val="auto"/>
                <w:kern w:val="0"/>
                <w:sz w:val="20"/>
                <w:szCs w:val="20"/>
                <w:highlight w:val="none"/>
              </w:rPr>
            </w:pP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华文宋体" w:hAnsi="华文宋体" w:eastAsia="华文宋体" w:cs="宋体"/>
                <w:color w:val="auto"/>
                <w:kern w:val="0"/>
                <w:sz w:val="20"/>
                <w:szCs w:val="20"/>
                <w:highlight w:val="none"/>
              </w:rPr>
            </w:pP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华文宋体" w:hAnsi="华文宋体" w:eastAsia="华文宋体" w:cs="宋体"/>
                <w:color w:val="auto"/>
                <w:kern w:val="0"/>
                <w:sz w:val="20"/>
                <w:szCs w:val="20"/>
                <w:highlight w:val="none"/>
              </w:rPr>
            </w:pPr>
          </w:p>
        </w:tc>
        <w:tc>
          <w:tcPr>
            <w:tcW w:w="914" w:type="dxa"/>
            <w:tcBorders>
              <w:top w:val="nil"/>
              <w:left w:val="nil"/>
              <w:bottom w:val="single" w:color="auto" w:sz="4" w:space="0"/>
              <w:right w:val="single" w:color="auto" w:sz="4" w:space="0"/>
            </w:tcBorders>
            <w:shd w:val="clear" w:color="000000" w:fill="FFFFFF"/>
            <w:vAlign w:val="center"/>
          </w:tcPr>
          <w:p>
            <w:pPr>
              <w:widowControl/>
              <w:jc w:val="center"/>
              <w:rPr>
                <w:rFonts w:ascii="华文宋体" w:hAnsi="华文宋体" w:eastAsia="华文宋体" w:cs="宋体"/>
                <w:color w:val="auto"/>
                <w:kern w:val="0"/>
                <w:sz w:val="20"/>
                <w:szCs w:val="20"/>
                <w:highlight w:val="none"/>
              </w:rPr>
            </w:pPr>
          </w:p>
        </w:tc>
        <w:tc>
          <w:tcPr>
            <w:tcW w:w="1842" w:type="dxa"/>
            <w:tcBorders>
              <w:top w:val="nil"/>
              <w:left w:val="nil"/>
              <w:bottom w:val="single" w:color="auto" w:sz="4" w:space="0"/>
              <w:right w:val="single" w:color="auto" w:sz="4" w:space="0"/>
            </w:tcBorders>
            <w:shd w:val="clear" w:color="000000" w:fill="FFFFFF"/>
            <w:vAlign w:val="center"/>
          </w:tcPr>
          <w:p>
            <w:pPr>
              <w:widowControl/>
              <w:jc w:val="center"/>
              <w:rPr>
                <w:rFonts w:ascii="华文宋体" w:hAnsi="华文宋体" w:eastAsia="华文宋体" w:cs="宋体"/>
                <w:color w:val="auto"/>
                <w:kern w:val="0"/>
                <w:sz w:val="20"/>
                <w:szCs w:val="20"/>
                <w:highlight w:val="none"/>
              </w:rPr>
            </w:pPr>
          </w:p>
        </w:tc>
        <w:tc>
          <w:tcPr>
            <w:tcW w:w="1701" w:type="dxa"/>
            <w:tcBorders>
              <w:top w:val="nil"/>
              <w:left w:val="nil"/>
              <w:bottom w:val="single" w:color="auto" w:sz="4" w:space="0"/>
              <w:right w:val="single" w:color="auto" w:sz="8" w:space="0"/>
            </w:tcBorders>
            <w:shd w:val="clear" w:color="auto" w:fill="auto"/>
            <w:vAlign w:val="center"/>
          </w:tcPr>
          <w:p>
            <w:pPr>
              <w:widowControl/>
              <w:jc w:val="left"/>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20" w:hRule="atLeast"/>
        </w:trPr>
        <w:tc>
          <w:tcPr>
            <w:tcW w:w="3276"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20"/>
                <w:szCs w:val="20"/>
                <w:highlight w:val="none"/>
              </w:rPr>
              <w:t>深化方案</w:t>
            </w:r>
          </w:p>
        </w:tc>
        <w:tc>
          <w:tcPr>
            <w:tcW w:w="2835" w:type="dxa"/>
            <w:tcBorders>
              <w:top w:val="nil"/>
              <w:left w:val="nil"/>
              <w:bottom w:val="single" w:color="auto" w:sz="8" w:space="0"/>
              <w:right w:val="single" w:color="auto" w:sz="4" w:space="0"/>
            </w:tcBorders>
            <w:shd w:val="clear" w:color="auto" w:fill="auto"/>
            <w:vAlign w:val="center"/>
          </w:tcPr>
          <w:p>
            <w:pPr>
              <w:widowControl/>
              <w:jc w:val="left"/>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18"/>
                <w:szCs w:val="18"/>
                <w:highlight w:val="none"/>
              </w:rPr>
              <w:t>1. 满足国家《建筑工程设计文件编制深度规定(2016版)》标准</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2. 配合招标人对后续施工图设计单位完成成果进行审核把关。</w:t>
            </w:r>
          </w:p>
        </w:tc>
        <w:tc>
          <w:tcPr>
            <w:tcW w:w="2229" w:type="dxa"/>
            <w:tcBorders>
              <w:top w:val="nil"/>
              <w:left w:val="nil"/>
              <w:bottom w:val="single" w:color="auto" w:sz="8" w:space="0"/>
              <w:right w:val="single" w:color="auto" w:sz="4" w:space="0"/>
            </w:tcBorders>
            <w:shd w:val="clear" w:color="auto" w:fill="auto"/>
            <w:vAlign w:val="center"/>
          </w:tcPr>
          <w:p>
            <w:pPr>
              <w:widowControl/>
              <w:jc w:val="left"/>
              <w:rPr>
                <w:rFonts w:ascii="华文宋体" w:hAnsi="华文宋体" w:eastAsia="华文宋体" w:cs="宋体"/>
                <w:color w:val="auto"/>
                <w:kern w:val="0"/>
                <w:sz w:val="20"/>
                <w:szCs w:val="20"/>
                <w:highlight w:val="none"/>
              </w:rPr>
            </w:pPr>
            <w:r>
              <w:rPr>
                <w:rFonts w:hint="eastAsia" w:ascii="华文宋体" w:hAnsi="华文宋体" w:eastAsia="华文宋体" w:cs="宋体"/>
                <w:color w:val="auto"/>
                <w:kern w:val="0"/>
                <w:sz w:val="18"/>
                <w:szCs w:val="18"/>
                <w:highlight w:val="none"/>
              </w:rPr>
              <w:t xml:space="preserve">一、A3文本8份 ;       </w:t>
            </w:r>
            <w:r>
              <w:rPr>
                <w:rFonts w:hint="eastAsia" w:ascii="华文宋体" w:hAnsi="华文宋体" w:eastAsia="华文宋体" w:cs="宋体"/>
                <w:color w:val="auto"/>
                <w:kern w:val="0"/>
                <w:sz w:val="18"/>
                <w:szCs w:val="18"/>
                <w:highlight w:val="none"/>
              </w:rPr>
              <w:br w:type="textWrapping"/>
            </w:r>
            <w:r>
              <w:rPr>
                <w:rFonts w:hint="eastAsia" w:ascii="华文宋体" w:hAnsi="华文宋体" w:eastAsia="华文宋体" w:cs="宋体"/>
                <w:color w:val="auto"/>
                <w:kern w:val="0"/>
                <w:sz w:val="18"/>
                <w:szCs w:val="18"/>
                <w:highlight w:val="none"/>
              </w:rPr>
              <w:t xml:space="preserve">二、电子文件光盘1份; </w:t>
            </w:r>
            <w:r>
              <w:rPr>
                <w:rFonts w:hint="eastAsia" w:ascii="华文宋体" w:hAnsi="华文宋体" w:eastAsia="华文宋体" w:cs="宋体"/>
                <w:color w:val="auto"/>
                <w:kern w:val="0"/>
                <w:sz w:val="20"/>
                <w:szCs w:val="20"/>
                <w:highlight w:val="none"/>
              </w:rPr>
              <w:t xml:space="preserve"> </w:t>
            </w:r>
          </w:p>
        </w:tc>
        <w:tc>
          <w:tcPr>
            <w:tcW w:w="4716" w:type="dxa"/>
            <w:gridSpan w:val="4"/>
            <w:tcBorders>
              <w:top w:val="single" w:color="auto" w:sz="4" w:space="0"/>
              <w:left w:val="nil"/>
              <w:bottom w:val="single" w:color="auto" w:sz="8" w:space="0"/>
              <w:right w:val="single" w:color="auto" w:sz="4" w:space="0"/>
            </w:tcBorders>
            <w:shd w:val="clear" w:color="auto" w:fill="auto"/>
            <w:vAlign w:val="center"/>
          </w:tcPr>
          <w:p>
            <w:pPr>
              <w:widowControl/>
              <w:jc w:val="left"/>
              <w:rPr>
                <w:rFonts w:ascii="华文宋体" w:hAnsi="华文宋体" w:eastAsia="华文宋体" w:cs="宋体"/>
                <w:color w:val="auto"/>
                <w:kern w:val="0"/>
                <w:sz w:val="18"/>
                <w:szCs w:val="18"/>
                <w:highlight w:val="none"/>
              </w:rPr>
            </w:pPr>
            <w:r>
              <w:rPr>
                <w:rFonts w:hint="eastAsia" w:ascii="华文宋体" w:hAnsi="华文宋体" w:eastAsia="华文宋体" w:cs="宋体"/>
                <w:color w:val="auto"/>
                <w:kern w:val="0"/>
                <w:sz w:val="18"/>
                <w:szCs w:val="18"/>
                <w:highlight w:val="none"/>
              </w:rPr>
              <w:t>按2002年版勘察设计收费标准计算方案部分设计费</w:t>
            </w:r>
          </w:p>
          <w:p>
            <w:pPr>
              <w:widowControl/>
              <w:jc w:val="left"/>
              <w:rPr>
                <w:rFonts w:ascii="华文宋体" w:hAnsi="华文宋体" w:eastAsia="华文宋体" w:cs="宋体"/>
                <w:b/>
                <w:bCs/>
                <w:color w:val="auto"/>
                <w:kern w:val="0"/>
                <w:sz w:val="20"/>
                <w:szCs w:val="20"/>
                <w:highlight w:val="none"/>
              </w:rPr>
            </w:pPr>
            <w:r>
              <w:rPr>
                <w:rFonts w:hint="eastAsia" w:ascii="华文宋体" w:hAnsi="华文宋体" w:eastAsia="华文宋体" w:cs="宋体"/>
                <w:color w:val="auto"/>
                <w:kern w:val="0"/>
                <w:sz w:val="18"/>
                <w:szCs w:val="18"/>
                <w:highlight w:val="none"/>
              </w:rPr>
              <w:t>下浮</w:t>
            </w:r>
            <w:r>
              <w:rPr>
                <w:rFonts w:hint="eastAsia" w:ascii="华文宋体" w:hAnsi="华文宋体" w:eastAsia="华文宋体" w:cs="宋体"/>
                <w:color w:val="auto"/>
                <w:kern w:val="0"/>
                <w:sz w:val="18"/>
                <w:szCs w:val="18"/>
                <w:highlight w:val="none"/>
                <w:u w:val="single"/>
              </w:rPr>
              <w:t xml:space="preserve">   10    </w:t>
            </w:r>
            <w:r>
              <w:rPr>
                <w:rFonts w:hint="eastAsia" w:ascii="华文宋体" w:hAnsi="华文宋体" w:eastAsia="华文宋体" w:cs="宋体"/>
                <w:color w:val="auto"/>
                <w:kern w:val="0"/>
                <w:sz w:val="18"/>
                <w:szCs w:val="18"/>
                <w:highlight w:val="none"/>
              </w:rPr>
              <w:t>%</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ascii="华文宋体" w:hAnsi="华文宋体" w:eastAsia="华文宋体" w:cs="宋体"/>
                <w:b/>
                <w:bCs/>
                <w:color w:val="auto"/>
                <w:kern w:val="0"/>
                <w:sz w:val="20"/>
                <w:szCs w:val="20"/>
                <w:highlight w:val="none"/>
              </w:rPr>
            </w:pPr>
            <w:r>
              <w:rPr>
                <w:rFonts w:hint="eastAsia" w:ascii="华文宋体" w:hAnsi="华文宋体" w:eastAsia="华文宋体" w:cs="宋体"/>
                <w:b/>
                <w:bCs/>
                <w:color w:val="auto"/>
                <w:kern w:val="0"/>
                <w:sz w:val="20"/>
                <w:szCs w:val="20"/>
                <w:highlight w:val="none"/>
              </w:rPr>
              <w:t>　</w:t>
            </w:r>
          </w:p>
        </w:tc>
      </w:tr>
    </w:tbl>
    <w:p>
      <w:pPr>
        <w:rPr>
          <w:rFonts w:ascii="仿宋" w:hAnsi="仿宋" w:eastAsia="仿宋" w:cs="仿宋"/>
          <w:color w:val="auto"/>
          <w:szCs w:val="21"/>
          <w:highlight w:val="none"/>
        </w:rPr>
      </w:pPr>
      <w:r>
        <w:rPr>
          <w:rFonts w:hint="eastAsia" w:ascii="仿宋" w:hAnsi="仿宋" w:eastAsia="仿宋" w:cs="仿宋"/>
          <w:color w:val="auto"/>
          <w:szCs w:val="21"/>
          <w:highlight w:val="none"/>
        </w:rPr>
        <w:t>注：</w:t>
      </w:r>
    </w:p>
    <w:p>
      <w:pPr>
        <w:pStyle w:val="29"/>
        <w:numPr>
          <w:ilvl w:val="0"/>
          <w:numId w:val="11"/>
        </w:numPr>
        <w:ind w:left="851" w:hanging="425" w:firstLineChars="0"/>
        <w:rPr>
          <w:rFonts w:ascii="仿宋" w:hAnsi="仿宋" w:eastAsia="仿宋" w:cs="仿宋"/>
          <w:color w:val="auto"/>
          <w:highlight w:val="none"/>
        </w:rPr>
      </w:pPr>
      <w:r>
        <w:rPr>
          <w:rFonts w:hint="eastAsia" w:ascii="仿宋" w:hAnsi="仿宋" w:eastAsia="仿宋" w:cs="仿宋"/>
          <w:color w:val="auto"/>
          <w:highlight w:val="none"/>
        </w:rPr>
        <w:t>本报价投标人需根据自身实际情况结合实际工作量以及工作周期进行具体报价。最终报价将列入合同作为本年度合作的重要结算依据。</w:t>
      </w:r>
    </w:p>
    <w:p>
      <w:pPr>
        <w:pStyle w:val="29"/>
        <w:numPr>
          <w:ilvl w:val="0"/>
          <w:numId w:val="11"/>
        </w:numPr>
        <w:ind w:left="851" w:hanging="425" w:firstLineChars="0"/>
        <w:rPr>
          <w:rFonts w:ascii="仿宋" w:hAnsi="仿宋" w:eastAsia="仿宋" w:cs="仿宋"/>
          <w:color w:val="auto"/>
          <w:highlight w:val="none"/>
        </w:rPr>
      </w:pPr>
      <w:r>
        <w:rPr>
          <w:rFonts w:hint="eastAsia" w:ascii="仿宋" w:hAnsi="仿宋" w:eastAsia="仿宋" w:cs="Arial"/>
          <w:color w:val="auto"/>
          <w:szCs w:val="21"/>
          <w:highlight w:val="none"/>
        </w:rPr>
        <w:t>20%概念方案及50%概念设计方案均不需要对多媒体、动画以及实体模型部分报价。</w:t>
      </w:r>
    </w:p>
    <w:p>
      <w:pPr>
        <w:pStyle w:val="29"/>
        <w:numPr>
          <w:ilvl w:val="0"/>
          <w:numId w:val="11"/>
        </w:numPr>
        <w:ind w:left="851" w:hanging="425" w:firstLineChars="0"/>
        <w:rPr>
          <w:rFonts w:ascii="仿宋" w:hAnsi="仿宋" w:eastAsia="仿宋" w:cs="仿宋"/>
          <w:color w:val="auto"/>
          <w:highlight w:val="none"/>
        </w:rPr>
      </w:pPr>
      <w:r>
        <w:rPr>
          <w:rFonts w:hint="eastAsia" w:ascii="仿宋" w:hAnsi="仿宋" w:eastAsia="仿宋" w:cs="仿宋"/>
          <w:color w:val="auto"/>
          <w:szCs w:val="21"/>
          <w:highlight w:val="none"/>
        </w:rPr>
        <w:t>深化方案部分报价为固定下浮值，该部分设计任务需根据招标人项目具体实施情况确定。</w:t>
      </w:r>
    </w:p>
    <w:p>
      <w:pPr>
        <w:pStyle w:val="29"/>
        <w:numPr>
          <w:ilvl w:val="0"/>
          <w:numId w:val="11"/>
        </w:numPr>
        <w:ind w:left="851" w:hanging="425" w:firstLineChars="0"/>
        <w:rPr>
          <w:rFonts w:ascii="仿宋" w:hAnsi="仿宋" w:eastAsia="仿宋" w:cs="仿宋"/>
          <w:color w:val="auto"/>
          <w:highlight w:val="none"/>
        </w:rPr>
      </w:pPr>
      <w:r>
        <w:rPr>
          <w:rFonts w:hint="eastAsia" w:ascii="仿宋" w:hAnsi="仿宋" w:eastAsia="仿宋" w:cs="仿宋"/>
          <w:color w:val="auto"/>
          <w:szCs w:val="21"/>
          <w:highlight w:val="none"/>
        </w:rPr>
        <w:t>无多媒体部分报价为本次报价考核重点，</w:t>
      </w:r>
      <w:r>
        <w:rPr>
          <w:rFonts w:hint="eastAsia" w:ascii="仿宋" w:hAnsi="仿宋" w:eastAsia="仿宋" w:cs="Arial"/>
          <w:color w:val="auto"/>
          <w:szCs w:val="21"/>
          <w:highlight w:val="none"/>
        </w:rPr>
        <w:t>多媒体、动画以及实体模型部分报价因需考虑市场等因素，本次报价作为参考。</w:t>
      </w: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2"/>
        <w:widowControl/>
        <w:spacing w:before="0" w:after="0" w:line="360" w:lineRule="auto"/>
        <w:outlineLvl w:val="9"/>
        <w:rPr>
          <w:rFonts w:ascii="黑体" w:hAnsi="宋体" w:cs="黑体"/>
          <w:b/>
          <w:color w:val="auto"/>
          <w:kern w:val="44"/>
          <w:sz w:val="44"/>
          <w:szCs w:val="44"/>
          <w:highlight w:val="none"/>
        </w:rPr>
        <w:sectPr>
          <w:pgSz w:w="16840" w:h="11915" w:orient="landscape"/>
          <w:pgMar w:top="1361" w:right="1247" w:bottom="1135" w:left="1247" w:header="720" w:footer="720" w:gutter="0"/>
          <w:pgBorders>
            <w:top w:val="none" w:sz="0" w:space="0"/>
            <w:left w:val="none" w:sz="0" w:space="0"/>
            <w:bottom w:val="none" w:sz="0" w:space="0"/>
            <w:right w:val="none" w:sz="0" w:space="0"/>
          </w:pgBorders>
          <w:cols w:space="425" w:num="1"/>
          <w:docGrid w:type="linesAndChars" w:linePitch="285" w:charSpace="0"/>
        </w:sectPr>
      </w:pPr>
      <w:bookmarkStart w:id="52" w:name="_Toc374128477"/>
      <w:bookmarkEnd w:id="52"/>
    </w:p>
    <w:p>
      <w:pPr>
        <w:pStyle w:val="2"/>
        <w:widowControl/>
        <w:spacing w:before="0" w:after="0" w:line="360" w:lineRule="auto"/>
        <w:jc w:val="center"/>
        <w:rPr>
          <w:rFonts w:ascii="黑体" w:hAnsi="宋体" w:cs="黑体"/>
          <w:b/>
          <w:color w:val="auto"/>
          <w:kern w:val="44"/>
          <w:sz w:val="44"/>
          <w:szCs w:val="44"/>
          <w:highlight w:val="none"/>
        </w:rPr>
      </w:pPr>
      <w:bookmarkStart w:id="53" w:name="_Toc30913"/>
      <w:r>
        <w:rPr>
          <w:rFonts w:hint="eastAsia" w:ascii="黑体" w:hAnsi="宋体" w:cs="黑体"/>
          <w:b/>
          <w:color w:val="auto"/>
          <w:kern w:val="44"/>
          <w:sz w:val="44"/>
          <w:szCs w:val="44"/>
          <w:highlight w:val="none"/>
        </w:rPr>
        <w:t>第4章 评标办法</w:t>
      </w:r>
      <w:bookmarkEnd w:id="53"/>
    </w:p>
    <w:p>
      <w:pPr>
        <w:spacing w:after="120"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outlineLvl w:val="9"/>
        <w:rPr>
          <w:rFonts w:ascii="Times New Roman" w:hAnsi="Times New Roman" w:eastAsia="宋体" w:cs="Times New Roman"/>
          <w:color w:val="auto"/>
          <w:szCs w:val="21"/>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linePitch="285" w:charSpace="0"/>
        </w:sectPr>
      </w:pPr>
      <w:r>
        <w:rPr>
          <w:rFonts w:ascii="Times New Roman" w:hAnsi="Times New Roman" w:eastAsia="宋体" w:cs="Times New Roman"/>
          <w:color w:val="auto"/>
          <w:szCs w:val="21"/>
          <w:highlight w:val="none"/>
        </w:rPr>
        <w:br w:type="page"/>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1.1本项目采取邀请招标选择设计咨询单位，为保证招标“公开、公平、公正”，根据国家有关工程建设招标投标的法律、法规和方针、政策，制定本评标细则，实行评标的规范化、标准化、科学化。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本评标办法仅适用本次设计咨询招标。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本评标办法的解释和修订权属本工程建设招标人。</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50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2.1《中华人民共和国合同法》；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2.4七部委第12号令《评标委员会和评标方法暂行规定》；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2.7本招标工程项目的招标文件、评标办法及其补充通知；</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12"/>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12"/>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12"/>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12"/>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12"/>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12"/>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招标人依法组建评标委员会。</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6"/>
        <w:keepNext w:val="0"/>
        <w:keepLines w:val="0"/>
        <w:pageBreakBefore w:val="0"/>
        <w:widowControl/>
        <w:kinsoku/>
        <w:wordWrap/>
        <w:overflowPunct/>
        <w:topLinePunct w:val="0"/>
        <w:autoSpaceDE/>
        <w:autoSpaceDN/>
        <w:bidi w:val="0"/>
        <w:adjustRightInd/>
        <w:snapToGrid/>
        <w:spacing w:line="500" w:lineRule="exact"/>
        <w:ind w:left="0" w:firstLine="562" w:firstLineChars="200"/>
        <w:textAlignment w:val="auto"/>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5.1评标委员会</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5.1.1  评标委员会由招标人依法组建的5名专家组成。</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5.1.2  评标委员会随机产生1名负责人，主持评审工作，负责人与其他成员有同等表决权。</w:t>
      </w:r>
    </w:p>
    <w:p>
      <w:pPr>
        <w:pStyle w:val="6"/>
        <w:widowControl/>
        <w:spacing w:line="500" w:lineRule="exac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评标委员会根据招标文件规定的评标标准和方法，对投标文件进行评审和比较，招标文件中没有规定的标准和方法不得作为评标的依据。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在符合招标文件规定的前提下，评标委员会主要对投标文件进行评议。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评标委员会负责裁决。裁决前，评标委员会应认真阅读招标文件的规定。投标文件中全部符合附件1《有效性审查表》中任一种情形的，为有效标书，否则其投标文件将被否决。若本项目通过有效性审查的投标人不足3名时，应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如果少数投标人超越招标文件要求提交了模型、演示动画、特殊规格展示图纸或发生其他特殊情况，评标委员会对超越招标文件要求的内容不进行评审，只评审该投标文件符合要求的内容。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 采用</w:t>
      </w:r>
      <w:r>
        <w:rPr>
          <w:rFonts w:hint="eastAsia" w:ascii="仿宋" w:hAnsi="仿宋" w:eastAsia="仿宋" w:cs="仿宋"/>
          <w:b/>
          <w:color w:val="auto"/>
          <w:sz w:val="28"/>
          <w:szCs w:val="28"/>
          <w:highlight w:val="none"/>
          <w:u w:val="single"/>
        </w:rPr>
        <w:t>综合评分法评标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（3）对投标文件进行有效性审查，并对通过有效性审查的投标文件进行综合评分。</w:t>
      </w:r>
    </w:p>
    <w:p>
      <w:pPr>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（4）汇总投标人的综合得分，推荐中标候选人并编写评审报告。</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500" w:lineRule="exact"/>
        <w:ind w:left="779" w:leftChars="170" w:hanging="422" w:hangingChars="15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 评标委员会专家首先按附件1《有效性审查表》对各投标文件进行评审，只有通过有效性审查的投标文件方可进入下一阶段的评审。如果有有效性审查不通过提议，则评标委员会成员共同表决，按照少数服从多数的原则决定是否通过有效性审查。</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(d) 评标委员会专家计算各投标人的综合得分.</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(f) 评标委员会编写、签署评标报告，向招标人推荐综合得分最高的前三名中标候选方案（中标候选人）并标明排列顺序，评标报告由评标委员会全体成员签名，对评标结论持有异议的评标委员会成员可以书面方式阐述其不同意见和理由。</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jc w:val="left"/>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招标人在评标委员会推荐的候选方案中确定中标方案。但是，招标人认为评标委员会推荐的候选方案不能最大限度满足招标文件规定的要求的，依法重新招标。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□（a）招标人委托评标委员会直接确定中标人；</w:t>
      </w:r>
    </w:p>
    <w:p>
      <w:pPr>
        <w:spacing w:line="500" w:lineRule="exact"/>
        <w:ind w:left="961" w:hanging="961" w:hangingChars="342"/>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color w:val="auto"/>
          <w:sz w:val="28"/>
          <w:szCs w:val="28"/>
          <w:highlight w:val="none"/>
        </w:rPr>
        <w:t>（b）确定评标委员会推荐的排名第一的中标候选人为中标人。如排名第一的中标候选人放弃中标或因招标人拒绝投标人的情形或因不可抗力提出不能履行合同、招标文件规定应当提交履约保证金而在规定的期限内未提交的，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若本项目经评审有效的投标人不足3名时，本次招标失败，招标人应当依法重新组织招标。</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6.1开标由招标人或招标代理机构主持；</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15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由投标人或其推选的代表检查投标文件的密封情况，也可以由招标人委托的公证机构检查并公证；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评标委员会评审。</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招标人将上述符合要求的投标文件，送至评标委员会进行评审。</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本次招标评标分“有效性审查”、“综合评分”两部分进行评审。收标后，全部评标过程将按以下阶段和步骤进行：</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1）第一步：进行投标文件有效性审查；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2）第二步：专家对综合评分表进行打分；</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3）第三步：评标委员会完成评标报告，向招标人推荐中标候选人。</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投标文件的有效性审查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根据附件1“有效性审查表”进行评审。投标文件中没有任一种列于附件1《有效性审查表》中情形的，为通过有效性审查。否则其投标文件将被否决。如评标委员会成员的评审意见不一致时，以评标委员会过半数成员的意见作为评标委员会对该情形的认定结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评标委员会对所有投标作否决处理的，招标人应当重新招标。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7.4  计算投标人总得分（满分为100分） </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7.5  推荐中标候选人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7.5.1按投标人总得分高低进行先后排序，取评分最高者为第一中标候选人，次高者为第二中标候选人，依次类推。</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7.5.2如果有两个或两个以上的投标人总得分评分相同，则</w:t>
      </w:r>
      <w:r>
        <w:rPr>
          <w:rFonts w:hint="eastAsia" w:ascii="仿宋" w:hAnsi="仿宋" w:eastAsia="仿宋" w:cs="仿宋"/>
          <w:color w:val="auto"/>
          <w:sz w:val="28"/>
          <w:szCs w:val="28"/>
          <w:highlight w:val="none"/>
          <w:lang w:eastAsia="zh-CN"/>
        </w:rPr>
        <w:t>服务报价</w:t>
      </w:r>
      <w:r>
        <w:rPr>
          <w:rFonts w:hint="eastAsia" w:ascii="仿宋" w:hAnsi="仿宋" w:eastAsia="仿宋" w:cs="仿宋"/>
          <w:color w:val="auto"/>
          <w:sz w:val="28"/>
          <w:szCs w:val="28"/>
          <w:highlight w:val="none"/>
        </w:rPr>
        <w:t>得分较高的投标人排名优先；如果总得分、</w:t>
      </w:r>
      <w:r>
        <w:rPr>
          <w:rFonts w:hint="eastAsia" w:ascii="仿宋" w:hAnsi="仿宋" w:eastAsia="仿宋" w:cs="仿宋"/>
          <w:color w:val="auto"/>
          <w:sz w:val="28"/>
          <w:szCs w:val="28"/>
          <w:highlight w:val="none"/>
          <w:lang w:eastAsia="zh-CN"/>
        </w:rPr>
        <w:t>服务报价</w:t>
      </w:r>
      <w:r>
        <w:rPr>
          <w:rFonts w:hint="eastAsia" w:ascii="仿宋" w:hAnsi="仿宋" w:eastAsia="仿宋" w:cs="仿宋"/>
          <w:color w:val="auto"/>
          <w:sz w:val="28"/>
          <w:szCs w:val="28"/>
          <w:highlight w:val="none"/>
        </w:rPr>
        <w:t>得分均相同的投标文件，则由评标委员会采用摇珠方式，确定中标候选人顺序。</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7.6 确定中标人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招标人依据评标报告审定本项目的中标人。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虽然经招标人审定为中标人，但在签订合同前的任何时候，招标人、评标专家以及其他人员发现投标人在招标投标过程有弄虚作假行为、虚报资料情况，一经查实，立即取消其中标人资格。</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7.7招标人将参照以下原则进行本项目中标人的替换：</w:t>
      </w:r>
    </w:p>
    <w:p>
      <w:pPr>
        <w:keepNext w:val="0"/>
        <w:keepLines w:val="0"/>
        <w:pageBreakBefore w:val="0"/>
        <w:widowControl w:val="0"/>
        <w:numPr>
          <w:ilvl w:val="0"/>
          <w:numId w:val="13"/>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若中标人在实际工作中服务质量存在问题，未能表现出符合要求的方案设计及设计咨询水平，经招标人研究确定，可解除与中标人的合同关系，并按照中标候选人顺序依次选取新的中标人。</w:t>
      </w:r>
    </w:p>
    <w:p>
      <w:pPr>
        <w:keepNext w:val="0"/>
        <w:keepLines w:val="0"/>
        <w:pageBreakBefore w:val="0"/>
        <w:widowControl w:val="0"/>
        <w:numPr>
          <w:ilvl w:val="0"/>
          <w:numId w:val="13"/>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当中标人服务费累计达到或接近100万时（服务年限未到一年），招标人可按相关条款约定解除与中标人的合同关系，并按照中标候选人顺序依次选取新的中标人。</w:t>
      </w:r>
    </w:p>
    <w:p>
      <w:pPr>
        <w:keepNext w:val="0"/>
        <w:keepLines w:val="0"/>
        <w:pageBreakBefore w:val="0"/>
        <w:widowControl w:val="0"/>
        <w:numPr>
          <w:ilvl w:val="0"/>
          <w:numId w:val="13"/>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当中标人以正式的书面函件形式申请放弃中标资格时，招标人可取消</w:t>
      </w:r>
      <w:r>
        <w:rPr>
          <w:rFonts w:hint="eastAsia" w:ascii="仿宋" w:hAnsi="仿宋" w:eastAsia="仿宋" w:cs="仿宋"/>
          <w:color w:val="auto"/>
          <w:sz w:val="28"/>
          <w:szCs w:val="28"/>
          <w:highlight w:val="none"/>
        </w:rPr>
        <w:t>其中标人资格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解除与中标人的合同关系，并按照中标候选人顺序依次选取新的中标人。</w:t>
      </w:r>
    </w:p>
    <w:p>
      <w:pPr>
        <w:snapToGrid w:val="0"/>
        <w:spacing w:line="360" w:lineRule="auto"/>
        <w:rPr>
          <w:rFonts w:ascii="仿宋" w:hAnsi="仿宋" w:eastAsia="仿宋" w:cs="仿宋"/>
          <w:color w:val="auto"/>
          <w:sz w:val="24"/>
          <w:highlight w:val="none"/>
        </w:rPr>
      </w:pPr>
    </w:p>
    <w:p>
      <w:pPr>
        <w:snapToGrid w:val="0"/>
        <w:spacing w:line="360" w:lineRule="auto"/>
        <w:ind w:firstLine="663" w:firstLineChars="150"/>
        <w:jc w:val="center"/>
        <w:rPr>
          <w:rFonts w:ascii="黑体" w:hAnsi="宋体" w:cs="黑体"/>
          <w:b/>
          <w:color w:val="auto"/>
          <w:kern w:val="44"/>
          <w:sz w:val="44"/>
          <w:szCs w:val="44"/>
          <w:highlight w:val="none"/>
        </w:rPr>
      </w:pPr>
      <w:bookmarkStart w:id="54" w:name="_Toc26593"/>
      <w:r>
        <w:rPr>
          <w:rFonts w:hint="eastAsia" w:ascii="黑体" w:hAnsi="宋体" w:cs="黑体"/>
          <w:b/>
          <w:color w:val="auto"/>
          <w:kern w:val="44"/>
          <w:sz w:val="44"/>
          <w:szCs w:val="44"/>
          <w:highlight w:val="none"/>
        </w:rPr>
        <w:t>第5章</w:t>
      </w:r>
      <w:r>
        <w:rPr>
          <w:rFonts w:hint="eastAsia" w:ascii="黑体" w:hAnsi="宋体" w:cs="黑体"/>
          <w:b/>
          <w:color w:val="auto"/>
          <w:kern w:val="44"/>
          <w:sz w:val="44"/>
          <w:szCs w:val="44"/>
          <w:highlight w:val="none"/>
          <w:lang w:val="en-US" w:eastAsia="zh-CN"/>
        </w:rPr>
        <w:t xml:space="preserve"> </w:t>
      </w:r>
      <w:r>
        <w:rPr>
          <w:rFonts w:hint="eastAsia" w:ascii="黑体" w:hAnsi="宋体" w:cs="黑体"/>
          <w:b/>
          <w:color w:val="auto"/>
          <w:kern w:val="44"/>
          <w:sz w:val="44"/>
          <w:szCs w:val="44"/>
          <w:highlight w:val="none"/>
        </w:rPr>
        <w:t>附件</w:t>
      </w:r>
      <w:bookmarkEnd w:id="54"/>
    </w:p>
    <w:p>
      <w:pPr>
        <w:pStyle w:val="16"/>
        <w:keepNext w:val="0"/>
        <w:keepLines w:val="0"/>
        <w:pageBreakBefore w:val="0"/>
        <w:widowControl/>
        <w:kinsoku/>
        <w:wordWrap/>
        <w:overflowPunct/>
        <w:topLinePunct w:val="0"/>
        <w:autoSpaceDE/>
        <w:autoSpaceDN/>
        <w:bidi w:val="0"/>
        <w:adjustRightInd/>
        <w:snapToGrid/>
        <w:ind w:firstLine="562"/>
        <w:textAlignment w:val="auto"/>
        <w:outlineLvl w:val="9"/>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附件1 有效性审查表</w:t>
      </w:r>
    </w:p>
    <w:p>
      <w:pPr>
        <w:pStyle w:val="16"/>
        <w:keepNext w:val="0"/>
        <w:keepLines w:val="0"/>
        <w:pageBreakBefore w:val="0"/>
        <w:widowControl/>
        <w:kinsoku/>
        <w:wordWrap/>
        <w:overflowPunct/>
        <w:topLinePunct w:val="0"/>
        <w:autoSpaceDE/>
        <w:autoSpaceDN/>
        <w:bidi w:val="0"/>
        <w:adjustRightInd/>
        <w:snapToGrid/>
        <w:ind w:firstLine="562"/>
        <w:textAlignment w:val="auto"/>
        <w:outlineLvl w:val="9"/>
        <w:rPr>
          <w:rFonts w:hint="default" w:ascii="仿宋" w:hAnsi="仿宋" w:eastAsia="仿宋" w:cs="仿宋"/>
          <w:b/>
          <w:color w:val="auto"/>
          <w:sz w:val="28"/>
          <w:szCs w:val="28"/>
          <w:highlight w:val="none"/>
          <w:u w:val="single"/>
        </w:rPr>
      </w:pPr>
      <w:bookmarkStart w:id="55" w:name="OLE_LINK3"/>
      <w:bookmarkEnd w:id="55"/>
      <w:r>
        <w:rPr>
          <w:rFonts w:ascii="仿宋" w:hAnsi="仿宋" w:eastAsia="仿宋" w:cs="仿宋"/>
          <w:b/>
          <w:color w:val="auto"/>
          <w:sz w:val="28"/>
          <w:szCs w:val="28"/>
          <w:highlight w:val="none"/>
          <w:u w:val="single"/>
        </w:rPr>
        <w:t>附件2 综合评分表</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56" w:name="_Toc12170"/>
      <w:r>
        <w:rPr>
          <w:rFonts w:hint="eastAsia" w:ascii="仿宋" w:hAnsi="仿宋" w:eastAsia="仿宋" w:cs="仿宋"/>
          <w:color w:val="auto"/>
          <w:sz w:val="28"/>
          <w:szCs w:val="28"/>
          <w:highlight w:val="none"/>
        </w:rPr>
        <w:t>附件1：有效性审查表</w:t>
      </w:r>
      <w:bookmarkEnd w:id="56"/>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有效性审查表</w:t>
      </w:r>
    </w:p>
    <w:tbl>
      <w:tblPr>
        <w:tblStyle w:val="15"/>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Layout w:type="fixed"/>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120" w:beforeLines="50" w:after="120" w:afterLines="50" w:line="240" w:lineRule="exact"/>
              <w:ind w:left="105" w:leftChars="50" w:right="105" w:rightChars="50"/>
              <w:jc w:val="center"/>
              <w:rPr>
                <w:rFonts w:ascii="仿宋" w:hAnsi="仿宋" w:eastAsia="仿宋" w:cs="仿宋"/>
                <w:b/>
                <w:color w:val="auto"/>
                <w:highlight w:val="none"/>
              </w:rPr>
            </w:pPr>
          </w:p>
          <w:p>
            <w:pPr>
              <w:spacing w:before="120" w:beforeLines="50" w:after="12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Layout w:type="fixed"/>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ind w:right="105" w:rightChars="50" w:firstLine="18" w:firstLineChars="9"/>
              <w:jc w:val="left"/>
              <w:rPr>
                <w:rFonts w:ascii="仿宋" w:hAnsi="仿宋" w:eastAsia="仿宋" w:cs="仿宋"/>
                <w:color w:val="auto"/>
                <w:highlight w:val="none"/>
              </w:rPr>
            </w:pPr>
            <w:r>
              <w:rPr>
                <w:rFonts w:hint="eastAsia" w:ascii="仿宋" w:hAnsi="仿宋" w:eastAsia="仿宋" w:cs="仿宋"/>
                <w:color w:val="auto"/>
                <w:szCs w:val="21"/>
                <w:highlight w:val="none"/>
              </w:rPr>
              <w:t>投标函签名、并加盖公章有效，且内容与招标文件相同</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70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投标文件封面加盖投标人的法定印章并经投标人代表签字（或盖签章）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项目负责人与报名时一致</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投标人具有工程设计综合甲级资质证书，或建筑行业（建筑工程）甲级设计资质</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6</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不超过本项目的</w:t>
            </w:r>
            <w:r>
              <w:rPr>
                <w:rFonts w:hint="eastAsia" w:ascii="仿宋" w:hAnsi="仿宋" w:eastAsia="仿宋" w:cs="仿宋"/>
                <w:color w:val="auto"/>
                <w:szCs w:val="21"/>
                <w:highlight w:val="none"/>
                <w:lang w:eastAsia="zh-CN"/>
              </w:rPr>
              <w:t>各分项</w:t>
            </w:r>
            <w:r>
              <w:rPr>
                <w:rFonts w:hint="eastAsia" w:ascii="仿宋" w:hAnsi="仿宋" w:eastAsia="仿宋" w:cs="仿宋"/>
                <w:color w:val="auto"/>
                <w:szCs w:val="21"/>
                <w:highlight w:val="none"/>
              </w:rPr>
              <w:t>最高限价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hint="eastAsia"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hint="eastAsia" w:ascii="仿宋" w:hAnsi="仿宋" w:eastAsia="仿宋" w:cs="Courier New"/>
          <w:color w:val="auto"/>
          <w:sz w:val="28"/>
          <w:szCs w:val="28"/>
          <w:highlight w:val="none"/>
        </w:rPr>
      </w:pPr>
    </w:p>
    <w:p>
      <w:pPr>
        <w:snapToGrid w:val="0"/>
        <w:ind w:left="74"/>
        <w:outlineLvl w:val="0"/>
        <w:rPr>
          <w:rFonts w:hint="eastAsia" w:ascii="仿宋" w:hAnsi="仿宋" w:eastAsia="仿宋" w:cs="仿宋"/>
          <w:b/>
          <w:color w:val="auto"/>
          <w:sz w:val="24"/>
          <w:highlight w:val="none"/>
        </w:rPr>
        <w:sectPr>
          <w:footerReference r:id="rId4" w:type="default"/>
          <w:pgSz w:w="12240" w:h="15840"/>
          <w:pgMar w:top="1440" w:right="1797" w:bottom="1440" w:left="1797" w:header="720" w:footer="720" w:gutter="0"/>
          <w:pgBorders>
            <w:top w:val="none" w:sz="0" w:space="0"/>
            <w:left w:val="none" w:sz="0" w:space="0"/>
            <w:bottom w:val="none" w:sz="0" w:space="0"/>
            <w:right w:val="none" w:sz="0" w:space="0"/>
          </w:pgBorders>
          <w:pgNumType w:fmt="decimal"/>
          <w:cols w:space="425" w:num="1"/>
          <w:docGrid w:linePitch="312" w:charSpace="0"/>
        </w:sectPr>
      </w:pPr>
      <w:bookmarkStart w:id="57" w:name="_Toc18783"/>
    </w:p>
    <w:p>
      <w:pPr>
        <w:snapToGrid w:val="0"/>
        <w:ind w:left="74"/>
        <w:outlineLvl w:val="0"/>
        <w:rPr>
          <w:rFonts w:ascii="仿宋" w:hAnsi="仿宋" w:eastAsia="仿宋" w:cs="仿宋"/>
          <w:color w:val="auto"/>
          <w:sz w:val="24"/>
          <w:highlight w:val="none"/>
        </w:rPr>
      </w:pPr>
      <w:r>
        <w:rPr>
          <w:rFonts w:hint="eastAsia" w:ascii="仿宋" w:hAnsi="仿宋" w:eastAsia="仿宋" w:cs="仿宋"/>
          <w:b/>
          <w:color w:val="auto"/>
          <w:sz w:val="24"/>
          <w:highlight w:val="none"/>
        </w:rPr>
        <w:t>附件2综合评分表</w:t>
      </w:r>
      <w:r>
        <w:rPr>
          <w:rFonts w:hint="eastAsia" w:ascii="仿宋" w:hAnsi="仿宋" w:eastAsia="仿宋" w:cs="仿宋"/>
          <w:color w:val="auto"/>
          <w:sz w:val="24"/>
          <w:highlight w:val="none"/>
        </w:rPr>
        <w:t>（100分）</w:t>
      </w:r>
      <w:bookmarkEnd w:id="57"/>
    </w:p>
    <w:tbl>
      <w:tblPr>
        <w:tblStyle w:val="15"/>
        <w:tblW w:w="13961" w:type="dxa"/>
        <w:jc w:val="center"/>
        <w:tblInd w:w="0" w:type="dxa"/>
        <w:tblLayout w:type="fixed"/>
        <w:tblCellMar>
          <w:top w:w="0" w:type="dxa"/>
          <w:left w:w="108" w:type="dxa"/>
          <w:bottom w:w="0" w:type="dxa"/>
          <w:right w:w="108" w:type="dxa"/>
        </w:tblCellMar>
      </w:tblPr>
      <w:tblGrid>
        <w:gridCol w:w="643"/>
        <w:gridCol w:w="1406"/>
        <w:gridCol w:w="720"/>
        <w:gridCol w:w="709"/>
        <w:gridCol w:w="9797"/>
        <w:gridCol w:w="686"/>
      </w:tblGrid>
      <w:tr>
        <w:tblPrEx>
          <w:tblLayout w:type="fixed"/>
          <w:tblCellMar>
            <w:top w:w="0" w:type="dxa"/>
            <w:left w:w="108" w:type="dxa"/>
            <w:bottom w:w="0" w:type="dxa"/>
            <w:right w:w="108" w:type="dxa"/>
          </w:tblCellMar>
        </w:tblPrEx>
        <w:trPr>
          <w:cantSplit/>
          <w:trHeight w:val="450" w:hRule="atLeast"/>
          <w:jc w:val="center"/>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序号</w:t>
            </w: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类别</w:t>
            </w:r>
          </w:p>
        </w:tc>
        <w:tc>
          <w:tcPr>
            <w:tcW w:w="720"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分数</w:t>
            </w:r>
          </w:p>
        </w:tc>
        <w:tc>
          <w:tcPr>
            <w:tcW w:w="709"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分项</w:t>
            </w:r>
          </w:p>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分值</w:t>
            </w:r>
          </w:p>
        </w:tc>
        <w:tc>
          <w:tcPr>
            <w:tcW w:w="979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评 分 说 明</w:t>
            </w:r>
          </w:p>
        </w:tc>
        <w:tc>
          <w:tcPr>
            <w:tcW w:w="68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得分</w:t>
            </w:r>
          </w:p>
        </w:tc>
      </w:tr>
      <w:tr>
        <w:tblPrEx>
          <w:tblLayout w:type="fixed"/>
          <w:tblCellMar>
            <w:top w:w="0" w:type="dxa"/>
            <w:left w:w="108" w:type="dxa"/>
            <w:bottom w:w="0" w:type="dxa"/>
            <w:right w:w="108" w:type="dxa"/>
          </w:tblCellMar>
        </w:tblPrEx>
        <w:trPr>
          <w:cantSplit/>
          <w:trHeight w:val="358" w:hRule="atLeast"/>
          <w:jc w:val="center"/>
        </w:trPr>
        <w:tc>
          <w:tcPr>
            <w:tcW w:w="643" w:type="dxa"/>
            <w:vMerge w:val="restart"/>
            <w:tcBorders>
              <w:top w:val="nil"/>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商务部分</w:t>
            </w: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企业资信评价</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9797" w:type="dxa"/>
            <w:tcBorders>
              <w:top w:val="single" w:color="auto" w:sz="4" w:space="0"/>
              <w:left w:val="nil"/>
              <w:bottom w:val="single" w:color="auto" w:sz="4" w:space="0"/>
              <w:right w:val="single" w:color="auto" w:sz="4" w:space="0"/>
            </w:tcBorders>
            <w:shd w:val="clear" w:color="auto" w:fill="auto"/>
            <w:vAlign w:val="center"/>
          </w:tcPr>
          <w:p>
            <w:pPr>
              <w:pStyle w:val="29"/>
              <w:numPr>
                <w:ilvl w:val="0"/>
                <w:numId w:val="14"/>
              </w:numPr>
              <w:ind w:left="459" w:hanging="425" w:firstLineChars="0"/>
              <w:rPr>
                <w:rFonts w:asciiTheme="minorEastAsia" w:hAnsiTheme="minorEastAsia"/>
                <w:color w:val="auto"/>
                <w:szCs w:val="21"/>
                <w:highlight w:val="none"/>
              </w:rPr>
            </w:pPr>
            <w:r>
              <w:rPr>
                <w:rFonts w:hint="eastAsia" w:asciiTheme="minorEastAsia" w:hAnsiTheme="minorEastAsia"/>
                <w:color w:val="auto"/>
                <w:szCs w:val="21"/>
                <w:highlight w:val="none"/>
              </w:rPr>
              <w:t>企业资质：具备行政主管部门颁发的城乡规划编制甲级资质，得3分；不满足此条件得0分。</w:t>
            </w:r>
          </w:p>
          <w:p>
            <w:pPr>
              <w:pStyle w:val="29"/>
              <w:numPr>
                <w:ilvl w:val="0"/>
                <w:numId w:val="14"/>
              </w:numPr>
              <w:ind w:left="459" w:hanging="425" w:firstLineChars="0"/>
              <w:rPr>
                <w:rFonts w:asciiTheme="minorEastAsia" w:hAnsiTheme="minorEastAsia"/>
                <w:color w:val="auto"/>
                <w:szCs w:val="21"/>
                <w:highlight w:val="none"/>
              </w:rPr>
            </w:pPr>
            <w:r>
              <w:rPr>
                <w:rFonts w:hint="eastAsia" w:asciiTheme="minorEastAsia" w:hAnsiTheme="minorEastAsia"/>
                <w:color w:val="auto"/>
                <w:szCs w:val="21"/>
                <w:highlight w:val="none"/>
              </w:rPr>
              <w:t>连续10年（含10年）以上获得工商部门“重合同、守信用”或“守合同、重信用”称号得5分；连续5年（含5年）以上10年以下的得3分；5年以下得1分。</w:t>
            </w:r>
          </w:p>
          <w:p>
            <w:pPr>
              <w:pStyle w:val="29"/>
              <w:numPr>
                <w:ilvl w:val="0"/>
                <w:numId w:val="14"/>
              </w:numPr>
              <w:ind w:left="459" w:hanging="425" w:firstLineChars="0"/>
              <w:rPr>
                <w:rFonts w:ascii="新宋体" w:hAnsi="新宋体" w:eastAsia="新宋体" w:cs="新宋体"/>
                <w:color w:val="auto"/>
                <w:highlight w:val="none"/>
              </w:rPr>
            </w:pPr>
            <w:r>
              <w:rPr>
                <w:rFonts w:hint="eastAsia" w:asciiTheme="minorEastAsia" w:hAnsiTheme="minorEastAsia"/>
                <w:color w:val="auto"/>
                <w:szCs w:val="21"/>
                <w:highlight w:val="none"/>
              </w:rPr>
              <w:t>同时具有有效的质量管理体系认证、环境管理体系认证、职业健康安全管理体系认证的得2分，有其中二项的得1分，其他得0分。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453" w:hRule="atLeast"/>
          <w:jc w:val="center"/>
        </w:trPr>
        <w:tc>
          <w:tcPr>
            <w:tcW w:w="643" w:type="dxa"/>
            <w:vMerge w:val="continue"/>
            <w:tcBorders>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企业类似</w:t>
            </w:r>
          </w:p>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业绩</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9797" w:type="dxa"/>
            <w:tcBorders>
              <w:top w:val="single" w:color="auto" w:sz="4" w:space="0"/>
              <w:left w:val="nil"/>
              <w:bottom w:val="single" w:color="auto" w:sz="4" w:space="0"/>
              <w:right w:val="single" w:color="auto" w:sz="4" w:space="0"/>
            </w:tcBorders>
            <w:shd w:val="clear" w:color="auto" w:fill="auto"/>
            <w:vAlign w:val="center"/>
          </w:tcPr>
          <w:p>
            <w:pPr>
              <w:pStyle w:val="29"/>
              <w:numPr>
                <w:ilvl w:val="0"/>
                <w:numId w:val="15"/>
              </w:numPr>
              <w:ind w:left="459" w:hanging="425" w:firstLineChars="0"/>
              <w:rPr>
                <w:rFonts w:asciiTheme="minorEastAsia" w:hAnsiTheme="minorEastAsia"/>
                <w:color w:val="auto"/>
                <w:szCs w:val="21"/>
                <w:highlight w:val="none"/>
              </w:rPr>
            </w:pPr>
            <w:r>
              <w:rPr>
                <w:rFonts w:hint="eastAsia" w:asciiTheme="minorEastAsia" w:hAnsiTheme="minorEastAsia"/>
                <w:color w:val="auto"/>
                <w:szCs w:val="21"/>
                <w:highlight w:val="none"/>
              </w:rPr>
              <w:t>近5年（2015年1月1日至今）有承接过建筑工程设计项目业绩每项得2分；本项最多得10分。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686" w:hRule="atLeast"/>
          <w:jc w:val="center"/>
        </w:trPr>
        <w:tc>
          <w:tcPr>
            <w:tcW w:w="643" w:type="dxa"/>
            <w:vMerge w:val="continue"/>
            <w:tcBorders>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企业业绩</w:t>
            </w:r>
          </w:p>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获奖</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20</w:t>
            </w:r>
          </w:p>
        </w:tc>
        <w:tc>
          <w:tcPr>
            <w:tcW w:w="9797" w:type="dxa"/>
            <w:tcBorders>
              <w:top w:val="single" w:color="auto" w:sz="4" w:space="0"/>
              <w:left w:val="nil"/>
              <w:bottom w:val="single" w:color="auto" w:sz="4" w:space="0"/>
              <w:right w:val="single" w:color="auto" w:sz="4" w:space="0"/>
            </w:tcBorders>
            <w:shd w:val="clear" w:color="auto" w:fill="auto"/>
            <w:vAlign w:val="center"/>
          </w:tcPr>
          <w:p>
            <w:pPr>
              <w:pStyle w:val="29"/>
              <w:numPr>
                <w:ilvl w:val="0"/>
                <w:numId w:val="16"/>
              </w:numPr>
              <w:ind w:left="459" w:hanging="425" w:firstLineChars="0"/>
              <w:rPr>
                <w:rFonts w:asciiTheme="minorEastAsia" w:hAnsiTheme="minorEastAsia"/>
                <w:color w:val="auto"/>
                <w:szCs w:val="21"/>
                <w:highlight w:val="none"/>
              </w:rPr>
            </w:pPr>
            <w:r>
              <w:rPr>
                <w:rFonts w:hint="eastAsia" w:asciiTheme="minorEastAsia" w:hAnsiTheme="minorEastAsia"/>
                <w:color w:val="auto"/>
                <w:szCs w:val="21"/>
                <w:highlight w:val="none"/>
              </w:rPr>
              <w:t>近5年（2015年1月1日至今）完成过建筑工程工程设计，获得国家级奖项的，得5分，获行业级奖项，每项得4分；获省级奖项，每项得3分，获市（副省级）奖项，每项得1分，本项最高20分；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927" w:hRule="atLeast"/>
          <w:jc w:val="center"/>
        </w:trPr>
        <w:tc>
          <w:tcPr>
            <w:tcW w:w="643" w:type="dxa"/>
            <w:vMerge w:val="continue"/>
            <w:tcBorders>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人员配备及技术水平</w:t>
            </w:r>
          </w:p>
        </w:tc>
        <w:tc>
          <w:tcPr>
            <w:tcW w:w="720" w:type="dxa"/>
            <w:tcBorders>
              <w:top w:val="nil"/>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20</w:t>
            </w:r>
          </w:p>
        </w:tc>
        <w:tc>
          <w:tcPr>
            <w:tcW w:w="9797" w:type="dxa"/>
            <w:tcBorders>
              <w:top w:val="single" w:color="auto" w:sz="4" w:space="0"/>
              <w:left w:val="nil"/>
              <w:bottom w:val="single" w:color="auto" w:sz="4" w:space="0"/>
              <w:right w:val="single" w:color="auto" w:sz="4" w:space="0"/>
            </w:tcBorders>
            <w:shd w:val="clear" w:color="auto" w:fill="auto"/>
            <w:vAlign w:val="center"/>
          </w:tcPr>
          <w:p>
            <w:pPr>
              <w:pStyle w:val="29"/>
              <w:numPr>
                <w:ilvl w:val="0"/>
                <w:numId w:val="17"/>
              </w:numPr>
              <w:ind w:left="459" w:hanging="425" w:firstLineChars="0"/>
              <w:rPr>
                <w:rFonts w:asciiTheme="minorEastAsia" w:hAnsiTheme="minorEastAsia"/>
                <w:color w:val="auto"/>
                <w:szCs w:val="21"/>
                <w:highlight w:val="none"/>
              </w:rPr>
            </w:pPr>
            <w:r>
              <w:rPr>
                <w:rFonts w:hint="eastAsia" w:asciiTheme="minorEastAsia" w:hAnsiTheme="minorEastAsia"/>
                <w:color w:val="auto"/>
                <w:szCs w:val="21"/>
                <w:highlight w:val="none"/>
              </w:rPr>
              <w:t>团队负责人为一级注册建筑师，且同时具有高级职称的得8分，具有中级职称的得4分。</w:t>
            </w:r>
          </w:p>
          <w:p>
            <w:pPr>
              <w:pStyle w:val="29"/>
              <w:numPr>
                <w:ilvl w:val="0"/>
                <w:numId w:val="17"/>
              </w:numPr>
              <w:ind w:left="459" w:hanging="425" w:firstLineChars="0"/>
              <w:rPr>
                <w:rFonts w:asciiTheme="minorEastAsia" w:hAnsiTheme="minorEastAsia"/>
                <w:color w:val="auto"/>
                <w:szCs w:val="21"/>
                <w:highlight w:val="none"/>
              </w:rPr>
            </w:pPr>
            <w:r>
              <w:rPr>
                <w:rFonts w:hint="eastAsia" w:asciiTheme="minorEastAsia" w:hAnsiTheme="minorEastAsia"/>
                <w:color w:val="auto"/>
                <w:szCs w:val="21"/>
                <w:highlight w:val="none"/>
              </w:rPr>
              <w:t>团队人员中配置的其他工程师具备注册执业资格工程师或具有相关专业高级职称的，每1名加2分，最高得12分。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526" w:hRule="atLeast"/>
          <w:jc w:val="center"/>
        </w:trPr>
        <w:tc>
          <w:tcPr>
            <w:tcW w:w="643" w:type="dxa"/>
            <w:vMerge w:val="continue"/>
            <w:tcBorders>
              <w:left w:val="single" w:color="auto" w:sz="4" w:space="0"/>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hint="eastAsia" w:ascii="仿宋_GB2312" w:hAnsi="宋体" w:eastAsia="仿宋_GB2312"/>
                <w:color w:val="auto"/>
                <w:szCs w:val="21"/>
                <w:highlight w:val="none"/>
              </w:rPr>
            </w:pPr>
            <w:r>
              <w:rPr>
                <w:rFonts w:hint="eastAsia" w:ascii="新宋体" w:hAnsi="新宋体" w:eastAsia="新宋体" w:cs="新宋体"/>
                <w:color w:val="auto"/>
                <w:szCs w:val="21"/>
                <w:highlight w:val="none"/>
              </w:rPr>
              <w:t>企业高端人力资源配置</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9797" w:type="dxa"/>
            <w:tcBorders>
              <w:top w:val="single" w:color="auto" w:sz="4" w:space="0"/>
              <w:left w:val="nil"/>
              <w:bottom w:val="single" w:color="auto" w:sz="4" w:space="0"/>
              <w:right w:val="single" w:color="auto" w:sz="4" w:space="0"/>
            </w:tcBorders>
            <w:shd w:val="clear" w:color="auto" w:fill="auto"/>
            <w:vAlign w:val="center"/>
          </w:tcPr>
          <w:p>
            <w:pPr>
              <w:pStyle w:val="29"/>
              <w:numPr>
                <w:ilvl w:val="0"/>
                <w:numId w:val="18"/>
              </w:numPr>
              <w:ind w:left="459" w:hanging="425" w:firstLineChars="0"/>
              <w:rPr>
                <w:rFonts w:hint="eastAsia" w:asciiTheme="minorEastAsia" w:hAnsiTheme="minorEastAsia"/>
                <w:color w:val="auto"/>
                <w:szCs w:val="21"/>
                <w:highlight w:val="none"/>
              </w:rPr>
            </w:pPr>
            <w:r>
              <w:rPr>
                <w:rFonts w:hint="eastAsia" w:asciiTheme="minorEastAsia" w:hAnsiTheme="minorEastAsia"/>
                <w:color w:val="auto"/>
                <w:szCs w:val="21"/>
                <w:highlight w:val="none"/>
              </w:rPr>
              <w:t>企业具有院士、全国工程勘察设计大师的，每人得2分；具有省级工程勘察设计大师的，每人得1分；本项最多得</w:t>
            </w:r>
            <w:r>
              <w:rPr>
                <w:rFonts w:hint="eastAsia" w:asciiTheme="minorEastAsia" w:hAnsiTheme="minorEastAsia"/>
                <w:color w:val="auto"/>
                <w:szCs w:val="21"/>
                <w:highlight w:val="none"/>
                <w:lang w:val="en-US" w:eastAsia="zh-CN"/>
              </w:rPr>
              <w:t>6</w:t>
            </w:r>
            <w:r>
              <w:rPr>
                <w:rFonts w:hint="eastAsia" w:asciiTheme="minorEastAsia" w:hAnsiTheme="minorEastAsia"/>
                <w:color w:val="auto"/>
                <w:szCs w:val="21"/>
                <w:highlight w:val="none"/>
              </w:rPr>
              <w:t>分。</w:t>
            </w:r>
          </w:p>
          <w:p>
            <w:pPr>
              <w:pStyle w:val="29"/>
              <w:numPr>
                <w:ilvl w:val="0"/>
                <w:numId w:val="18"/>
              </w:numPr>
              <w:ind w:left="459" w:hanging="425" w:firstLineChars="0"/>
              <w:rPr>
                <w:rFonts w:hint="eastAsia" w:asciiTheme="minorEastAsia" w:hAnsiTheme="minorEastAsia"/>
                <w:color w:val="auto"/>
                <w:szCs w:val="21"/>
                <w:highlight w:val="none"/>
              </w:rPr>
            </w:pPr>
            <w:r>
              <w:rPr>
                <w:rFonts w:hint="eastAsia" w:asciiTheme="minorEastAsia" w:hAnsiTheme="minorEastAsia"/>
                <w:color w:val="auto"/>
                <w:szCs w:val="21"/>
                <w:highlight w:val="none"/>
              </w:rPr>
              <w:t>企业具有教授级高工职称的，每人得0.5分；本项最多得2分。</w:t>
            </w:r>
          </w:p>
          <w:p>
            <w:pPr>
              <w:pStyle w:val="29"/>
              <w:numPr>
                <w:ilvl w:val="0"/>
                <w:numId w:val="18"/>
              </w:numPr>
              <w:ind w:left="459" w:hanging="425" w:firstLineChars="0"/>
              <w:rPr>
                <w:rFonts w:hint="eastAsia" w:asciiTheme="minorEastAsia" w:hAnsiTheme="minorEastAsia"/>
                <w:color w:val="auto"/>
                <w:szCs w:val="21"/>
                <w:highlight w:val="none"/>
              </w:rPr>
            </w:pPr>
            <w:r>
              <w:rPr>
                <w:rFonts w:hint="eastAsia" w:asciiTheme="minorEastAsia" w:hAnsiTheme="minorEastAsia"/>
                <w:color w:val="auto"/>
                <w:szCs w:val="21"/>
                <w:highlight w:val="none"/>
              </w:rPr>
              <w:t>企业具有勘察设计行业执业注册人员（含注册建筑师、注册城乡规划师、注册结构工程师、注册土木工程师（岩土）、注册电气工程师、注册公用设备工程师、注册造价师）的，每人得0.2分；本项最多得</w:t>
            </w: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1064" w:hRule="atLeast"/>
          <w:jc w:val="center"/>
        </w:trPr>
        <w:tc>
          <w:tcPr>
            <w:tcW w:w="643" w:type="dxa"/>
            <w:tcBorders>
              <w:top w:val="nil"/>
              <w:left w:val="single" w:color="auto" w:sz="4" w:space="0"/>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经济部分</w:t>
            </w:r>
          </w:p>
        </w:tc>
        <w:tc>
          <w:tcPr>
            <w:tcW w:w="1406" w:type="dxa"/>
            <w:tcBorders>
              <w:top w:val="nil"/>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服务</w:t>
            </w:r>
          </w:p>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报价</w:t>
            </w:r>
          </w:p>
        </w:tc>
        <w:tc>
          <w:tcPr>
            <w:tcW w:w="720" w:type="dxa"/>
            <w:tcBorders>
              <w:top w:val="nil"/>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30</w:t>
            </w:r>
          </w:p>
        </w:tc>
        <w:tc>
          <w:tcPr>
            <w:tcW w:w="709" w:type="dxa"/>
            <w:tcBorders>
              <w:top w:val="nil"/>
              <w:left w:val="nil"/>
              <w:bottom w:val="single" w:color="auto" w:sz="4" w:space="0"/>
              <w:right w:val="single" w:color="auto" w:sz="4" w:space="0"/>
            </w:tcBorders>
            <w:shd w:val="clear" w:color="auto" w:fill="auto"/>
            <w:vAlign w:val="center"/>
          </w:tcPr>
          <w:p>
            <w:pPr>
              <w:spacing w:line="220" w:lineRule="exact"/>
              <w:ind w:left="-2" w:leftChars="-1"/>
              <w:jc w:val="center"/>
              <w:rPr>
                <w:rFonts w:ascii="仿宋" w:hAnsi="仿宋" w:eastAsia="仿宋" w:cs="宋体"/>
                <w:color w:val="auto"/>
                <w:szCs w:val="21"/>
                <w:highlight w:val="none"/>
              </w:rPr>
            </w:pPr>
            <w:r>
              <w:rPr>
                <w:rFonts w:hint="eastAsia" w:ascii="仿宋" w:hAnsi="仿宋" w:eastAsia="仿宋" w:cs="宋体"/>
                <w:color w:val="auto"/>
                <w:szCs w:val="21"/>
                <w:highlight w:val="none"/>
              </w:rPr>
              <w:t>30</w:t>
            </w:r>
          </w:p>
        </w:tc>
        <w:tc>
          <w:tcPr>
            <w:tcW w:w="9797" w:type="dxa"/>
            <w:tcBorders>
              <w:top w:val="nil"/>
              <w:left w:val="nil"/>
              <w:bottom w:val="single" w:color="auto" w:sz="4" w:space="0"/>
              <w:right w:val="single" w:color="auto" w:sz="4" w:space="0"/>
            </w:tcBorders>
            <w:shd w:val="clear" w:color="auto" w:fill="auto"/>
          </w:tcPr>
          <w:p>
            <w:pPr>
              <w:jc w:val="left"/>
              <w:rPr>
                <w:rFonts w:ascii="宋体" w:hAnsi="宋体" w:eastAsia="宋体" w:cs="宋体"/>
                <w:color w:val="auto"/>
                <w:highlight w:val="none"/>
              </w:rPr>
            </w:pPr>
          </w:p>
          <w:p>
            <w:pPr>
              <w:spacing w:line="220" w:lineRule="exact"/>
              <w:ind w:firstLine="315" w:firstLineChars="15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经济标报价部分以投标单位的有效单价的平均数作为基准价，等于基准价为满分30分，高于基准价的1%扣2分，低于基准价的1%扣1分，以此类推。最低得分0分。得分保留两位小数。</w:t>
            </w:r>
          </w:p>
          <w:p>
            <w:pPr>
              <w:spacing w:line="220" w:lineRule="exact"/>
              <w:ind w:firstLine="315" w:firstLineChars="15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经济标报价按报价表中“无多媒体”部分报价之和作为计算依据</w:t>
            </w:r>
          </w:p>
          <w:p>
            <w:pPr>
              <w:jc w:val="left"/>
              <w:rPr>
                <w:rFonts w:ascii="仿宋" w:hAnsi="仿宋" w:eastAsia="仿宋" w:cs="宋体"/>
                <w:color w:val="auto"/>
                <w:sz w:val="18"/>
                <w:szCs w:val="18"/>
                <w:highlight w:val="none"/>
              </w:rPr>
            </w:pPr>
          </w:p>
        </w:tc>
        <w:tc>
          <w:tcPr>
            <w:tcW w:w="686" w:type="dxa"/>
            <w:tcBorders>
              <w:top w:val="single" w:color="auto" w:sz="4" w:space="0"/>
              <w:left w:val="nil"/>
              <w:right w:val="single" w:color="auto" w:sz="4" w:space="0"/>
            </w:tcBorders>
            <w:shd w:val="clear" w:color="auto" w:fill="auto"/>
            <w:vAlign w:val="center"/>
          </w:tcPr>
          <w:p>
            <w:pPr>
              <w:spacing w:line="360" w:lineRule="exact"/>
              <w:rPr>
                <w:rFonts w:ascii="仿宋" w:hAnsi="仿宋" w:eastAsia="仿宋" w:cs="宋体"/>
                <w:color w:val="auto"/>
                <w:sz w:val="18"/>
                <w:szCs w:val="18"/>
                <w:highlight w:val="none"/>
              </w:rPr>
            </w:pPr>
          </w:p>
        </w:tc>
      </w:tr>
      <w:tr>
        <w:tblPrEx>
          <w:tblLayout w:type="fixed"/>
          <w:tblCellMar>
            <w:top w:w="0" w:type="dxa"/>
            <w:left w:w="108" w:type="dxa"/>
            <w:bottom w:w="0" w:type="dxa"/>
            <w:right w:w="108" w:type="dxa"/>
          </w:tblCellMar>
        </w:tblPrEx>
        <w:trPr>
          <w:cantSplit/>
          <w:trHeight w:val="420" w:hRule="atLeast"/>
          <w:jc w:val="center"/>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ind w:left="-2" w:leftChars="-1"/>
              <w:jc w:val="center"/>
              <w:rPr>
                <w:rFonts w:ascii="仿宋" w:hAnsi="仿宋" w:eastAsia="仿宋" w:cs="宋体"/>
                <w:color w:val="auto"/>
                <w:sz w:val="18"/>
                <w:szCs w:val="18"/>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合计</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仿宋" w:hAnsi="仿宋" w:eastAsia="仿宋" w:cs="宋体"/>
                <w:color w:val="auto"/>
                <w:szCs w:val="21"/>
                <w:highlight w:val="none"/>
              </w:rPr>
            </w:pPr>
            <w:r>
              <w:rPr>
                <w:rFonts w:hint="eastAsia" w:ascii="仿宋" w:hAnsi="仿宋" w:eastAsia="仿宋" w:cs="宋体"/>
                <w:color w:val="auto"/>
                <w:szCs w:val="21"/>
                <w:highlight w:val="none"/>
              </w:rPr>
              <w:t>100</w:t>
            </w:r>
          </w:p>
        </w:tc>
        <w:tc>
          <w:tcPr>
            <w:tcW w:w="9797"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360" w:lineRule="exact"/>
              <w:ind w:left="-2" w:leftChars="-1"/>
              <w:rPr>
                <w:rFonts w:ascii="仿宋" w:hAnsi="仿宋" w:eastAsia="仿宋" w:cs="宋体"/>
                <w:color w:val="auto"/>
                <w:sz w:val="18"/>
                <w:szCs w:val="18"/>
                <w:highlight w:val="none"/>
              </w:rPr>
            </w:pPr>
          </w:p>
        </w:tc>
      </w:tr>
    </w:tbl>
    <w:p>
      <w:pPr>
        <w:snapToGrid w:val="0"/>
        <w:ind w:left="74"/>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snapToGrid w:val="0"/>
        <w:ind w:left="74"/>
        <w:rPr>
          <w:rFonts w:ascii="仿宋" w:hAnsi="仿宋" w:eastAsia="仿宋" w:cs="宋体"/>
          <w:color w:val="auto"/>
          <w:sz w:val="24"/>
          <w:highlight w:val="none"/>
        </w:rPr>
      </w:pPr>
      <w:r>
        <w:rPr>
          <w:rFonts w:hint="eastAsia" w:ascii="仿宋" w:hAnsi="仿宋" w:eastAsia="仿宋" w:cs="宋体"/>
          <w:color w:val="auto"/>
          <w:sz w:val="24"/>
          <w:highlight w:val="none"/>
        </w:rPr>
        <w:t>备注：</w:t>
      </w:r>
    </w:p>
    <w:p>
      <w:pPr>
        <w:snapToGrid w:val="0"/>
        <w:ind w:left="74"/>
        <w:rPr>
          <w:rFonts w:ascii="仿宋" w:hAnsi="仿宋" w:eastAsia="仿宋" w:cs="仿宋"/>
          <w:color w:val="auto"/>
          <w:highlight w:val="none"/>
        </w:rPr>
      </w:pPr>
      <w:r>
        <w:rPr>
          <w:rFonts w:hint="eastAsia" w:ascii="仿宋" w:hAnsi="仿宋" w:eastAsia="仿宋" w:cs="仿宋"/>
          <w:color w:val="auto"/>
          <w:szCs w:val="21"/>
          <w:highlight w:val="none"/>
        </w:rPr>
        <w:t>1、业绩证明资料须提供：（1）合同；相关证明资料必须能反映出评标所需指标，否则相应子项不予计分；时间以合同文件签订时间为准。</w:t>
      </w:r>
    </w:p>
    <w:p>
      <w:pPr>
        <w:snapToGrid w:val="0"/>
        <w:ind w:left="74"/>
        <w:rPr>
          <w:rFonts w:ascii="仿宋" w:hAnsi="仿宋" w:eastAsia="仿宋" w:cs="仿宋"/>
          <w:color w:val="auto"/>
          <w:highlight w:val="none"/>
        </w:rPr>
      </w:pPr>
      <w:r>
        <w:rPr>
          <w:rFonts w:hint="eastAsia" w:ascii="仿宋" w:hAnsi="仿宋" w:eastAsia="仿宋" w:cs="仿宋"/>
          <w:color w:val="auto"/>
          <w:szCs w:val="21"/>
          <w:highlight w:val="none"/>
        </w:rPr>
        <w:t>2、获奖证明资料须提供获奖证书，否则相应子项不予计分；时间以获奖证书时间为准。</w:t>
      </w:r>
    </w:p>
    <w:p>
      <w:pPr>
        <w:snapToGrid w:val="0"/>
        <w:ind w:left="74"/>
        <w:rPr>
          <w:rFonts w:ascii="仿宋" w:hAnsi="仿宋" w:eastAsia="仿宋" w:cs="仿宋"/>
          <w:color w:val="auto"/>
          <w:highlight w:val="none"/>
        </w:rPr>
      </w:pPr>
      <w:r>
        <w:rPr>
          <w:rFonts w:hint="eastAsia" w:ascii="仿宋" w:hAnsi="仿宋" w:eastAsia="仿宋" w:cs="仿宋"/>
          <w:color w:val="auto"/>
          <w:szCs w:val="21"/>
          <w:highlight w:val="none"/>
        </w:rPr>
        <w:t>3、获奖奖项是指由住建部颁发的全国优秀工程勘察设计奖、中国勘察设计协会颁发的全国优秀工程勘察设计行业奖、省级（含副省级）工程勘察设计行业协会颁发的省级（含副省级）优秀勘察设计奖；由国务院颁发的国家科学技术奖、住建部的华夏建设科学技术奖励委员会颁发的华夏建设科学技术奖、省级（含副省级）人民政府颁发的省（含副省级）科学技术奖。国家级（国家科学技术奖、全国优秀工程勘察设计奖）、行业级（华夏建设科学技术奖、全国优秀工程勘察设计行业奖）、省级（省科学技术奖、省优秀工程勘察设计奖）、副省级（市科学技术奖、市工程勘察设计奖）分值，各级奖项的一等（金）奖、二等（银）奖、三等（铜）奖具体分值可不再细分。</w:t>
      </w:r>
    </w:p>
    <w:p>
      <w:pPr>
        <w:snapToGrid w:val="0"/>
        <w:ind w:left="74"/>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4、业绩获奖的按最高奖项只计算一次，不重复计算。</w:t>
      </w:r>
    </w:p>
    <w:p>
      <w:pPr>
        <w:snapToGrid w:val="0"/>
        <w:ind w:left="74"/>
        <w:rPr>
          <w:rFonts w:hint="eastAsia" w:ascii="仿宋" w:hAnsi="仿宋" w:eastAsia="仿宋" w:cs="仿宋"/>
          <w:color w:val="auto"/>
          <w:szCs w:val="21"/>
          <w:highlight w:val="none"/>
        </w:rPr>
      </w:pPr>
    </w:p>
    <w:p>
      <w:pPr>
        <w:snapToGrid w:val="0"/>
        <w:ind w:left="74"/>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ind w:left="74"/>
        <w:textAlignment w:val="auto"/>
        <w:outlineLvl w:val="0"/>
        <w:rPr>
          <w:rFonts w:hint="eastAsia" w:ascii="宋体" w:hAnsi="宋体" w:cs="宋体"/>
          <w:color w:val="auto"/>
          <w:sz w:val="28"/>
          <w:szCs w:val="28"/>
          <w:highlight w:val="none"/>
        </w:rPr>
        <w:sectPr>
          <w:pgSz w:w="15840" w:h="12240" w:orient="landscape"/>
          <w:pgMar w:top="1797" w:right="1440" w:bottom="1797" w:left="1440" w:header="720" w:footer="720" w:gutter="0"/>
          <w:pgBorders>
            <w:top w:val="none" w:sz="0" w:space="0"/>
            <w:left w:val="none" w:sz="0" w:space="0"/>
            <w:bottom w:val="none" w:sz="0" w:space="0"/>
            <w:right w:val="none" w:sz="0" w:space="0"/>
          </w:pgBorders>
          <w:pgNumType w:fmt="decimal"/>
          <w:cols w:space="0" w:num="1"/>
          <w:rtlGutter w:val="0"/>
          <w:docGrid w:linePitch="312" w:charSpace="0"/>
        </w:sectPr>
      </w:pPr>
      <w:bookmarkStart w:id="58" w:name="_Toc22949"/>
    </w:p>
    <w:p>
      <w:pPr>
        <w:keepNext w:val="0"/>
        <w:keepLines w:val="0"/>
        <w:pageBreakBefore w:val="0"/>
        <w:widowControl w:val="0"/>
        <w:kinsoku/>
        <w:wordWrap/>
        <w:overflowPunct/>
        <w:topLinePunct w:val="0"/>
        <w:autoSpaceDE/>
        <w:autoSpaceDN/>
        <w:bidi w:val="0"/>
        <w:adjustRightInd/>
        <w:snapToGrid w:val="0"/>
        <w:ind w:left="74"/>
        <w:textAlignment w:val="auto"/>
        <w:outlineLvl w:val="0"/>
        <w:rPr>
          <w:color w:val="auto"/>
          <w:sz w:val="28"/>
          <w:szCs w:val="28"/>
          <w:highlight w:val="none"/>
        </w:rPr>
      </w:pPr>
      <w:r>
        <w:rPr>
          <w:rFonts w:hint="eastAsia" w:ascii="宋体" w:hAnsi="宋体" w:cs="宋体"/>
          <w:color w:val="auto"/>
          <w:sz w:val="28"/>
          <w:szCs w:val="28"/>
          <w:highlight w:val="none"/>
        </w:rPr>
        <w:t>附件：合同</w:t>
      </w:r>
      <w:bookmarkEnd w:id="58"/>
    </w:p>
    <w:p>
      <w:pPr>
        <w:spacing w:before="120" w:after="120"/>
        <w:ind w:firstLine="5400" w:firstLineChars="2250"/>
        <w:rPr>
          <w:rFonts w:ascii="黑体" w:hAnsi="宋体" w:eastAsia="黑体" w:cs="黑体"/>
          <w:b/>
          <w:color w:val="auto"/>
          <w:sz w:val="24"/>
          <w:highlight w:val="none"/>
        </w:rPr>
      </w:pPr>
      <w:r>
        <w:rPr>
          <w:rFonts w:hint="eastAsia" w:ascii="黑体" w:hAnsi="宋体" w:eastAsia="黑体" w:cs="黑体"/>
          <w:color w:val="auto"/>
          <w:sz w:val="24"/>
          <w:highlight w:val="none"/>
        </w:rPr>
        <w:t>合同编号：</w:t>
      </w:r>
    </w:p>
    <w:p>
      <w:pPr>
        <w:spacing w:line="360" w:lineRule="auto"/>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南沙资产经营集团公司年度项目前期方案设计及设计咨询服务</w:t>
      </w:r>
      <w:r>
        <w:rPr>
          <w:rFonts w:hint="eastAsia" w:ascii="宋体" w:hAnsi="宋体" w:eastAsia="宋体" w:cs="宋体"/>
          <w:b/>
          <w:color w:val="auto"/>
          <w:sz w:val="32"/>
          <w:szCs w:val="32"/>
          <w:highlight w:val="none"/>
        </w:rPr>
        <w:t>》项目编制合同</w:t>
      </w:r>
    </w:p>
    <w:p>
      <w:pPr>
        <w:spacing w:line="360" w:lineRule="auto"/>
        <w:ind w:left="1418" w:leftChars="675" w:firstLine="289" w:firstLineChars="40"/>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ind w:left="1418" w:leftChars="675" w:firstLine="289" w:firstLineChars="40"/>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ind w:left="1418" w:leftChars="675" w:firstLine="129" w:firstLineChars="40"/>
        <w:jc w:val="left"/>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spacing w:line="360" w:lineRule="auto"/>
        <w:ind w:left="1418" w:leftChars="675" w:firstLine="209" w:firstLineChars="40"/>
        <w:jc w:val="left"/>
        <w:rPr>
          <w:b/>
          <w:color w:val="auto"/>
          <w:sz w:val="52"/>
          <w:szCs w:val="52"/>
          <w:highlight w:val="none"/>
        </w:rPr>
      </w:pPr>
      <w:r>
        <w:rPr>
          <w:rFonts w:ascii="Times New Roman" w:hAnsi="Times New Roman" w:eastAsia="宋体" w:cs="Times New Roman"/>
          <w:b/>
          <w:color w:val="auto"/>
          <w:sz w:val="52"/>
          <w:szCs w:val="52"/>
          <w:highlight w:val="none"/>
        </w:rPr>
        <w:t xml:space="preserve"> </w:t>
      </w:r>
    </w:p>
    <w:p>
      <w:pPr>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委托方（甲方）：</w:t>
      </w:r>
      <w:r>
        <w:rPr>
          <w:rFonts w:hint="eastAsia" w:ascii="黑体" w:hAnsi="宋体" w:eastAsia="黑体" w:cs="黑体"/>
          <w:color w:val="auto"/>
          <w:sz w:val="30"/>
          <w:szCs w:val="30"/>
          <w:highlight w:val="none"/>
        </w:rPr>
        <w:tab/>
      </w:r>
      <w:r>
        <w:rPr>
          <w:rFonts w:hint="eastAsia" w:ascii="黑体" w:hAnsi="宋体" w:eastAsia="黑体" w:cs="黑体"/>
          <w:color w:val="auto"/>
          <w:sz w:val="30"/>
          <w:szCs w:val="30"/>
          <w:highlight w:val="none"/>
          <w:u w:val="single"/>
        </w:rPr>
        <w:t>广州南沙</w:t>
      </w:r>
      <w:r>
        <w:rPr>
          <w:rFonts w:hint="eastAsia" w:ascii="黑体" w:hAnsi="宋体" w:eastAsia="黑体" w:cs="黑体"/>
          <w:color w:val="auto"/>
          <w:sz w:val="30"/>
          <w:szCs w:val="30"/>
          <w:highlight w:val="none"/>
          <w:u w:val="single"/>
          <w:lang w:val="en-US" w:eastAsia="zh-CN"/>
        </w:rPr>
        <w:t>建设维护管理</w:t>
      </w:r>
      <w:r>
        <w:rPr>
          <w:rFonts w:hint="eastAsia" w:ascii="黑体" w:hAnsi="宋体" w:eastAsia="黑体" w:cs="黑体"/>
          <w:color w:val="auto"/>
          <w:sz w:val="30"/>
          <w:szCs w:val="30"/>
          <w:highlight w:val="none"/>
          <w:u w:val="single"/>
        </w:rPr>
        <w:t>有限公司</w:t>
      </w:r>
    </w:p>
    <w:p>
      <w:pPr>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受托方（乙方）：</w:t>
      </w:r>
      <w:r>
        <w:rPr>
          <w:rFonts w:hint="eastAsia" w:ascii="黑体" w:hAnsi="宋体" w:eastAsia="黑体" w:cs="黑体"/>
          <w:color w:val="auto"/>
          <w:sz w:val="30"/>
          <w:szCs w:val="30"/>
          <w:highlight w:val="none"/>
        </w:rPr>
        <w:tab/>
      </w:r>
      <w:r>
        <w:rPr>
          <w:rFonts w:hint="eastAsia" w:ascii="黑体" w:hAnsi="宋体" w:eastAsia="黑体" w:cs="黑体"/>
          <w:color w:val="auto"/>
          <w:sz w:val="30"/>
          <w:szCs w:val="30"/>
          <w:highlight w:val="none"/>
          <w:u w:val="single"/>
        </w:rPr>
        <w:t xml:space="preserve">                            </w:t>
      </w:r>
    </w:p>
    <w:p>
      <w:pPr>
        <w:jc w:val="center"/>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 xml:space="preserve"> </w:t>
      </w:r>
    </w:p>
    <w:p>
      <w:pPr>
        <w:jc w:val="center"/>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签订日期：二〇二〇年  月</w:t>
      </w:r>
    </w:p>
    <w:p>
      <w:pPr>
        <w:adjustRightInd w:val="0"/>
        <w:snapToGrid w:val="0"/>
        <w:spacing w:before="120" w:beforeLines="50" w:after="120" w:afterLines="50" w:line="320" w:lineRule="exact"/>
        <w:rPr>
          <w:b/>
          <w:color w:val="auto"/>
          <w:sz w:val="52"/>
          <w:szCs w:val="52"/>
          <w:highlight w:val="none"/>
        </w:rPr>
      </w:pPr>
      <w:r>
        <w:rPr>
          <w:rFonts w:ascii="Times New Roman" w:hAnsi="Times New Roman" w:eastAsia="宋体" w:cs="Times New Roman"/>
          <w:b/>
          <w:color w:val="auto"/>
          <w:sz w:val="52"/>
          <w:szCs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南沙资产经营集团公司年度项目前期方案设计及设计咨询</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hAnsi="宋体" w:eastAsia="黑体" w:cs="黑体"/>
          <w:b/>
          <w:color w:val="auto"/>
          <w:sz w:val="32"/>
          <w:szCs w:val="32"/>
          <w:highlight w:val="none"/>
        </w:rPr>
      </w:pPr>
      <w:r>
        <w:rPr>
          <w:rFonts w:hint="eastAsia" w:ascii="宋体" w:hAnsi="宋体" w:eastAsia="宋体" w:cs="宋体"/>
          <w:b/>
          <w:color w:val="auto"/>
          <w:sz w:val="32"/>
          <w:szCs w:val="32"/>
          <w:highlight w:val="none"/>
          <w:lang w:val="en-US" w:eastAsia="zh-CN"/>
        </w:rPr>
        <w:t>服务</w:t>
      </w:r>
      <w:r>
        <w:rPr>
          <w:rFonts w:hint="eastAsia" w:ascii="宋体" w:hAnsi="宋体" w:eastAsia="宋体" w:cs="宋体"/>
          <w:b/>
          <w:color w:val="auto"/>
          <w:sz w:val="32"/>
          <w:szCs w:val="32"/>
          <w:highlight w:val="none"/>
        </w:rPr>
        <w:t>项目编制合同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Ansi="宋体"/>
          <w:b/>
          <w:color w:val="auto"/>
          <w:sz w:val="24"/>
          <w:highlight w:val="none"/>
        </w:rPr>
      </w:pPr>
      <w:r>
        <w:rPr>
          <w:rFonts w:ascii="Times New Roman" w:hAnsi="宋体" w:eastAsia="宋体" w:cs="Times New Roman"/>
          <w:b/>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b/>
          <w:color w:val="auto"/>
          <w:sz w:val="24"/>
          <w:highlight w:val="none"/>
          <w:u w:val="single"/>
        </w:rPr>
      </w:pPr>
      <w:r>
        <w:rPr>
          <w:rFonts w:hint="eastAsia" w:ascii="宋体" w:hAnsi="宋体" w:eastAsia="宋体" w:cs="宋体"/>
          <w:b/>
          <w:color w:val="auto"/>
          <w:sz w:val="24"/>
          <w:highlight w:val="none"/>
        </w:rPr>
        <w:t>委托方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甲方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u w:val="single"/>
        </w:rPr>
        <w:t>广州南沙</w:t>
      </w:r>
      <w:r>
        <w:rPr>
          <w:rFonts w:hint="eastAsia" w:ascii="宋体" w:hAnsi="宋体" w:eastAsia="宋体" w:cs="宋体"/>
          <w:b/>
          <w:color w:val="auto"/>
          <w:kern w:val="0"/>
          <w:sz w:val="24"/>
          <w:highlight w:val="none"/>
          <w:u w:val="single"/>
          <w:lang w:val="en-US" w:eastAsia="zh-CN"/>
        </w:rPr>
        <w:t>建设维护管理</w:t>
      </w:r>
      <w:r>
        <w:rPr>
          <w:rFonts w:hint="eastAsia" w:ascii="宋体" w:hAnsi="宋体" w:eastAsia="宋体" w:cs="宋体"/>
          <w:b/>
          <w:color w:val="auto"/>
          <w:kern w:val="0"/>
          <w:sz w:val="24"/>
          <w:highlight w:val="none"/>
          <w:u w:val="single"/>
        </w:rPr>
        <w:t>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b/>
          <w:color w:val="auto"/>
          <w:sz w:val="24"/>
          <w:highlight w:val="none"/>
          <w:u w:val="single"/>
        </w:rPr>
      </w:pPr>
      <w:r>
        <w:rPr>
          <w:rFonts w:hint="eastAsia" w:ascii="宋体" w:hAnsi="宋体" w:eastAsia="宋体" w:cs="宋体"/>
          <w:b/>
          <w:color w:val="auto"/>
          <w:sz w:val="24"/>
          <w:highlight w:val="none"/>
        </w:rPr>
        <w:t>受托方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乙方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u w:val="single"/>
        </w:rPr>
        <w:t xml:space="preserve">  </w:t>
      </w:r>
      <w:r>
        <w:rPr>
          <w:rFonts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u w:val="single"/>
        </w:rPr>
        <w:t xml:space="preserve">       </w:t>
      </w:r>
    </w:p>
    <w:p>
      <w:pPr>
        <w:spacing w:line="360" w:lineRule="auto"/>
        <w:ind w:left="105" w:leftChars="50" w:right="105" w:rightChars="5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经</w:t>
      </w:r>
      <w:r>
        <w:rPr>
          <w:rFonts w:hint="eastAsia" w:ascii="宋体" w:hAnsi="宋体" w:eastAsia="宋体" w:cs="宋体"/>
          <w:color w:val="auto"/>
          <w:sz w:val="24"/>
          <w:highlight w:val="none"/>
          <w:u w:val="single"/>
        </w:rPr>
        <w:t xml:space="preserve"> 邀请招标 </w:t>
      </w:r>
      <w:r>
        <w:rPr>
          <w:rFonts w:hint="eastAsia" w:ascii="宋体" w:hAnsi="宋体" w:eastAsia="宋体" w:cs="宋体"/>
          <w:color w:val="auto"/>
          <w:sz w:val="24"/>
          <w:highlight w:val="none"/>
        </w:rPr>
        <w:t>确定乙方为资产经营集团年度项目</w:t>
      </w:r>
      <w:r>
        <w:rPr>
          <w:rFonts w:hint="eastAsia" w:ascii="宋体" w:hAnsi="宋体" w:eastAsia="宋体" w:cs="宋体"/>
          <w:color w:val="auto"/>
          <w:sz w:val="24"/>
          <w:highlight w:val="none"/>
          <w:lang w:eastAsia="zh-CN"/>
        </w:rPr>
        <w:t>前期方案设计及设计咨询</w:t>
      </w:r>
      <w:r>
        <w:rPr>
          <w:rFonts w:hint="eastAsia" w:ascii="宋体" w:hAnsi="宋体" w:eastAsia="宋体" w:cs="宋体"/>
          <w:color w:val="auto"/>
          <w:sz w:val="24"/>
          <w:highlight w:val="none"/>
        </w:rPr>
        <w:t>服务单位选定项目的中标单位（中标通知书编号：</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根据《中华人民共和国合同法》及有关法律、法规的有关规定，甲方与乙方在平等、自愿、公平、诚实信用的基础上，经友好协商，就甲方委托乙方进行</w:t>
      </w:r>
      <w:r>
        <w:rPr>
          <w:rFonts w:hint="eastAsia" w:ascii="宋体" w:hAnsi="宋体" w:eastAsia="宋体" w:cs="宋体"/>
          <w:b/>
          <w:color w:val="auto"/>
          <w:sz w:val="24"/>
          <w:highlight w:val="none"/>
        </w:rPr>
        <w:t>资产经营集团年度项目</w:t>
      </w:r>
      <w:r>
        <w:rPr>
          <w:rFonts w:hint="eastAsia" w:ascii="宋体" w:hAnsi="宋体" w:eastAsia="宋体" w:cs="宋体"/>
          <w:b/>
          <w:color w:val="auto"/>
          <w:sz w:val="24"/>
          <w:highlight w:val="none"/>
          <w:lang w:eastAsia="zh-CN"/>
        </w:rPr>
        <w:t>前期方案设计及设计咨询</w:t>
      </w:r>
      <w:r>
        <w:rPr>
          <w:rFonts w:hint="eastAsia" w:ascii="宋体" w:hAnsi="宋体" w:eastAsia="宋体" w:cs="宋体"/>
          <w:b/>
          <w:color w:val="auto"/>
          <w:sz w:val="24"/>
          <w:highlight w:val="none"/>
        </w:rPr>
        <w:t>服务单位选定</w:t>
      </w:r>
      <w:r>
        <w:rPr>
          <w:rFonts w:hint="eastAsia" w:ascii="宋体" w:hAnsi="宋体" w:eastAsia="宋体" w:cs="宋体"/>
          <w:color w:val="auto"/>
          <w:sz w:val="24"/>
          <w:highlight w:val="none"/>
        </w:rPr>
        <w:t>项目编制的服务，达成以下协议：</w:t>
      </w:r>
    </w:p>
    <w:p>
      <w:pPr>
        <w:pStyle w:val="18"/>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59" w:name="_Toc27826"/>
      <w:bookmarkStart w:id="60" w:name="_Toc16116"/>
      <w:bookmarkStart w:id="61" w:name="_Toc18554"/>
      <w:r>
        <w:rPr>
          <w:rFonts w:hint="eastAsia" w:asciiTheme="minorEastAsia" w:hAnsiTheme="minorEastAsia" w:eastAsiaTheme="minorEastAsia" w:cstheme="minorEastAsia"/>
          <w:b/>
          <w:color w:val="auto"/>
          <w:sz w:val="24"/>
          <w:szCs w:val="24"/>
          <w:highlight w:val="none"/>
        </w:rPr>
        <w:t>概述</w:t>
      </w:r>
      <w:bookmarkEnd w:id="59"/>
      <w:bookmarkEnd w:id="60"/>
      <w:bookmarkEnd w:id="61"/>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val="en-US" w:eastAsia="zh-CN"/>
        </w:rPr>
        <w:t>南沙资产经营集团公司年度项目前期方案设计及设计咨询服务</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项目服务范围及委托主要内容：为提高资产经营集团落地项目品质，使项目树立南沙建设标杆，需在项目前期由专业的设计单位提供高标准的</w:t>
      </w:r>
      <w:r>
        <w:rPr>
          <w:rFonts w:hint="eastAsia" w:ascii="宋体" w:hAnsi="宋体" w:cs="宋体"/>
          <w:color w:val="auto"/>
          <w:sz w:val="24"/>
          <w:szCs w:val="24"/>
          <w:highlight w:val="none"/>
          <w:lang w:eastAsia="zh-CN"/>
        </w:rPr>
        <w:t>前期方案设计及设计咨询</w:t>
      </w:r>
      <w:r>
        <w:rPr>
          <w:rFonts w:hint="eastAsia" w:ascii="宋体" w:hAnsi="宋体" w:cs="宋体"/>
          <w:color w:val="auto"/>
          <w:sz w:val="24"/>
          <w:szCs w:val="24"/>
          <w:highlight w:val="none"/>
        </w:rPr>
        <w:t>服务，以能够准确匹配产品定位，把控好前期规划设计思路与项目关键性指标，为保证服务质量与连贯性、独立性，拟以年度服务外包的形式选定长期服务单位。</w:t>
      </w:r>
    </w:p>
    <w:p>
      <w:pPr>
        <w:pStyle w:val="18"/>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bookmarkStart w:id="62" w:name="_Toc28218"/>
      <w:bookmarkStart w:id="63" w:name="_Toc30315"/>
      <w:bookmarkStart w:id="64" w:name="_Toc32341"/>
      <w:r>
        <w:rPr>
          <w:rFonts w:hint="eastAsia" w:asciiTheme="minorEastAsia" w:hAnsiTheme="minorEastAsia" w:eastAsiaTheme="minorEastAsia" w:cstheme="minorEastAsia"/>
          <w:b/>
          <w:color w:val="auto"/>
          <w:sz w:val="24"/>
          <w:szCs w:val="24"/>
          <w:highlight w:val="none"/>
        </w:rPr>
        <w:t>委托内容及成果</w:t>
      </w:r>
      <w:bookmarkEnd w:id="62"/>
      <w:bookmarkEnd w:id="63"/>
      <w:bookmarkEnd w:id="64"/>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1"/>
        <w:rPr>
          <w:b/>
          <w:bCs/>
          <w:color w:val="auto"/>
          <w:sz w:val="24"/>
          <w:highlight w:val="none"/>
        </w:rPr>
      </w:pPr>
      <w:bookmarkStart w:id="65" w:name="_Toc22443"/>
      <w:bookmarkStart w:id="66" w:name="_Toc2570"/>
      <w:r>
        <w:rPr>
          <w:rFonts w:hint="eastAsia" w:ascii="宋体" w:hAnsi="宋体" w:eastAsia="宋体" w:cs="宋体"/>
          <w:b/>
          <w:bCs/>
          <w:color w:val="auto"/>
          <w:sz w:val="24"/>
          <w:highlight w:val="none"/>
        </w:rPr>
        <w:t>20%概念方案设计成果</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经济技术指标 </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CAD总平面图   </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简要说明    </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t>50%概念方案设计成果</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经济技术指标</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SU总体鸟瞰图</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SU沿街建筑效果图不少于3张</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彩色总平面图</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b/>
          <w:bCs/>
          <w:color w:val="auto"/>
          <w:sz w:val="24"/>
          <w:highlight w:val="none"/>
        </w:rPr>
      </w:pPr>
      <w:r>
        <w:rPr>
          <w:rFonts w:hint="eastAsia" w:ascii="宋体" w:hAnsi="宋体" w:eastAsia="宋体" w:cs="宋体"/>
          <w:color w:val="auto"/>
          <w:sz w:val="24"/>
          <w:highlight w:val="none"/>
        </w:rPr>
        <w:t xml:space="preserve">简要说明   </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t>100%概念方案设计成果</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rPr>
        <w:t>设计说明：</w:t>
      </w:r>
    </w:p>
    <w:p>
      <w:pPr>
        <w:keepNext w:val="0"/>
        <w:keepLines w:val="0"/>
        <w:pageBreakBefore w:val="0"/>
        <w:widowControl w:val="0"/>
        <w:numPr>
          <w:ilvl w:val="0"/>
          <w:numId w:val="24"/>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整体设计立意与构思  </w:t>
      </w:r>
    </w:p>
    <w:p>
      <w:pPr>
        <w:keepNext w:val="0"/>
        <w:keepLines w:val="0"/>
        <w:pageBreakBefore w:val="0"/>
        <w:widowControl w:val="0"/>
        <w:numPr>
          <w:ilvl w:val="0"/>
          <w:numId w:val="24"/>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设计说明</w:t>
      </w:r>
    </w:p>
    <w:p>
      <w:pPr>
        <w:keepNext w:val="0"/>
        <w:keepLines w:val="0"/>
        <w:pageBreakBefore w:val="0"/>
        <w:widowControl w:val="0"/>
        <w:numPr>
          <w:ilvl w:val="0"/>
          <w:numId w:val="24"/>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经济技术指标                          </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效果图</w:t>
      </w:r>
    </w:p>
    <w:p>
      <w:pPr>
        <w:keepNext w:val="0"/>
        <w:keepLines w:val="0"/>
        <w:pageBreakBefore w:val="0"/>
        <w:widowControl w:val="0"/>
        <w:numPr>
          <w:ilvl w:val="0"/>
          <w:numId w:val="25"/>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总体鸟瞰图</w:t>
      </w:r>
    </w:p>
    <w:p>
      <w:pPr>
        <w:keepNext w:val="0"/>
        <w:keepLines w:val="0"/>
        <w:pageBreakBefore w:val="0"/>
        <w:widowControl w:val="0"/>
        <w:numPr>
          <w:ilvl w:val="0"/>
          <w:numId w:val="25"/>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沿街建筑效果图 </w:t>
      </w:r>
    </w:p>
    <w:p>
      <w:pPr>
        <w:keepNext w:val="0"/>
        <w:keepLines w:val="0"/>
        <w:pageBreakBefore w:val="0"/>
        <w:widowControl w:val="0"/>
        <w:numPr>
          <w:ilvl w:val="0"/>
          <w:numId w:val="25"/>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彩色总平面图 </w:t>
      </w:r>
    </w:p>
    <w:p>
      <w:pPr>
        <w:keepNext w:val="0"/>
        <w:keepLines w:val="0"/>
        <w:pageBreakBefore w:val="0"/>
        <w:widowControl w:val="0"/>
        <w:numPr>
          <w:ilvl w:val="0"/>
          <w:numId w:val="25"/>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局部放大透视图                                                                                                      </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分析图 </w:t>
      </w:r>
    </w:p>
    <w:p>
      <w:pPr>
        <w:keepNext w:val="0"/>
        <w:keepLines w:val="0"/>
        <w:pageBreakBefore w:val="0"/>
        <w:widowControl w:val="0"/>
        <w:numPr>
          <w:ilvl w:val="0"/>
          <w:numId w:val="26"/>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区位分析图</w:t>
      </w:r>
    </w:p>
    <w:p>
      <w:pPr>
        <w:keepNext w:val="0"/>
        <w:keepLines w:val="0"/>
        <w:pageBreakBefore w:val="0"/>
        <w:widowControl w:val="0"/>
        <w:numPr>
          <w:ilvl w:val="0"/>
          <w:numId w:val="26"/>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消防分析图</w:t>
      </w:r>
    </w:p>
    <w:p>
      <w:pPr>
        <w:keepNext w:val="0"/>
        <w:keepLines w:val="0"/>
        <w:pageBreakBefore w:val="0"/>
        <w:widowControl w:val="0"/>
        <w:numPr>
          <w:ilvl w:val="0"/>
          <w:numId w:val="26"/>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景观分析图 </w:t>
      </w:r>
    </w:p>
    <w:p>
      <w:pPr>
        <w:keepNext w:val="0"/>
        <w:keepLines w:val="0"/>
        <w:pageBreakBefore w:val="0"/>
        <w:widowControl w:val="0"/>
        <w:numPr>
          <w:ilvl w:val="0"/>
          <w:numId w:val="26"/>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交通流线分析图</w:t>
      </w:r>
    </w:p>
    <w:p>
      <w:pPr>
        <w:keepNext w:val="0"/>
        <w:keepLines w:val="0"/>
        <w:pageBreakBefore w:val="0"/>
        <w:widowControl w:val="0"/>
        <w:numPr>
          <w:ilvl w:val="0"/>
          <w:numId w:val="26"/>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功能分区图</w:t>
      </w:r>
    </w:p>
    <w:p>
      <w:pPr>
        <w:keepNext w:val="0"/>
        <w:keepLines w:val="0"/>
        <w:pageBreakBefore w:val="0"/>
        <w:widowControl w:val="0"/>
        <w:numPr>
          <w:ilvl w:val="0"/>
          <w:numId w:val="26"/>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视线分析图</w:t>
      </w:r>
    </w:p>
    <w:p>
      <w:pPr>
        <w:keepNext w:val="0"/>
        <w:keepLines w:val="0"/>
        <w:pageBreakBefore w:val="0"/>
        <w:widowControl w:val="0"/>
        <w:numPr>
          <w:ilvl w:val="0"/>
          <w:numId w:val="26"/>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日照分析图</w:t>
      </w:r>
    </w:p>
    <w:p>
      <w:pPr>
        <w:keepNext w:val="0"/>
        <w:keepLines w:val="0"/>
        <w:pageBreakBefore w:val="0"/>
        <w:widowControl w:val="0"/>
        <w:numPr>
          <w:ilvl w:val="0"/>
          <w:numId w:val="26"/>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道路竖向分析图                           </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技术图</w:t>
      </w:r>
    </w:p>
    <w:p>
      <w:pPr>
        <w:keepNext w:val="0"/>
        <w:keepLines w:val="0"/>
        <w:pageBreakBefore w:val="0"/>
        <w:widowControl w:val="0"/>
        <w:numPr>
          <w:ilvl w:val="0"/>
          <w:numId w:val="27"/>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CAD总平面图</w:t>
      </w:r>
    </w:p>
    <w:p>
      <w:pPr>
        <w:keepNext w:val="0"/>
        <w:keepLines w:val="0"/>
        <w:pageBreakBefore w:val="0"/>
        <w:widowControl w:val="0"/>
        <w:numPr>
          <w:ilvl w:val="0"/>
          <w:numId w:val="27"/>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基地剖面图</w:t>
      </w:r>
    </w:p>
    <w:p>
      <w:pPr>
        <w:keepNext w:val="0"/>
        <w:keepLines w:val="0"/>
        <w:pageBreakBefore w:val="0"/>
        <w:widowControl w:val="0"/>
        <w:numPr>
          <w:ilvl w:val="0"/>
          <w:numId w:val="27"/>
        </w:numPr>
        <w:tabs>
          <w:tab w:val="left" w:pos="0"/>
        </w:tabs>
        <w:kinsoku/>
        <w:wordWrap/>
        <w:overflowPunct/>
        <w:topLinePunct w:val="0"/>
        <w:autoSpaceDE/>
        <w:autoSpaceDN/>
        <w:bidi w:val="0"/>
        <w:adjustRightInd/>
        <w:snapToGrid/>
        <w:spacing w:line="360" w:lineRule="auto"/>
        <w:ind w:left="0" w:leftChars="0" w:firstLine="720" w:firstLineChars="3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典型标准层平面示意图    </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建筑方案设计（根据发包人实际项目由招标人最终确定）</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满足国家《建筑工程设计文件编制深度规定(2016版)》标准</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配合招标人对后续施工图设计单位完成成果进行审核把关。</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bCs/>
          <w:color w:val="auto"/>
          <w:sz w:val="24"/>
          <w:highlight w:val="none"/>
        </w:rPr>
      </w:pPr>
      <w:bookmarkStart w:id="67" w:name="_Toc7481"/>
      <w:r>
        <w:rPr>
          <w:rFonts w:hint="eastAsia" w:ascii="宋体" w:hAnsi="宋体" w:eastAsia="宋体" w:cs="宋体"/>
          <w:b/>
          <w:bCs/>
          <w:color w:val="auto"/>
          <w:sz w:val="24"/>
          <w:highlight w:val="none"/>
          <w:lang w:val="en-US" w:eastAsia="zh-CN"/>
        </w:rPr>
        <w:t>分项协议</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双方确定委托内容后，与资产经营集团项目业主单位，按本协议内容，签订三方合同。</w:t>
      </w:r>
    </w:p>
    <w:p>
      <w:pPr>
        <w:pStyle w:val="18"/>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设计资质及技术要求</w:t>
      </w:r>
      <w:bookmarkEnd w:id="65"/>
      <w:bookmarkEnd w:id="66"/>
      <w:bookmarkEnd w:id="67"/>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乙方专业资质、业绩、团队投入必须与其投标文件相关内容一致。</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黑体" w:hAnsi="黑体" w:eastAsia="黑体" w:cs="宋体"/>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乙方提交的成果必须符合现行的国家及地方法规、规范和有关技术要求。</w:t>
      </w:r>
    </w:p>
    <w:p>
      <w:pPr>
        <w:pStyle w:val="18"/>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68" w:name="_Toc10700"/>
      <w:bookmarkStart w:id="69" w:name="_Toc14959"/>
      <w:bookmarkStart w:id="70" w:name="_Toc26794"/>
      <w:r>
        <w:rPr>
          <w:rFonts w:hint="eastAsia" w:asciiTheme="minorEastAsia" w:hAnsiTheme="minorEastAsia" w:eastAsiaTheme="minorEastAsia" w:cstheme="minorEastAsia"/>
          <w:b/>
          <w:color w:val="auto"/>
          <w:sz w:val="24"/>
          <w:szCs w:val="24"/>
          <w:highlight w:val="none"/>
        </w:rPr>
        <w:t>甲方职责</w:t>
      </w:r>
      <w:bookmarkEnd w:id="68"/>
      <w:bookmarkEnd w:id="69"/>
      <w:bookmarkEnd w:id="70"/>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 xml:space="preserve">甲方指定一名授权代表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（联系电话：</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/企业邮箱：</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）与乙方的授权代表建立工作联系，负责本项目有关工作事项，并对双方往来文件进行签收。</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按本合同规定的金额和时间向乙方支付服务费用。</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甲方应保护乙方的研究成果（包括文件、资料图纸和数据）。未经乙方同意，甲方对乙方交付的研究成果不得擅自转让，如发生以上情况，甲方应负法律责任，乙方有权向甲方提出索赔。</w:t>
      </w:r>
    </w:p>
    <w:p>
      <w:pPr>
        <w:pStyle w:val="18"/>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71" w:name="_Toc4206"/>
      <w:bookmarkStart w:id="72" w:name="_Toc25045"/>
      <w:bookmarkStart w:id="73" w:name="_Toc14671"/>
      <w:r>
        <w:rPr>
          <w:rFonts w:hint="eastAsia" w:asciiTheme="minorEastAsia" w:hAnsiTheme="minorEastAsia" w:eastAsiaTheme="minorEastAsia" w:cstheme="minorEastAsia"/>
          <w:b/>
          <w:color w:val="auto"/>
          <w:sz w:val="24"/>
          <w:szCs w:val="24"/>
          <w:highlight w:val="none"/>
        </w:rPr>
        <w:t>乙方职责</w:t>
      </w:r>
      <w:bookmarkEnd w:id="71"/>
      <w:bookmarkEnd w:id="72"/>
      <w:bookmarkEnd w:id="73"/>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乙方指定</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（联系电话：</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/企业邮箱：</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）为项目负责人，负责联系项目有关工作事宜，并对双方往来文件进行签收，同时乙方负责对甲方提供的资料准确性进行核查并承担责任。</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根据甲方要求需要，并依照现行的国家和地方有关法律、法规以及相关规范的技术要求，按本合同约定的时间内向甲方提交成果，并对其完整性、准确性、科学合理性及时限负责。</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乙方应维持本项目团队的稳定，不得随意进行调动或更换。如需调换，须事先通知甲方并获得甲方认可。其中不称职的人员，甲方有权要求在指定期限内调换。如因乙方工作人员离职、退休或长病假等非乙方可控情形导致需变更乙方人员配置，乙方应及时地调换具备相应能力、经验的设计人员并得甲方认可。</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乙方应与甲方充分沟通，积极与甲方进行各阶段成果交流与汇报，并依据汇报中讨论结果及时做出修改。</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乙方应为其工作人员及聘用人员购买相应的保险，乙方工作人员及聘用人员工作期间发生的有关安全事故、人身伤亡、罚款、损失赔偿、诉讼费及其他一切责任由乙方自行负责。若因此导致甲方被追偿（追责）之类的，乙方应赔偿甲方因此造成的所有损失（包括但不限于为乙方或其工作人员、聘用人员垫付的所有费用、律师费、差旅费、诉讼费或仲裁费、保全费、公证费、公告费、评估费、执行费等）。</w:t>
      </w:r>
    </w:p>
    <w:p>
      <w:pPr>
        <w:pStyle w:val="18"/>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74" w:name="_Toc31191"/>
      <w:bookmarkStart w:id="75" w:name="_Toc15932"/>
      <w:bookmarkStart w:id="76" w:name="_Toc13199"/>
      <w:r>
        <w:rPr>
          <w:rFonts w:hint="eastAsia" w:asciiTheme="minorEastAsia" w:hAnsiTheme="minorEastAsia" w:eastAsiaTheme="minorEastAsia" w:cstheme="minorEastAsia"/>
          <w:b/>
          <w:color w:val="auto"/>
          <w:sz w:val="24"/>
          <w:szCs w:val="24"/>
          <w:highlight w:val="none"/>
        </w:rPr>
        <w:t>服务期限</w:t>
      </w:r>
      <w:bookmarkEnd w:id="74"/>
      <w:bookmarkEnd w:id="75"/>
      <w:bookmarkEnd w:id="76"/>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双方同意，由甲方按每个项目的情况，给予乙方合理工作期限，乙方应在甲方指定的工作期限前完成甲方所要求的工作。</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乙方的总服务期限为：2020年3月</w:t>
      </w:r>
      <w:r>
        <w:rPr>
          <w:rFonts w:hint="eastAsia" w:asciiTheme="minorEastAsia" w:hAnsiTheme="minorEastAsia" w:eastAsiaTheme="minorEastAsia" w:cstheme="minorEastAsia"/>
          <w:b w:val="0"/>
          <w:bCs/>
          <w:color w:val="auto"/>
          <w:sz w:val="24"/>
          <w:szCs w:val="24"/>
          <w:highlight w:val="none"/>
          <w:lang w:val="en-US" w:eastAsia="zh-CN"/>
        </w:rPr>
        <w:t>至</w:t>
      </w:r>
      <w:r>
        <w:rPr>
          <w:rFonts w:hint="eastAsia" w:asciiTheme="minorEastAsia" w:hAnsiTheme="minorEastAsia" w:eastAsiaTheme="minorEastAsia" w:cstheme="minorEastAsia"/>
          <w:b w:val="0"/>
          <w:bCs/>
          <w:color w:val="auto"/>
          <w:sz w:val="24"/>
          <w:szCs w:val="24"/>
          <w:highlight w:val="none"/>
        </w:rPr>
        <w:t>2021年3月或者</w:t>
      </w:r>
      <w:r>
        <w:rPr>
          <w:rFonts w:hint="eastAsia" w:asciiTheme="minorEastAsia" w:hAnsiTheme="minorEastAsia" w:eastAsiaTheme="minorEastAsia" w:cstheme="minorEastAsia"/>
          <w:b w:val="0"/>
          <w:bCs/>
          <w:color w:val="auto"/>
          <w:sz w:val="24"/>
          <w:szCs w:val="24"/>
          <w:highlight w:val="none"/>
          <w:lang w:eastAsia="zh-CN"/>
        </w:rPr>
        <w:t>累计服务费接近100万为止</w:t>
      </w:r>
      <w:r>
        <w:rPr>
          <w:rFonts w:hint="eastAsia" w:asciiTheme="minorEastAsia" w:hAnsiTheme="minorEastAsia" w:eastAsiaTheme="minorEastAsia" w:cstheme="minorEastAsia"/>
          <w:b w:val="0"/>
          <w:bCs/>
          <w:color w:val="auto"/>
          <w:sz w:val="24"/>
          <w:szCs w:val="24"/>
          <w:highlight w:val="none"/>
        </w:rPr>
        <w:t>（每项设计任务根据项目情况结合乙方投标时承诺报价计算，当所服务的项目设计服务费达到100万或第一次超过100万时），按照甲方的结算管理办法完成结算审核，即算完成本次服务。服务期内乙方需完成服务内容并向甲方提供最终服务成果，最终服务成果须满足招标文件和达到本合同约定的要求。服务期限包括甲方审核成果、回馈意见所需时间和乙方根据甲方的反馈意见进行相应调整所需的合理时间。</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乙方在服务期内完成服务内容，向甲方提交满足第二条规定的成果后，应根据甲方的审核意见进行修改和调整，因甲方原因导致乙方作出的修改和调整次数不超过三次（若因为乙方自身设计失误、成果文件遗漏、深度不满足相关规范要求等情况的造成的修改和调整，则次数不受此限），一旦达到三次，该项目服务周期自动终止，进一步的修改和调整按照新项目计算。同时单个项目完整的服务期不超过6个月。</w:t>
      </w:r>
    </w:p>
    <w:p>
      <w:pPr>
        <w:pStyle w:val="18"/>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77" w:name="_Toc10419"/>
      <w:bookmarkStart w:id="78" w:name="_Toc31797"/>
      <w:bookmarkStart w:id="79" w:name="_Toc4309"/>
      <w:r>
        <w:rPr>
          <w:rFonts w:hint="eastAsia" w:asciiTheme="minorEastAsia" w:hAnsiTheme="minorEastAsia" w:eastAsiaTheme="minorEastAsia" w:cstheme="minorEastAsia"/>
          <w:b/>
          <w:color w:val="auto"/>
          <w:sz w:val="24"/>
          <w:szCs w:val="24"/>
          <w:highlight w:val="none"/>
        </w:rPr>
        <w:t>服务费用与支付方式</w:t>
      </w:r>
      <w:bookmarkEnd w:id="77"/>
      <w:bookmarkEnd w:id="78"/>
      <w:bookmarkEnd w:id="79"/>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rPr>
        <w:t>服务费用总额：</w:t>
      </w:r>
      <w:r>
        <w:rPr>
          <w:rFonts w:hint="eastAsia" w:asciiTheme="minorEastAsia" w:hAnsiTheme="minorEastAsia" w:eastAsiaTheme="minorEastAsia" w:cstheme="minorEastAsia"/>
          <w:b w:val="0"/>
          <w:bCs/>
          <w:color w:val="auto"/>
          <w:sz w:val="24"/>
          <w:szCs w:val="24"/>
          <w:highlight w:val="none"/>
        </w:rPr>
        <w:t>双方约定本合同服务费用</w:t>
      </w:r>
      <w:r>
        <w:rPr>
          <w:rFonts w:hint="eastAsia" w:asciiTheme="minorEastAsia" w:hAnsiTheme="minorEastAsia" w:eastAsiaTheme="minorEastAsia" w:cstheme="minorEastAsia"/>
          <w:b w:val="0"/>
          <w:bCs/>
          <w:color w:val="auto"/>
          <w:sz w:val="24"/>
          <w:szCs w:val="24"/>
          <w:highlight w:val="none"/>
          <w:lang w:val="en-US" w:eastAsia="zh-CN"/>
        </w:rPr>
        <w:t>各分项累计</w:t>
      </w:r>
      <w:r>
        <w:rPr>
          <w:rFonts w:hint="eastAsia" w:asciiTheme="minorEastAsia" w:hAnsiTheme="minorEastAsia" w:eastAsiaTheme="minorEastAsia" w:cstheme="minorEastAsia"/>
          <w:b w:val="0"/>
          <w:bCs/>
          <w:color w:val="auto"/>
          <w:sz w:val="24"/>
          <w:szCs w:val="24"/>
          <w:highlight w:val="none"/>
        </w:rPr>
        <w:t>总额</w:t>
      </w:r>
      <w:r>
        <w:rPr>
          <w:rFonts w:hint="eastAsia" w:asciiTheme="minorEastAsia" w:hAnsiTheme="minorEastAsia" w:eastAsiaTheme="minorEastAsia" w:cstheme="minorEastAsia"/>
          <w:b w:val="0"/>
          <w:bCs/>
          <w:color w:val="auto"/>
          <w:sz w:val="24"/>
          <w:szCs w:val="24"/>
          <w:highlight w:val="none"/>
          <w:lang w:val="en-US" w:eastAsia="zh-CN"/>
        </w:rPr>
        <w:t>不超过</w:t>
      </w:r>
      <w:r>
        <w:rPr>
          <w:rFonts w:hint="eastAsia" w:asciiTheme="minorEastAsia" w:hAnsiTheme="minorEastAsia" w:eastAsiaTheme="minorEastAsia" w:cstheme="minorEastAsia"/>
          <w:b w:val="0"/>
          <w:bCs/>
          <w:color w:val="auto"/>
          <w:sz w:val="24"/>
          <w:szCs w:val="24"/>
          <w:highlight w:val="none"/>
        </w:rPr>
        <w:t>人民币（大写）</w:t>
      </w:r>
      <w:r>
        <w:rPr>
          <w:rFonts w:hint="eastAsia" w:asciiTheme="minorEastAsia" w:hAnsiTheme="minorEastAsia" w:eastAsiaTheme="minorEastAsia" w:cstheme="minorEastAsia"/>
          <w:b w:val="0"/>
          <w:bCs/>
          <w:color w:val="auto"/>
          <w:sz w:val="24"/>
          <w:szCs w:val="24"/>
          <w:highlight w:val="none"/>
          <w:u w:val="single"/>
        </w:rPr>
        <w:t>壹佰万元（¥ 1000000.00 元）</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每个项目服务费</w:t>
      </w:r>
      <w:r>
        <w:rPr>
          <w:rFonts w:hint="eastAsia" w:asciiTheme="minorEastAsia" w:hAnsiTheme="minorEastAsia" w:eastAsiaTheme="minorEastAsia" w:cstheme="minorEastAsia"/>
          <w:b w:val="0"/>
          <w:bCs/>
          <w:color w:val="auto"/>
          <w:sz w:val="24"/>
          <w:szCs w:val="24"/>
          <w:highlight w:val="none"/>
          <w:lang w:val="en-US" w:eastAsia="zh-CN"/>
        </w:rPr>
        <w:t>依据</w:t>
      </w:r>
      <w:r>
        <w:rPr>
          <w:rFonts w:hint="eastAsia" w:asciiTheme="minorEastAsia" w:hAnsiTheme="minorEastAsia" w:eastAsiaTheme="minorEastAsia" w:cstheme="minorEastAsia"/>
          <w:b w:val="0"/>
          <w:bCs/>
          <w:color w:val="auto"/>
          <w:sz w:val="24"/>
          <w:szCs w:val="24"/>
          <w:highlight w:val="none"/>
        </w:rPr>
        <w:t>乙方投标报价</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以签订的三方合同价</w:t>
      </w:r>
      <w:r>
        <w:rPr>
          <w:rFonts w:hint="eastAsia" w:asciiTheme="minorEastAsia" w:hAnsiTheme="minorEastAsia" w:eastAsiaTheme="minorEastAsia" w:cstheme="minorEastAsia"/>
          <w:b w:val="0"/>
          <w:bCs/>
          <w:color w:val="auto"/>
          <w:sz w:val="24"/>
          <w:szCs w:val="24"/>
          <w:highlight w:val="none"/>
        </w:rPr>
        <w:t>为准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提供增值税专业发票税率为</w:t>
      </w:r>
      <w:r>
        <w:rPr>
          <w:rFonts w:hint="eastAsia" w:asciiTheme="minorEastAsia" w:hAnsiTheme="minorEastAsia" w:eastAsiaTheme="minorEastAsia" w:cstheme="minorEastAsia"/>
          <w:b w:val="0"/>
          <w:bCs/>
          <w:color w:val="auto"/>
          <w:sz w:val="24"/>
          <w:szCs w:val="24"/>
          <w:highlight w:val="none"/>
          <w:u w:val="single"/>
        </w:rPr>
        <w:t xml:space="preserve"> 6.00 </w:t>
      </w:r>
      <w:r>
        <w:rPr>
          <w:rFonts w:hint="eastAsia" w:asciiTheme="minorEastAsia" w:hAnsiTheme="minorEastAsia" w:eastAsiaTheme="minorEastAsia" w:cstheme="minorEastAsia"/>
          <w:b w:val="0"/>
          <w:bCs/>
          <w:color w:val="auto"/>
          <w:sz w:val="24"/>
          <w:szCs w:val="24"/>
          <w:highlight w:val="none"/>
        </w:rPr>
        <w:t>%，费用为单个项目总价含税包干，每个项目含服务的所有费用，包括但不限于乙方到甲方</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或项目现场讨论汇报的差旅食宿费、服务费、咨询费和其它乙方为履行本合同项下义务的全部费用及应缴纳税费等。</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2、分项合同</w:t>
      </w:r>
      <w:r>
        <w:rPr>
          <w:rFonts w:hint="eastAsia" w:asciiTheme="minorEastAsia" w:hAnsiTheme="minorEastAsia" w:eastAsiaTheme="minorEastAsia" w:cstheme="minorEastAsia"/>
          <w:b/>
          <w:bCs w:val="0"/>
          <w:color w:val="auto"/>
          <w:sz w:val="24"/>
          <w:szCs w:val="24"/>
          <w:highlight w:val="none"/>
        </w:rPr>
        <w:t>支付方式：</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签订三方分项</w:t>
      </w:r>
      <w:r>
        <w:rPr>
          <w:rFonts w:hint="eastAsia" w:asciiTheme="minorEastAsia" w:hAnsiTheme="minorEastAsia" w:eastAsiaTheme="minorEastAsia" w:cstheme="minorEastAsia"/>
          <w:b w:val="0"/>
          <w:bCs/>
          <w:color w:val="auto"/>
          <w:sz w:val="24"/>
          <w:szCs w:val="24"/>
          <w:highlight w:val="none"/>
        </w:rPr>
        <w:t>合同后</w:t>
      </w:r>
      <w:r>
        <w:rPr>
          <w:rFonts w:hint="eastAsia" w:asciiTheme="minorEastAsia" w:hAnsiTheme="minorEastAsia" w:eastAsiaTheme="minorEastAsia" w:cstheme="minorEastAsia"/>
          <w:b w:val="0"/>
          <w:bCs/>
          <w:color w:val="auto"/>
          <w:sz w:val="24"/>
          <w:szCs w:val="24"/>
          <w:highlight w:val="none"/>
          <w:u w:val="single"/>
        </w:rPr>
        <w:t>10</w:t>
      </w:r>
      <w:r>
        <w:rPr>
          <w:rFonts w:hint="eastAsia" w:asciiTheme="minorEastAsia" w:hAnsiTheme="minorEastAsia" w:eastAsiaTheme="minorEastAsia" w:cstheme="minorEastAsia"/>
          <w:b w:val="0"/>
          <w:bCs/>
          <w:color w:val="auto"/>
          <w:sz w:val="24"/>
          <w:szCs w:val="24"/>
          <w:highlight w:val="none"/>
        </w:rPr>
        <w:t>个工作日内，</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向乙方支付服务费用总额的</w:t>
      </w:r>
      <w:r>
        <w:rPr>
          <w:rFonts w:hint="eastAsia" w:asciiTheme="minorEastAsia" w:hAnsiTheme="minorEastAsia" w:eastAsiaTheme="minorEastAsia" w:cstheme="minorEastAsia"/>
          <w:b w:val="0"/>
          <w:bCs/>
          <w:color w:val="auto"/>
          <w:sz w:val="24"/>
          <w:szCs w:val="24"/>
          <w:highlight w:val="none"/>
          <w:u w:val="single"/>
        </w:rPr>
        <w:t>10%</w:t>
      </w:r>
      <w:r>
        <w:rPr>
          <w:rFonts w:hint="eastAsia" w:asciiTheme="minorEastAsia" w:hAnsiTheme="minorEastAsia" w:eastAsiaTheme="minorEastAsia" w:cstheme="minorEastAsia"/>
          <w:b w:val="0"/>
          <w:bCs/>
          <w:color w:val="auto"/>
          <w:sz w:val="24"/>
          <w:szCs w:val="24"/>
          <w:highlight w:val="none"/>
        </w:rPr>
        <w:t>作为定金，办理结算时，该定金抵作服务费用；</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（2）乙方每完成一个项目并通过甲方公司内部业务部门审核确认，按甲方计量的有关规定要求审核后，</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已付乙方定金中的</w:t>
      </w:r>
      <w:r>
        <w:rPr>
          <w:rFonts w:hint="eastAsia" w:asciiTheme="minorEastAsia" w:hAnsiTheme="minorEastAsia" w:eastAsiaTheme="minorEastAsia" w:cstheme="minorEastAsia"/>
          <w:b w:val="0"/>
          <w:bCs/>
          <w:color w:val="auto"/>
          <w:sz w:val="24"/>
          <w:szCs w:val="24"/>
          <w:highlight w:val="none"/>
          <w:u w:val="single"/>
        </w:rPr>
        <w:t>10%</w:t>
      </w:r>
      <w:r>
        <w:rPr>
          <w:rFonts w:hint="eastAsia" w:asciiTheme="minorEastAsia" w:hAnsiTheme="minorEastAsia" w:eastAsiaTheme="minorEastAsia" w:cstheme="minorEastAsia"/>
          <w:b w:val="0"/>
          <w:bCs/>
          <w:color w:val="auto"/>
          <w:sz w:val="24"/>
          <w:szCs w:val="24"/>
          <w:highlight w:val="none"/>
        </w:rPr>
        <w:t>抵作该项目的进度款，经完成甲方上会讨论后修改，并得到甲方确认为最终成果后，乙方可按甲方结算的有关规定要求提交结算资料，双方完成结算手续后十个工作日内，</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向乙方支付每个项目服务费剩余部分（即每个项目服务费扣除抵作进度款定金的剩余金额）。若不是因为乙方自身设计失误、成果文件遗漏、深度不满足相关规范要求等情况的造成的修改和调整达到三次，则该项目服务到此结束，下一轮的修改和调整应按照新项目计算。若项目中途搁置，则服务期六个月期满时，按已提交成果进行计量结算。</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（3）每笔款项支付前，乙方须提供正规合法的等额增值税专用发票（税率为6.00%），否则</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有权不予支付或延期支付相应款项，因乙方提供的发票不规范、不合法引起税务问题的，乙方应承担向甲方赔偿的责任，包括但不限于税款、滞纳金、罚款及相关损失等。</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以上付款甲方以转账方式支付，本合同签订的乙方银行及账号为甲方付款的唯一账号。乙方指定以下账户为乙方收款账户：</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账户名称： </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开户银行： </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银行账号：</w:t>
      </w:r>
    </w:p>
    <w:p>
      <w:pPr>
        <w:pStyle w:val="18"/>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80" w:name="_Toc26285"/>
      <w:bookmarkStart w:id="81" w:name="_Toc9013"/>
      <w:bookmarkStart w:id="82" w:name="_Toc4850"/>
      <w:r>
        <w:rPr>
          <w:rFonts w:hint="eastAsia" w:asciiTheme="minorEastAsia" w:hAnsiTheme="minorEastAsia" w:eastAsiaTheme="minorEastAsia" w:cstheme="minorEastAsia"/>
          <w:b/>
          <w:color w:val="auto"/>
          <w:sz w:val="24"/>
          <w:szCs w:val="24"/>
          <w:highlight w:val="none"/>
        </w:rPr>
        <w:t>保密条款及知识产权归属</w:t>
      </w:r>
      <w:bookmarkEnd w:id="80"/>
      <w:bookmarkEnd w:id="81"/>
      <w:bookmarkEnd w:id="82"/>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乙方为履行本合同约定而编制的成果文件，除署名权以外的著作权属于甲方。乙方可以为实现合同目的而复制或者以其他方式使用此类文件，但不能用于与合同无关的其他事项。未经甲方书面同意，乙方不得为了合同以外的目的而复制或者以其他方式使用上述文件或将之提供给任何第三方。如发生以上情况，乙方应按法律规定承担相应法律责任，并赔偿甲方因此造成的所有损失，包括但不限于甲方向第三方的赔偿、律师费、仲裁或诉讼费、差旅费、公证费、评估费、公告费、保全费、执行费等。</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提交的成果不得侵犯第三人的合法权益（包括但不限于著作权、商标权），若因乙方侵犯第三方权利给甲方造成损失的，乙方承担全部赔偿责任，包括但不限于甲方向第三方的赔偿、律师费、诉讼费、差旅费等，赔偿不超过设计费总额。</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在本合同有效期内，甲方利用乙方提交工作成果所完成的新的技术成果，归甲方所有。</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在本合同有效期内，乙方利用甲方提供资料和工作条件所完成的新的技术成果，归甲方所有。</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乙方对其获知的甲方商业秘密和与本项目有关的非公开的信息、资料负有保密责任，非由法律规定或者甲方同意，不得向任何第三方披露。</w:t>
      </w:r>
    </w:p>
    <w:p>
      <w:pPr>
        <w:pStyle w:val="18"/>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83" w:name="_Toc13038"/>
      <w:bookmarkStart w:id="84" w:name="_Toc22316"/>
      <w:bookmarkStart w:id="85" w:name="_Toc8266"/>
      <w:r>
        <w:rPr>
          <w:rFonts w:hint="eastAsia" w:asciiTheme="minorEastAsia" w:hAnsiTheme="minorEastAsia" w:eastAsiaTheme="minorEastAsia" w:cstheme="minorEastAsia"/>
          <w:b/>
          <w:color w:val="auto"/>
          <w:sz w:val="24"/>
          <w:szCs w:val="24"/>
          <w:highlight w:val="none"/>
        </w:rPr>
        <w:t>违约责任</w:t>
      </w:r>
      <w:bookmarkEnd w:id="83"/>
      <w:bookmarkEnd w:id="84"/>
      <w:bookmarkEnd w:id="85"/>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合同期间，乙方出现如下情况，视为严重违约，甲方有权终止合同，乙方应返还甲方已付的所有费用，并按合同总金额的20%向甲方支付违约金，如违约金不足以补偿由此造成的甲方实际损失，乙方须据实予以赔偿不足部分：</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乙方提交的最终成果（文件）未能达到乙方投标文件中所承诺的深度要求，经2次修改未经甲方审核通过的；</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乙方未经甲方书面同意调换附件二的乙方配置人员，但因乙方工作人员离职、退休或长病假等非乙方可控因素并经甲方认可调换人员的除外；</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乙方无法定或约定理由单方终止合同，或以实际行为表示拒绝履行合同义务的；</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在合同履行期间，甲方无法定理由或本合同约定情况而要求解除本合同的，按照如下约定执行：</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乙方未开始工作的，乙方可不退还甲方已付的定金。</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乙方已开始工作的，若实际工作量超过甲方已付定金所对应工作量的，则甲方对超出已付定金所对应工作量的部分进行补足，有关工作量以及补足的标准以双方协商为主，未能协商一致以法院判决为准。</w:t>
      </w:r>
    </w:p>
    <w:p>
      <w:pPr>
        <w:pStyle w:val="18"/>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86" w:name="_Toc7914"/>
      <w:bookmarkStart w:id="87" w:name="_Toc5589"/>
      <w:bookmarkStart w:id="88" w:name="_Toc2892"/>
      <w:r>
        <w:rPr>
          <w:rFonts w:hint="eastAsia" w:asciiTheme="minorEastAsia" w:hAnsiTheme="minorEastAsia" w:eastAsiaTheme="minorEastAsia" w:cstheme="minorEastAsia"/>
          <w:b/>
          <w:color w:val="auto"/>
          <w:sz w:val="24"/>
          <w:szCs w:val="24"/>
          <w:highlight w:val="none"/>
        </w:rPr>
        <w:t>争议解决</w:t>
      </w:r>
      <w:bookmarkEnd w:id="86"/>
      <w:bookmarkEnd w:id="87"/>
      <w:bookmarkEnd w:id="88"/>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在本合同履行过程中，如发生争议，双方应友好协商解决，协商不成，可向甲方所在地人民法院提起诉讼。</w:t>
      </w:r>
    </w:p>
    <w:p>
      <w:pPr>
        <w:pStyle w:val="18"/>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89" w:name="_Toc31344"/>
      <w:bookmarkStart w:id="90" w:name="_Toc3960"/>
      <w:bookmarkStart w:id="91" w:name="_Toc26045"/>
      <w:r>
        <w:rPr>
          <w:rFonts w:hint="eastAsia" w:asciiTheme="minorEastAsia" w:hAnsiTheme="minorEastAsia" w:eastAsiaTheme="minorEastAsia" w:cstheme="minorEastAsia"/>
          <w:b/>
          <w:color w:val="auto"/>
          <w:sz w:val="24"/>
          <w:szCs w:val="24"/>
          <w:highlight w:val="none"/>
        </w:rPr>
        <w:t>其它</w:t>
      </w:r>
      <w:bookmarkEnd w:id="89"/>
      <w:bookmarkEnd w:id="90"/>
      <w:bookmarkEnd w:id="91"/>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本合同的解释及纠纷处理适用中华人民共和国现行法律。</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本合同一式陆份，甲、乙双方各执叁份，具有相同法律效力。</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本合同经双方签字盖章后生效。</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本合同约定服务数量满，乙方可优先选择作为公司年度项目</w:t>
      </w:r>
      <w:r>
        <w:rPr>
          <w:rFonts w:hint="eastAsia" w:asciiTheme="minorEastAsia" w:hAnsiTheme="minorEastAsia" w:eastAsiaTheme="minorEastAsia" w:cstheme="minorEastAsia"/>
          <w:b w:val="0"/>
          <w:bCs/>
          <w:color w:val="auto"/>
          <w:sz w:val="24"/>
          <w:szCs w:val="24"/>
          <w:highlight w:val="none"/>
          <w:lang w:eastAsia="zh-CN"/>
        </w:rPr>
        <w:t>前期方案设计及设计咨询</w:t>
      </w:r>
      <w:r>
        <w:rPr>
          <w:rFonts w:hint="eastAsia" w:asciiTheme="minorEastAsia" w:hAnsiTheme="minorEastAsia" w:eastAsiaTheme="minorEastAsia" w:cstheme="minorEastAsia"/>
          <w:b w:val="0"/>
          <w:bCs/>
          <w:color w:val="auto"/>
          <w:sz w:val="24"/>
          <w:szCs w:val="24"/>
          <w:highlight w:val="none"/>
        </w:rPr>
        <w:t>服务单位。</w:t>
      </w:r>
    </w:p>
    <w:p>
      <w:pPr>
        <w:pStyle w:val="18"/>
        <w:widowControl/>
        <w:spacing w:line="360" w:lineRule="auto"/>
        <w:ind w:left="105" w:leftChars="50" w:right="105" w:rightChars="50" w:firstLine="0" w:firstLineChars="0"/>
        <w:rPr>
          <w:rFonts w:ascii="宋体" w:hAnsi="宋体" w:cs="宋体"/>
          <w:color w:val="auto"/>
          <w:sz w:val="24"/>
          <w:szCs w:val="24"/>
          <w:highlight w:val="none"/>
        </w:rPr>
      </w:pPr>
    </w:p>
    <w:p>
      <w:pPr>
        <w:pStyle w:val="18"/>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附件1：廉洁协议书</w:t>
      </w:r>
    </w:p>
    <w:p>
      <w:pPr>
        <w:pStyle w:val="18"/>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附件2：乙方人员配置表</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（以下无正文）</w:t>
      </w: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p>
    <w:p>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甲方（盖章）：广州南沙</w:t>
      </w:r>
      <w:r>
        <w:rPr>
          <w:rFonts w:hint="eastAsia" w:ascii="宋体" w:hAnsi="宋体" w:eastAsia="宋体" w:cs="宋体"/>
          <w:b/>
          <w:color w:val="auto"/>
          <w:sz w:val="24"/>
          <w:highlight w:val="none"/>
          <w:lang w:val="en-US" w:eastAsia="zh-CN"/>
        </w:rPr>
        <w:t>建设维护管理</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乙方（盖章）：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b/>
          <w:color w:val="auto"/>
          <w:sz w:val="24"/>
          <w:highlight w:val="none"/>
        </w:rPr>
        <w:t xml:space="preserve">             有限公司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委托代理人：                          委托代理人：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联 系 人：                            联 系 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地   址：                             地   址：</w:t>
      </w:r>
      <w:r>
        <w:rPr>
          <w:rFonts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邮政编码：511455                      邮政编码：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电话：020-                            电话：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传真：                                传真：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eastAsia="宋体" w:cs="宋体"/>
          <w:color w:val="auto"/>
          <w:sz w:val="24"/>
          <w:highlight w:val="none"/>
        </w:rPr>
      </w:pPr>
      <w:bookmarkStart w:id="92" w:name="_Toc23897"/>
      <w:r>
        <w:rPr>
          <w:rFonts w:hint="eastAsia" w:ascii="宋体" w:hAnsi="宋体" w:eastAsia="宋体" w:cs="宋体"/>
          <w:color w:val="auto"/>
          <w:sz w:val="28"/>
          <w:szCs w:val="28"/>
          <w:highlight w:val="none"/>
        </w:rPr>
        <w:t>附件1：</w:t>
      </w:r>
      <w:bookmarkEnd w:id="92"/>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eastAsia="宋体" w:cs="宋体"/>
          <w:b/>
          <w:color w:val="auto"/>
          <w:spacing w:val="34"/>
          <w:sz w:val="36"/>
          <w:szCs w:val="36"/>
          <w:highlight w:val="none"/>
        </w:rPr>
      </w:pPr>
      <w:bookmarkStart w:id="93" w:name="_Toc30367"/>
      <w:r>
        <w:rPr>
          <w:rFonts w:hint="eastAsia" w:ascii="宋体" w:hAnsi="宋体" w:eastAsia="宋体" w:cs="宋体"/>
          <w:b/>
          <w:color w:val="auto"/>
          <w:spacing w:val="34"/>
          <w:sz w:val="36"/>
          <w:szCs w:val="36"/>
          <w:highlight w:val="none"/>
        </w:rPr>
        <w:t>廉洁协议书</w:t>
      </w:r>
      <w:bookmarkEnd w:id="93"/>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在甲、乙双方订立、履行合同过程中，为保持廉洁自律的工作作风，防止各种不正当行为的发生，甲、乙双方订立协议如下：</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一、甲、乙双方应当自觉遵守国家、地方法律法规以及本协议的约定，在合同的订立、履行过程中廉洁自律。</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二、甲方及其工作人员不得以任何形式向乙方索要和收受回扣等好处费。</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三、甲方工作人员应当保持与乙方的正常业务交往，不得接受乙方的礼金、有价证券和贵重物品，不得在乙方报销任何应由其个人承担的费用。</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四、甲方工作人员不得参加可能对公正开展业务有影响的宴请和娱乐活动。如甲方工作人员确因实际情况须参加宴请、进行娱乐活动的，须事先按行政隶属关系上一级批准。</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五、甲方工作人员不得要求或者接受乙方为其住房装修、婚丧嫁娶、家属和子女的工作安排以及出国等提供方便。</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六、乙方不得接受甲方工作人员介绍的家属或者亲友从事与合同相关的业务。</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八、乙方如发现甲方工作人员有违反上述协议者，应向甲方举报。甲方不得找任何借口对乙方进行报复。甲方对举报属实和严格遵守廉洁协议的乙方，在同等条件下优先考虑与乙方继续合作。</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九、甲方发现乙方有违反本协议或者采用不正当的手段行贿甲方工作人员等不正当竞争行为的，甲方有权按合同的终止和解除条款执行。</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十、本廉洁协议作为合同的附件，与合同具有同等法律效力。经协议双方签署后立即生效。</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甲方（公章）                         乙方（公章）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法定代表人（签字或盖章）：            法定代表人（签字或盖章）：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授权代理人（签字或盖章）：            授权代理人（签字或盖章）：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2020年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center"/>
        <w:rPr>
          <w:rFonts w:hint="eastAsia"/>
          <w:color w:val="auto"/>
          <w:sz w:val="32"/>
          <w:szCs w:val="32"/>
          <w:highlight w:val="none"/>
        </w:rPr>
      </w:pPr>
      <w:r>
        <w:rPr>
          <w:rFonts w:hint="eastAsia"/>
          <w:color w:val="auto"/>
          <w:sz w:val="32"/>
          <w:szCs w:val="32"/>
          <w:highlight w:val="none"/>
        </w:rPr>
        <w:t>金融大厦外来人员防疫操作流程</w:t>
      </w:r>
    </w:p>
    <w:p>
      <w:pPr>
        <w:ind w:firstLine="420" w:firstLineChars="200"/>
        <w:rPr>
          <w:rFonts w:hint="eastAsia"/>
          <w:color w:val="auto"/>
          <w:highlight w:val="none"/>
        </w:rPr>
      </w:pPr>
      <w:r>
        <w:rPr>
          <w:rFonts w:hint="eastAsia"/>
          <w:color w:val="auto"/>
          <w:highlight w:val="none"/>
        </w:rPr>
        <w:t>外来人员进入前需如实在《外来人员登记表》中进行登记，除登记个人信息外，还需登记来访事由。如外来人员中有湖北或温州籍人员，应先检查是否上报穗康，并自行提供至少15天的行程数据（具体操作办法请看图一），对于到过疫区的抵穗人员，需提供居委开具的解除隔离证明，所有外来人员均须测量体温，体温不高于37.3度方可进入大厦。</w:t>
      </w:r>
    </w:p>
    <w:tbl>
      <w:tblPr>
        <w:tblStyle w:val="15"/>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c>
          <w:tcPr>
            <w:tcW w:w="8522" w:type="dxa"/>
            <w:vAlign w:val="top"/>
          </w:tcPr>
          <w:p>
            <w:pPr>
              <w:jc w:val="center"/>
              <w:rPr>
                <w:color w:val="auto"/>
                <w:highlight w:val="none"/>
              </w:rPr>
            </w:pPr>
            <w:r>
              <w:rPr>
                <w:color w:val="auto"/>
                <w:highlight w:val="none"/>
              </w:rPr>
              <w:drawing>
                <wp:inline distT="0" distB="0" distL="114300" distR="114300">
                  <wp:extent cx="5269865" cy="5418455"/>
                  <wp:effectExtent l="0" t="0" r="6985" b="10795"/>
                  <wp:docPr id="5" name="图片 1" descr="微信图片_2020022410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微信图片_20200224100229"/>
                          <pic:cNvPicPr>
                            <a:picLocks noChangeAspect="1"/>
                          </pic:cNvPicPr>
                        </pic:nvPicPr>
                        <pic:blipFill>
                          <a:blip r:embed="rId10"/>
                          <a:stretch>
                            <a:fillRect/>
                          </a:stretch>
                        </pic:blipFill>
                        <pic:spPr>
                          <a:xfrm>
                            <a:off x="0" y="0"/>
                            <a:ext cx="5269865" cy="541845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8522" w:type="dxa"/>
            <w:vAlign w:val="top"/>
          </w:tcPr>
          <w:p>
            <w:pPr>
              <w:jc w:val="center"/>
              <w:rPr>
                <w:color w:val="auto"/>
                <w:highlight w:val="none"/>
              </w:rPr>
            </w:pPr>
            <w:r>
              <w:rPr>
                <w:rFonts w:hint="eastAsia"/>
                <w:color w:val="auto"/>
                <w:highlight w:val="none"/>
              </w:rPr>
              <w:t>图一</w:t>
            </w:r>
          </w:p>
        </w:tc>
      </w:tr>
    </w:tbl>
    <w:p>
      <w:pPr>
        <w:rPr>
          <w:color w:val="auto"/>
          <w:highlight w:val="none"/>
        </w:rPr>
      </w:pPr>
    </w:p>
    <w:p>
      <w:pPr>
        <w:spacing w:line="360" w:lineRule="auto"/>
        <w:jc w:val="left"/>
        <w:rPr>
          <w:rFonts w:ascii="仿宋_GB2312" w:hAnsi="仿宋_GB2312" w:eastAsia="仿宋_GB2312" w:cs="仿宋_GB2312"/>
          <w:color w:val="auto"/>
          <w:sz w:val="32"/>
          <w:szCs w:val="32"/>
          <w:highlight w:val="none"/>
        </w:rPr>
      </w:pPr>
    </w:p>
    <w:p>
      <w:pPr>
        <w:spacing w:line="360" w:lineRule="auto"/>
        <w:jc w:val="left"/>
        <w:rPr>
          <w:rFonts w:hint="eastAsia" w:ascii="宋体" w:hAnsi="宋体" w:eastAsia="宋体" w:cs="宋体"/>
          <w:color w:val="auto"/>
          <w:sz w:val="24"/>
          <w:highlight w:val="none"/>
        </w:rPr>
      </w:pPr>
    </w:p>
    <w:sectPr>
      <w:pgSz w:w="12240" w:h="15840"/>
      <w:pgMar w:top="1440" w:right="1797" w:bottom="1440" w:left="1797" w:header="720" w:footer="720"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8EF02485"/>
    <w:multiLevelType w:val="singleLevel"/>
    <w:tmpl w:val="8EF02485"/>
    <w:lvl w:ilvl="0" w:tentative="0">
      <w:start w:val="1"/>
      <w:numFmt w:val="decimal"/>
      <w:lvlText w:val="%1."/>
      <w:lvlJc w:val="left"/>
      <w:pPr>
        <w:tabs>
          <w:tab w:val="left" w:pos="0"/>
        </w:tabs>
        <w:ind w:left="0" w:firstLine="0"/>
      </w:pPr>
      <w:rPr>
        <w:rFonts w:hint="default"/>
      </w:rPr>
    </w:lvl>
  </w:abstractNum>
  <w:abstractNum w:abstractNumId="2">
    <w:nsid w:val="9004999B"/>
    <w:multiLevelType w:val="singleLevel"/>
    <w:tmpl w:val="9004999B"/>
    <w:lvl w:ilvl="0" w:tentative="0">
      <w:start w:val="1"/>
      <w:numFmt w:val="decimal"/>
      <w:suff w:val="nothing"/>
      <w:lvlText w:val="%1）"/>
      <w:lvlJc w:val="left"/>
      <w:pPr>
        <w:ind w:left="0" w:firstLine="397"/>
      </w:pPr>
      <w:rPr>
        <w:rFonts w:hint="default"/>
      </w:rPr>
    </w:lvl>
  </w:abstractNum>
  <w:abstractNum w:abstractNumId="3">
    <w:nsid w:val="9480D95B"/>
    <w:multiLevelType w:val="singleLevel"/>
    <w:tmpl w:val="9480D95B"/>
    <w:lvl w:ilvl="0" w:tentative="0">
      <w:start w:val="1"/>
      <w:numFmt w:val="decimal"/>
      <w:suff w:val="nothing"/>
      <w:lvlText w:val="%1）"/>
      <w:lvlJc w:val="left"/>
      <w:pPr>
        <w:ind w:left="0" w:firstLine="397"/>
      </w:pPr>
      <w:rPr>
        <w:rFonts w:hint="default"/>
      </w:rPr>
    </w:lvl>
  </w:abstractNum>
  <w:abstractNum w:abstractNumId="4">
    <w:nsid w:val="B85826F5"/>
    <w:multiLevelType w:val="singleLevel"/>
    <w:tmpl w:val="B85826F5"/>
    <w:lvl w:ilvl="0" w:tentative="0">
      <w:start w:val="1"/>
      <w:numFmt w:val="decimal"/>
      <w:lvlText w:val="%1."/>
      <w:lvlJc w:val="left"/>
      <w:pPr>
        <w:tabs>
          <w:tab w:val="left" w:pos="630"/>
        </w:tabs>
        <w:ind w:left="454" w:hanging="454"/>
      </w:pPr>
      <w:rPr>
        <w:rFonts w:hint="default"/>
      </w:rPr>
    </w:lvl>
  </w:abstractNum>
  <w:abstractNum w:abstractNumId="5">
    <w:nsid w:val="CA966BF1"/>
    <w:multiLevelType w:val="singleLevel"/>
    <w:tmpl w:val="CA966BF1"/>
    <w:lvl w:ilvl="0" w:tentative="0">
      <w:start w:val="1"/>
      <w:numFmt w:val="decimal"/>
      <w:lvlText w:val="%1."/>
      <w:lvlJc w:val="left"/>
      <w:pPr>
        <w:tabs>
          <w:tab w:val="left" w:pos="630"/>
        </w:tabs>
        <w:ind w:left="454" w:hanging="454"/>
      </w:pPr>
      <w:rPr>
        <w:rFonts w:hint="default"/>
      </w:rPr>
    </w:lvl>
  </w:abstractNum>
  <w:abstractNum w:abstractNumId="6">
    <w:nsid w:val="D658D1EC"/>
    <w:multiLevelType w:val="singleLevel"/>
    <w:tmpl w:val="D658D1EC"/>
    <w:lvl w:ilvl="0" w:tentative="0">
      <w:start w:val="1"/>
      <w:numFmt w:val="chineseCounting"/>
      <w:suff w:val="nothing"/>
      <w:lvlText w:val="%1、"/>
      <w:lvlJc w:val="left"/>
      <w:pPr>
        <w:ind w:left="0" w:firstLine="1134"/>
      </w:pPr>
      <w:rPr>
        <w:rFonts w:hint="eastAsia"/>
        <w:b/>
        <w:sz w:val="24"/>
      </w:rPr>
    </w:lvl>
  </w:abstractNum>
  <w:abstractNum w:abstractNumId="7">
    <w:nsid w:val="D95EC046"/>
    <w:multiLevelType w:val="singleLevel"/>
    <w:tmpl w:val="D95EC046"/>
    <w:lvl w:ilvl="0" w:tentative="0">
      <w:start w:val="1"/>
      <w:numFmt w:val="decimal"/>
      <w:suff w:val="nothing"/>
      <w:lvlText w:val="%1）"/>
      <w:lvlJc w:val="left"/>
      <w:pPr>
        <w:ind w:left="0" w:firstLine="397"/>
      </w:pPr>
      <w:rPr>
        <w:rFonts w:hint="default"/>
      </w:rPr>
    </w:lvl>
  </w:abstractNum>
  <w:abstractNum w:abstractNumId="8">
    <w:nsid w:val="E05FF685"/>
    <w:multiLevelType w:val="singleLevel"/>
    <w:tmpl w:val="E05FF685"/>
    <w:lvl w:ilvl="0" w:tentative="0">
      <w:start w:val="1"/>
      <w:numFmt w:val="decimal"/>
      <w:suff w:val="nothing"/>
      <w:lvlText w:val="%1）"/>
      <w:lvlJc w:val="left"/>
      <w:pPr>
        <w:ind w:left="0" w:firstLine="397"/>
      </w:pPr>
      <w:rPr>
        <w:rFonts w:hint="default"/>
      </w:rPr>
    </w:lvl>
  </w:abstractNum>
  <w:abstractNum w:abstractNumId="9">
    <w:nsid w:val="F0522721"/>
    <w:multiLevelType w:val="singleLevel"/>
    <w:tmpl w:val="F0522721"/>
    <w:lvl w:ilvl="0" w:tentative="0">
      <w:start w:val="1"/>
      <w:numFmt w:val="decimal"/>
      <w:suff w:val="nothing"/>
      <w:lvlText w:val="%1）"/>
      <w:lvlJc w:val="left"/>
      <w:pPr>
        <w:ind w:left="0" w:firstLine="397"/>
      </w:pPr>
      <w:rPr>
        <w:rFonts w:hint="default"/>
      </w:rPr>
    </w:lvl>
  </w:abstractNum>
  <w:abstractNum w:abstractNumId="10">
    <w:nsid w:val="F7939CD6"/>
    <w:multiLevelType w:val="singleLevel"/>
    <w:tmpl w:val="F7939CD6"/>
    <w:lvl w:ilvl="0" w:tentative="0">
      <w:start w:val="1"/>
      <w:numFmt w:val="decimal"/>
      <w:suff w:val="nothing"/>
      <w:lvlText w:val="%1）"/>
      <w:lvlJc w:val="left"/>
      <w:pPr>
        <w:ind w:left="0" w:firstLine="397"/>
      </w:pPr>
      <w:rPr>
        <w:rFonts w:hint="default"/>
      </w:rPr>
    </w:lvl>
  </w:abstractNum>
  <w:abstractNum w:abstractNumId="11">
    <w:nsid w:val="055D6013"/>
    <w:multiLevelType w:val="multilevel"/>
    <w:tmpl w:val="055D6013"/>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2">
    <w:nsid w:val="08C77D44"/>
    <w:multiLevelType w:val="multilevel"/>
    <w:tmpl w:val="08C77D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9AA123D"/>
    <w:multiLevelType w:val="singleLevel"/>
    <w:tmpl w:val="09AA123D"/>
    <w:lvl w:ilvl="0" w:tentative="0">
      <w:start w:val="1"/>
      <w:numFmt w:val="chineseCounting"/>
      <w:suff w:val="nothing"/>
      <w:lvlText w:val="（%1）"/>
      <w:lvlJc w:val="left"/>
      <w:pPr>
        <w:ind w:left="0" w:firstLine="1134"/>
      </w:pPr>
      <w:rPr>
        <w:rFonts w:hint="eastAsia"/>
      </w:rPr>
    </w:lvl>
  </w:abstractNum>
  <w:abstractNum w:abstractNumId="14">
    <w:nsid w:val="0D2A48FC"/>
    <w:multiLevelType w:val="multilevel"/>
    <w:tmpl w:val="0D2A48FC"/>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5">
    <w:nsid w:val="1F041FE1"/>
    <w:multiLevelType w:val="multilevel"/>
    <w:tmpl w:val="1F041FE1"/>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6">
    <w:nsid w:val="21D421CF"/>
    <w:multiLevelType w:val="singleLevel"/>
    <w:tmpl w:val="21D421CF"/>
    <w:lvl w:ilvl="0" w:tentative="0">
      <w:start w:val="1"/>
      <w:numFmt w:val="decimal"/>
      <w:suff w:val="nothing"/>
      <w:lvlText w:val="%1．"/>
      <w:lvlJc w:val="left"/>
      <w:pPr>
        <w:ind w:left="0" w:firstLine="1134"/>
      </w:pPr>
      <w:rPr>
        <w:rFonts w:hint="default"/>
        <w:b/>
        <w:sz w:val="24"/>
      </w:rPr>
    </w:lvl>
  </w:abstractNum>
  <w:abstractNum w:abstractNumId="17">
    <w:nsid w:val="2291D4B5"/>
    <w:multiLevelType w:val="singleLevel"/>
    <w:tmpl w:val="2291D4B5"/>
    <w:lvl w:ilvl="0" w:tentative="0">
      <w:start w:val="1"/>
      <w:numFmt w:val="decimal"/>
      <w:lvlText w:val="%1."/>
      <w:lvlJc w:val="left"/>
      <w:pPr>
        <w:tabs>
          <w:tab w:val="left" w:pos="0"/>
        </w:tabs>
        <w:ind w:left="0" w:firstLine="0"/>
      </w:pPr>
      <w:rPr>
        <w:rFonts w:hint="default"/>
      </w:rPr>
    </w:lvl>
  </w:abstractNum>
  <w:abstractNum w:abstractNumId="18">
    <w:nsid w:val="44384B9B"/>
    <w:multiLevelType w:val="singleLevel"/>
    <w:tmpl w:val="44384B9B"/>
    <w:lvl w:ilvl="0" w:tentative="0">
      <w:start w:val="1"/>
      <w:numFmt w:val="decimal"/>
      <w:lvlText w:val="%1."/>
      <w:lvlJc w:val="left"/>
      <w:pPr>
        <w:tabs>
          <w:tab w:val="left" w:pos="0"/>
        </w:tabs>
        <w:ind w:left="0" w:firstLine="0"/>
      </w:pPr>
      <w:rPr>
        <w:rFonts w:hint="default"/>
      </w:rPr>
    </w:lvl>
  </w:abstractNum>
  <w:abstractNum w:abstractNumId="19">
    <w:nsid w:val="4FD7DB97"/>
    <w:multiLevelType w:val="singleLevel"/>
    <w:tmpl w:val="4FD7DB97"/>
    <w:lvl w:ilvl="0" w:tentative="0">
      <w:start w:val="1"/>
      <w:numFmt w:val="decimal"/>
      <w:lvlText w:val="%1."/>
      <w:lvlJc w:val="left"/>
      <w:pPr>
        <w:tabs>
          <w:tab w:val="left" w:pos="0"/>
        </w:tabs>
        <w:ind w:left="0" w:firstLine="0"/>
      </w:pPr>
      <w:rPr>
        <w:rFonts w:hint="default"/>
      </w:rPr>
    </w:lvl>
  </w:abstractNum>
  <w:abstractNum w:abstractNumId="20">
    <w:nsid w:val="50186271"/>
    <w:multiLevelType w:val="multilevel"/>
    <w:tmpl w:val="50186271"/>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1">
    <w:nsid w:val="61B5240C"/>
    <w:multiLevelType w:val="singleLevel"/>
    <w:tmpl w:val="61B5240C"/>
    <w:lvl w:ilvl="0" w:tentative="0">
      <w:start w:val="1"/>
      <w:numFmt w:val="decimal"/>
      <w:lvlText w:val="%1)"/>
      <w:lvlJc w:val="left"/>
      <w:pPr>
        <w:ind w:left="425" w:hanging="425"/>
      </w:pPr>
      <w:rPr>
        <w:rFonts w:hint="default"/>
      </w:rPr>
    </w:lvl>
  </w:abstractNum>
  <w:abstractNum w:abstractNumId="22">
    <w:nsid w:val="61BC4E8B"/>
    <w:multiLevelType w:val="singleLevel"/>
    <w:tmpl w:val="61BC4E8B"/>
    <w:lvl w:ilvl="0" w:tentative="0">
      <w:start w:val="1"/>
      <w:numFmt w:val="decimal"/>
      <w:suff w:val="nothing"/>
      <w:lvlText w:val="%1）"/>
      <w:lvlJc w:val="left"/>
      <w:pPr>
        <w:ind w:left="0" w:firstLine="397"/>
      </w:pPr>
      <w:rPr>
        <w:rFonts w:hint="default"/>
      </w:rPr>
    </w:lvl>
  </w:abstractNum>
  <w:abstractNum w:abstractNumId="23">
    <w:nsid w:val="67EBA120"/>
    <w:multiLevelType w:val="singleLevel"/>
    <w:tmpl w:val="67EBA120"/>
    <w:lvl w:ilvl="0" w:tentative="0">
      <w:start w:val="1"/>
      <w:numFmt w:val="chineseCounting"/>
      <w:suff w:val="nothing"/>
      <w:lvlText w:val="（%1）"/>
      <w:lvlJc w:val="left"/>
      <w:pPr>
        <w:ind w:left="0" w:firstLine="1134"/>
      </w:pPr>
      <w:rPr>
        <w:rFonts w:hint="eastAsia"/>
      </w:rPr>
    </w:lvl>
  </w:abstractNum>
  <w:abstractNum w:abstractNumId="24">
    <w:nsid w:val="69C3C35C"/>
    <w:multiLevelType w:val="singleLevel"/>
    <w:tmpl w:val="69C3C35C"/>
    <w:lvl w:ilvl="0" w:tentative="0">
      <w:start w:val="1"/>
      <w:numFmt w:val="decimal"/>
      <w:suff w:val="nothing"/>
      <w:lvlText w:val="%1）"/>
      <w:lvlJc w:val="left"/>
      <w:pPr>
        <w:ind w:left="0" w:firstLine="397"/>
      </w:pPr>
      <w:rPr>
        <w:rFonts w:hint="default"/>
      </w:rPr>
    </w:lvl>
  </w:abstractNum>
  <w:abstractNum w:abstractNumId="25">
    <w:nsid w:val="78BEEE05"/>
    <w:multiLevelType w:val="singleLevel"/>
    <w:tmpl w:val="78BEEE05"/>
    <w:lvl w:ilvl="0" w:tentative="0">
      <w:start w:val="1"/>
      <w:numFmt w:val="chineseCounting"/>
      <w:suff w:val="nothing"/>
      <w:lvlText w:val="%1、"/>
      <w:lvlJc w:val="left"/>
      <w:pPr>
        <w:ind w:left="0" w:firstLine="397"/>
      </w:pPr>
      <w:rPr>
        <w:rFonts w:hint="eastAsia"/>
        <w:b/>
        <w:sz w:val="24"/>
      </w:rPr>
    </w:lvl>
  </w:abstractNum>
  <w:abstractNum w:abstractNumId="26">
    <w:nsid w:val="7BD26DB4"/>
    <w:multiLevelType w:val="multilevel"/>
    <w:tmpl w:val="7BD26DB4"/>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7">
    <w:nsid w:val="7E0B0393"/>
    <w:multiLevelType w:val="singleLevel"/>
    <w:tmpl w:val="7E0B0393"/>
    <w:lvl w:ilvl="0" w:tentative="0">
      <w:start w:val="1"/>
      <w:numFmt w:val="decimal"/>
      <w:suff w:val="nothing"/>
      <w:lvlText w:val="%1．"/>
      <w:lvlJc w:val="left"/>
      <w:pPr>
        <w:ind w:left="0" w:firstLine="1134"/>
      </w:pPr>
      <w:rPr>
        <w:rFonts w:hint="default"/>
        <w:b/>
        <w:sz w:val="24"/>
      </w:rPr>
    </w:lvl>
  </w:abstractNum>
  <w:num w:numId="1">
    <w:abstractNumId w:val="6"/>
  </w:num>
  <w:num w:numId="2">
    <w:abstractNumId w:val="13"/>
  </w:num>
  <w:num w:numId="3">
    <w:abstractNumId w:val="17"/>
  </w:num>
  <w:num w:numId="4">
    <w:abstractNumId w:val="18"/>
  </w:num>
  <w:num w:numId="5">
    <w:abstractNumId w:val="27"/>
  </w:num>
  <w:num w:numId="6">
    <w:abstractNumId w:val="22"/>
  </w:num>
  <w:num w:numId="7">
    <w:abstractNumId w:val="2"/>
  </w:num>
  <w:num w:numId="8">
    <w:abstractNumId w:val="7"/>
  </w:num>
  <w:num w:numId="9">
    <w:abstractNumId w:val="24"/>
  </w:num>
  <w:num w:numId="10">
    <w:abstractNumId w:val="4"/>
  </w:num>
  <w:num w:numId="11">
    <w:abstractNumId w:val="12"/>
  </w:num>
  <w:num w:numId="12">
    <w:abstractNumId w:val="0"/>
  </w:num>
  <w:num w:numId="13">
    <w:abstractNumId w:val="21"/>
  </w:num>
  <w:num w:numId="14">
    <w:abstractNumId w:val="26"/>
  </w:num>
  <w:num w:numId="15">
    <w:abstractNumId w:val="11"/>
  </w:num>
  <w:num w:numId="16">
    <w:abstractNumId w:val="15"/>
  </w:num>
  <w:num w:numId="17">
    <w:abstractNumId w:val="20"/>
  </w:num>
  <w:num w:numId="18">
    <w:abstractNumId w:val="14"/>
  </w:num>
  <w:num w:numId="19">
    <w:abstractNumId w:val="25"/>
  </w:num>
  <w:num w:numId="20">
    <w:abstractNumId w:val="23"/>
  </w:num>
  <w:num w:numId="21">
    <w:abstractNumId w:val="1"/>
  </w:num>
  <w:num w:numId="22">
    <w:abstractNumId w:val="19"/>
  </w:num>
  <w:num w:numId="23">
    <w:abstractNumId w:val="16"/>
  </w:num>
  <w:num w:numId="24">
    <w:abstractNumId w:val="9"/>
  </w:num>
  <w:num w:numId="25">
    <w:abstractNumId w:val="10"/>
  </w:num>
  <w:num w:numId="26">
    <w:abstractNumId w:val="8"/>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D4312"/>
    <w:rsid w:val="0002289A"/>
    <w:rsid w:val="0002557B"/>
    <w:rsid w:val="0005254F"/>
    <w:rsid w:val="000744F3"/>
    <w:rsid w:val="00085D0C"/>
    <w:rsid w:val="000B7B0A"/>
    <w:rsid w:val="000E0EC3"/>
    <w:rsid w:val="000F63F4"/>
    <w:rsid w:val="001062CA"/>
    <w:rsid w:val="00134FF9"/>
    <w:rsid w:val="001544AB"/>
    <w:rsid w:val="00164413"/>
    <w:rsid w:val="001921E8"/>
    <w:rsid w:val="001D1F1F"/>
    <w:rsid w:val="001E1021"/>
    <w:rsid w:val="001F66EC"/>
    <w:rsid w:val="002D7B13"/>
    <w:rsid w:val="003B47E8"/>
    <w:rsid w:val="003D0F57"/>
    <w:rsid w:val="0040578E"/>
    <w:rsid w:val="00456C93"/>
    <w:rsid w:val="004B2C05"/>
    <w:rsid w:val="004D6177"/>
    <w:rsid w:val="00524AD0"/>
    <w:rsid w:val="005A19E6"/>
    <w:rsid w:val="0065458C"/>
    <w:rsid w:val="0065720F"/>
    <w:rsid w:val="00697CBD"/>
    <w:rsid w:val="006A18B1"/>
    <w:rsid w:val="006D7EB2"/>
    <w:rsid w:val="007055DD"/>
    <w:rsid w:val="007309C3"/>
    <w:rsid w:val="00793DB5"/>
    <w:rsid w:val="007A7407"/>
    <w:rsid w:val="007C0AF5"/>
    <w:rsid w:val="007E14F9"/>
    <w:rsid w:val="007F42A9"/>
    <w:rsid w:val="00802BFD"/>
    <w:rsid w:val="0080751A"/>
    <w:rsid w:val="00841D4A"/>
    <w:rsid w:val="008F47DB"/>
    <w:rsid w:val="008F491E"/>
    <w:rsid w:val="009538E5"/>
    <w:rsid w:val="009B4E73"/>
    <w:rsid w:val="009C14AA"/>
    <w:rsid w:val="009C50DE"/>
    <w:rsid w:val="00A05D0A"/>
    <w:rsid w:val="00A14DC5"/>
    <w:rsid w:val="00A367D2"/>
    <w:rsid w:val="00A81829"/>
    <w:rsid w:val="00A920B1"/>
    <w:rsid w:val="00B11F8D"/>
    <w:rsid w:val="00B96CE0"/>
    <w:rsid w:val="00BB3D24"/>
    <w:rsid w:val="00CA24DF"/>
    <w:rsid w:val="00D06D88"/>
    <w:rsid w:val="00D0796B"/>
    <w:rsid w:val="00D50CF1"/>
    <w:rsid w:val="00D650B3"/>
    <w:rsid w:val="00D85D6D"/>
    <w:rsid w:val="00DD64C1"/>
    <w:rsid w:val="00E14E87"/>
    <w:rsid w:val="00E85F0E"/>
    <w:rsid w:val="00EC3FB8"/>
    <w:rsid w:val="00EE23EE"/>
    <w:rsid w:val="00F15754"/>
    <w:rsid w:val="00F5751A"/>
    <w:rsid w:val="00FF33A0"/>
    <w:rsid w:val="00FF76D9"/>
    <w:rsid w:val="04E40895"/>
    <w:rsid w:val="083B43B1"/>
    <w:rsid w:val="0C855B7E"/>
    <w:rsid w:val="0C87037B"/>
    <w:rsid w:val="0EA03B8A"/>
    <w:rsid w:val="0EAC0C18"/>
    <w:rsid w:val="0EB25F9A"/>
    <w:rsid w:val="14082F52"/>
    <w:rsid w:val="14085DAD"/>
    <w:rsid w:val="14233C6D"/>
    <w:rsid w:val="14452035"/>
    <w:rsid w:val="18F12637"/>
    <w:rsid w:val="1B6C2995"/>
    <w:rsid w:val="1BC44893"/>
    <w:rsid w:val="1C05708F"/>
    <w:rsid w:val="227411DF"/>
    <w:rsid w:val="25053D8A"/>
    <w:rsid w:val="26B94C66"/>
    <w:rsid w:val="272B74FA"/>
    <w:rsid w:val="28C86C87"/>
    <w:rsid w:val="2B401296"/>
    <w:rsid w:val="2DDB1EBF"/>
    <w:rsid w:val="2EC40C57"/>
    <w:rsid w:val="37A26BD4"/>
    <w:rsid w:val="3B6D4312"/>
    <w:rsid w:val="3CB7521C"/>
    <w:rsid w:val="3CE76215"/>
    <w:rsid w:val="3F5F332B"/>
    <w:rsid w:val="3F8502F8"/>
    <w:rsid w:val="3FD704B2"/>
    <w:rsid w:val="446A549B"/>
    <w:rsid w:val="44800368"/>
    <w:rsid w:val="46871AD6"/>
    <w:rsid w:val="481D5A38"/>
    <w:rsid w:val="487975A7"/>
    <w:rsid w:val="48E72086"/>
    <w:rsid w:val="4A1D620C"/>
    <w:rsid w:val="4C2E17B4"/>
    <w:rsid w:val="4D9C287D"/>
    <w:rsid w:val="4DC53F66"/>
    <w:rsid w:val="54386D63"/>
    <w:rsid w:val="55D41C4B"/>
    <w:rsid w:val="594F1692"/>
    <w:rsid w:val="59566C52"/>
    <w:rsid w:val="5E1A6FB5"/>
    <w:rsid w:val="5E7A3CE2"/>
    <w:rsid w:val="62B2296D"/>
    <w:rsid w:val="63DB6B9E"/>
    <w:rsid w:val="65B441A4"/>
    <w:rsid w:val="66591B82"/>
    <w:rsid w:val="6898637C"/>
    <w:rsid w:val="68B16D7B"/>
    <w:rsid w:val="6E656845"/>
    <w:rsid w:val="718C3480"/>
    <w:rsid w:val="73712518"/>
    <w:rsid w:val="74624F7D"/>
    <w:rsid w:val="781828A1"/>
    <w:rsid w:val="788E06C1"/>
    <w:rsid w:val="78D76423"/>
    <w:rsid w:val="79E02BD8"/>
    <w:rsid w:val="7A3458D0"/>
    <w:rsid w:val="7A4B048B"/>
    <w:rsid w:val="7A96669D"/>
    <w:rsid w:val="7C6B2EC5"/>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28"/>
    <w:qFormat/>
    <w:uiPriority w:val="0"/>
    <w:pPr>
      <w:spacing w:beforeAutospacing="1" w:after="120"/>
      <w:ind w:firstLine="420"/>
    </w:pPr>
    <w:rPr>
      <w:rFonts w:ascii="Times New Roman" w:hAnsi="Times New Roman" w:eastAsia="宋体" w:cs="Times New Roman"/>
      <w:szCs w:val="21"/>
    </w:rPr>
  </w:style>
  <w:style w:type="paragraph" w:styleId="5">
    <w:name w:val="Body Text"/>
    <w:basedOn w:val="1"/>
    <w:qFormat/>
    <w:uiPriority w:val="0"/>
  </w:style>
  <w:style w:type="paragraph" w:styleId="6">
    <w:name w:val="Plain Text"/>
    <w:basedOn w:val="1"/>
    <w:link w:val="27"/>
    <w:qFormat/>
    <w:uiPriority w:val="0"/>
    <w:rPr>
      <w:rFonts w:hint="eastAsia" w:ascii="宋体" w:hAnsi="Courier New" w:eastAsia="宋体" w:cs="Times New Roman"/>
      <w:szCs w:val="21"/>
    </w:rPr>
  </w:style>
  <w:style w:type="paragraph" w:styleId="7">
    <w:name w:val="Balloon Text"/>
    <w:basedOn w:val="1"/>
    <w:link w:val="25"/>
    <w:qFormat/>
    <w:uiPriority w:val="0"/>
    <w:rPr>
      <w:sz w:val="18"/>
      <w:szCs w:val="18"/>
    </w:rPr>
  </w:style>
  <w:style w:type="paragraph" w:styleId="8">
    <w:name w:val="footer"/>
    <w:basedOn w:val="1"/>
    <w:link w:val="24"/>
    <w:qFormat/>
    <w:uiPriority w:val="0"/>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Times New Roman" w:hAnsi="Times New Roman" w:eastAsia="宋体" w:cs="Times New Roman"/>
      <w:szCs w:val="21"/>
    </w:rPr>
  </w:style>
  <w:style w:type="character" w:styleId="12">
    <w:name w:val="page number"/>
    <w:basedOn w:val="11"/>
    <w:qFormat/>
    <w:uiPriority w:val="0"/>
  </w:style>
  <w:style w:type="character" w:styleId="13">
    <w:name w:val="FollowedHyperlink"/>
    <w:basedOn w:val="11"/>
    <w:qFormat/>
    <w:uiPriority w:val="0"/>
    <w:rPr>
      <w:color w:val="0000FF"/>
      <w:u w:val="single"/>
    </w:rPr>
  </w:style>
  <w:style w:type="character" w:styleId="14">
    <w:name w:val="Hyperlink"/>
    <w:basedOn w:val="11"/>
    <w:qFormat/>
    <w:uiPriority w:val="0"/>
    <w:rPr>
      <w:color w:val="0000FF"/>
      <w:u w:val="single"/>
    </w:rPr>
  </w:style>
  <w:style w:type="paragraph" w:customStyle="1" w:styleId="16">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17">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18">
    <w:name w:val="列出段落1"/>
    <w:basedOn w:val="1"/>
    <w:qFormat/>
    <w:uiPriority w:val="0"/>
    <w:pPr>
      <w:ind w:firstLine="420" w:firstLineChars="200"/>
    </w:pPr>
    <w:rPr>
      <w:rFonts w:ascii="Calibri" w:hAnsi="Calibri" w:eastAsia="宋体" w:cs="Times New Roman"/>
      <w:szCs w:val="21"/>
    </w:rPr>
  </w:style>
  <w:style w:type="paragraph" w:customStyle="1" w:styleId="19">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0">
    <w:name w:val="10"/>
    <w:basedOn w:val="11"/>
    <w:qFormat/>
    <w:uiPriority w:val="0"/>
    <w:rPr>
      <w:rFonts w:hint="default" w:ascii="Times New Roman" w:hAnsi="Times New Roman" w:cs="Times New Roman"/>
    </w:rPr>
  </w:style>
  <w:style w:type="character" w:customStyle="1" w:styleId="21">
    <w:name w:val="15"/>
    <w:basedOn w:val="11"/>
    <w:qFormat/>
    <w:uiPriority w:val="0"/>
    <w:rPr>
      <w:rFonts w:hint="default" w:ascii="Times New Roman" w:hAnsi="Times New Roman" w:cs="Times New Roman"/>
    </w:rPr>
  </w:style>
  <w:style w:type="character" w:customStyle="1" w:styleId="22">
    <w:name w:val="16"/>
    <w:basedOn w:val="11"/>
    <w:qFormat/>
    <w:uiPriority w:val="0"/>
    <w:rPr>
      <w:rFonts w:hint="default" w:ascii="Times New Roman" w:hAnsi="Times New Roman" w:cs="Times New Roman"/>
      <w:color w:val="0000FF"/>
      <w:u w:val="single"/>
    </w:rPr>
  </w:style>
  <w:style w:type="character" w:customStyle="1" w:styleId="23">
    <w:name w:val="页眉 Char"/>
    <w:basedOn w:val="11"/>
    <w:link w:val="9"/>
    <w:qFormat/>
    <w:uiPriority w:val="0"/>
    <w:rPr>
      <w:rFonts w:asciiTheme="minorHAnsi" w:hAnsiTheme="minorHAnsi" w:eastAsiaTheme="minorEastAsia" w:cstheme="minorBidi"/>
      <w:kern w:val="2"/>
      <w:sz w:val="18"/>
      <w:szCs w:val="18"/>
    </w:rPr>
  </w:style>
  <w:style w:type="character" w:customStyle="1" w:styleId="24">
    <w:name w:val="页脚 Char"/>
    <w:basedOn w:val="11"/>
    <w:link w:val="8"/>
    <w:qFormat/>
    <w:uiPriority w:val="0"/>
    <w:rPr>
      <w:rFonts w:asciiTheme="minorHAnsi" w:hAnsiTheme="minorHAnsi" w:eastAsiaTheme="minorEastAsia" w:cstheme="minorBidi"/>
      <w:kern w:val="2"/>
      <w:sz w:val="18"/>
      <w:szCs w:val="18"/>
    </w:rPr>
  </w:style>
  <w:style w:type="character" w:customStyle="1" w:styleId="25">
    <w:name w:val="批注框文本 Char"/>
    <w:basedOn w:val="11"/>
    <w:link w:val="7"/>
    <w:qFormat/>
    <w:uiPriority w:val="0"/>
    <w:rPr>
      <w:rFonts w:asciiTheme="minorHAnsi" w:hAnsiTheme="minorHAnsi" w:eastAsiaTheme="minorEastAsia" w:cstheme="minorBidi"/>
      <w:kern w:val="2"/>
      <w:sz w:val="18"/>
      <w:szCs w:val="18"/>
    </w:rPr>
  </w:style>
  <w:style w:type="paragraph" w:customStyle="1" w:styleId="26">
    <w:name w:val="WPSOffice手动目录 1"/>
    <w:qFormat/>
    <w:uiPriority w:val="0"/>
    <w:rPr>
      <w:rFonts w:ascii="Times New Roman" w:hAnsi="Times New Roman" w:eastAsia="宋体" w:cs="Times New Roman"/>
      <w:lang w:val="en-US" w:eastAsia="zh-CN" w:bidi="ar-SA"/>
    </w:rPr>
  </w:style>
  <w:style w:type="character" w:customStyle="1" w:styleId="27">
    <w:name w:val="纯文本 Char"/>
    <w:link w:val="6"/>
    <w:qFormat/>
    <w:uiPriority w:val="0"/>
    <w:rPr>
      <w:rFonts w:ascii="宋体" w:hAnsi="Courier New"/>
      <w:kern w:val="2"/>
      <w:sz w:val="21"/>
      <w:szCs w:val="21"/>
    </w:rPr>
  </w:style>
  <w:style w:type="character" w:customStyle="1" w:styleId="28">
    <w:name w:val="正文首行缩进 Char"/>
    <w:basedOn w:val="11"/>
    <w:link w:val="4"/>
    <w:qFormat/>
    <w:uiPriority w:val="0"/>
    <w:rPr>
      <w:kern w:val="2"/>
      <w:sz w:val="21"/>
      <w:szCs w:val="21"/>
    </w:r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0Internet%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0Internet%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2E346-3C4A-4BDB-BC49-390A630B57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4111</Words>
  <Characters>23437</Characters>
  <Lines>195</Lines>
  <Paragraphs>54</Paragraphs>
  <TotalTime>36</TotalTime>
  <ScaleCrop>false</ScaleCrop>
  <LinksUpToDate>false</LinksUpToDate>
  <CharactersWithSpaces>27494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2020-02-27T11:18:00Z</dcterms:created>
  <dc:creator>李晓晨</dc:creator>
  <cp:lastModifiedBy>蒋群英</cp:lastModifiedBy>
  <dcterms:modified xsi:type="dcterms:W3CDTF">2020-03-19T06:39:10Z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