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400"/>
        <w:rPr>
          <w:color w:val="auto"/>
          <w:sz w:val="20"/>
          <w:szCs w:val="20"/>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adjustRightInd w:val="0"/>
        <w:snapToGrid w:val="0"/>
        <w:spacing w:line="360" w:lineRule="auto"/>
        <w:jc w:val="center"/>
        <w:rPr>
          <w:rFonts w:ascii="宋体" w:hAnsi="宋体" w:eastAsia="黑体"/>
          <w:color w:val="auto"/>
          <w:sz w:val="48"/>
          <w:szCs w:val="48"/>
          <w:highlight w:val="none"/>
        </w:rPr>
      </w:pPr>
      <w:r>
        <w:rPr>
          <w:rFonts w:hint="eastAsia" w:ascii="宋体" w:hAnsi="宋体" w:eastAsia="黑体"/>
          <w:color w:val="auto"/>
          <w:sz w:val="48"/>
          <w:szCs w:val="48"/>
          <w:highlight w:val="none"/>
        </w:rPr>
        <w:t>南沙天后宫景区灯光亮化工程（首期）</w:t>
      </w:r>
    </w:p>
    <w:p>
      <w:pPr>
        <w:adjustRightInd w:val="0"/>
        <w:snapToGrid w:val="0"/>
        <w:spacing w:line="360" w:lineRule="auto"/>
        <w:jc w:val="center"/>
        <w:rPr>
          <w:rFonts w:ascii="宋体" w:hAnsi="宋体" w:eastAsia="黑体"/>
          <w:color w:val="auto"/>
          <w:sz w:val="48"/>
          <w:szCs w:val="48"/>
          <w:highlight w:val="none"/>
        </w:rPr>
      </w:pPr>
      <w:r>
        <w:rPr>
          <w:rFonts w:hint="eastAsia" w:ascii="宋体" w:hAnsi="宋体" w:eastAsia="黑体"/>
          <w:color w:val="auto"/>
          <w:sz w:val="48"/>
          <w:szCs w:val="48"/>
          <w:highlight w:val="none"/>
        </w:rPr>
        <w:t>设计施工总承包</w:t>
      </w:r>
    </w:p>
    <w:p>
      <w:pPr>
        <w:adjustRightInd w:val="0"/>
        <w:snapToGrid w:val="0"/>
        <w:spacing w:line="360" w:lineRule="auto"/>
        <w:jc w:val="center"/>
        <w:rPr>
          <w:rFonts w:ascii="黑体" w:eastAsia="黑体"/>
          <w:color w:val="auto"/>
          <w:sz w:val="48"/>
          <w:szCs w:val="4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jc w:val="center"/>
        <w:rPr>
          <w:rFonts w:ascii="黑体" w:eastAsia="黑体"/>
          <w:color w:val="auto"/>
          <w:sz w:val="72"/>
          <w:szCs w:val="72"/>
          <w:highlight w:val="none"/>
        </w:rPr>
      </w:pPr>
      <w:r>
        <w:rPr>
          <w:rFonts w:hint="eastAsia" w:ascii="黑体" w:eastAsia="黑体"/>
          <w:color w:val="auto"/>
          <w:sz w:val="72"/>
          <w:szCs w:val="72"/>
          <w:highlight w:val="none"/>
        </w:rPr>
        <w:t>招标文件</w:t>
      </w: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tabs>
          <w:tab w:val="left" w:pos="7067"/>
        </w:tabs>
        <w:spacing w:line="360" w:lineRule="auto"/>
        <w:ind w:firstLine="1506" w:firstLineChars="500"/>
        <w:rPr>
          <w:rFonts w:hint="eastAsia" w:ascii="宋体" w:hAnsi="宋体" w:cs="宋体"/>
          <w:b/>
          <w:color w:val="auto"/>
          <w:sz w:val="30"/>
          <w:szCs w:val="30"/>
          <w:highlight w:val="none"/>
        </w:rPr>
      </w:pPr>
      <w:bookmarkStart w:id="0" w:name="_Toc152042286"/>
      <w:bookmarkStart w:id="1" w:name="_Toc363"/>
      <w:bookmarkStart w:id="2" w:name="_Toc24129"/>
      <w:bookmarkStart w:id="3" w:name="_Toc23644"/>
      <w:bookmarkStart w:id="4" w:name="_Toc144974478"/>
      <w:bookmarkStart w:id="5" w:name="_Toc19474"/>
      <w:bookmarkStart w:id="6" w:name="_Toc27659"/>
      <w:bookmarkStart w:id="7" w:name="_Toc300834926"/>
      <w:bookmarkStart w:id="8" w:name="_Toc247527532"/>
      <w:r>
        <w:rPr>
          <w:rFonts w:hint="eastAsia" w:ascii="宋体" w:hAnsi="宋体" w:cs="宋体"/>
          <w:b/>
          <w:color w:val="auto"/>
          <w:sz w:val="30"/>
          <w:szCs w:val="30"/>
          <w:highlight w:val="none"/>
        </w:rPr>
        <w:t>招标单位：广州南沙旅游发展有限公司</w:t>
      </w:r>
    </w:p>
    <w:p>
      <w:pPr>
        <w:pStyle w:val="2"/>
        <w:rPr>
          <w:rFonts w:hint="default" w:eastAsia="宋体"/>
          <w:color w:val="auto"/>
          <w:highlight w:val="none"/>
          <w:lang w:val="en-US" w:eastAsia="zh-CN"/>
        </w:rPr>
      </w:pPr>
      <w:r>
        <w:rPr>
          <w:rFonts w:hint="eastAsia" w:ascii="宋体" w:hAnsi="宋体" w:cs="宋体"/>
          <w:b/>
          <w:color w:val="auto"/>
          <w:sz w:val="30"/>
          <w:szCs w:val="30"/>
          <w:highlight w:val="none"/>
          <w:lang w:val="en-US" w:eastAsia="zh-CN"/>
        </w:rPr>
        <w:t xml:space="preserve">                    广州市南沙天后文化学会</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建设管理单位：广州南沙建设维护管理有限公司</w:t>
      </w:r>
    </w:p>
    <w:p>
      <w:pPr>
        <w:tabs>
          <w:tab w:val="left" w:pos="7067"/>
        </w:tabs>
        <w:spacing w:line="360" w:lineRule="auto"/>
        <w:ind w:firstLine="1506" w:firstLineChars="500"/>
        <w:rPr>
          <w:rFonts w:ascii="宋体" w:hAnsi="宋体" w:cs="宋体"/>
          <w:b/>
          <w:color w:val="auto"/>
          <w:sz w:val="30"/>
          <w:szCs w:val="30"/>
          <w:highlight w:val="none"/>
        </w:rPr>
      </w:pPr>
      <w:r>
        <w:rPr>
          <w:rFonts w:hint="eastAsia" w:ascii="宋体" w:hAnsi="宋体" w:cs="宋体"/>
          <w:b/>
          <w:color w:val="auto"/>
          <w:sz w:val="30"/>
          <w:szCs w:val="30"/>
          <w:highlight w:val="none"/>
        </w:rPr>
        <w:t>日    期：二〇二〇年三月</w:t>
      </w:r>
    </w:p>
    <w:p>
      <w:pPr>
        <w:spacing w:line="360" w:lineRule="auto"/>
        <w:ind w:firstLine="699" w:firstLineChars="333"/>
        <w:rPr>
          <w:color w:val="auto"/>
          <w:highlight w:val="none"/>
        </w:rPr>
        <w:sectPr>
          <w:headerReference r:id="rId3" w:type="default"/>
          <w:footerReference r:id="rId4" w:type="even"/>
          <w:pgSz w:w="11906" w:h="16838"/>
          <w:pgMar w:top="1247" w:right="1134" w:bottom="1247" w:left="1361" w:header="851" w:footer="992" w:gutter="0"/>
          <w:cols w:space="720" w:num="1"/>
          <w:docGrid w:type="lines" w:linePitch="312" w:charSpace="0"/>
        </w:sectPr>
      </w:pPr>
    </w:p>
    <w:p>
      <w:pPr>
        <w:pStyle w:val="3"/>
        <w:rPr>
          <w:color w:val="auto"/>
          <w:highlight w:val="none"/>
        </w:rPr>
      </w:pPr>
      <w:bookmarkStart w:id="9" w:name="_Toc24489"/>
      <w:bookmarkStart w:id="10" w:name="_Toc20398"/>
      <w:bookmarkStart w:id="11" w:name="_Toc28091"/>
      <w:bookmarkStart w:id="12" w:name="_Toc17935"/>
      <w:bookmarkStart w:id="13" w:name="_Toc5547"/>
      <w:bookmarkStart w:id="14" w:name="_Toc494371510"/>
      <w:bookmarkStart w:id="15" w:name="_Toc726"/>
      <w:r>
        <w:rPr>
          <w:rFonts w:hint="eastAsia"/>
          <w:color w:val="auto"/>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8"/>
        <w:tabs>
          <w:tab w:val="right" w:leader="dot" w:pos="9411"/>
        </w:tabs>
        <w:rPr>
          <w:color w:val="auto"/>
          <w:highlight w:val="none"/>
        </w:rPr>
      </w:pPr>
      <w:bookmarkStart w:id="16" w:name="_Toc247527533"/>
      <w:bookmarkStart w:id="17" w:name="_Toc247513932"/>
      <w:bookmarkStart w:id="18" w:name="_Toc144974479"/>
      <w:bookmarkStart w:id="19" w:name="_Toc152045511"/>
      <w:bookmarkStart w:id="20" w:name="_Toc152042287"/>
      <w:r>
        <w:rPr>
          <w:caps w:val="0"/>
          <w:color w:val="auto"/>
          <w:sz w:val="28"/>
          <w:szCs w:val="28"/>
          <w:highlight w:val="none"/>
        </w:rPr>
        <w:fldChar w:fldCharType="begin"/>
      </w:r>
      <w:r>
        <w:rPr>
          <w:caps w:val="0"/>
          <w:color w:val="auto"/>
          <w:sz w:val="28"/>
          <w:szCs w:val="28"/>
          <w:highlight w:val="none"/>
        </w:rPr>
        <w:instrText xml:space="preserve">TOC \o "1-2" \h \u </w:instrText>
      </w:r>
      <w:r>
        <w:rPr>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"_Toc5547" </w:instrText>
      </w:r>
      <w:r>
        <w:rPr>
          <w:color w:val="auto"/>
          <w:highlight w:val="none"/>
        </w:rPr>
        <w:fldChar w:fldCharType="separate"/>
      </w:r>
      <w:r>
        <w:rPr>
          <w:rFonts w:hint="eastAsia"/>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_Toc5547 </w:instrText>
      </w:r>
      <w:r>
        <w:rPr>
          <w:color w:val="auto"/>
          <w:highlight w:val="none"/>
        </w:rPr>
        <w:fldChar w:fldCharType="separate"/>
      </w:r>
      <w:r>
        <w:rPr>
          <w:color w:val="auto"/>
          <w:highlight w:val="none"/>
        </w:rPr>
        <w:t>I</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"_Toc7788" </w:instrText>
      </w:r>
      <w:r>
        <w:rPr>
          <w:color w:val="auto"/>
          <w:highlight w:val="none"/>
        </w:rPr>
        <w:fldChar w:fldCharType="separate"/>
      </w:r>
      <w:r>
        <w:rPr>
          <w:rFonts w:hint="eastAsia"/>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_Toc7788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"_Toc31823" </w:instrText>
      </w:r>
      <w:r>
        <w:rPr>
          <w:color w:val="auto"/>
          <w:highlight w:val="none"/>
        </w:rPr>
        <w:fldChar w:fldCharType="separate"/>
      </w:r>
      <w:r>
        <w:rPr>
          <w:rFonts w:hint="eastAsia"/>
          <w:color w:val="auto"/>
          <w:kern w:val="44"/>
          <w:szCs w:val="44"/>
          <w:highlight w:val="none"/>
        </w:rPr>
        <w:t>第一章招标公告（另册）</w:t>
      </w:r>
      <w:r>
        <w:rPr>
          <w:color w:val="auto"/>
          <w:highlight w:val="none"/>
        </w:rPr>
        <w:tab/>
      </w:r>
      <w:r>
        <w:rPr>
          <w:color w:val="auto"/>
          <w:highlight w:val="none"/>
        </w:rPr>
        <w:fldChar w:fldCharType="begin"/>
      </w:r>
      <w:r>
        <w:rPr>
          <w:color w:val="auto"/>
          <w:highlight w:val="none"/>
        </w:rPr>
        <w:instrText xml:space="preserve"> PAGEREF _Toc31823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"_Toc18722" </w:instrText>
      </w:r>
      <w:r>
        <w:rPr>
          <w:color w:val="auto"/>
          <w:highlight w:val="none"/>
        </w:rPr>
        <w:fldChar w:fldCharType="separate"/>
      </w:r>
      <w:r>
        <w:rPr>
          <w:rFonts w:hint="eastAsia"/>
          <w:color w:val="auto"/>
          <w:kern w:val="44"/>
          <w:szCs w:val="44"/>
          <w:highlight w:val="none"/>
        </w:rPr>
        <w:t>第二章投标人须知</w:t>
      </w:r>
      <w:r>
        <w:rPr>
          <w:color w:val="auto"/>
          <w:highlight w:val="none"/>
        </w:rPr>
        <w:tab/>
      </w:r>
      <w:r>
        <w:rPr>
          <w:color w:val="auto"/>
          <w:highlight w:val="none"/>
        </w:rPr>
        <w:fldChar w:fldCharType="begin"/>
      </w:r>
      <w:r>
        <w:rPr>
          <w:color w:val="auto"/>
          <w:highlight w:val="none"/>
        </w:rPr>
        <w:instrText xml:space="preserve"> PAGEREF _Toc18722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"_Toc614" </w:instrText>
      </w:r>
      <w:r>
        <w:rPr>
          <w:color w:val="auto"/>
          <w:highlight w:val="none"/>
        </w:rPr>
        <w:fldChar w:fldCharType="separate"/>
      </w:r>
      <w:r>
        <w:rPr>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_Toc614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"_Toc15823" </w:instrText>
      </w:r>
      <w:r>
        <w:rPr>
          <w:color w:val="auto"/>
          <w:highlight w:val="none"/>
        </w:rPr>
        <w:fldChar w:fldCharType="separate"/>
      </w:r>
      <w:r>
        <w:rPr>
          <w:color w:val="auto"/>
          <w:highlight w:val="none"/>
        </w:rPr>
        <w:t xml:space="preserve">1. </w:t>
      </w:r>
      <w:r>
        <w:rPr>
          <w:rFonts w:hint="eastAsia"/>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_Toc15823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"_Toc17066" </w:instrText>
      </w:r>
      <w:r>
        <w:rPr>
          <w:color w:val="auto"/>
          <w:highlight w:val="none"/>
        </w:rPr>
        <w:fldChar w:fldCharType="separate"/>
      </w:r>
      <w:r>
        <w:rPr>
          <w:color w:val="auto"/>
          <w:highlight w:val="none"/>
        </w:rPr>
        <w:t xml:space="preserve">2. </w:t>
      </w:r>
      <w:r>
        <w:rPr>
          <w:rFonts w:hint="eastAsia"/>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_Toc17066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"_Toc2248" </w:instrText>
      </w:r>
      <w:r>
        <w:rPr>
          <w:color w:val="auto"/>
          <w:highlight w:val="none"/>
        </w:rPr>
        <w:fldChar w:fldCharType="separate"/>
      </w:r>
      <w:r>
        <w:rPr>
          <w:color w:val="auto"/>
          <w:highlight w:val="none"/>
        </w:rPr>
        <w:t xml:space="preserve">3. </w:t>
      </w:r>
      <w:r>
        <w:rPr>
          <w:rFonts w:hint="eastAsia"/>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_Toc2248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"_Toc2705" </w:instrText>
      </w:r>
      <w:r>
        <w:rPr>
          <w:color w:val="auto"/>
          <w:highlight w:val="none"/>
        </w:rPr>
        <w:fldChar w:fldCharType="separate"/>
      </w:r>
      <w:r>
        <w:rPr>
          <w:color w:val="auto"/>
          <w:highlight w:val="none"/>
        </w:rPr>
        <w:t xml:space="preserve">4. </w:t>
      </w:r>
      <w:r>
        <w:rPr>
          <w:rFonts w:hint="eastAsia"/>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_Toc2705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"_Toc21050" </w:instrText>
      </w:r>
      <w:r>
        <w:rPr>
          <w:color w:val="auto"/>
          <w:highlight w:val="none"/>
        </w:rPr>
        <w:fldChar w:fldCharType="separate"/>
      </w:r>
      <w:r>
        <w:rPr>
          <w:color w:val="auto"/>
          <w:highlight w:val="none"/>
        </w:rPr>
        <w:t xml:space="preserve">5. </w:t>
      </w:r>
      <w:r>
        <w:rPr>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_Toc21050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"_Toc30687" </w:instrText>
      </w:r>
      <w:r>
        <w:rPr>
          <w:color w:val="auto"/>
          <w:highlight w:val="none"/>
        </w:rPr>
        <w:fldChar w:fldCharType="separate"/>
      </w:r>
      <w:r>
        <w:rPr>
          <w:color w:val="auto"/>
          <w:highlight w:val="none"/>
        </w:rPr>
        <w:t xml:space="preserve">6. </w:t>
      </w:r>
      <w:r>
        <w:rPr>
          <w:rFonts w:hint="eastAsia"/>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_Toc30687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"_Toc9728" </w:instrText>
      </w:r>
      <w:r>
        <w:rPr>
          <w:color w:val="auto"/>
          <w:highlight w:val="none"/>
        </w:rPr>
        <w:fldChar w:fldCharType="separate"/>
      </w:r>
      <w:r>
        <w:rPr>
          <w:color w:val="auto"/>
          <w:highlight w:val="none"/>
        </w:rPr>
        <w:t xml:space="preserve">7. </w:t>
      </w:r>
      <w:r>
        <w:rPr>
          <w:rFonts w:hint="eastAsia"/>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_Toc9728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"_Toc16289" </w:instrText>
      </w:r>
      <w:r>
        <w:rPr>
          <w:color w:val="auto"/>
          <w:highlight w:val="none"/>
        </w:rPr>
        <w:fldChar w:fldCharType="separate"/>
      </w:r>
      <w:r>
        <w:rPr>
          <w:color w:val="auto"/>
          <w:highlight w:val="none"/>
        </w:rPr>
        <w:t>8.</w:t>
      </w:r>
      <w:r>
        <w:rPr>
          <w:rFonts w:hint="eastAsia"/>
          <w:color w:val="auto"/>
          <w:highlight w:val="none"/>
        </w:rPr>
        <w:t xml:space="preserve"> 纪律和监督</w:t>
      </w:r>
      <w:r>
        <w:rPr>
          <w:color w:val="auto"/>
          <w:highlight w:val="none"/>
        </w:rPr>
        <w:tab/>
      </w:r>
      <w:r>
        <w:rPr>
          <w:color w:val="auto"/>
          <w:highlight w:val="none"/>
        </w:rPr>
        <w:fldChar w:fldCharType="begin"/>
      </w:r>
      <w:r>
        <w:rPr>
          <w:color w:val="auto"/>
          <w:highlight w:val="none"/>
        </w:rPr>
        <w:instrText xml:space="preserve"> PAGEREF _Toc16289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"_Toc17185" </w:instrText>
      </w:r>
      <w:r>
        <w:rPr>
          <w:color w:val="auto"/>
          <w:highlight w:val="none"/>
        </w:rPr>
        <w:fldChar w:fldCharType="separate"/>
      </w:r>
      <w:r>
        <w:rPr>
          <w:color w:val="auto"/>
          <w:highlight w:val="none"/>
        </w:rPr>
        <w:t xml:space="preserve">9. </w:t>
      </w:r>
      <w:r>
        <w:rPr>
          <w:rFonts w:hint="eastAsia"/>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_Toc17185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"_Toc21033" </w:instrText>
      </w:r>
      <w:r>
        <w:rPr>
          <w:color w:val="auto"/>
          <w:highlight w:val="none"/>
        </w:rPr>
        <w:fldChar w:fldCharType="separate"/>
      </w:r>
      <w:r>
        <w:rPr>
          <w:rFonts w:hint="eastAsia" w:ascii="宋体" w:hAnsi="宋体"/>
          <w:color w:val="auto"/>
          <w:highlight w:val="none"/>
        </w:rPr>
        <w:t>第三章评标办法（综合评估法）</w:t>
      </w:r>
      <w:r>
        <w:rPr>
          <w:color w:val="auto"/>
          <w:highlight w:val="none"/>
        </w:rPr>
        <w:tab/>
      </w:r>
      <w:r>
        <w:rPr>
          <w:color w:val="auto"/>
          <w:highlight w:val="none"/>
        </w:rPr>
        <w:fldChar w:fldCharType="begin"/>
      </w:r>
      <w:r>
        <w:rPr>
          <w:color w:val="auto"/>
          <w:highlight w:val="none"/>
        </w:rPr>
        <w:instrText xml:space="preserve"> PAGEREF _Toc21033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"_Toc30828" </w:instrText>
      </w:r>
      <w:r>
        <w:rPr>
          <w:color w:val="auto"/>
          <w:highlight w:val="none"/>
        </w:rPr>
        <w:fldChar w:fldCharType="separate"/>
      </w:r>
      <w:r>
        <w:rPr>
          <w:rFonts w:hint="eastAsia" w:ascii="宋体" w:hAnsi="宋体"/>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_Toc30828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"_Toc27587" </w:instrText>
      </w:r>
      <w:r>
        <w:rPr>
          <w:color w:val="auto"/>
          <w:highlight w:val="none"/>
        </w:rPr>
        <w:fldChar w:fldCharType="separate"/>
      </w:r>
      <w:r>
        <w:rPr>
          <w:rFonts w:ascii="宋体" w:hAnsi="宋体"/>
          <w:color w:val="auto"/>
          <w:highlight w:val="none"/>
        </w:rPr>
        <w:t xml:space="preserve">1. </w:t>
      </w:r>
      <w:r>
        <w:rPr>
          <w:rFonts w:hint="eastAsia" w:ascii="宋体" w:hAnsi="宋体"/>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_Toc27587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"_Toc32459" </w:instrText>
      </w:r>
      <w:r>
        <w:rPr>
          <w:color w:val="auto"/>
          <w:highlight w:val="none"/>
        </w:rPr>
        <w:fldChar w:fldCharType="separate"/>
      </w:r>
      <w:r>
        <w:rPr>
          <w:rFonts w:ascii="宋体" w:hAnsi="宋体"/>
          <w:color w:val="auto"/>
          <w:highlight w:val="none"/>
        </w:rPr>
        <w:t xml:space="preserve">2. </w:t>
      </w:r>
      <w:r>
        <w:rPr>
          <w:rFonts w:hint="eastAsia" w:ascii="宋体" w:hAnsi="宋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_Toc32459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"_Toc24635" </w:instrText>
      </w:r>
      <w:r>
        <w:rPr>
          <w:color w:val="auto"/>
          <w:highlight w:val="none"/>
        </w:rPr>
        <w:fldChar w:fldCharType="separate"/>
      </w:r>
      <w:r>
        <w:rPr>
          <w:rFonts w:ascii="宋体" w:hAnsi="宋体"/>
          <w:color w:val="auto"/>
          <w:highlight w:val="none"/>
        </w:rPr>
        <w:t xml:space="preserve">3. </w:t>
      </w:r>
      <w:r>
        <w:rPr>
          <w:rFonts w:hint="eastAsia" w:ascii="宋体" w:hAnsi="宋体"/>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_Toc24635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9411"/>
        </w:tabs>
        <w:rPr>
          <w:color w:val="auto"/>
          <w:highlight w:val="none"/>
        </w:rPr>
      </w:pPr>
      <w:r>
        <w:rPr>
          <w:color w:val="auto"/>
          <w:highlight w:val="none"/>
        </w:rPr>
        <w:fldChar w:fldCharType="begin"/>
      </w:r>
      <w:r>
        <w:rPr>
          <w:color w:val="auto"/>
          <w:highlight w:val="none"/>
        </w:rPr>
        <w:instrText xml:space="preserve"> HYPERLINK \l "_Toc1854" </w:instrText>
      </w:r>
      <w:r>
        <w:rPr>
          <w:color w:val="auto"/>
          <w:highlight w:val="none"/>
        </w:rPr>
        <w:fldChar w:fldCharType="separate"/>
      </w:r>
      <w:r>
        <w:rPr>
          <w:rFonts w:ascii="宋体" w:hAnsi="宋体"/>
          <w:color w:val="auto"/>
          <w:highlight w:val="none"/>
        </w:rPr>
        <w:t xml:space="preserve">4. </w:t>
      </w:r>
      <w:r>
        <w:rPr>
          <w:rFonts w:hint="eastAsia" w:ascii="宋体" w:hAnsi="宋体"/>
          <w:color w:val="auto"/>
          <w:highlight w:val="none"/>
        </w:rPr>
        <w:t>评标表格</w:t>
      </w:r>
      <w:r>
        <w:rPr>
          <w:color w:val="auto"/>
          <w:highlight w:val="none"/>
        </w:rPr>
        <w:tab/>
      </w:r>
      <w:r>
        <w:rPr>
          <w:color w:val="auto"/>
          <w:highlight w:val="none"/>
        </w:rPr>
        <w:fldChar w:fldCharType="begin"/>
      </w:r>
      <w:r>
        <w:rPr>
          <w:color w:val="auto"/>
          <w:highlight w:val="none"/>
        </w:rPr>
        <w:instrText xml:space="preserve"> PAGEREF _Toc1854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"_Toc8047" </w:instrText>
      </w:r>
      <w:r>
        <w:rPr>
          <w:color w:val="auto"/>
          <w:highlight w:val="none"/>
        </w:rPr>
        <w:fldChar w:fldCharType="separate"/>
      </w:r>
      <w:r>
        <w:rPr>
          <w:rFonts w:hint="eastAsia"/>
          <w:color w:val="auto"/>
          <w:highlight w:val="none"/>
        </w:rPr>
        <w:t>第四章合同条款及格式（另册）</w:t>
      </w:r>
      <w:r>
        <w:rPr>
          <w:color w:val="auto"/>
          <w:highlight w:val="none"/>
        </w:rPr>
        <w:tab/>
      </w:r>
      <w:r>
        <w:rPr>
          <w:color w:val="auto"/>
          <w:highlight w:val="none"/>
        </w:rPr>
        <w:fldChar w:fldCharType="begin"/>
      </w:r>
      <w:r>
        <w:rPr>
          <w:color w:val="auto"/>
          <w:highlight w:val="none"/>
        </w:rPr>
        <w:instrText xml:space="preserve"> PAGEREF _Toc8047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"_Toc8606" </w:instrText>
      </w:r>
      <w:r>
        <w:rPr>
          <w:color w:val="auto"/>
          <w:highlight w:val="none"/>
        </w:rPr>
        <w:fldChar w:fldCharType="separate"/>
      </w:r>
      <w:r>
        <w:rPr>
          <w:rFonts w:hint="eastAsia"/>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_Toc8606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"_Toc9082" </w:instrText>
      </w:r>
      <w:r>
        <w:rPr>
          <w:color w:val="auto"/>
          <w:highlight w:val="none"/>
        </w:rPr>
        <w:fldChar w:fldCharType="separate"/>
      </w:r>
      <w:r>
        <w:rPr>
          <w:rFonts w:hint="eastAsia"/>
          <w:color w:val="auto"/>
          <w:highlight w:val="none"/>
        </w:rPr>
        <w:t>第五章项目方案效果图</w:t>
      </w:r>
      <w:r>
        <w:rPr>
          <w:color w:val="auto"/>
          <w:highlight w:val="none"/>
        </w:rPr>
        <w:tab/>
      </w:r>
      <w:r>
        <w:rPr>
          <w:color w:val="auto"/>
          <w:highlight w:val="none"/>
        </w:rPr>
        <w:fldChar w:fldCharType="begin"/>
      </w:r>
      <w:r>
        <w:rPr>
          <w:color w:val="auto"/>
          <w:highlight w:val="none"/>
        </w:rPr>
        <w:instrText xml:space="preserve"> PAGEREF _Toc9082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"_Toc2718" </w:instrText>
      </w:r>
      <w:r>
        <w:rPr>
          <w:color w:val="auto"/>
          <w:highlight w:val="none"/>
        </w:rPr>
        <w:fldChar w:fldCharType="separate"/>
      </w:r>
      <w:r>
        <w:rPr>
          <w:rFonts w:hint="eastAsia"/>
          <w:color w:val="auto"/>
          <w:highlight w:val="none"/>
        </w:rPr>
        <w:t>第六章发包人提供的资料（另册）</w:t>
      </w:r>
      <w:r>
        <w:rPr>
          <w:color w:val="auto"/>
          <w:highlight w:val="none"/>
        </w:rPr>
        <w:tab/>
      </w:r>
      <w:r>
        <w:rPr>
          <w:color w:val="auto"/>
          <w:highlight w:val="none"/>
        </w:rPr>
        <w:fldChar w:fldCharType="begin"/>
      </w:r>
      <w:r>
        <w:rPr>
          <w:color w:val="auto"/>
          <w:highlight w:val="none"/>
        </w:rPr>
        <w:instrText xml:space="preserve"> PAGEREF _Toc2718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"_Toc15680" </w:instrText>
      </w:r>
      <w:r>
        <w:rPr>
          <w:color w:val="auto"/>
          <w:highlight w:val="none"/>
        </w:rPr>
        <w:fldChar w:fldCharType="separate"/>
      </w:r>
      <w:r>
        <w:rPr>
          <w:rFonts w:hint="eastAsia"/>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_Toc15680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"_Toc8861" </w:instrText>
      </w:r>
      <w:r>
        <w:rPr>
          <w:color w:val="auto"/>
          <w:highlight w:val="none"/>
        </w:rPr>
        <w:fldChar w:fldCharType="separate"/>
      </w:r>
      <w:r>
        <w:rPr>
          <w:rFonts w:hint="eastAsia"/>
          <w:color w:val="auto"/>
          <w:highlight w:val="none"/>
        </w:rPr>
        <w:t>第七章投标文件格式</w:t>
      </w:r>
      <w:r>
        <w:rPr>
          <w:color w:val="auto"/>
          <w:highlight w:val="none"/>
        </w:rPr>
        <w:tab/>
      </w:r>
      <w:r>
        <w:rPr>
          <w:color w:val="auto"/>
          <w:highlight w:val="none"/>
        </w:rPr>
        <w:fldChar w:fldCharType="begin"/>
      </w:r>
      <w:r>
        <w:rPr>
          <w:color w:val="auto"/>
          <w:highlight w:val="none"/>
        </w:rPr>
        <w:instrText xml:space="preserve"> PAGEREF _Toc8861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8"/>
        <w:tabs>
          <w:tab w:val="right" w:leader="dot" w:pos="9411"/>
        </w:tabs>
        <w:rPr>
          <w:color w:val="auto"/>
          <w:highlight w:val="none"/>
        </w:rPr>
      </w:pPr>
      <w:r>
        <w:rPr>
          <w:color w:val="auto"/>
          <w:highlight w:val="none"/>
        </w:rPr>
        <w:fldChar w:fldCharType="begin"/>
      </w:r>
      <w:r>
        <w:rPr>
          <w:color w:val="auto"/>
          <w:highlight w:val="none"/>
        </w:rPr>
        <w:instrText xml:space="preserve"> HYPERLINK \l "_Toc6761" </w:instrText>
      </w:r>
      <w:r>
        <w:rPr>
          <w:color w:val="auto"/>
          <w:highlight w:val="none"/>
        </w:rPr>
        <w:fldChar w:fldCharType="separate"/>
      </w:r>
      <w:r>
        <w:rPr>
          <w:rFonts w:hint="eastAsia"/>
          <w:color w:val="auto"/>
          <w:highlight w:val="none"/>
        </w:rPr>
        <w:t>第八章其他资料</w:t>
      </w:r>
      <w:r>
        <w:rPr>
          <w:color w:val="auto"/>
          <w:highlight w:val="none"/>
        </w:rPr>
        <w:tab/>
      </w:r>
      <w:r>
        <w:rPr>
          <w:color w:val="auto"/>
          <w:highlight w:val="none"/>
        </w:rPr>
        <w:fldChar w:fldCharType="begin"/>
      </w:r>
      <w:r>
        <w:rPr>
          <w:color w:val="auto"/>
          <w:highlight w:val="none"/>
        </w:rPr>
        <w:instrText xml:space="preserve"> PAGEREF _Toc6761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3"/>
        <w:rPr>
          <w:color w:val="auto"/>
          <w:highlight w:val="none"/>
        </w:rPr>
        <w:sectPr>
          <w:footerReference r:id="rId5" w:type="default"/>
          <w:pgSz w:w="11906" w:h="16838"/>
          <w:pgMar w:top="1247" w:right="1134" w:bottom="1247" w:left="1361" w:header="851" w:footer="992" w:gutter="0"/>
          <w:pgNumType w:fmt="upperRoman" w:start="1"/>
          <w:cols w:space="720" w:num="1"/>
          <w:docGrid w:type="lines" w:linePitch="312" w:charSpace="0"/>
        </w:sectPr>
      </w:pPr>
      <w:r>
        <w:rPr>
          <w:caps/>
          <w:color w:val="auto"/>
          <w:szCs w:val="28"/>
          <w:highlight w:val="none"/>
        </w:rPr>
        <w:fldChar w:fldCharType="end"/>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pStyle w:val="3"/>
        <w:rPr>
          <w:color w:val="auto"/>
          <w:highlight w:val="none"/>
        </w:rPr>
      </w:pPr>
      <w:bookmarkStart w:id="21" w:name="_Toc7788"/>
      <w:bookmarkStart w:id="22" w:name="_Toc494371511"/>
      <w:bookmarkStart w:id="23" w:name="_Toc24226"/>
      <w:bookmarkStart w:id="24" w:name="_Toc20772"/>
      <w:bookmarkStart w:id="25" w:name="_Toc300834927"/>
      <w:bookmarkStart w:id="26" w:name="_Toc14632"/>
      <w:bookmarkStart w:id="27" w:name="_Toc5664"/>
      <w:bookmarkStart w:id="28" w:name="_Toc3317"/>
      <w:bookmarkStart w:id="29" w:name="_Toc11363"/>
      <w:bookmarkStart w:id="30" w:name="_Toc23631"/>
      <w:bookmarkStart w:id="31" w:name="_Toc1856"/>
      <w:bookmarkStart w:id="32" w:name="_Toc6648"/>
      <w:bookmarkStart w:id="33" w:name="_Toc11431"/>
      <w:r>
        <w:rPr>
          <w:rFonts w:hint="eastAsia"/>
          <w:color w:val="auto"/>
          <w:highlight w:val="none"/>
        </w:rPr>
        <w:t>第一卷</w:t>
      </w:r>
      <w:bookmarkEnd w:id="16"/>
      <w:bookmarkEnd w:id="17"/>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jc w:val="center"/>
        <w:rPr>
          <w:rFonts w:ascii="宋体" w:hAnsi="宋体" w:cs="宋体"/>
          <w:color w:val="auto"/>
          <w:sz w:val="24"/>
          <w:highlight w:val="none"/>
        </w:rPr>
      </w:pPr>
      <w:bookmarkStart w:id="34" w:name="_Toc300834928"/>
      <w:bookmarkStart w:id="35" w:name="_Toc247513933"/>
      <w:bookmarkStart w:id="36" w:name="_Toc247527534"/>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jc w:val="center"/>
        <w:outlineLvl w:val="0"/>
        <w:rPr>
          <w:b/>
          <w:bCs/>
          <w:color w:val="auto"/>
          <w:kern w:val="44"/>
          <w:sz w:val="44"/>
          <w:szCs w:val="44"/>
          <w:highlight w:val="none"/>
        </w:rPr>
      </w:pPr>
      <w:bookmarkStart w:id="37" w:name="_Toc7403"/>
      <w:bookmarkStart w:id="38" w:name="_Toc7717"/>
      <w:bookmarkStart w:id="39" w:name="_Toc9002"/>
      <w:bookmarkStart w:id="40" w:name="_Toc28981"/>
      <w:bookmarkStart w:id="41" w:name="_Toc494371512"/>
      <w:bookmarkStart w:id="42" w:name="_Toc31823"/>
      <w:bookmarkStart w:id="43" w:name="_Toc7616"/>
      <w:r>
        <w:rPr>
          <w:rFonts w:hint="eastAsia"/>
          <w:b/>
          <w:bCs/>
          <w:color w:val="auto"/>
          <w:kern w:val="44"/>
          <w:sz w:val="44"/>
          <w:szCs w:val="44"/>
          <w:highlight w:val="none"/>
        </w:rPr>
        <w:t>第一章招标公告（另册）</w:t>
      </w:r>
      <w:bookmarkEnd w:id="37"/>
      <w:bookmarkEnd w:id="38"/>
      <w:bookmarkEnd w:id="39"/>
      <w:bookmarkEnd w:id="40"/>
      <w:bookmarkEnd w:id="41"/>
      <w:bookmarkEnd w:id="42"/>
      <w:bookmarkEnd w:id="43"/>
    </w:p>
    <w:bookmarkEnd w:id="18"/>
    <w:bookmarkEnd w:id="19"/>
    <w:bookmarkEnd w:id="20"/>
    <w:bookmarkEnd w:id="34"/>
    <w:bookmarkEnd w:id="35"/>
    <w:bookmarkEnd w:id="36"/>
    <w:p>
      <w:pPr>
        <w:jc w:val="center"/>
        <w:outlineLvl w:val="0"/>
        <w:rPr>
          <w:b/>
          <w:bCs/>
          <w:color w:val="auto"/>
          <w:kern w:val="44"/>
          <w:sz w:val="44"/>
          <w:szCs w:val="44"/>
          <w:highlight w:val="none"/>
        </w:rPr>
      </w:pPr>
      <w:bookmarkStart w:id="44" w:name="_Toc247513950"/>
      <w:bookmarkStart w:id="45" w:name="_Toc152042303"/>
      <w:bookmarkStart w:id="46" w:name="_Toc20453"/>
      <w:bookmarkStart w:id="47" w:name="_Toc300834947"/>
      <w:bookmarkStart w:id="48" w:name="_Toc144974495"/>
      <w:bookmarkStart w:id="49" w:name="_Toc152045527"/>
      <w:bookmarkStart w:id="50" w:name="_Toc247527551"/>
      <w:bookmarkStart w:id="51" w:name="_Toc1178"/>
      <w:bookmarkStart w:id="52" w:name="_Toc18861"/>
      <w:r>
        <w:rPr>
          <w:b/>
          <w:bCs/>
          <w:color w:val="auto"/>
          <w:kern w:val="44"/>
          <w:sz w:val="44"/>
          <w:szCs w:val="44"/>
          <w:highlight w:val="none"/>
        </w:rPr>
        <w:br w:type="page"/>
      </w:r>
      <w:bookmarkStart w:id="53" w:name="_Toc494371513"/>
      <w:bookmarkStart w:id="54" w:name="_Toc25745"/>
      <w:bookmarkStart w:id="55" w:name="_Toc21868"/>
      <w:bookmarkStart w:id="56" w:name="_Toc3615"/>
      <w:bookmarkStart w:id="57" w:name="_Toc27217"/>
      <w:bookmarkStart w:id="58" w:name="_Toc15284"/>
      <w:bookmarkStart w:id="59" w:name="_Toc9024"/>
      <w:bookmarkStart w:id="60" w:name="_Toc8440"/>
      <w:bookmarkStart w:id="61" w:name="_Toc18722"/>
      <w:r>
        <w:rPr>
          <w:rFonts w:hint="eastAsia"/>
          <w:b/>
          <w:bCs/>
          <w:color w:val="auto"/>
          <w:kern w:val="44"/>
          <w:sz w:val="44"/>
          <w:szCs w:val="44"/>
          <w:highlight w:val="none"/>
        </w:rPr>
        <w:t>第二章投标人须知</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7"/>
        <w:spacing w:line="240" w:lineRule="auto"/>
        <w:jc w:val="center"/>
        <w:rPr>
          <w:color w:val="auto"/>
          <w:highlight w:val="none"/>
        </w:rPr>
      </w:pPr>
      <w:bookmarkStart w:id="62" w:name="_Toc12687"/>
      <w:bookmarkStart w:id="63" w:name="_Toc24688"/>
      <w:bookmarkStart w:id="64" w:name="_Toc614"/>
      <w:bookmarkStart w:id="65" w:name="_Toc144974496"/>
      <w:bookmarkStart w:id="66" w:name="_Toc2677"/>
      <w:bookmarkStart w:id="67" w:name="_Toc494371514"/>
      <w:bookmarkStart w:id="68" w:name="_Toc247527552"/>
      <w:bookmarkStart w:id="69" w:name="_Toc3039"/>
      <w:bookmarkStart w:id="70" w:name="_Toc300834948"/>
      <w:bookmarkStart w:id="71" w:name="_Toc152042304"/>
      <w:bookmarkStart w:id="72" w:name="_Toc25706"/>
      <w:bookmarkStart w:id="73" w:name="_Toc15181"/>
      <w:bookmarkStart w:id="74" w:name="_Toc152045528"/>
      <w:bookmarkStart w:id="75" w:name="_Toc247513951"/>
      <w:bookmarkStart w:id="76" w:name="_Toc23877"/>
      <w:bookmarkStart w:id="77" w:name="_Toc24123"/>
      <w:bookmarkStart w:id="78" w:name="_Toc19769"/>
      <w:bookmarkStart w:id="79" w:name="_Toc16066"/>
      <w:bookmarkStart w:id="80" w:name="_Toc20316"/>
      <w:r>
        <w:rPr>
          <w:rFonts w:hint="eastAsia"/>
          <w:color w:val="auto"/>
          <w:highlight w:val="none"/>
        </w:rPr>
        <w:t>投标人须知前附表</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bl>
      <w:tblPr>
        <w:tblStyle w:val="43"/>
        <w:tblW w:w="9889"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816"/>
        <w:gridCol w:w="59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1165" w:type="dxa"/>
            <w:tcBorders>
              <w:bottom w:val="double" w:color="auto" w:sz="4" w:space="0"/>
            </w:tcBorders>
            <w:vAlign w:val="center"/>
          </w:tcPr>
          <w:p>
            <w:pPr>
              <w:adjustRightInd w:val="0"/>
              <w:snapToGrid w:val="0"/>
              <w:spacing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816" w:type="dxa"/>
            <w:tcBorders>
              <w:bottom w:val="double" w:color="auto" w:sz="4" w:space="0"/>
            </w:tcBorders>
            <w:vAlign w:val="center"/>
          </w:tcPr>
          <w:p>
            <w:pPr>
              <w:adjustRightInd w:val="0"/>
              <w:snapToGrid w:val="0"/>
              <w:spacing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5908" w:type="dxa"/>
            <w:tcBorders>
              <w:bottom w:val="double" w:color="auto" w:sz="4" w:space="0"/>
            </w:tcBorders>
            <w:vAlign w:val="center"/>
          </w:tcPr>
          <w:p>
            <w:pPr>
              <w:adjustRightInd w:val="0"/>
              <w:snapToGrid w:val="0"/>
              <w:spacing w:beforeLines="50" w:line="360" w:lineRule="auto"/>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tcBorders>
              <w:top w:val="double" w:color="auto" w:sz="4" w:space="0"/>
            </w:tcBorders>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816" w:type="dxa"/>
            <w:tcBorders>
              <w:top w:val="double" w:color="auto" w:sz="4" w:space="0"/>
            </w:tcBorders>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5908" w:type="dxa"/>
            <w:tcBorders>
              <w:top w:val="double" w:color="auto" w:sz="4" w:space="0"/>
            </w:tcBorders>
            <w:vAlign w:val="center"/>
          </w:tcPr>
          <w:p>
            <w:pPr>
              <w:widowControl/>
              <w:snapToGrid w:val="0"/>
              <w:spacing w:beforeLines="50" w:line="360" w:lineRule="auto"/>
              <w:jc w:val="left"/>
              <w:rPr>
                <w:color w:val="auto"/>
                <w:highlight w:val="none"/>
              </w:rPr>
            </w:pPr>
            <w:r>
              <w:rPr>
                <w:rFonts w:hint="eastAsia"/>
                <w:color w:val="auto"/>
                <w:highlight w:val="none"/>
              </w:rPr>
              <w:t>招标单位：广州南沙旅游发展有限公司</w:t>
            </w:r>
            <w:r>
              <w:rPr>
                <w:color w:val="auto"/>
                <w:highlight w:val="none"/>
              </w:rPr>
              <w:t xml:space="preserve"> </w:t>
            </w:r>
            <w:r>
              <w:rPr>
                <w:rFonts w:hint="eastAsia"/>
                <w:color w:val="auto"/>
                <w:highlight w:val="none"/>
                <w:lang w:eastAsia="zh-CN"/>
              </w:rPr>
              <w:t>、</w:t>
            </w:r>
            <w:r>
              <w:rPr>
                <w:rFonts w:hint="eastAsia"/>
                <w:color w:val="auto"/>
                <w:highlight w:val="none"/>
              </w:rPr>
              <w:t>广州市南沙天后文化学会</w:t>
            </w:r>
          </w:p>
          <w:p>
            <w:pPr>
              <w:widowControl/>
              <w:snapToGrid w:val="0"/>
              <w:spacing w:beforeLines="50" w:line="360" w:lineRule="auto"/>
              <w:jc w:val="left"/>
              <w:rPr>
                <w:color w:val="auto"/>
                <w:highlight w:val="none"/>
              </w:rPr>
            </w:pPr>
            <w:r>
              <w:rPr>
                <w:rFonts w:hint="eastAsia"/>
                <w:color w:val="auto"/>
                <w:highlight w:val="none"/>
              </w:rPr>
              <w:t>联系人：刘工           联系电话：020-84981223</w:t>
            </w:r>
          </w:p>
          <w:p>
            <w:pPr>
              <w:widowControl/>
              <w:snapToGrid w:val="0"/>
              <w:spacing w:beforeLines="50" w:line="360" w:lineRule="auto"/>
              <w:jc w:val="left"/>
              <w:rPr>
                <w:color w:val="auto"/>
                <w:highlight w:val="none"/>
              </w:rPr>
            </w:pPr>
            <w:r>
              <w:rPr>
                <w:rFonts w:hint="eastAsia"/>
                <w:color w:val="auto"/>
                <w:highlight w:val="none"/>
              </w:rPr>
              <w:t>建设管理单位：广州南沙建设维护管理有限公司</w:t>
            </w:r>
          </w:p>
          <w:p>
            <w:pPr>
              <w:widowControl/>
              <w:snapToGrid w:val="0"/>
              <w:spacing w:beforeLines="50" w:line="360" w:lineRule="auto"/>
              <w:jc w:val="left"/>
              <w:rPr>
                <w:color w:val="auto"/>
                <w:highlight w:val="none"/>
              </w:rPr>
            </w:pPr>
            <w:r>
              <w:rPr>
                <w:rFonts w:hint="eastAsia"/>
                <w:color w:val="auto"/>
                <w:highlight w:val="none"/>
              </w:rPr>
              <w:t>联系人：李工           联系电话：020-66806279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南沙天后宫景区灯光亮化工程（首期）设计施工总承包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Calibri"/>
                <w:color w:val="auto"/>
                <w:szCs w:val="21"/>
                <w:highlight w:val="none"/>
              </w:rPr>
              <w:t>南沙天后宫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5908" w:type="dxa"/>
            <w:vAlign w:val="center"/>
          </w:tcPr>
          <w:p>
            <w:pPr>
              <w:adjustRightInd w:val="0"/>
              <w:snapToGrid w:val="0"/>
              <w:spacing w:beforeLines="50" w:line="360" w:lineRule="auto"/>
              <w:rPr>
                <w:rFonts w:ascii="宋体" w:hAnsi="宋体" w:cs="Calibri"/>
                <w:color w:val="auto"/>
                <w:szCs w:val="21"/>
                <w:highlight w:val="none"/>
              </w:rPr>
            </w:pPr>
            <w:r>
              <w:rPr>
                <w:rFonts w:hint="eastAsia" w:ascii="宋体" w:hAnsi="宋体" w:cs="Calibri"/>
                <w:color w:val="auto"/>
                <w:szCs w:val="21"/>
                <w:highlight w:val="none"/>
              </w:rPr>
              <w:t>约190万元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Calibri"/>
                <w:color w:val="auto"/>
                <w:szCs w:val="21"/>
                <w:highlight w:val="non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资金已落实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承包方式</w:t>
            </w:r>
          </w:p>
        </w:tc>
        <w:tc>
          <w:tcPr>
            <w:tcW w:w="5908" w:type="dxa"/>
            <w:vAlign w:val="center"/>
          </w:tcPr>
          <w:p>
            <w:pPr>
              <w:adjustRightInd w:val="0"/>
              <w:snapToGrid w:val="0"/>
              <w:spacing w:beforeLines="50" w:line="360" w:lineRule="auto"/>
              <w:rPr>
                <w:color w:val="auto"/>
                <w:highlight w:val="none"/>
              </w:rPr>
            </w:pPr>
            <w:r>
              <w:rPr>
                <w:rFonts w:hint="eastAsia" w:ascii="宋体" w:hAnsi="宋体"/>
                <w:bCs/>
                <w:color w:val="auto"/>
                <w:szCs w:val="21"/>
                <w:highlight w:val="none"/>
              </w:rPr>
              <w:t>包深化设计、包工、包料、包设备、包工期、包质量、包安全、包文明施工、包项目协调管理、包验收移交、包竣工资料收集整理、包保修。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908" w:type="dxa"/>
            <w:vAlign w:val="center"/>
          </w:tcPr>
          <w:p>
            <w:pPr>
              <w:snapToGrid w:val="0"/>
              <w:spacing w:beforeLines="50" w:line="360" w:lineRule="auto"/>
              <w:rPr>
                <w:rFonts w:ascii="宋体" w:hAnsi="宋体" w:cs="宋体"/>
                <w:color w:val="auto"/>
                <w:szCs w:val="21"/>
                <w:highlight w:val="none"/>
              </w:rPr>
            </w:pPr>
            <w:r>
              <w:rPr>
                <w:rFonts w:hint="eastAsia"/>
                <w:color w:val="auto"/>
                <w:szCs w:val="21"/>
                <w:highlight w:val="none"/>
              </w:rPr>
              <w:t>南沙</w:t>
            </w:r>
            <w:r>
              <w:rPr>
                <w:rFonts w:hint="eastAsia" w:ascii="Times New Roman" w:hAnsi="Times New Roman"/>
                <w:color w:val="auto"/>
                <w:szCs w:val="21"/>
                <w:highlight w:val="none"/>
              </w:rPr>
              <w:t>天后宫</w:t>
            </w:r>
            <w:r>
              <w:rPr>
                <w:rFonts w:hint="eastAsia"/>
                <w:color w:val="auto"/>
                <w:szCs w:val="21"/>
                <w:highlight w:val="none"/>
              </w:rPr>
              <w:t>景区正</w:t>
            </w:r>
            <w:r>
              <w:rPr>
                <w:rFonts w:hint="eastAsia" w:ascii="Times New Roman" w:hAnsi="Times New Roman"/>
                <w:color w:val="auto"/>
                <w:szCs w:val="21"/>
                <w:highlight w:val="none"/>
              </w:rPr>
              <w:t>门牌坊、天后</w:t>
            </w:r>
            <w:r>
              <w:rPr>
                <w:rFonts w:hint="eastAsia"/>
                <w:color w:val="auto"/>
                <w:szCs w:val="21"/>
                <w:highlight w:val="none"/>
              </w:rPr>
              <w:t>石</w:t>
            </w:r>
            <w:r>
              <w:rPr>
                <w:rFonts w:hint="eastAsia" w:ascii="Times New Roman" w:hAnsi="Times New Roman"/>
                <w:color w:val="auto"/>
                <w:szCs w:val="21"/>
                <w:highlight w:val="none"/>
              </w:rPr>
              <w:t>像、南岭塔灯光亮化设计与施工</w:t>
            </w:r>
            <w:r>
              <w:rPr>
                <w:rFonts w:hint="eastAsia"/>
                <w:color w:val="auto"/>
                <w:szCs w:val="21"/>
                <w:highlight w:val="none"/>
              </w:rPr>
              <w:t>及原有灯具的拆除</w:t>
            </w:r>
            <w:r>
              <w:rPr>
                <w:rFonts w:hint="eastAsia" w:ascii="Times New Roman" w:hAnsi="Times New Roman"/>
                <w:color w:val="auto"/>
                <w:szCs w:val="21"/>
                <w:highlight w:val="none"/>
              </w:rPr>
              <w:t>。项目施工如需要进行备案的，需要按当地主管部门相关要求进行办理</w:t>
            </w:r>
            <w:r>
              <w:rPr>
                <w:rFonts w:hint="eastAsia"/>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工期要求</w:t>
            </w:r>
          </w:p>
        </w:tc>
        <w:tc>
          <w:tcPr>
            <w:tcW w:w="5908" w:type="dxa"/>
            <w:vAlign w:val="center"/>
          </w:tcPr>
          <w:p>
            <w:pPr>
              <w:adjustRightInd w:val="0"/>
              <w:snapToGrid w:val="0"/>
              <w:spacing w:beforeLines="50" w:line="360" w:lineRule="auto"/>
              <w:rPr>
                <w:color w:val="auto"/>
                <w:highlight w:val="none"/>
              </w:rPr>
            </w:pPr>
            <w:r>
              <w:rPr>
                <w:rFonts w:hint="eastAsia" w:ascii="宋体" w:hAnsi="宋体" w:cs="宋体"/>
                <w:color w:val="auto"/>
                <w:szCs w:val="21"/>
                <w:highlight w:val="none"/>
              </w:rPr>
              <w:t>竣工日期：收到中标通知书后30天</w:t>
            </w:r>
            <w:r>
              <w:rPr>
                <w:rFonts w:hint="eastAsia" w:ascii="宋体" w:hAnsi="宋体" w:cs="宋体"/>
                <w:color w:val="auto"/>
                <w:szCs w:val="21"/>
                <w:highlight w:val="none"/>
                <w:lang w:eastAsia="zh-CN"/>
              </w:rPr>
              <w:t>内</w:t>
            </w:r>
            <w:r>
              <w:rPr>
                <w:rFonts w:hint="eastAsia" w:ascii="宋体" w:hAnsi="宋体" w:cs="宋体"/>
                <w:color w:val="auto"/>
                <w:szCs w:val="21"/>
                <w:highlight w:val="none"/>
              </w:rPr>
              <w:t>完成竣工验收合格，并交付使用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报价方式</w:t>
            </w:r>
          </w:p>
        </w:tc>
        <w:tc>
          <w:tcPr>
            <w:tcW w:w="5908" w:type="dxa"/>
            <w:vAlign w:val="center"/>
          </w:tcPr>
          <w:p>
            <w:pPr>
              <w:snapToGrid w:val="0"/>
              <w:spacing w:beforeLines="50" w:line="360" w:lineRule="auto"/>
              <w:rPr>
                <w:color w:val="auto"/>
                <w:szCs w:val="21"/>
                <w:highlight w:val="none"/>
              </w:rPr>
            </w:pPr>
            <w:r>
              <w:rPr>
                <w:rFonts w:hint="eastAsia"/>
                <w:color w:val="auto"/>
                <w:szCs w:val="21"/>
                <w:highlight w:val="none"/>
              </w:rPr>
              <w:t>总</w:t>
            </w:r>
            <w:r>
              <w:rPr>
                <w:rFonts w:hint="eastAsia" w:ascii="Times New Roman" w:hAnsi="Times New Roman"/>
                <w:color w:val="auto"/>
                <w:szCs w:val="21"/>
                <w:highlight w:val="none"/>
              </w:rPr>
              <w:t>价包干，本报价包含本项目的设计费及施工费。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设计质量标准：符合《建设工程质量管理条例》及《建设工程勘察设计管理条例》等国家及地方有关工程勘察设计管理法规和规章，达到招标方案图的效果。</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工程质量标准：合格。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12</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5908" w:type="dxa"/>
            <w:vAlign w:val="center"/>
          </w:tcPr>
          <w:p>
            <w:pPr>
              <w:adjustRightInd w:val="0"/>
              <w:snapToGrid w:val="0"/>
              <w:spacing w:beforeLines="50" w:line="360" w:lineRule="auto"/>
              <w:rPr>
                <w:rFonts w:ascii="宋体" w:hAnsi="宋体" w:cs="宋体"/>
                <w:color w:val="auto"/>
                <w:szCs w:val="21"/>
                <w:highlight w:val="none"/>
              </w:rPr>
            </w:pPr>
            <w:r>
              <w:rPr>
                <w:rFonts w:hint="eastAsia" w:ascii="宋体" w:hAnsi="宋体" w:cs="宋体"/>
                <w:color w:val="auto"/>
                <w:szCs w:val="21"/>
                <w:highlight w:val="none"/>
              </w:rPr>
              <w:t>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13</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投标人合格条件</w:t>
            </w:r>
          </w:p>
        </w:tc>
        <w:tc>
          <w:tcPr>
            <w:tcW w:w="5908" w:type="dxa"/>
            <w:vAlign w:val="center"/>
          </w:tcPr>
          <w:p>
            <w:pPr>
              <w:adjustRightInd w:val="0"/>
              <w:snapToGrid w:val="0"/>
              <w:spacing w:beforeLines="50" w:line="360" w:lineRule="auto"/>
              <w:rPr>
                <w:rFonts w:ascii="宋体" w:hAnsi="宋体" w:cs="宋体"/>
                <w:strike/>
                <w:color w:val="auto"/>
                <w:szCs w:val="21"/>
                <w:highlight w:val="none"/>
              </w:rPr>
            </w:pPr>
            <w:r>
              <w:rPr>
                <w:rFonts w:hint="eastAsia" w:ascii="宋体" w:hAnsi="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14</w:t>
            </w:r>
          </w:p>
        </w:tc>
        <w:tc>
          <w:tcPr>
            <w:tcW w:w="2816" w:type="dxa"/>
            <w:vAlign w:val="center"/>
          </w:tcPr>
          <w:p>
            <w:pPr>
              <w:adjustRightInd w:val="0"/>
              <w:snapToGrid w:val="0"/>
              <w:spacing w:beforeLines="50" w:line="360" w:lineRule="auto"/>
              <w:jc w:val="center"/>
              <w:rPr>
                <w:rFonts w:ascii="宋体" w:hAnsi="宋体"/>
                <w:color w:val="auto"/>
                <w:szCs w:val="21"/>
                <w:highlight w:val="none"/>
              </w:rPr>
            </w:pPr>
            <w:r>
              <w:rPr>
                <w:rFonts w:ascii="宋体" w:hAnsi="宋体"/>
                <w:color w:val="auto"/>
                <w:szCs w:val="21"/>
                <w:highlight w:val="none"/>
              </w:rPr>
              <w:t>是否接受联合体投标</w:t>
            </w:r>
          </w:p>
        </w:tc>
        <w:tc>
          <w:tcPr>
            <w:tcW w:w="5908" w:type="dxa"/>
            <w:vAlign w:val="center"/>
          </w:tcPr>
          <w:p>
            <w:pPr>
              <w:pStyle w:val="19"/>
              <w:topLinePunct/>
              <w:adjustRightInd w:val="0"/>
              <w:snapToGrid w:val="0"/>
              <w:spacing w:beforeLines="50" w:line="360" w:lineRule="auto"/>
              <w:rPr>
                <w:rFonts w:hAnsi="宋体"/>
                <w:color w:val="auto"/>
                <w:sz w:val="21"/>
                <w:szCs w:val="21"/>
                <w:highlight w:val="none"/>
              </w:rPr>
            </w:pPr>
            <w:r>
              <w:rPr>
                <w:rFonts w:hint="eastAsia" w:hAnsi="宋体" w:cs="宋体"/>
                <w:color w:val="auto"/>
                <w:sz w:val="21"/>
                <w:szCs w:val="21"/>
                <w:highlight w:val="none"/>
              </w:rPr>
              <w:t>□</w:t>
            </w:r>
            <w:r>
              <w:rPr>
                <w:rFonts w:hint="eastAsia" w:hAnsi="宋体"/>
                <w:color w:val="auto"/>
                <w:sz w:val="21"/>
                <w:szCs w:val="21"/>
                <w:highlight w:val="none"/>
              </w:rPr>
              <w:t>不接受</w:t>
            </w:r>
          </w:p>
          <w:p>
            <w:pPr>
              <w:pStyle w:val="19"/>
              <w:topLinePunct/>
              <w:adjustRightInd w:val="0"/>
              <w:snapToGrid w:val="0"/>
              <w:spacing w:beforeLines="50" w:line="360" w:lineRule="auto"/>
              <w:rPr>
                <w:rFonts w:hAnsi="宋体"/>
                <w:color w:val="auto"/>
                <w:sz w:val="21"/>
                <w:szCs w:val="21"/>
                <w:highlight w:val="none"/>
              </w:rPr>
            </w:pPr>
            <w:r>
              <w:rPr>
                <w:rFonts w:hint="eastAsia" w:hAnsi="宋体"/>
                <w:color w:val="auto"/>
                <w:kern w:val="0"/>
                <w:sz w:val="21"/>
                <w:szCs w:val="21"/>
                <w:highlight w:val="none"/>
              </w:rPr>
              <w:t>■</w:t>
            </w:r>
            <w:r>
              <w:rPr>
                <w:rFonts w:hint="eastAsia" w:hAnsi="宋体"/>
                <w:color w:val="auto"/>
                <w:sz w:val="21"/>
                <w:szCs w:val="21"/>
                <w:highlight w:val="none"/>
              </w:rPr>
              <w:t>接受，应满足下列要求：</w:t>
            </w:r>
            <w:r>
              <w:rPr>
                <w:rFonts w:hint="eastAsia" w:hAnsi="宋体" w:cs="宋体"/>
                <w:color w:val="auto"/>
                <w:sz w:val="21"/>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2816"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最高投标限价或其计算方法</w:t>
            </w:r>
          </w:p>
        </w:tc>
        <w:tc>
          <w:tcPr>
            <w:tcW w:w="5908" w:type="dxa"/>
            <w:vAlign w:val="center"/>
          </w:tcPr>
          <w:p>
            <w:pPr>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本项目最高投标限价详见本项目招标公告。</w:t>
            </w:r>
          </w:p>
          <w:p>
            <w:pPr>
              <w:adjustRightInd w:val="0"/>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投标人的投标总报价、设计费报价、建安工程费报价超过对应最高投标限价的为无效标。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16</w:t>
            </w:r>
          </w:p>
        </w:tc>
        <w:tc>
          <w:tcPr>
            <w:tcW w:w="2816" w:type="dxa"/>
            <w:vAlign w:val="center"/>
          </w:tcPr>
          <w:p>
            <w:pPr>
              <w:adjustRightInd w:val="0"/>
              <w:snapToGrid w:val="0"/>
              <w:spacing w:beforeLines="50" w:line="360" w:lineRule="auto"/>
              <w:jc w:val="center"/>
              <w:rPr>
                <w:rFonts w:ascii="宋体" w:hAnsi="宋体"/>
                <w:color w:val="auto"/>
                <w:szCs w:val="21"/>
                <w:highlight w:val="none"/>
              </w:rPr>
            </w:pPr>
            <w:r>
              <w:rPr>
                <w:rFonts w:ascii="宋体" w:hAnsi="宋体"/>
                <w:color w:val="auto"/>
                <w:szCs w:val="21"/>
                <w:highlight w:val="none"/>
              </w:rPr>
              <w:t>投标有效期</w:t>
            </w:r>
          </w:p>
        </w:tc>
        <w:tc>
          <w:tcPr>
            <w:tcW w:w="5908" w:type="dxa"/>
            <w:vAlign w:val="center"/>
          </w:tcPr>
          <w:p>
            <w:pPr>
              <w:adjustRightInd w:val="0"/>
              <w:snapToGrid w:val="0"/>
              <w:spacing w:beforeLines="50" w:line="360" w:lineRule="auto"/>
              <w:rPr>
                <w:rFonts w:ascii="宋体" w:hAnsi="宋体"/>
                <w:color w:val="auto"/>
                <w:szCs w:val="21"/>
                <w:highlight w:val="none"/>
              </w:rPr>
            </w:pPr>
            <w:r>
              <w:rPr>
                <w:rFonts w:hint="eastAsia" w:ascii="宋体" w:hAnsi="宋体"/>
                <w:color w:val="auto"/>
                <w:szCs w:val="21"/>
                <w:highlight w:val="none"/>
                <w:u w:val="single"/>
              </w:rPr>
              <w:t>60</w:t>
            </w:r>
            <w:r>
              <w:rPr>
                <w:rFonts w:ascii="宋体" w:hAnsi="宋体"/>
                <w:color w:val="auto"/>
                <w:szCs w:val="21"/>
                <w:highlight w:val="none"/>
              </w:rPr>
              <w:t>日历天（从递交投标文件截止之日计起），如出现异议或投诉，则投标有效期自动延长至异议或投诉处理结束，确定中标人并发放中标通知书为止。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17</w:t>
            </w:r>
          </w:p>
        </w:tc>
        <w:tc>
          <w:tcPr>
            <w:tcW w:w="2816" w:type="dxa"/>
            <w:vAlign w:val="center"/>
          </w:tcPr>
          <w:p>
            <w:pPr>
              <w:adjustRightInd w:val="0"/>
              <w:snapToGrid w:val="0"/>
              <w:spacing w:beforeLines="50" w:line="360" w:lineRule="auto"/>
              <w:jc w:val="center"/>
              <w:rPr>
                <w:rFonts w:ascii="宋体" w:hAnsi="宋体"/>
                <w:color w:val="auto"/>
                <w:szCs w:val="21"/>
                <w:highlight w:val="none"/>
              </w:rPr>
            </w:pPr>
            <w:r>
              <w:rPr>
                <w:rFonts w:ascii="宋体" w:hAnsi="宋体"/>
                <w:color w:val="auto"/>
                <w:szCs w:val="21"/>
                <w:highlight w:val="none"/>
              </w:rPr>
              <w:t>投标文件份数</w:t>
            </w:r>
          </w:p>
        </w:tc>
        <w:tc>
          <w:tcPr>
            <w:tcW w:w="5908" w:type="dxa"/>
            <w:vAlign w:val="center"/>
          </w:tcPr>
          <w:p>
            <w:pPr>
              <w:adjustRightInd w:val="0"/>
              <w:snapToGrid w:val="0"/>
              <w:spacing w:line="360" w:lineRule="auto"/>
              <w:rPr>
                <w:color w:val="auto"/>
                <w:highlight w:val="none"/>
              </w:rPr>
            </w:pPr>
            <w:r>
              <w:rPr>
                <w:rFonts w:hint="eastAsia"/>
                <w:color w:val="auto"/>
                <w:highlight w:val="none"/>
              </w:rPr>
              <w:t>资格审查文件：</w:t>
            </w:r>
            <w:r>
              <w:rPr>
                <w:color w:val="auto"/>
                <w:highlight w:val="none"/>
              </w:rPr>
              <w:t>1份正本，</w:t>
            </w:r>
            <w:r>
              <w:rPr>
                <w:rFonts w:hint="eastAsia"/>
                <w:color w:val="auto"/>
                <w:highlight w:val="none"/>
              </w:rPr>
              <w:t>2</w:t>
            </w:r>
            <w:r>
              <w:rPr>
                <w:color w:val="auto"/>
                <w:highlight w:val="none"/>
              </w:rPr>
              <w:t>份副本。</w:t>
            </w:r>
          </w:p>
          <w:p>
            <w:pPr>
              <w:adjustRightInd w:val="0"/>
              <w:snapToGrid w:val="0"/>
              <w:spacing w:line="360" w:lineRule="auto"/>
              <w:rPr>
                <w:color w:val="auto"/>
                <w:highlight w:val="none"/>
              </w:rPr>
            </w:pPr>
            <w:r>
              <w:rPr>
                <w:rFonts w:hint="eastAsia"/>
                <w:color w:val="auto"/>
                <w:highlight w:val="none"/>
              </w:rPr>
              <w:t>设计标投标文件：</w:t>
            </w:r>
            <w:r>
              <w:rPr>
                <w:color w:val="auto"/>
                <w:highlight w:val="none"/>
              </w:rPr>
              <w:t xml:space="preserve"> 1份正本，</w:t>
            </w:r>
            <w:r>
              <w:rPr>
                <w:rFonts w:hint="eastAsia"/>
                <w:color w:val="auto"/>
                <w:highlight w:val="none"/>
              </w:rPr>
              <w:t>2</w:t>
            </w:r>
            <w:r>
              <w:rPr>
                <w:color w:val="auto"/>
                <w:highlight w:val="none"/>
              </w:rPr>
              <w:t>份副本。</w:t>
            </w:r>
          </w:p>
          <w:p>
            <w:pPr>
              <w:adjustRightInd w:val="0"/>
              <w:snapToGrid w:val="0"/>
              <w:spacing w:line="360" w:lineRule="auto"/>
              <w:rPr>
                <w:color w:val="auto"/>
                <w:highlight w:val="none"/>
              </w:rPr>
            </w:pPr>
            <w:r>
              <w:rPr>
                <w:rFonts w:hint="eastAsia"/>
                <w:color w:val="auto"/>
                <w:highlight w:val="none"/>
              </w:rPr>
              <w:t>施工技术标投标文件：</w:t>
            </w:r>
            <w:r>
              <w:rPr>
                <w:color w:val="auto"/>
                <w:highlight w:val="none"/>
              </w:rPr>
              <w:t>1份正本，</w:t>
            </w:r>
            <w:r>
              <w:rPr>
                <w:rFonts w:hint="eastAsia"/>
                <w:color w:val="auto"/>
                <w:highlight w:val="none"/>
              </w:rPr>
              <w:t>2</w:t>
            </w:r>
            <w:r>
              <w:rPr>
                <w:color w:val="auto"/>
                <w:highlight w:val="none"/>
              </w:rPr>
              <w:t>份副本。</w:t>
            </w:r>
          </w:p>
          <w:p>
            <w:pPr>
              <w:adjustRightInd w:val="0"/>
              <w:snapToGrid w:val="0"/>
              <w:spacing w:line="360" w:lineRule="auto"/>
              <w:rPr>
                <w:color w:val="auto"/>
                <w:highlight w:val="none"/>
              </w:rPr>
            </w:pPr>
            <w:r>
              <w:rPr>
                <w:rFonts w:hint="eastAsia"/>
                <w:color w:val="auto"/>
                <w:highlight w:val="none"/>
              </w:rPr>
              <w:t>经济标投标文件：</w:t>
            </w:r>
            <w:r>
              <w:rPr>
                <w:color w:val="auto"/>
                <w:highlight w:val="none"/>
              </w:rPr>
              <w:t>1份正本，</w:t>
            </w:r>
            <w:r>
              <w:rPr>
                <w:rFonts w:hint="eastAsia"/>
                <w:color w:val="auto"/>
                <w:highlight w:val="none"/>
              </w:rPr>
              <w:t>2</w:t>
            </w:r>
            <w:r>
              <w:rPr>
                <w:color w:val="auto"/>
                <w:highlight w:val="none"/>
              </w:rPr>
              <w:t>份副本。</w:t>
            </w:r>
          </w:p>
          <w:p>
            <w:pPr>
              <w:adjustRightInd w:val="0"/>
              <w:snapToGrid w:val="0"/>
              <w:spacing w:line="360" w:lineRule="auto"/>
              <w:rPr>
                <w:color w:val="auto"/>
                <w:highlight w:val="none"/>
              </w:rPr>
            </w:pPr>
            <w:r>
              <w:rPr>
                <w:rFonts w:hint="eastAsia"/>
                <w:color w:val="auto"/>
                <w:highlight w:val="none"/>
              </w:rPr>
              <w:t>独自分开的封包数共为4</w:t>
            </w:r>
            <w:r>
              <w:rPr>
                <w:color w:val="auto"/>
                <w:highlight w:val="none"/>
              </w:rPr>
              <w:t>包：</w:t>
            </w:r>
          </w:p>
          <w:p>
            <w:pPr>
              <w:adjustRightInd w:val="0"/>
              <w:snapToGrid w:val="0"/>
              <w:spacing w:line="360" w:lineRule="auto"/>
              <w:rPr>
                <w:color w:val="auto"/>
                <w:highlight w:val="none"/>
              </w:rPr>
            </w:pPr>
            <w:r>
              <w:rPr>
                <w:rFonts w:hint="eastAsia"/>
                <w:color w:val="auto"/>
                <w:highlight w:val="none"/>
              </w:rPr>
              <w:t>资格审查文件</w:t>
            </w:r>
            <w:r>
              <w:rPr>
                <w:color w:val="auto"/>
                <w:highlight w:val="none"/>
              </w:rPr>
              <w:t>1包；</w:t>
            </w:r>
          </w:p>
          <w:p>
            <w:pPr>
              <w:adjustRightInd w:val="0"/>
              <w:snapToGrid w:val="0"/>
              <w:spacing w:line="360" w:lineRule="auto"/>
              <w:rPr>
                <w:color w:val="auto"/>
                <w:highlight w:val="none"/>
              </w:rPr>
            </w:pPr>
            <w:r>
              <w:rPr>
                <w:rFonts w:hint="eastAsia"/>
                <w:color w:val="auto"/>
                <w:highlight w:val="none"/>
              </w:rPr>
              <w:t>设计标投标文件</w:t>
            </w:r>
            <w:r>
              <w:rPr>
                <w:color w:val="auto"/>
                <w:highlight w:val="none"/>
              </w:rPr>
              <w:t>1包；</w:t>
            </w:r>
          </w:p>
          <w:p>
            <w:pPr>
              <w:adjustRightInd w:val="0"/>
              <w:snapToGrid w:val="0"/>
              <w:spacing w:line="360" w:lineRule="auto"/>
              <w:rPr>
                <w:color w:val="auto"/>
                <w:highlight w:val="none"/>
              </w:rPr>
            </w:pPr>
            <w:r>
              <w:rPr>
                <w:rFonts w:hint="eastAsia"/>
                <w:color w:val="auto"/>
                <w:highlight w:val="none"/>
              </w:rPr>
              <w:t>施工技术标投标文件</w:t>
            </w:r>
            <w:r>
              <w:rPr>
                <w:color w:val="auto"/>
                <w:highlight w:val="none"/>
              </w:rPr>
              <w:t>1包；</w:t>
            </w:r>
          </w:p>
          <w:p>
            <w:pPr>
              <w:adjustRightInd w:val="0"/>
              <w:snapToGrid w:val="0"/>
              <w:spacing w:line="360" w:lineRule="auto"/>
              <w:rPr>
                <w:color w:val="auto"/>
                <w:highlight w:val="none"/>
              </w:rPr>
            </w:pPr>
            <w:r>
              <w:rPr>
                <w:rFonts w:hint="eastAsia"/>
                <w:color w:val="auto"/>
                <w:highlight w:val="none"/>
              </w:rPr>
              <w:t>经济标投标文件</w:t>
            </w:r>
            <w:r>
              <w:rPr>
                <w:color w:val="auto"/>
                <w:highlight w:val="none"/>
              </w:rPr>
              <w:t>1包。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18</w:t>
            </w:r>
          </w:p>
        </w:tc>
        <w:tc>
          <w:tcPr>
            <w:tcW w:w="2816" w:type="dxa"/>
            <w:vAlign w:val="center"/>
          </w:tcPr>
          <w:p>
            <w:pPr>
              <w:adjustRightInd w:val="0"/>
              <w:snapToGrid w:val="0"/>
              <w:spacing w:beforeLines="50" w:line="360" w:lineRule="auto"/>
              <w:jc w:val="center"/>
              <w:rPr>
                <w:rFonts w:ascii="宋体" w:hAnsi="宋体"/>
                <w:color w:val="auto"/>
                <w:szCs w:val="21"/>
                <w:highlight w:val="none"/>
              </w:rPr>
            </w:pPr>
            <w:r>
              <w:rPr>
                <w:rFonts w:ascii="宋体" w:hAnsi="宋体"/>
                <w:color w:val="auto"/>
                <w:szCs w:val="21"/>
                <w:highlight w:val="none"/>
              </w:rPr>
              <w:t>封套上</w:t>
            </w:r>
            <w:r>
              <w:rPr>
                <w:rFonts w:hint="eastAsia" w:ascii="宋体" w:hAnsi="宋体"/>
                <w:color w:val="auto"/>
                <w:szCs w:val="21"/>
                <w:highlight w:val="none"/>
              </w:rPr>
              <w:t>应载明的信息</w:t>
            </w:r>
          </w:p>
        </w:tc>
        <w:tc>
          <w:tcPr>
            <w:tcW w:w="5908" w:type="dxa"/>
            <w:vAlign w:val="center"/>
          </w:tcPr>
          <w:p>
            <w:pPr>
              <w:adjustRightInd w:val="0"/>
              <w:snapToGrid w:val="0"/>
              <w:spacing w:beforeLines="50" w:line="360" w:lineRule="auto"/>
              <w:rPr>
                <w:rFonts w:ascii="宋体" w:hAnsi="宋体"/>
                <w:color w:val="auto"/>
                <w:szCs w:val="21"/>
                <w:highlight w:val="none"/>
              </w:rPr>
            </w:pPr>
            <w:r>
              <w:rPr>
                <w:rFonts w:hint="eastAsia" w:ascii="宋体" w:hAnsi="宋体"/>
                <w:color w:val="auto"/>
                <w:szCs w:val="21"/>
                <w:highlight w:val="none"/>
              </w:rPr>
              <w:t>详见招标文件</w:t>
            </w:r>
            <w:r>
              <w:rPr>
                <w:rFonts w:ascii="宋体" w:hAnsi="宋体"/>
                <w:color w:val="auto"/>
                <w:szCs w:val="21"/>
                <w:highlight w:val="none"/>
              </w:rPr>
              <w:t>4.1条款说明。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19</w:t>
            </w:r>
          </w:p>
        </w:tc>
        <w:tc>
          <w:tcPr>
            <w:tcW w:w="2816" w:type="dxa"/>
            <w:vAlign w:val="center"/>
          </w:tcPr>
          <w:p>
            <w:pPr>
              <w:snapToGrid w:val="0"/>
              <w:spacing w:beforeLines="50" w:line="360" w:lineRule="auto"/>
              <w:jc w:val="center"/>
              <w:rPr>
                <w:rFonts w:ascii="宋体" w:hAnsi="宋体"/>
                <w:color w:val="auto"/>
                <w:szCs w:val="21"/>
                <w:highlight w:val="none"/>
              </w:rPr>
            </w:pPr>
            <w:r>
              <w:rPr>
                <w:rFonts w:hint="eastAsia"/>
                <w:color w:val="auto"/>
                <w:szCs w:val="21"/>
                <w:highlight w:val="none"/>
              </w:rPr>
              <w:t>报名地点和时间</w:t>
            </w:r>
          </w:p>
        </w:tc>
        <w:tc>
          <w:tcPr>
            <w:tcW w:w="5908" w:type="dxa"/>
            <w:vAlign w:val="center"/>
          </w:tcPr>
          <w:p>
            <w:pPr>
              <w:snapToGrid w:val="0"/>
              <w:spacing w:beforeLines="50" w:line="360" w:lineRule="auto"/>
              <w:rPr>
                <w:rFonts w:ascii="宋体" w:hAnsi="宋体"/>
                <w:color w:val="auto"/>
                <w:szCs w:val="21"/>
                <w:highlight w:val="none"/>
              </w:rPr>
            </w:pPr>
            <w:r>
              <w:rPr>
                <w:rFonts w:hint="eastAsia" w:ascii="宋体" w:hAnsi="宋体"/>
                <w:color w:val="auto"/>
                <w:szCs w:val="21"/>
                <w:highlight w:val="none"/>
              </w:rPr>
              <w:t>地点：南沙海滨路171号金融大厦1808室</w:t>
            </w:r>
          </w:p>
          <w:p>
            <w:pPr>
              <w:snapToGrid w:val="0"/>
              <w:spacing w:beforeLines="50" w:line="360" w:lineRule="auto"/>
              <w:rPr>
                <w:rFonts w:ascii="宋体" w:hAnsi="宋体"/>
                <w:color w:val="auto"/>
                <w:szCs w:val="21"/>
                <w:highlight w:val="none"/>
              </w:rPr>
            </w:pPr>
            <w:r>
              <w:rPr>
                <w:rFonts w:hint="eastAsia" w:ascii="宋体" w:hAnsi="宋体"/>
                <w:color w:val="auto"/>
                <w:szCs w:val="21"/>
                <w:highlight w:val="none"/>
                <w:lang w:eastAsia="zh-CN"/>
              </w:rPr>
              <w:t>截止</w:t>
            </w:r>
            <w:r>
              <w:rPr>
                <w:rFonts w:hint="eastAsia" w:ascii="宋体" w:hAnsi="宋体"/>
                <w:color w:val="auto"/>
                <w:szCs w:val="21"/>
                <w:highlight w:val="none"/>
              </w:rPr>
              <w:t>时间：</w:t>
            </w:r>
            <w:r>
              <w:rPr>
                <w:rFonts w:hint="eastAsia" w:ascii="宋体" w:hAnsi="宋体"/>
                <w:color w:val="auto"/>
                <w:szCs w:val="21"/>
                <w:highlight w:val="none"/>
                <w:u w:val="single"/>
              </w:rPr>
              <w:t xml:space="preserve"> </w:t>
            </w:r>
            <w:r>
              <w:rPr>
                <w:rFonts w:hint="eastAsia" w:ascii="宋体" w:hAnsi="宋体"/>
                <w:color w:val="auto"/>
                <w:sz w:val="21"/>
                <w:szCs w:val="21"/>
                <w:highlight w:val="none"/>
                <w:u w:val="single"/>
              </w:rPr>
              <w:t>2020年</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8</w:t>
            </w:r>
            <w:r>
              <w:rPr>
                <w:rFonts w:hint="eastAsia" w:ascii="宋体" w:hAnsi="宋体"/>
                <w:color w:val="auto"/>
                <w:sz w:val="21"/>
                <w:szCs w:val="21"/>
                <w:highlight w:val="none"/>
                <w:u w:val="single"/>
              </w:rPr>
              <w:t>日16时00分</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20</w:t>
            </w:r>
          </w:p>
        </w:tc>
        <w:tc>
          <w:tcPr>
            <w:tcW w:w="2816" w:type="dxa"/>
            <w:vAlign w:val="center"/>
          </w:tcPr>
          <w:p>
            <w:pPr>
              <w:snapToGrid w:val="0"/>
              <w:spacing w:beforeLines="50" w:line="360" w:lineRule="auto"/>
              <w:jc w:val="center"/>
              <w:rPr>
                <w:color w:val="auto"/>
                <w:szCs w:val="21"/>
                <w:highlight w:val="none"/>
              </w:rPr>
            </w:pPr>
            <w:r>
              <w:rPr>
                <w:rFonts w:hint="eastAsia"/>
                <w:color w:val="auto"/>
                <w:szCs w:val="21"/>
                <w:highlight w:val="none"/>
              </w:rPr>
              <w:t>投标文件递交地点</w:t>
            </w:r>
          </w:p>
        </w:tc>
        <w:tc>
          <w:tcPr>
            <w:tcW w:w="5908" w:type="dxa"/>
            <w:vAlign w:val="center"/>
          </w:tcPr>
          <w:p>
            <w:pPr>
              <w:snapToGrid w:val="0"/>
              <w:spacing w:beforeLines="50" w:line="360" w:lineRule="auto"/>
              <w:rPr>
                <w:rFonts w:ascii="宋体" w:hAnsi="宋体"/>
                <w:color w:val="auto"/>
                <w:sz w:val="21"/>
                <w:szCs w:val="21"/>
                <w:highlight w:val="none"/>
              </w:rPr>
            </w:pPr>
            <w:r>
              <w:rPr>
                <w:rFonts w:hint="eastAsia" w:ascii="宋体" w:hAnsi="宋体"/>
                <w:color w:val="auto"/>
                <w:sz w:val="21"/>
                <w:szCs w:val="21"/>
                <w:highlight w:val="none"/>
              </w:rPr>
              <w:t>收件人：蒋小姐，联系电话：020-66813692</w:t>
            </w:r>
            <w:r>
              <w:rPr>
                <w:rFonts w:ascii="宋体" w:hAnsi="宋体"/>
                <w:color w:val="auto"/>
                <w:sz w:val="21"/>
                <w:szCs w:val="21"/>
                <w:highlight w:val="none"/>
              </w:rPr>
              <w:t xml:space="preserve">      </w:t>
            </w:r>
          </w:p>
          <w:p>
            <w:pPr>
              <w:snapToGrid w:val="0"/>
              <w:spacing w:beforeLines="50" w:line="360" w:lineRule="auto"/>
              <w:rPr>
                <w:rFonts w:ascii="宋体" w:hAnsi="宋体"/>
                <w:color w:val="auto"/>
                <w:sz w:val="21"/>
                <w:szCs w:val="21"/>
                <w:highlight w:val="none"/>
              </w:rPr>
            </w:pPr>
            <w:r>
              <w:rPr>
                <w:rFonts w:hint="eastAsia" w:ascii="宋体" w:hAnsi="宋体"/>
                <w:color w:val="auto"/>
                <w:sz w:val="21"/>
                <w:szCs w:val="21"/>
                <w:highlight w:val="none"/>
              </w:rPr>
              <w:t xml:space="preserve">地 </w:t>
            </w:r>
            <w:r>
              <w:rPr>
                <w:rFonts w:ascii="宋体" w:hAnsi="宋体"/>
                <w:color w:val="auto"/>
                <w:sz w:val="21"/>
                <w:szCs w:val="21"/>
                <w:highlight w:val="none"/>
              </w:rPr>
              <w:t xml:space="preserve"> </w:t>
            </w:r>
            <w:r>
              <w:rPr>
                <w:rFonts w:hint="eastAsia" w:ascii="宋体" w:hAnsi="宋体"/>
                <w:color w:val="auto"/>
                <w:sz w:val="21"/>
                <w:szCs w:val="21"/>
                <w:highlight w:val="none"/>
              </w:rPr>
              <w:t>点：南沙海滨路171号金融大厦1808室</w:t>
            </w:r>
          </w:p>
          <w:p>
            <w:pPr>
              <w:snapToGrid w:val="0"/>
              <w:spacing w:beforeLines="50" w:line="360" w:lineRule="auto"/>
              <w:rPr>
                <w:rFonts w:ascii="宋体" w:hAnsi="宋体"/>
                <w:color w:val="auto"/>
                <w:sz w:val="21"/>
                <w:szCs w:val="21"/>
                <w:highlight w:val="none"/>
              </w:rPr>
            </w:pPr>
            <w:r>
              <w:rPr>
                <w:rFonts w:hint="eastAsia" w:ascii="宋体" w:hAnsi="宋体"/>
                <w:color w:val="auto"/>
                <w:sz w:val="21"/>
                <w:szCs w:val="21"/>
                <w:highlight w:val="none"/>
              </w:rPr>
              <w:t>截止时间：</w:t>
            </w:r>
            <w:r>
              <w:rPr>
                <w:rFonts w:hint="eastAsia" w:ascii="宋体" w:hAnsi="宋体"/>
                <w:color w:val="auto"/>
                <w:sz w:val="21"/>
                <w:szCs w:val="21"/>
                <w:highlight w:val="none"/>
                <w:u w:val="single"/>
              </w:rPr>
              <w:t xml:space="preserve"> 2020年</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8</w:t>
            </w:r>
            <w:r>
              <w:rPr>
                <w:rFonts w:hint="eastAsia" w:ascii="宋体" w:hAnsi="宋体"/>
                <w:color w:val="auto"/>
                <w:sz w:val="21"/>
                <w:szCs w:val="21"/>
                <w:highlight w:val="none"/>
                <w:u w:val="single"/>
              </w:rPr>
              <w:t>日16时00分</w:t>
            </w:r>
            <w:r>
              <w:rPr>
                <w:rFonts w:hint="eastAsia" w:ascii="宋体" w:hAnsi="宋体"/>
                <w:color w:val="auto"/>
                <w:sz w:val="21"/>
                <w:szCs w:val="21"/>
                <w:highlight w:val="none"/>
              </w:rPr>
              <w:t>。</w:t>
            </w:r>
            <w:bookmarkStart w:id="1155" w:name="_GoBack"/>
            <w:bookmarkEnd w:id="115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21</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908" w:type="dxa"/>
            <w:vAlign w:val="center"/>
          </w:tcPr>
          <w:p>
            <w:pPr>
              <w:adjustRightInd w:val="0"/>
              <w:snapToGrid w:val="0"/>
              <w:spacing w:beforeLines="50" w:line="360" w:lineRule="auto"/>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开始接收投标文件时间：</w:t>
            </w:r>
            <w:r>
              <w:rPr>
                <w:rFonts w:hint="eastAsia" w:ascii="宋体" w:hAnsi="宋体" w:cs="宋体"/>
                <w:color w:val="auto"/>
                <w:sz w:val="21"/>
                <w:szCs w:val="21"/>
                <w:highlight w:val="none"/>
                <w:u w:val="single"/>
              </w:rPr>
              <w:t xml:space="preserve"> 2020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7</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rPr>
              <w:t xml:space="preserve"> 9  </w:t>
            </w:r>
            <w:r>
              <w:rPr>
                <w:rFonts w:hint="eastAsia" w:ascii="宋体" w:hAnsi="宋体" w:cs="宋体"/>
                <w:color w:val="auto"/>
                <w:kern w:val="0"/>
                <w:sz w:val="21"/>
                <w:szCs w:val="21"/>
                <w:highlight w:val="none"/>
              </w:rPr>
              <w:t>时</w:t>
            </w:r>
            <w:r>
              <w:rPr>
                <w:rFonts w:hint="eastAsia" w:ascii="宋体" w:hAnsi="宋体" w:cs="宋体"/>
                <w:color w:val="auto"/>
                <w:sz w:val="21"/>
                <w:szCs w:val="21"/>
                <w:highlight w:val="none"/>
                <w:u w:val="single"/>
              </w:rPr>
              <w:t xml:space="preserve"> 00 </w:t>
            </w:r>
            <w:r>
              <w:rPr>
                <w:rFonts w:hint="eastAsia" w:ascii="宋体" w:hAnsi="宋体" w:cs="宋体"/>
                <w:color w:val="auto"/>
                <w:kern w:val="0"/>
                <w:sz w:val="21"/>
                <w:szCs w:val="21"/>
                <w:highlight w:val="none"/>
              </w:rPr>
              <w:t>分。</w:t>
            </w:r>
          </w:p>
          <w:p>
            <w:pPr>
              <w:adjustRightInd w:val="0"/>
              <w:snapToGrid w:val="0"/>
              <w:spacing w:beforeLines="50"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投标截止时间：</w:t>
            </w:r>
            <w:r>
              <w:rPr>
                <w:rFonts w:hint="eastAsia" w:ascii="宋体" w:hAnsi="宋体" w:cs="宋体"/>
                <w:color w:val="auto"/>
                <w:sz w:val="21"/>
                <w:szCs w:val="21"/>
                <w:highlight w:val="none"/>
                <w:u w:val="single"/>
              </w:rPr>
              <w:t xml:space="preserve"> </w:t>
            </w:r>
            <w:r>
              <w:rPr>
                <w:rFonts w:hint="eastAsia" w:ascii="宋体" w:hAnsi="宋体"/>
                <w:color w:val="auto"/>
                <w:sz w:val="21"/>
                <w:szCs w:val="21"/>
                <w:highlight w:val="none"/>
                <w:u w:val="single"/>
              </w:rPr>
              <w:t>2020年</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8</w:t>
            </w:r>
            <w:r>
              <w:rPr>
                <w:rFonts w:hint="eastAsia" w:ascii="宋体" w:hAnsi="宋体"/>
                <w:color w:val="auto"/>
                <w:sz w:val="21"/>
                <w:szCs w:val="21"/>
                <w:highlight w:val="none"/>
                <w:u w:val="single"/>
              </w:rPr>
              <w:t>日16时00分</w:t>
            </w:r>
            <w:r>
              <w:rPr>
                <w:rFonts w:hint="eastAsia" w:ascii="宋体" w:hAnsi="宋体" w:cs="宋体"/>
                <w:color w:val="auto"/>
                <w:kern w:val="0"/>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22</w:t>
            </w:r>
          </w:p>
        </w:tc>
        <w:tc>
          <w:tcPr>
            <w:tcW w:w="2816"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开标时间和地点</w:t>
            </w:r>
          </w:p>
        </w:tc>
        <w:tc>
          <w:tcPr>
            <w:tcW w:w="5908" w:type="dxa"/>
            <w:vAlign w:val="center"/>
          </w:tcPr>
          <w:p>
            <w:pPr>
              <w:snapToGrid w:val="0"/>
              <w:spacing w:beforeLines="50" w:line="360" w:lineRule="auto"/>
              <w:rPr>
                <w:color w:val="auto"/>
                <w:sz w:val="21"/>
                <w:szCs w:val="21"/>
                <w:highlight w:val="none"/>
              </w:rPr>
            </w:pPr>
            <w:r>
              <w:rPr>
                <w:rFonts w:hint="eastAsia"/>
                <w:color w:val="auto"/>
                <w:sz w:val="21"/>
                <w:szCs w:val="21"/>
                <w:highlight w:val="none"/>
              </w:rPr>
              <w:t>本项目设计标与施工标同时开启。</w:t>
            </w:r>
          </w:p>
          <w:p>
            <w:pPr>
              <w:snapToGrid w:val="0"/>
              <w:spacing w:beforeLines="50" w:line="360" w:lineRule="auto"/>
              <w:rPr>
                <w:rFonts w:ascii="宋体" w:hAnsi="宋体"/>
                <w:color w:val="auto"/>
                <w:sz w:val="21"/>
                <w:szCs w:val="21"/>
                <w:highlight w:val="none"/>
              </w:rPr>
            </w:pPr>
            <w:r>
              <w:rPr>
                <w:rFonts w:hint="eastAsia" w:ascii="宋体" w:hAnsi="宋体"/>
                <w:color w:val="auto"/>
                <w:sz w:val="21"/>
                <w:szCs w:val="21"/>
                <w:highlight w:val="none"/>
              </w:rPr>
              <w:t>开标时间：</w:t>
            </w:r>
            <w:r>
              <w:rPr>
                <w:rFonts w:hint="eastAsia" w:ascii="宋体" w:hAnsi="宋体"/>
                <w:color w:val="auto"/>
                <w:sz w:val="21"/>
                <w:szCs w:val="21"/>
                <w:highlight w:val="none"/>
                <w:u w:val="single"/>
              </w:rPr>
              <w:t>2020</w:t>
            </w:r>
            <w:r>
              <w:rPr>
                <w:rFonts w:hint="eastAsia" w:ascii="宋体" w:hAnsi="宋体"/>
                <w:color w:val="auto"/>
                <w:sz w:val="21"/>
                <w:szCs w:val="21"/>
                <w:highlight w:val="none"/>
              </w:rPr>
              <w:t>年</w:t>
            </w:r>
            <w:r>
              <w:rPr>
                <w:rFonts w:hint="eastAsia" w:ascii="宋体" w:hAnsi="宋体"/>
                <w:color w:val="auto"/>
                <w:sz w:val="21"/>
                <w:szCs w:val="21"/>
                <w:highlight w:val="none"/>
                <w:u w:val="single"/>
                <w:lang w:val="en-US" w:eastAsia="zh-CN"/>
              </w:rPr>
              <w:t>4</w:t>
            </w:r>
            <w:r>
              <w:rPr>
                <w:rFonts w:hint="eastAsia"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9</w:t>
            </w:r>
            <w:r>
              <w:rPr>
                <w:rFonts w:hint="eastAsia" w:ascii="宋体" w:hAnsi="宋体"/>
                <w:color w:val="auto"/>
                <w:sz w:val="21"/>
                <w:szCs w:val="21"/>
                <w:highlight w:val="none"/>
                <w:u w:val="single"/>
              </w:rPr>
              <w:t>日</w:t>
            </w:r>
            <w:r>
              <w:rPr>
                <w:rFonts w:hint="eastAsia" w:ascii="宋体" w:hAnsi="宋体"/>
                <w:color w:val="auto"/>
                <w:sz w:val="21"/>
                <w:szCs w:val="21"/>
                <w:highlight w:val="none"/>
                <w:u w:val="single"/>
                <w:lang w:val="en-US" w:eastAsia="zh-CN"/>
              </w:rPr>
              <w:t>09</w:t>
            </w:r>
            <w:r>
              <w:rPr>
                <w:rFonts w:hint="eastAsia" w:ascii="宋体" w:hAnsi="宋体"/>
                <w:color w:val="auto"/>
                <w:sz w:val="21"/>
                <w:szCs w:val="21"/>
                <w:highlight w:val="none"/>
                <w:u w:val="single"/>
              </w:rPr>
              <w:t>时30分</w:t>
            </w:r>
          </w:p>
          <w:p>
            <w:pPr>
              <w:pStyle w:val="2"/>
              <w:snapToGrid w:val="0"/>
              <w:spacing w:beforeLines="50" w:line="360" w:lineRule="auto"/>
              <w:rPr>
                <w:color w:val="auto"/>
                <w:sz w:val="21"/>
                <w:szCs w:val="21"/>
                <w:highlight w:val="none"/>
              </w:rPr>
            </w:pPr>
            <w:r>
              <w:rPr>
                <w:rFonts w:hint="eastAsia" w:ascii="宋体" w:hAnsi="宋体"/>
                <w:color w:val="auto"/>
                <w:sz w:val="21"/>
                <w:szCs w:val="21"/>
                <w:highlight w:val="none"/>
              </w:rPr>
              <w:t>开标地点：南沙海滨路171号金融大厦1807室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23</w:t>
            </w:r>
          </w:p>
        </w:tc>
        <w:tc>
          <w:tcPr>
            <w:tcW w:w="2816" w:type="dxa"/>
            <w:vAlign w:val="center"/>
          </w:tcPr>
          <w:p>
            <w:pPr>
              <w:adjustRightInd w:val="0"/>
              <w:snapToGrid w:val="0"/>
              <w:spacing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5908" w:type="dxa"/>
            <w:vAlign w:val="center"/>
          </w:tcPr>
          <w:p>
            <w:pPr>
              <w:snapToGrid w:val="0"/>
              <w:spacing w:beforeLines="50" w:line="360" w:lineRule="auto"/>
              <w:rPr>
                <w:color w:val="auto"/>
                <w:sz w:val="21"/>
                <w:szCs w:val="21"/>
                <w:highlight w:val="none"/>
              </w:rPr>
            </w:pPr>
            <w:r>
              <w:rPr>
                <w:rFonts w:hint="eastAsia" w:ascii="Times New Roman" w:hAnsi="Times New Roman"/>
                <w:color w:val="auto"/>
                <w:sz w:val="21"/>
                <w:szCs w:val="21"/>
                <w:highlight w:val="none"/>
              </w:rPr>
              <w:t>综合评标法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color w:val="auto"/>
                <w:szCs w:val="21"/>
                <w:highlight w:val="none"/>
              </w:rPr>
            </w:pPr>
            <w:r>
              <w:rPr>
                <w:rFonts w:hint="eastAsia" w:ascii="宋体" w:hAnsi="宋体"/>
                <w:color w:val="auto"/>
                <w:szCs w:val="21"/>
                <w:highlight w:val="none"/>
              </w:rPr>
              <w:t>24</w:t>
            </w:r>
          </w:p>
        </w:tc>
        <w:tc>
          <w:tcPr>
            <w:tcW w:w="2816" w:type="dxa"/>
            <w:vAlign w:val="center"/>
          </w:tcPr>
          <w:p>
            <w:pPr>
              <w:snapToGrid w:val="0"/>
              <w:spacing w:beforeLines="50" w:line="360" w:lineRule="auto"/>
              <w:jc w:val="center"/>
              <w:rPr>
                <w:color w:val="auto"/>
                <w:szCs w:val="21"/>
                <w:highlight w:val="none"/>
              </w:rPr>
            </w:pPr>
            <w:r>
              <w:rPr>
                <w:rFonts w:hint="eastAsia"/>
                <w:color w:val="auto"/>
                <w:szCs w:val="21"/>
                <w:highlight w:val="none"/>
              </w:rPr>
              <w:t>招标控制价</w:t>
            </w:r>
          </w:p>
        </w:tc>
        <w:tc>
          <w:tcPr>
            <w:tcW w:w="5908" w:type="dxa"/>
            <w:vAlign w:val="center"/>
          </w:tcPr>
          <w:p>
            <w:pPr>
              <w:snapToGrid w:val="0"/>
              <w:spacing w:beforeLines="50" w:line="360" w:lineRule="auto"/>
              <w:rPr>
                <w:rFonts w:ascii="宋体" w:hAnsi="宋体"/>
                <w:color w:val="auto"/>
                <w:sz w:val="21"/>
                <w:szCs w:val="21"/>
                <w:highlight w:val="none"/>
              </w:rPr>
            </w:pPr>
            <w:r>
              <w:rPr>
                <w:rFonts w:hint="eastAsia" w:ascii="宋体" w:hAnsi="宋体"/>
                <w:color w:val="auto"/>
                <w:sz w:val="21"/>
                <w:szCs w:val="21"/>
                <w:highlight w:val="none"/>
              </w:rPr>
              <w:t>项目最高招标限价为：人民币1692777.00元【其中：设计费最高限价为58518.00元（含项目前期方案设计费14630.00元，中标人需在领取中标通知书后5个工作日内按招标人要求支付前期方案费用），建安费最高限价为：人民币1634259.00（含预备费89259.00） 施工费控制价为1545000.00元（含安全文明施工措施费）】。</w:t>
            </w:r>
          </w:p>
          <w:p>
            <w:pPr>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投标总报价或设计费、施工费超过招标控制价的投标文件均作废标处理。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bCs/>
                <w:color w:val="auto"/>
                <w:szCs w:val="21"/>
                <w:highlight w:val="none"/>
              </w:rPr>
            </w:pPr>
            <w:r>
              <w:rPr>
                <w:rFonts w:hint="eastAsia" w:ascii="宋体" w:hAnsi="宋体"/>
                <w:bCs/>
                <w:color w:val="auto"/>
                <w:szCs w:val="21"/>
                <w:highlight w:val="none"/>
              </w:rPr>
              <w:t>25</w:t>
            </w:r>
          </w:p>
        </w:tc>
        <w:tc>
          <w:tcPr>
            <w:tcW w:w="2816" w:type="dxa"/>
            <w:vAlign w:val="center"/>
          </w:tcPr>
          <w:p>
            <w:pPr>
              <w:adjustRightInd w:val="0"/>
              <w:snapToGrid w:val="0"/>
              <w:spacing w:beforeLines="50" w:line="360" w:lineRule="auto"/>
              <w:jc w:val="center"/>
              <w:rPr>
                <w:rFonts w:ascii="宋体" w:hAnsi="宋体"/>
                <w:color w:val="auto"/>
                <w:szCs w:val="21"/>
                <w:highlight w:val="none"/>
              </w:rPr>
            </w:pPr>
            <w:r>
              <w:rPr>
                <w:rFonts w:ascii="宋体" w:hAnsi="宋体"/>
                <w:color w:val="auto"/>
                <w:szCs w:val="21"/>
                <w:highlight w:val="none"/>
              </w:rPr>
              <w:t>投标保证金</w:t>
            </w:r>
          </w:p>
        </w:tc>
        <w:tc>
          <w:tcPr>
            <w:tcW w:w="5908" w:type="dxa"/>
            <w:vAlign w:val="center"/>
          </w:tcPr>
          <w:p>
            <w:pPr>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1、投标担保的金额：人民币</w:t>
            </w:r>
            <w:r>
              <w:rPr>
                <w:rFonts w:hint="eastAsia" w:asciiTheme="minorEastAsia" w:hAnsiTheme="minorEastAsia" w:eastAsiaTheme="minorEastAsia"/>
                <w:color w:val="auto"/>
                <w:sz w:val="21"/>
                <w:szCs w:val="21"/>
                <w:highlight w:val="none"/>
                <w:u w:val="single"/>
              </w:rPr>
              <w:t>壹</w:t>
            </w:r>
            <w:r>
              <w:rPr>
                <w:rFonts w:hint="eastAsia" w:asciiTheme="minorEastAsia" w:hAnsiTheme="minorEastAsia" w:eastAsiaTheme="minorEastAsia"/>
                <w:color w:val="auto"/>
                <w:sz w:val="21"/>
                <w:szCs w:val="21"/>
                <w:highlight w:val="none"/>
              </w:rPr>
              <w:t>万元。</w:t>
            </w:r>
          </w:p>
          <w:p>
            <w:pPr>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2、缴纳方式：</w:t>
            </w:r>
          </w:p>
          <w:p>
            <w:pPr>
              <w:pStyle w:val="2"/>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账户名称：</w:t>
            </w:r>
            <w:r>
              <w:rPr>
                <w:rFonts w:ascii="宋体" w:hAnsi="宋体" w:cs="宋体"/>
                <w:color w:val="auto"/>
                <w:sz w:val="21"/>
                <w:szCs w:val="21"/>
                <w:highlight w:val="none"/>
              </w:rPr>
              <w:t>广州南沙建设维护管理有限公司</w:t>
            </w:r>
          </w:p>
          <w:p>
            <w:pPr>
              <w:pStyle w:val="2"/>
              <w:snapToGrid w:val="0"/>
              <w:spacing w:line="360" w:lineRule="auto"/>
              <w:rPr>
                <w:rFonts w:ascii="宋体" w:hAnsi="宋体" w:cs="宋体"/>
                <w:color w:val="auto"/>
                <w:sz w:val="21"/>
                <w:szCs w:val="21"/>
                <w:highlight w:val="none"/>
              </w:rPr>
            </w:pPr>
            <w:r>
              <w:rPr>
                <w:rFonts w:hint="eastAsia" w:ascii="宋体" w:hAnsi="宋体"/>
                <w:color w:val="auto"/>
                <w:sz w:val="21"/>
                <w:szCs w:val="21"/>
                <w:highlight w:val="none"/>
              </w:rPr>
              <w:t>开户银行：</w:t>
            </w:r>
            <w:r>
              <w:rPr>
                <w:rFonts w:ascii="宋体" w:hAnsi="宋体" w:cs="宋体"/>
                <w:color w:val="auto"/>
                <w:sz w:val="21"/>
                <w:szCs w:val="21"/>
                <w:highlight w:val="none"/>
              </w:rPr>
              <w:t>中国工商银行广东自由贸易试验区南沙分行</w:t>
            </w:r>
          </w:p>
          <w:p>
            <w:pPr>
              <w:pStyle w:val="2"/>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账号：</w:t>
            </w:r>
            <w:r>
              <w:rPr>
                <w:rFonts w:ascii="宋体" w:hAnsi="宋体" w:cs="宋体"/>
                <w:color w:val="auto"/>
                <w:sz w:val="21"/>
                <w:szCs w:val="21"/>
                <w:highlight w:val="none"/>
              </w:rPr>
              <w:t>3602056909200030855</w:t>
            </w:r>
          </w:p>
          <w:p>
            <w:pPr>
              <w:numPr>
                <w:ilvl w:val="0"/>
                <w:numId w:val="1"/>
              </w:numPr>
              <w:adjustRightInd w:val="0"/>
              <w:snapToGrid w:val="0"/>
              <w:spacing w:line="360" w:lineRule="auto"/>
              <w:rPr>
                <w:color w:val="auto"/>
                <w:sz w:val="21"/>
                <w:szCs w:val="21"/>
                <w:highlight w:val="none"/>
              </w:rPr>
            </w:pPr>
            <w:r>
              <w:rPr>
                <w:rFonts w:hint="eastAsia" w:asciiTheme="minorEastAsia" w:hAnsiTheme="minorEastAsia" w:eastAsiaTheme="minorEastAsia"/>
                <w:color w:val="auto"/>
                <w:sz w:val="21"/>
                <w:szCs w:val="21"/>
                <w:highlight w:val="none"/>
              </w:rPr>
              <w:t>缴纳时间：投标单位须在2020年</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月</w:t>
            </w:r>
            <w:r>
              <w:rPr>
                <w:rFonts w:hint="eastAsia" w:asciiTheme="minorEastAsia" w:hAnsiTheme="minorEastAsia" w:eastAsiaTheme="minorEastAsia"/>
                <w:color w:val="auto"/>
                <w:sz w:val="21"/>
                <w:szCs w:val="21"/>
                <w:highlight w:val="none"/>
                <w:lang w:val="en-US" w:eastAsia="zh-CN"/>
              </w:rPr>
              <w:t>8</w:t>
            </w:r>
            <w:r>
              <w:rPr>
                <w:rFonts w:hint="eastAsia" w:asciiTheme="minorEastAsia" w:hAnsiTheme="minorEastAsia" w:eastAsiaTheme="minorEastAsia"/>
                <w:color w:val="auto"/>
                <w:sz w:val="21"/>
                <w:szCs w:val="21"/>
                <w:highlight w:val="none"/>
              </w:rPr>
              <w:t>日16:00前以</w:t>
            </w:r>
            <w:r>
              <w:rPr>
                <w:rFonts w:hint="eastAsia"/>
                <w:color w:val="auto"/>
                <w:sz w:val="21"/>
                <w:szCs w:val="21"/>
                <w:highlight w:val="none"/>
              </w:rPr>
              <w:t>投标人（或联合体主办方）转出【以招标单位查询的信息为准，汇款时备注：南沙天后宫景区灯光亮化工程（首期）设计施工总承包投标保证金】</w:t>
            </w:r>
          </w:p>
          <w:p>
            <w:pPr>
              <w:numPr>
                <w:ilvl w:val="0"/>
                <w:numId w:val="1"/>
              </w:numPr>
              <w:adjustRightInd w:val="0"/>
              <w:snapToGrid w:val="0"/>
              <w:spacing w:line="360" w:lineRule="auto"/>
              <w:rPr>
                <w:color w:val="auto"/>
                <w:sz w:val="21"/>
                <w:szCs w:val="21"/>
                <w:highlight w:val="none"/>
              </w:rPr>
            </w:pPr>
            <w:r>
              <w:rPr>
                <w:rFonts w:hint="eastAsia"/>
                <w:color w:val="auto"/>
                <w:sz w:val="21"/>
                <w:szCs w:val="21"/>
                <w:highlight w:val="none"/>
              </w:rPr>
              <w:t>未按规定缴纳投标保证金的正式投标人将被视为自动放弃本工程的投标资格。若为联合体，以联合体主办方递交保证金为准。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65" w:type="dxa"/>
            <w:vAlign w:val="center"/>
          </w:tcPr>
          <w:p>
            <w:pPr>
              <w:adjustRightInd w:val="0"/>
              <w:snapToGrid w:val="0"/>
              <w:spacing w:beforeLines="50" w:line="360" w:lineRule="auto"/>
              <w:jc w:val="center"/>
              <w:rPr>
                <w:rFonts w:ascii="宋体" w:hAnsi="宋体"/>
                <w:bCs/>
                <w:color w:val="auto"/>
                <w:szCs w:val="21"/>
                <w:highlight w:val="none"/>
              </w:rPr>
            </w:pPr>
            <w:r>
              <w:rPr>
                <w:rFonts w:hint="eastAsia" w:ascii="宋体" w:hAnsi="宋体"/>
                <w:bCs/>
                <w:color w:val="auto"/>
                <w:szCs w:val="21"/>
                <w:highlight w:val="none"/>
              </w:rPr>
              <w:t>26</w:t>
            </w:r>
          </w:p>
        </w:tc>
        <w:tc>
          <w:tcPr>
            <w:tcW w:w="2816" w:type="dxa"/>
            <w:vAlign w:val="center"/>
          </w:tcPr>
          <w:p>
            <w:pPr>
              <w:pStyle w:val="5"/>
              <w:adjustRightInd w:val="0"/>
              <w:snapToGrid w:val="0"/>
              <w:spacing w:beforeLines="50" w:after="0" w:line="360" w:lineRule="auto"/>
              <w:ind w:firstLine="0"/>
              <w:jc w:val="center"/>
              <w:rPr>
                <w:rFonts w:ascii="宋体" w:hAnsi="宋体"/>
                <w:bCs/>
                <w:color w:val="auto"/>
                <w:szCs w:val="21"/>
                <w:highlight w:val="none"/>
              </w:rPr>
            </w:pPr>
            <w:r>
              <w:rPr>
                <w:rFonts w:hint="eastAsia" w:ascii="宋体" w:hAnsi="宋体"/>
                <w:color w:val="auto"/>
                <w:szCs w:val="21"/>
                <w:highlight w:val="none"/>
              </w:rPr>
              <w:t>保修期</w:t>
            </w:r>
          </w:p>
        </w:tc>
        <w:tc>
          <w:tcPr>
            <w:tcW w:w="5908" w:type="dxa"/>
            <w:vAlign w:val="center"/>
          </w:tcPr>
          <w:p>
            <w:pPr>
              <w:adjustRightInd w:val="0"/>
              <w:snapToGrid w:val="0"/>
              <w:spacing w:beforeLines="50" w:line="360" w:lineRule="auto"/>
              <w:rPr>
                <w:rFonts w:ascii="宋体" w:hAnsi="宋体"/>
                <w:bCs/>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165" w:type="dxa"/>
            <w:vAlign w:val="center"/>
          </w:tcPr>
          <w:p>
            <w:pPr>
              <w:adjustRightInd w:val="0"/>
              <w:snapToGrid w:val="0"/>
              <w:spacing w:beforeLines="50" w:line="360" w:lineRule="auto"/>
              <w:jc w:val="center"/>
              <w:rPr>
                <w:rFonts w:ascii="宋体" w:hAnsi="宋体"/>
                <w:bCs/>
                <w:color w:val="auto"/>
                <w:szCs w:val="21"/>
                <w:highlight w:val="none"/>
              </w:rPr>
            </w:pPr>
            <w:r>
              <w:rPr>
                <w:rFonts w:hint="eastAsia" w:ascii="宋体" w:hAnsi="宋体"/>
                <w:bCs/>
                <w:color w:val="auto"/>
                <w:szCs w:val="21"/>
                <w:highlight w:val="none"/>
              </w:rPr>
              <w:t>27</w:t>
            </w:r>
          </w:p>
        </w:tc>
        <w:tc>
          <w:tcPr>
            <w:tcW w:w="2816" w:type="dxa"/>
            <w:vAlign w:val="center"/>
          </w:tcPr>
          <w:p>
            <w:pPr>
              <w:adjustRightInd w:val="0"/>
              <w:snapToGrid w:val="0"/>
              <w:spacing w:beforeLines="50" w:line="360" w:lineRule="auto"/>
              <w:jc w:val="center"/>
              <w:rPr>
                <w:rFonts w:ascii="宋体" w:hAnsi="宋体"/>
                <w:bCs/>
                <w:color w:val="auto"/>
                <w:szCs w:val="21"/>
                <w:highlight w:val="none"/>
              </w:rPr>
            </w:pPr>
            <w:r>
              <w:rPr>
                <w:rFonts w:hint="eastAsia" w:ascii="宋体" w:hAnsi="宋体"/>
                <w:bCs/>
                <w:color w:val="auto"/>
                <w:szCs w:val="21"/>
                <w:highlight w:val="none"/>
              </w:rPr>
              <w:t>其他</w:t>
            </w:r>
          </w:p>
        </w:tc>
        <w:tc>
          <w:tcPr>
            <w:tcW w:w="5908" w:type="dxa"/>
            <w:vAlign w:val="center"/>
          </w:tcPr>
          <w:p>
            <w:pPr>
              <w:autoSpaceDE w:val="0"/>
              <w:autoSpaceDN w:val="0"/>
              <w:adjustRightInd w:val="0"/>
              <w:snapToGrid w:val="0"/>
              <w:spacing w:beforeLines="50" w:line="360" w:lineRule="auto"/>
              <w:jc w:val="left"/>
              <w:rPr>
                <w:rFonts w:ascii="宋体" w:hAnsi="宋体"/>
                <w:bCs/>
                <w:color w:val="auto"/>
                <w:szCs w:val="21"/>
                <w:highlight w:val="none"/>
              </w:rPr>
            </w:pPr>
            <w:r>
              <w:rPr>
                <w:rFonts w:hint="eastAsia" w:ascii="宋体" w:hAnsi="宋体"/>
                <w:color w:val="auto"/>
                <w:szCs w:val="21"/>
                <w:highlight w:val="none"/>
              </w:rPr>
              <w:t>/</w:t>
            </w:r>
          </w:p>
        </w:tc>
      </w:tr>
    </w:tbl>
    <w:p>
      <w:pPr>
        <w:adjustRightInd w:val="0"/>
        <w:spacing w:line="440" w:lineRule="exact"/>
        <w:textAlignment w:val="baseline"/>
        <w:rPr>
          <w:rFonts w:ascii="宋体" w:hAnsi="宋体" w:cs="宋体"/>
          <w:bCs/>
          <w:color w:val="auto"/>
          <w:kern w:val="0"/>
          <w:sz w:val="24"/>
          <w:highlight w:val="none"/>
        </w:rPr>
        <w:sectPr>
          <w:footerReference r:id="rId6" w:type="default"/>
          <w:pgSz w:w="11906" w:h="16838"/>
          <w:pgMar w:top="1247" w:right="1134" w:bottom="1247" w:left="1361" w:header="851" w:footer="992" w:gutter="0"/>
          <w:pgNumType w:start="1"/>
          <w:cols w:space="720" w:num="1"/>
          <w:docGrid w:type="lines" w:linePitch="312" w:charSpace="0"/>
        </w:sectPr>
      </w:pPr>
    </w:p>
    <w:p>
      <w:pPr>
        <w:adjustRightInd w:val="0"/>
        <w:spacing w:line="440" w:lineRule="exact"/>
        <w:textAlignment w:val="baseline"/>
        <w:rPr>
          <w:rFonts w:ascii="宋体" w:hAnsi="宋体" w:cs="宋体"/>
          <w:color w:val="auto"/>
          <w:kern w:val="0"/>
          <w:sz w:val="24"/>
          <w:highlight w:val="none"/>
        </w:rPr>
      </w:pPr>
    </w:p>
    <w:p>
      <w:pPr>
        <w:pStyle w:val="7"/>
        <w:jc w:val="center"/>
        <w:rPr>
          <w:color w:val="auto"/>
          <w:highlight w:val="none"/>
        </w:rPr>
      </w:pPr>
      <w:bookmarkStart w:id="81" w:name="_Toc247513952"/>
      <w:bookmarkStart w:id="82" w:name="_Toc5556"/>
      <w:bookmarkStart w:id="83" w:name="_Toc2174"/>
      <w:bookmarkStart w:id="84" w:name="_Toc493"/>
      <w:bookmarkStart w:id="85" w:name="_Toc31351"/>
      <w:bookmarkStart w:id="86" w:name="_Toc247527553"/>
      <w:bookmarkStart w:id="87" w:name="_Toc5310"/>
      <w:bookmarkStart w:id="88" w:name="_Toc494371515"/>
      <w:bookmarkStart w:id="89" w:name="_Toc376"/>
      <w:bookmarkStart w:id="90" w:name="_Toc30938"/>
      <w:bookmarkStart w:id="91" w:name="_Toc14621"/>
      <w:bookmarkStart w:id="92" w:name="_Toc15823"/>
      <w:bookmarkStart w:id="93" w:name="_Toc152045529"/>
      <w:bookmarkStart w:id="94" w:name="_Toc300834949"/>
      <w:bookmarkStart w:id="95" w:name="_Toc19435"/>
      <w:bookmarkStart w:id="96" w:name="_Toc152042305"/>
      <w:bookmarkStart w:id="97" w:name="_Toc22983"/>
      <w:bookmarkStart w:id="98" w:name="_Toc144974497"/>
      <w:bookmarkStart w:id="99" w:name="_Toc8466"/>
      <w:r>
        <w:rPr>
          <w:color w:val="auto"/>
          <w:highlight w:val="none"/>
        </w:rPr>
        <w:t xml:space="preserve">1. </w:t>
      </w:r>
      <w:r>
        <w:rPr>
          <w:rFonts w:hint="eastAsia"/>
          <w:color w:val="auto"/>
          <w:highlight w:val="none"/>
        </w:rPr>
        <w:t>总则</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8"/>
        <w:rPr>
          <w:color w:val="auto"/>
          <w:highlight w:val="none"/>
        </w:rPr>
      </w:pPr>
      <w:bookmarkStart w:id="100" w:name="_Toc23702"/>
      <w:bookmarkStart w:id="101" w:name="_Toc144974498"/>
      <w:bookmarkStart w:id="102" w:name="_Toc3327"/>
      <w:bookmarkStart w:id="103" w:name="_Toc12263"/>
      <w:bookmarkStart w:id="104" w:name="_Toc152045530"/>
      <w:bookmarkStart w:id="105" w:name="_Toc494371516"/>
      <w:bookmarkStart w:id="106" w:name="_Toc16499"/>
      <w:bookmarkStart w:id="107" w:name="_Toc27599"/>
      <w:bookmarkStart w:id="108" w:name="_Toc16159"/>
      <w:bookmarkStart w:id="109" w:name="_Toc22928"/>
      <w:bookmarkStart w:id="110" w:name="_Toc247527554"/>
      <w:bookmarkStart w:id="111" w:name="_Toc247513953"/>
      <w:bookmarkStart w:id="112" w:name="_Toc6146"/>
      <w:bookmarkStart w:id="113" w:name="_Toc30762"/>
      <w:bookmarkStart w:id="114" w:name="_Toc8430"/>
      <w:bookmarkStart w:id="115" w:name="_Toc152042306"/>
      <w:bookmarkStart w:id="116" w:name="_Toc300834950"/>
      <w:r>
        <w:rPr>
          <w:rFonts w:ascii="Times New Roman" w:hAnsi="Times New Roman"/>
          <w:color w:val="auto"/>
          <w:highlight w:val="none"/>
        </w:rPr>
        <w:t>1.1</w:t>
      </w:r>
      <w:r>
        <w:rPr>
          <w:color w:val="auto"/>
          <w:highlight w:val="none"/>
        </w:rPr>
        <w:t xml:space="preserve"> 项目概况</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00" w:lineRule="exact"/>
        <w:ind w:firstLine="420" w:firstLineChars="200"/>
        <w:rPr>
          <w:color w:val="auto"/>
          <w:highlight w:val="none"/>
        </w:rPr>
      </w:pPr>
      <w:r>
        <w:rPr>
          <w:color w:val="auto"/>
          <w:highlight w:val="none"/>
        </w:rPr>
        <w:t>1.1.1</w:t>
      </w:r>
      <w:r>
        <w:rPr>
          <w:rFonts w:hint="eastAsia"/>
          <w:color w:val="auto"/>
          <w:highlight w:val="none"/>
        </w:rPr>
        <w:t>根据《中华人民共和国招标投标法》等有关法律、法规和规章的规定，本招标项目已具备招标条件，现对该项目设计施工进行总承包招标。</w:t>
      </w:r>
    </w:p>
    <w:p>
      <w:pPr>
        <w:spacing w:line="400" w:lineRule="exact"/>
        <w:ind w:firstLine="420" w:firstLineChars="200"/>
        <w:rPr>
          <w:color w:val="auto"/>
          <w:highlight w:val="none"/>
        </w:rPr>
      </w:pPr>
      <w:r>
        <w:rPr>
          <w:color w:val="auto"/>
          <w:highlight w:val="none"/>
        </w:rPr>
        <w:t xml:space="preserve">1.1.2 </w:t>
      </w:r>
      <w:r>
        <w:rPr>
          <w:rFonts w:hint="eastAsia"/>
          <w:color w:val="auto"/>
          <w:highlight w:val="none"/>
        </w:rPr>
        <w:t>招标人：见投标人须知前附表。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3</w:t>
      </w:r>
      <w:r>
        <w:rPr>
          <w:color w:val="auto"/>
          <w:highlight w:val="none"/>
        </w:rPr>
        <w:t xml:space="preserve"> </w:t>
      </w:r>
      <w:r>
        <w:rPr>
          <w:rFonts w:hint="eastAsia"/>
          <w:color w:val="auto"/>
          <w:highlight w:val="none"/>
        </w:rPr>
        <w:t>招标项目名称：见投标人须知前附表。</w:t>
      </w:r>
    </w:p>
    <w:p>
      <w:pPr>
        <w:spacing w:line="400" w:lineRule="exact"/>
        <w:ind w:firstLine="420" w:firstLineChars="200"/>
        <w:rPr>
          <w:color w:val="auto"/>
          <w:highlight w:val="none"/>
        </w:rPr>
      </w:pPr>
      <w:r>
        <w:rPr>
          <w:color w:val="auto"/>
          <w:highlight w:val="none"/>
        </w:rPr>
        <w:t>1.1.</w:t>
      </w:r>
      <w:r>
        <w:rPr>
          <w:rFonts w:hint="eastAsia"/>
          <w:color w:val="auto"/>
          <w:highlight w:val="none"/>
        </w:rPr>
        <w:t>4</w:t>
      </w:r>
      <w:r>
        <w:rPr>
          <w:color w:val="auto"/>
          <w:highlight w:val="none"/>
        </w:rPr>
        <w:t xml:space="preserve"> </w:t>
      </w:r>
      <w:r>
        <w:rPr>
          <w:rFonts w:hint="eastAsia"/>
          <w:color w:val="auto"/>
          <w:highlight w:val="none"/>
        </w:rPr>
        <w:t>项目建设地点：见投标人须知前附表。</w:t>
      </w:r>
    </w:p>
    <w:p>
      <w:pPr>
        <w:pStyle w:val="8"/>
        <w:rPr>
          <w:color w:val="auto"/>
          <w:highlight w:val="none"/>
        </w:rPr>
      </w:pPr>
      <w:bookmarkStart w:id="117" w:name="_Toc2014"/>
      <w:bookmarkStart w:id="118" w:name="_Toc17611"/>
      <w:bookmarkStart w:id="119" w:name="_Toc152042307"/>
      <w:bookmarkStart w:id="120" w:name="_Toc24580"/>
      <w:bookmarkStart w:id="121" w:name="_Toc5082"/>
      <w:bookmarkStart w:id="122" w:name="_Toc247513954"/>
      <w:bookmarkStart w:id="123" w:name="_Toc144974499"/>
      <w:bookmarkStart w:id="124" w:name="_Toc6619"/>
      <w:bookmarkStart w:id="125" w:name="_Toc22426"/>
      <w:bookmarkStart w:id="126" w:name="_Toc247527555"/>
      <w:bookmarkStart w:id="127" w:name="_Toc23335"/>
      <w:bookmarkStart w:id="128" w:name="_Toc152045531"/>
      <w:bookmarkStart w:id="129" w:name="_Toc10866"/>
      <w:bookmarkStart w:id="130" w:name="_Toc28164"/>
      <w:bookmarkStart w:id="131" w:name="_Toc494371517"/>
      <w:bookmarkStart w:id="132" w:name="_Toc300834951"/>
      <w:bookmarkStart w:id="133" w:name="_Toc21962"/>
      <w:r>
        <w:rPr>
          <w:rFonts w:ascii="Times New Roman" w:hAnsi="Times New Roman"/>
          <w:color w:val="auto"/>
          <w:highlight w:val="none"/>
        </w:rPr>
        <w:t xml:space="preserve">1.2 </w:t>
      </w:r>
      <w:r>
        <w:rPr>
          <w:rFonts w:hint="eastAsia"/>
          <w:color w:val="auto"/>
          <w:highlight w:val="none"/>
        </w:rPr>
        <w:t>项目的资金来源和落实情况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00" w:lineRule="exact"/>
        <w:ind w:firstLine="420" w:firstLineChars="200"/>
        <w:rPr>
          <w:color w:val="auto"/>
          <w:highlight w:val="none"/>
        </w:rPr>
      </w:pPr>
      <w:r>
        <w:rPr>
          <w:color w:val="auto"/>
          <w:highlight w:val="none"/>
        </w:rPr>
        <w:t xml:space="preserve">1.2.1 </w:t>
      </w:r>
      <w:r>
        <w:rPr>
          <w:rFonts w:hint="eastAsia"/>
          <w:color w:val="auto"/>
          <w:highlight w:val="none"/>
        </w:rPr>
        <w:t>资金来源及比例：见投标人须知前附表。</w:t>
      </w:r>
    </w:p>
    <w:p>
      <w:pPr>
        <w:spacing w:line="400" w:lineRule="exact"/>
        <w:ind w:firstLine="420" w:firstLineChars="200"/>
        <w:rPr>
          <w:color w:val="auto"/>
          <w:highlight w:val="none"/>
        </w:rPr>
      </w:pPr>
      <w:r>
        <w:rPr>
          <w:color w:val="auto"/>
          <w:highlight w:val="none"/>
        </w:rPr>
        <w:t xml:space="preserve">1.2.2 </w:t>
      </w:r>
      <w:r>
        <w:rPr>
          <w:rFonts w:hint="eastAsia"/>
          <w:color w:val="auto"/>
          <w:highlight w:val="none"/>
        </w:rPr>
        <w:t>资金落实情况：见投标人须知前附表。</w:t>
      </w:r>
    </w:p>
    <w:p>
      <w:pPr>
        <w:pStyle w:val="8"/>
        <w:rPr>
          <w:color w:val="auto"/>
          <w:highlight w:val="none"/>
        </w:rPr>
      </w:pPr>
      <w:bookmarkStart w:id="134" w:name="_Toc152045532"/>
      <w:bookmarkStart w:id="135" w:name="_Toc247513955"/>
      <w:bookmarkStart w:id="136" w:name="_Toc247527556"/>
      <w:bookmarkStart w:id="137" w:name="_Toc144974500"/>
      <w:bookmarkStart w:id="138" w:name="_Toc152042308"/>
      <w:bookmarkStart w:id="139" w:name="_Toc20564"/>
      <w:bookmarkStart w:id="140" w:name="_Toc10055"/>
      <w:bookmarkStart w:id="141" w:name="_Toc300834952"/>
      <w:bookmarkStart w:id="142" w:name="_Toc30791"/>
      <w:bookmarkStart w:id="143" w:name="_Toc6852"/>
      <w:bookmarkStart w:id="144" w:name="_Toc12593"/>
      <w:bookmarkStart w:id="145" w:name="_Toc21315"/>
      <w:bookmarkStart w:id="146" w:name="_Toc494371518"/>
      <w:bookmarkStart w:id="147" w:name="_Toc8046"/>
      <w:bookmarkStart w:id="148" w:name="_Toc24250"/>
      <w:bookmarkStart w:id="149" w:name="_Toc12223"/>
      <w:bookmarkStart w:id="150" w:name="_Toc5144"/>
      <w:r>
        <w:rPr>
          <w:rFonts w:ascii="Times New Roman" w:hAnsi="Times New Roman"/>
          <w:color w:val="auto"/>
          <w:highlight w:val="none"/>
        </w:rPr>
        <w:t>1.3</w:t>
      </w:r>
      <w:r>
        <w:rPr>
          <w:color w:val="auto"/>
          <w:highlight w:val="none"/>
        </w:rPr>
        <w:t xml:space="preserve"> 招标范围、</w:t>
      </w:r>
      <w:r>
        <w:rPr>
          <w:rFonts w:hint="eastAsia"/>
          <w:color w:val="auto"/>
          <w:highlight w:val="none"/>
        </w:rPr>
        <w:t>工期要求</w:t>
      </w:r>
      <w:r>
        <w:rPr>
          <w:color w:val="auto"/>
          <w:highlight w:val="none"/>
        </w:rPr>
        <w:t>和</w:t>
      </w:r>
      <w:bookmarkEnd w:id="134"/>
      <w:bookmarkEnd w:id="135"/>
      <w:bookmarkEnd w:id="136"/>
      <w:bookmarkEnd w:id="137"/>
      <w:bookmarkEnd w:id="138"/>
      <w:r>
        <w:rPr>
          <w:rFonts w:hint="eastAsia"/>
          <w:color w:val="auto"/>
          <w:highlight w:val="none"/>
        </w:rPr>
        <w:t>质量标准</w:t>
      </w:r>
      <w:bookmarkEnd w:id="139"/>
      <w:bookmarkEnd w:id="140"/>
      <w:bookmarkEnd w:id="141"/>
      <w:bookmarkEnd w:id="142"/>
      <w:bookmarkEnd w:id="143"/>
      <w:bookmarkEnd w:id="144"/>
      <w:bookmarkEnd w:id="145"/>
      <w:bookmarkEnd w:id="146"/>
      <w:bookmarkEnd w:id="147"/>
      <w:bookmarkEnd w:id="148"/>
      <w:bookmarkEnd w:id="149"/>
      <w:bookmarkEnd w:id="150"/>
    </w:p>
    <w:p>
      <w:pPr>
        <w:spacing w:line="400" w:lineRule="exact"/>
        <w:ind w:firstLine="420" w:firstLineChars="200"/>
        <w:rPr>
          <w:color w:val="auto"/>
          <w:highlight w:val="none"/>
        </w:rPr>
      </w:pPr>
      <w:r>
        <w:rPr>
          <w:color w:val="auto"/>
          <w:highlight w:val="none"/>
        </w:rPr>
        <w:t xml:space="preserve">1.3.1 </w:t>
      </w:r>
      <w:r>
        <w:rPr>
          <w:rFonts w:hint="eastAsia"/>
          <w:color w:val="auto"/>
          <w:highlight w:val="none"/>
        </w:rPr>
        <w:t>招标范围：见投标人须知前附表。</w:t>
      </w:r>
    </w:p>
    <w:p>
      <w:pPr>
        <w:spacing w:line="400" w:lineRule="exact"/>
        <w:ind w:firstLine="420" w:firstLineChars="200"/>
        <w:rPr>
          <w:color w:val="auto"/>
          <w:highlight w:val="none"/>
        </w:rPr>
      </w:pPr>
      <w:r>
        <w:rPr>
          <w:color w:val="auto"/>
          <w:highlight w:val="none"/>
        </w:rPr>
        <w:t xml:space="preserve">1.3.2 </w:t>
      </w:r>
      <w:r>
        <w:rPr>
          <w:rFonts w:hint="eastAsia"/>
          <w:color w:val="auto"/>
          <w:highlight w:val="none"/>
        </w:rPr>
        <w:t>计划工期：见投标人须知前附表。</w:t>
      </w:r>
    </w:p>
    <w:p>
      <w:pPr>
        <w:spacing w:line="400" w:lineRule="exact"/>
        <w:ind w:firstLine="420" w:firstLineChars="200"/>
        <w:rPr>
          <w:color w:val="auto"/>
          <w:highlight w:val="none"/>
        </w:rPr>
      </w:pPr>
      <w:r>
        <w:rPr>
          <w:color w:val="auto"/>
          <w:highlight w:val="none"/>
        </w:rPr>
        <w:t xml:space="preserve">1.3.3 </w:t>
      </w:r>
      <w:r>
        <w:rPr>
          <w:rFonts w:hint="eastAsia"/>
          <w:color w:val="auto"/>
          <w:highlight w:val="none"/>
        </w:rPr>
        <w:t>质量标准：见投标人须知前附表。</w:t>
      </w:r>
    </w:p>
    <w:p>
      <w:pPr>
        <w:pStyle w:val="8"/>
        <w:rPr>
          <w:color w:val="auto"/>
          <w:highlight w:val="none"/>
        </w:rPr>
      </w:pPr>
      <w:bookmarkStart w:id="151" w:name="_Toc27548"/>
      <w:bookmarkStart w:id="152" w:name="_Toc29837"/>
      <w:bookmarkStart w:id="153" w:name="_Toc25165"/>
      <w:bookmarkStart w:id="154" w:name="_Toc247527557"/>
      <w:bookmarkStart w:id="155" w:name="_Toc10308"/>
      <w:bookmarkStart w:id="156" w:name="_Toc247513956"/>
      <w:bookmarkStart w:id="157" w:name="_Toc494371519"/>
      <w:bookmarkStart w:id="158" w:name="_Toc27436"/>
      <w:bookmarkStart w:id="159" w:name="_Toc16204"/>
      <w:bookmarkStart w:id="160" w:name="_Toc21278"/>
      <w:bookmarkStart w:id="161" w:name="_Toc9786"/>
      <w:bookmarkStart w:id="162" w:name="_Toc15022"/>
      <w:bookmarkStart w:id="163" w:name="_Toc144974501"/>
      <w:bookmarkStart w:id="164" w:name="_Toc152042309"/>
      <w:bookmarkStart w:id="165" w:name="_Toc30070"/>
      <w:bookmarkStart w:id="166" w:name="_Toc300834953"/>
      <w:bookmarkStart w:id="167" w:name="_Toc152045533"/>
      <w:r>
        <w:rPr>
          <w:rFonts w:ascii="Times New Roman" w:hAnsi="Times New Roman"/>
          <w:color w:val="auto"/>
          <w:highlight w:val="none"/>
        </w:rPr>
        <w:t>1.4</w:t>
      </w:r>
      <w:r>
        <w:rPr>
          <w:color w:val="auto"/>
          <w:highlight w:val="none"/>
        </w:rPr>
        <w:t xml:space="preserve"> 投标人</w:t>
      </w:r>
      <w:r>
        <w:rPr>
          <w:rFonts w:hint="eastAsia"/>
          <w:color w:val="auto"/>
          <w:highlight w:val="none"/>
        </w:rPr>
        <w:t>合格条件</w:t>
      </w:r>
      <w:r>
        <w:rPr>
          <w:color w:val="auto"/>
          <w:highlight w:val="none"/>
        </w:rPr>
        <w:t>（详见招标公告要求）</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8"/>
        <w:tabs>
          <w:tab w:val="left" w:pos="5769"/>
        </w:tabs>
        <w:rPr>
          <w:color w:val="auto"/>
          <w:highlight w:val="none"/>
        </w:rPr>
      </w:pPr>
      <w:bookmarkStart w:id="168" w:name="_Toc152042312"/>
      <w:bookmarkStart w:id="169" w:name="_Toc247513959"/>
      <w:bookmarkStart w:id="170" w:name="_Toc17087"/>
      <w:bookmarkStart w:id="171" w:name="_Toc25667"/>
      <w:bookmarkStart w:id="172" w:name="_Toc494371521"/>
      <w:bookmarkStart w:id="173" w:name="_Toc247527560"/>
      <w:bookmarkStart w:id="174" w:name="_Toc29962"/>
      <w:bookmarkStart w:id="175" w:name="_Toc13053"/>
      <w:bookmarkStart w:id="176" w:name="_Toc9983"/>
      <w:bookmarkStart w:id="177" w:name="_Toc31463"/>
      <w:bookmarkStart w:id="178" w:name="_Toc29204"/>
      <w:bookmarkStart w:id="179" w:name="_Toc1809"/>
      <w:bookmarkStart w:id="180" w:name="_Toc144974504"/>
      <w:bookmarkStart w:id="181" w:name="_Toc300834956"/>
      <w:bookmarkStart w:id="182" w:name="_Toc15250"/>
      <w:bookmarkStart w:id="183" w:name="_Toc20208"/>
      <w:bookmarkStart w:id="184" w:name="_Toc152045536"/>
      <w:r>
        <w:rPr>
          <w:rFonts w:ascii="Times New Roman" w:hAnsi="Times New Roman"/>
          <w:color w:val="auto"/>
          <w:highlight w:val="none"/>
        </w:rPr>
        <w:t>1</w:t>
      </w:r>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color w:val="auto"/>
          <w:highlight w:val="none"/>
        </w:rPr>
        <w:t>保密</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color w:val="auto"/>
          <w:highlight w:val="none"/>
        </w:rPr>
        <w:tab/>
      </w:r>
    </w:p>
    <w:p>
      <w:pPr>
        <w:spacing w:line="400" w:lineRule="exact"/>
        <w:ind w:firstLine="420" w:firstLineChars="200"/>
        <w:rPr>
          <w:color w:val="auto"/>
          <w:highlight w:val="none"/>
        </w:rPr>
      </w:pPr>
      <w:r>
        <w:rPr>
          <w:rFonts w:hint="eastAsia"/>
          <w:color w:val="auto"/>
          <w:highlight w:val="none"/>
        </w:rPr>
        <w:t>参与招标投标活动的各方应对招标文件和投标文件中的商业和技术等秘密保密，否则应承担相应的法律责任。</w:t>
      </w:r>
    </w:p>
    <w:p>
      <w:pPr>
        <w:pStyle w:val="8"/>
        <w:rPr>
          <w:color w:val="auto"/>
          <w:highlight w:val="none"/>
        </w:rPr>
      </w:pPr>
      <w:bookmarkStart w:id="185" w:name="_Toc144974505"/>
      <w:bookmarkStart w:id="186" w:name="_Toc494371522"/>
      <w:bookmarkStart w:id="187" w:name="_Toc21141"/>
      <w:bookmarkStart w:id="188" w:name="_Toc27206"/>
      <w:bookmarkStart w:id="189" w:name="_Toc29984"/>
      <w:bookmarkStart w:id="190" w:name="_Toc15403"/>
      <w:bookmarkStart w:id="191" w:name="_Toc11478"/>
      <w:bookmarkStart w:id="192" w:name="_Toc12677"/>
      <w:bookmarkStart w:id="193" w:name="_Toc31702"/>
      <w:bookmarkStart w:id="194" w:name="_Toc300834957"/>
      <w:bookmarkStart w:id="195" w:name="_Toc10710"/>
      <w:bookmarkStart w:id="196" w:name="_Toc15952"/>
      <w:bookmarkStart w:id="197" w:name="_Toc7984"/>
      <w:bookmarkStart w:id="198" w:name="_Toc247513960"/>
      <w:bookmarkStart w:id="199" w:name="_Toc152042313"/>
      <w:bookmarkStart w:id="200" w:name="_Toc247527561"/>
      <w:bookmarkStart w:id="201" w:name="_Toc152045537"/>
      <w:r>
        <w:rPr>
          <w:rFonts w:ascii="Times New Roman" w:hAnsi="Times New Roman"/>
          <w:color w:val="auto"/>
          <w:highlight w:val="none"/>
        </w:rPr>
        <w:t>1.</w:t>
      </w:r>
      <w:r>
        <w:rPr>
          <w:rFonts w:hint="eastAsia" w:ascii="Times New Roman" w:hAnsi="Times New Roman"/>
          <w:color w:val="auto"/>
          <w:highlight w:val="none"/>
        </w:rPr>
        <w:t>6</w:t>
      </w:r>
      <w:r>
        <w:rPr>
          <w:color w:val="auto"/>
          <w:highlight w:val="none"/>
        </w:rPr>
        <w:t xml:space="preserve"> 语言</w:t>
      </w:r>
      <w:bookmarkEnd w:id="185"/>
      <w:r>
        <w:rPr>
          <w:rFonts w:hint="eastAsia"/>
          <w:color w:val="auto"/>
          <w:highlight w:val="none"/>
        </w:rPr>
        <w:t>文字</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00" w:lineRule="exact"/>
        <w:ind w:firstLine="420" w:firstLineChars="200"/>
        <w:rPr>
          <w:color w:val="auto"/>
          <w:highlight w:val="none"/>
        </w:rPr>
      </w:pPr>
      <w:r>
        <w:rPr>
          <w:rFonts w:hint="eastAsia"/>
          <w:color w:val="auto"/>
          <w:highlight w:val="none"/>
        </w:rPr>
        <w:t>招标投标文件使用的语言文字为中文。专用术语使用外文的，应附有中文注释。</w:t>
      </w:r>
    </w:p>
    <w:p>
      <w:pPr>
        <w:pStyle w:val="8"/>
        <w:rPr>
          <w:color w:val="auto"/>
          <w:highlight w:val="none"/>
        </w:rPr>
      </w:pPr>
      <w:bookmarkStart w:id="202" w:name="_Toc300834958"/>
      <w:bookmarkStart w:id="203" w:name="_Toc32144"/>
      <w:bookmarkStart w:id="204" w:name="_Toc18979"/>
      <w:bookmarkStart w:id="205" w:name="_Toc3503"/>
      <w:bookmarkStart w:id="206" w:name="_Toc13627"/>
      <w:bookmarkStart w:id="207" w:name="_Toc152045538"/>
      <w:bookmarkStart w:id="208" w:name="_Toc494371523"/>
      <w:bookmarkStart w:id="209" w:name="_Toc144974506"/>
      <w:bookmarkStart w:id="210" w:name="_Toc27884"/>
      <w:bookmarkStart w:id="211" w:name="_Toc247513961"/>
      <w:bookmarkStart w:id="212" w:name="_Toc24995"/>
      <w:bookmarkStart w:id="213" w:name="_Toc247527562"/>
      <w:bookmarkStart w:id="214" w:name="_Toc6208"/>
      <w:bookmarkStart w:id="215" w:name="_Toc27006"/>
      <w:bookmarkStart w:id="216" w:name="_Toc31715"/>
      <w:bookmarkStart w:id="217" w:name="_Toc152042314"/>
      <w:bookmarkStart w:id="218" w:name="_Toc28646"/>
      <w:r>
        <w:rPr>
          <w:rFonts w:ascii="Times New Roman" w:hAnsi="Times New Roman"/>
          <w:color w:val="auto"/>
          <w:highlight w:val="none"/>
        </w:rPr>
        <w:t>1.</w:t>
      </w:r>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color w:val="auto"/>
          <w:highlight w:val="none"/>
        </w:rPr>
        <w:t>计量单位</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spacing w:line="400" w:lineRule="exact"/>
        <w:ind w:firstLine="420" w:firstLineChars="200"/>
        <w:rPr>
          <w:color w:val="auto"/>
          <w:highlight w:val="none"/>
        </w:rPr>
      </w:pPr>
      <w:r>
        <w:rPr>
          <w:color w:val="auto"/>
          <w:highlight w:val="none"/>
        </w:rPr>
        <w:t>1.8.1</w:t>
      </w:r>
      <w:r>
        <w:rPr>
          <w:rFonts w:hint="eastAsia"/>
          <w:color w:val="auto"/>
          <w:highlight w:val="none"/>
        </w:rPr>
        <w:t>所有计量均采用中华人民共和国法定计量单位。</w:t>
      </w:r>
    </w:p>
    <w:p>
      <w:pPr>
        <w:spacing w:line="400" w:lineRule="exact"/>
        <w:ind w:firstLine="420" w:firstLineChars="200"/>
        <w:rPr>
          <w:color w:val="auto"/>
          <w:highlight w:val="none"/>
        </w:rPr>
      </w:pPr>
      <w:r>
        <w:rPr>
          <w:color w:val="auto"/>
          <w:highlight w:val="none"/>
        </w:rPr>
        <w:t xml:space="preserve">1.8.2 </w:t>
      </w:r>
      <w:r>
        <w:rPr>
          <w:rFonts w:hint="eastAsia"/>
          <w:color w:val="auto"/>
          <w:highlight w:val="none"/>
        </w:rPr>
        <w:t>本工程投标报价采用的的币种为人民币。</w:t>
      </w:r>
    </w:p>
    <w:p>
      <w:pPr>
        <w:pStyle w:val="8"/>
        <w:rPr>
          <w:color w:val="auto"/>
          <w:highlight w:val="none"/>
        </w:rPr>
      </w:pPr>
      <w:bookmarkStart w:id="219" w:name="_Toc14018"/>
      <w:bookmarkStart w:id="220" w:name="_Toc16330"/>
      <w:bookmarkStart w:id="221" w:name="_Toc494371524"/>
      <w:bookmarkStart w:id="222" w:name="_Toc247513962"/>
      <w:bookmarkStart w:id="223" w:name="_Toc247527563"/>
      <w:bookmarkStart w:id="224" w:name="_Toc26270"/>
      <w:bookmarkStart w:id="225" w:name="_Toc23415"/>
      <w:bookmarkStart w:id="226" w:name="_Toc7578"/>
      <w:bookmarkStart w:id="227" w:name="_Toc32089"/>
      <w:bookmarkStart w:id="228" w:name="_Toc300834959"/>
      <w:bookmarkStart w:id="229" w:name="_Toc24491"/>
      <w:bookmarkStart w:id="230" w:name="_Toc13153"/>
      <w:bookmarkStart w:id="231" w:name="_Toc21709"/>
      <w:bookmarkStart w:id="232" w:name="_Toc152045539"/>
      <w:bookmarkStart w:id="233" w:name="_Toc21627"/>
      <w:bookmarkStart w:id="234" w:name="_Toc152042315"/>
      <w:bookmarkStart w:id="235" w:name="_Toc144974507"/>
      <w:r>
        <w:rPr>
          <w:rFonts w:ascii="Times New Roman" w:hAnsi="Times New Roman"/>
          <w:color w:val="auto"/>
          <w:highlight w:val="none"/>
        </w:rPr>
        <w:t>1.</w:t>
      </w:r>
      <w:r>
        <w:rPr>
          <w:rFonts w:hint="eastAsia" w:ascii="Times New Roman" w:hAnsi="Times New Roman"/>
          <w:color w:val="auto"/>
          <w:highlight w:val="none"/>
        </w:rPr>
        <w:t>8</w:t>
      </w:r>
      <w:r>
        <w:rPr>
          <w:color w:val="auto"/>
          <w:highlight w:val="none"/>
        </w:rPr>
        <w:t xml:space="preserve"> 踏勘现场</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.1 </w:t>
      </w:r>
      <w:r>
        <w:rPr>
          <w:rFonts w:hint="eastAsia"/>
          <w:color w:val="auto"/>
          <w:highlight w:val="none"/>
        </w:rPr>
        <w:t>投标人须知前附表规定组织踏勘现场的，招标人按投标人须知前附表规定的时间、地点组织投标人踏勘项目现场。</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.2 </w:t>
      </w:r>
      <w:r>
        <w:rPr>
          <w:rFonts w:hint="eastAsia"/>
          <w:color w:val="auto"/>
          <w:highlight w:val="none"/>
        </w:rPr>
        <w:t>投标人踏勘现场发生的费用自理。</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.3 </w:t>
      </w:r>
      <w:r>
        <w:rPr>
          <w:rFonts w:hint="eastAsia"/>
          <w:color w:val="auto"/>
          <w:highlight w:val="none"/>
        </w:rPr>
        <w:t>除招标人的原因外，投标人自行负责在踏勘现场中所发生的人员伤亡和财产损失。</w:t>
      </w:r>
    </w:p>
    <w:p>
      <w:pPr>
        <w:spacing w:line="400" w:lineRule="exact"/>
        <w:ind w:firstLine="420" w:firstLineChars="200"/>
        <w:rPr>
          <w:color w:val="auto"/>
          <w:highlight w:val="none"/>
        </w:rPr>
      </w:pPr>
      <w:r>
        <w:rPr>
          <w:color w:val="auto"/>
          <w:highlight w:val="none"/>
        </w:rPr>
        <w:t>1.</w:t>
      </w:r>
      <w:r>
        <w:rPr>
          <w:rFonts w:hint="eastAsia"/>
          <w:color w:val="auto"/>
          <w:highlight w:val="none"/>
        </w:rPr>
        <w:t>8</w:t>
      </w:r>
      <w:r>
        <w:rPr>
          <w:color w:val="auto"/>
          <w:highlight w:val="none"/>
        </w:rPr>
        <w:t xml:space="preserve">.4 </w:t>
      </w:r>
      <w:r>
        <w:rPr>
          <w:rFonts w:hint="eastAsia"/>
          <w:color w:val="auto"/>
          <w:highlight w:val="none"/>
        </w:rPr>
        <w:t>现场由投标人自行踏勘，投标人不进行踏勘的，视为已熟知现场条件，自行承担相关风险。招标人不对投标人自行踏勘现场作出的判断和决策负责。</w:t>
      </w:r>
    </w:p>
    <w:p>
      <w:pPr>
        <w:pStyle w:val="7"/>
        <w:rPr>
          <w:color w:val="auto"/>
          <w:highlight w:val="none"/>
        </w:rPr>
      </w:pPr>
      <w:bookmarkStart w:id="236" w:name="_Toc22361"/>
      <w:bookmarkStart w:id="237" w:name="_Toc20199"/>
      <w:bookmarkStart w:id="238" w:name="_Toc18406"/>
      <w:bookmarkStart w:id="239" w:name="_Toc13096"/>
      <w:bookmarkStart w:id="240" w:name="_Toc300834963"/>
      <w:bookmarkStart w:id="241" w:name="_Toc25753"/>
      <w:bookmarkStart w:id="242" w:name="_Toc152042318"/>
      <w:bookmarkStart w:id="243" w:name="_Toc9925"/>
      <w:bookmarkStart w:id="244" w:name="_Toc152045542"/>
      <w:bookmarkStart w:id="245" w:name="_Toc14358"/>
      <w:bookmarkStart w:id="246" w:name="_Toc17066"/>
      <w:bookmarkStart w:id="247" w:name="_Toc494371528"/>
      <w:bookmarkStart w:id="248" w:name="_Toc247513966"/>
      <w:bookmarkStart w:id="249" w:name="_Toc144974510"/>
      <w:bookmarkStart w:id="250" w:name="_Toc247527567"/>
      <w:bookmarkStart w:id="251" w:name="_Toc22778"/>
      <w:bookmarkStart w:id="252" w:name="_Toc28780"/>
      <w:bookmarkStart w:id="253" w:name="_Toc25933"/>
      <w:bookmarkStart w:id="254" w:name="_Toc23852"/>
      <w:r>
        <w:rPr>
          <w:color w:val="auto"/>
          <w:highlight w:val="none"/>
        </w:rPr>
        <w:t xml:space="preserve">2. </w:t>
      </w:r>
      <w:r>
        <w:rPr>
          <w:rFonts w:hint="eastAsia"/>
          <w:color w:val="auto"/>
          <w:highlight w:val="none"/>
        </w:rPr>
        <w:t>招标文件</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8"/>
        <w:rPr>
          <w:color w:val="auto"/>
          <w:highlight w:val="none"/>
        </w:rPr>
      </w:pPr>
      <w:bookmarkStart w:id="255" w:name="_Toc247513967"/>
      <w:bookmarkStart w:id="256" w:name="_Toc244"/>
      <w:bookmarkStart w:id="257" w:name="_Toc14514"/>
      <w:bookmarkStart w:id="258" w:name="_Toc144974511"/>
      <w:bookmarkStart w:id="259" w:name="_Toc152042319"/>
      <w:bookmarkStart w:id="260" w:name="_Toc300834964"/>
      <w:bookmarkStart w:id="261" w:name="_Toc22589"/>
      <w:bookmarkStart w:id="262" w:name="_Toc152045543"/>
      <w:bookmarkStart w:id="263" w:name="_Toc247527568"/>
      <w:bookmarkStart w:id="264" w:name="_Toc644"/>
      <w:bookmarkStart w:id="265" w:name="_Toc18571"/>
      <w:bookmarkStart w:id="266" w:name="_Toc494371529"/>
      <w:bookmarkStart w:id="267" w:name="_Toc12130"/>
      <w:bookmarkStart w:id="268" w:name="_Toc11154"/>
      <w:bookmarkStart w:id="269" w:name="_Toc27602"/>
      <w:bookmarkStart w:id="270" w:name="_Toc16384"/>
      <w:bookmarkStart w:id="271" w:name="_Toc19518"/>
      <w:r>
        <w:rPr>
          <w:rFonts w:ascii="Times New Roman" w:hAnsi="Times New Roman"/>
          <w:color w:val="auto"/>
          <w:highlight w:val="none"/>
        </w:rPr>
        <w:t>2.1</w:t>
      </w:r>
      <w:r>
        <w:rPr>
          <w:color w:val="auto"/>
          <w:highlight w:val="none"/>
        </w:rPr>
        <w:t xml:space="preserve"> 招标文件的组成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rPr>
          <w:color w:val="auto"/>
          <w:highlight w:val="none"/>
        </w:rPr>
      </w:pPr>
      <w:r>
        <w:rPr>
          <w:rFonts w:hint="eastAsia"/>
          <w:color w:val="auto"/>
          <w:highlight w:val="none"/>
        </w:rPr>
        <w:t>　　本招标文件包括：</w:t>
      </w:r>
    </w:p>
    <w:p>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）招标公告（或投标邀请书）；</w:t>
      </w:r>
    </w:p>
    <w:p>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）投标人须知；</w:t>
      </w:r>
    </w:p>
    <w:p>
      <w:pPr>
        <w:spacing w:line="400" w:lineRule="exact"/>
        <w:ind w:firstLine="359" w:firstLineChars="171"/>
        <w:rPr>
          <w:color w:val="auto"/>
          <w:highlight w:val="none"/>
        </w:rPr>
      </w:pPr>
      <w:r>
        <w:rPr>
          <w:rFonts w:hint="eastAsia"/>
          <w:color w:val="auto"/>
          <w:highlight w:val="none"/>
        </w:rPr>
        <w:t>（</w:t>
      </w:r>
      <w:r>
        <w:rPr>
          <w:color w:val="auto"/>
          <w:highlight w:val="none"/>
        </w:rPr>
        <w:t>3</w:t>
      </w:r>
      <w:r>
        <w:rPr>
          <w:rFonts w:hint="eastAsia"/>
          <w:color w:val="auto"/>
          <w:highlight w:val="none"/>
        </w:rPr>
        <w:t>）评标办法；</w:t>
      </w:r>
    </w:p>
    <w:p>
      <w:pPr>
        <w:spacing w:line="400" w:lineRule="exact"/>
        <w:ind w:firstLine="359" w:firstLineChars="171"/>
        <w:rPr>
          <w:color w:val="auto"/>
          <w:highlight w:val="none"/>
        </w:rPr>
      </w:pPr>
      <w:r>
        <w:rPr>
          <w:rFonts w:hint="eastAsia"/>
          <w:color w:val="auto"/>
          <w:highlight w:val="none"/>
        </w:rPr>
        <w:t>（</w:t>
      </w:r>
      <w:r>
        <w:rPr>
          <w:color w:val="auto"/>
          <w:highlight w:val="none"/>
        </w:rPr>
        <w:t>4</w:t>
      </w:r>
      <w:r>
        <w:rPr>
          <w:rFonts w:hint="eastAsia"/>
          <w:color w:val="auto"/>
          <w:highlight w:val="none"/>
        </w:rPr>
        <w:t>）合同条款及格式（另册）；</w:t>
      </w:r>
    </w:p>
    <w:p>
      <w:pPr>
        <w:spacing w:line="400" w:lineRule="exact"/>
        <w:ind w:firstLine="359" w:firstLineChars="171"/>
        <w:rPr>
          <w:color w:val="auto"/>
          <w:highlight w:val="none"/>
        </w:rPr>
      </w:pPr>
      <w:r>
        <w:rPr>
          <w:rFonts w:hint="eastAsia"/>
          <w:color w:val="auto"/>
          <w:highlight w:val="none"/>
        </w:rPr>
        <w:t>（</w:t>
      </w:r>
      <w:r>
        <w:rPr>
          <w:color w:val="auto"/>
          <w:highlight w:val="none"/>
        </w:rPr>
        <w:t>5</w:t>
      </w:r>
      <w:r>
        <w:rPr>
          <w:rFonts w:hint="eastAsia"/>
          <w:color w:val="auto"/>
          <w:highlight w:val="none"/>
        </w:rPr>
        <w:t>）项目方案效果图；</w:t>
      </w:r>
    </w:p>
    <w:p>
      <w:pPr>
        <w:spacing w:line="400" w:lineRule="exact"/>
        <w:ind w:firstLine="359" w:firstLineChars="171"/>
        <w:rPr>
          <w:color w:val="auto"/>
          <w:highlight w:val="none"/>
        </w:rPr>
      </w:pPr>
      <w:r>
        <w:rPr>
          <w:rFonts w:hint="eastAsia"/>
          <w:color w:val="auto"/>
          <w:highlight w:val="none"/>
        </w:rPr>
        <w:t>（</w:t>
      </w:r>
      <w:r>
        <w:rPr>
          <w:color w:val="auto"/>
          <w:highlight w:val="none"/>
        </w:rPr>
        <w:t>6</w:t>
      </w:r>
      <w:r>
        <w:rPr>
          <w:rFonts w:hint="eastAsia"/>
          <w:color w:val="auto"/>
          <w:highlight w:val="none"/>
        </w:rPr>
        <w:t>）发包人提供的资料（另册）；</w:t>
      </w:r>
    </w:p>
    <w:p>
      <w:pPr>
        <w:spacing w:line="400" w:lineRule="exact"/>
        <w:ind w:firstLine="359" w:firstLineChars="171"/>
        <w:rPr>
          <w:color w:val="auto"/>
          <w:highlight w:val="none"/>
        </w:rPr>
      </w:pPr>
      <w:r>
        <w:rPr>
          <w:rFonts w:hint="eastAsia"/>
          <w:color w:val="auto"/>
          <w:highlight w:val="none"/>
        </w:rPr>
        <w:t>（</w:t>
      </w:r>
      <w:r>
        <w:rPr>
          <w:color w:val="auto"/>
          <w:highlight w:val="none"/>
        </w:rPr>
        <w:t>7</w:t>
      </w:r>
      <w:r>
        <w:rPr>
          <w:rFonts w:hint="eastAsia"/>
          <w:color w:val="auto"/>
          <w:highlight w:val="none"/>
        </w:rPr>
        <w:t>）投标文件格式；</w:t>
      </w:r>
    </w:p>
    <w:p>
      <w:pPr>
        <w:spacing w:line="400" w:lineRule="exact"/>
        <w:ind w:firstLine="359" w:firstLineChars="171"/>
        <w:rPr>
          <w:color w:val="auto"/>
          <w:highlight w:val="none"/>
        </w:rPr>
      </w:pPr>
      <w:r>
        <w:rPr>
          <w:rFonts w:hint="eastAsia"/>
          <w:color w:val="auto"/>
          <w:highlight w:val="none"/>
        </w:rPr>
        <w:t>（</w:t>
      </w:r>
      <w:r>
        <w:rPr>
          <w:color w:val="auto"/>
          <w:highlight w:val="none"/>
        </w:rPr>
        <w:t>8</w:t>
      </w:r>
      <w:r>
        <w:rPr>
          <w:rFonts w:hint="eastAsia"/>
          <w:color w:val="auto"/>
          <w:highlight w:val="none"/>
        </w:rPr>
        <w:t>）投标人须知前附表规定的其他资料。</w:t>
      </w:r>
    </w:p>
    <w:p>
      <w:pPr>
        <w:pStyle w:val="8"/>
        <w:rPr>
          <w:color w:val="auto"/>
          <w:highlight w:val="none"/>
        </w:rPr>
      </w:pPr>
      <w:bookmarkStart w:id="272" w:name="_Toc247513968"/>
      <w:bookmarkStart w:id="273" w:name="_Toc6072"/>
      <w:bookmarkStart w:id="274" w:name="_Toc247527569"/>
      <w:bookmarkStart w:id="275" w:name="_Toc14693"/>
      <w:bookmarkStart w:id="276" w:name="_Toc494371530"/>
      <w:bookmarkStart w:id="277" w:name="_Toc152045544"/>
      <w:bookmarkStart w:id="278" w:name="_Toc24802"/>
      <w:bookmarkStart w:id="279" w:name="_Toc144974512"/>
      <w:bookmarkStart w:id="280" w:name="_Toc300834965"/>
      <w:bookmarkStart w:id="281" w:name="_Toc2920"/>
      <w:bookmarkStart w:id="282" w:name="_Toc152042320"/>
      <w:bookmarkStart w:id="283" w:name="_Toc10715"/>
      <w:bookmarkStart w:id="284" w:name="_Toc28197"/>
      <w:bookmarkStart w:id="285" w:name="_Toc13489"/>
      <w:bookmarkStart w:id="286" w:name="_Toc28374"/>
      <w:bookmarkStart w:id="287" w:name="_Toc24642"/>
      <w:bookmarkStart w:id="288" w:name="_Toc3890"/>
      <w:r>
        <w:rPr>
          <w:color w:val="auto"/>
          <w:highlight w:val="none"/>
        </w:rPr>
        <w:t xml:space="preserve">2.2 </w:t>
      </w:r>
      <w:r>
        <w:rPr>
          <w:rFonts w:hint="eastAsia"/>
          <w:color w:val="auto"/>
          <w:highlight w:val="none"/>
        </w:rPr>
        <w:t>招标文件的澄清</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spacing w:line="400" w:lineRule="exact"/>
        <w:ind w:firstLine="420" w:firstLineChars="200"/>
        <w:rPr>
          <w:rFonts w:ascii="宋体" w:hAnsi="宋体"/>
          <w:color w:val="auto"/>
          <w:szCs w:val="21"/>
          <w:highlight w:val="none"/>
        </w:rPr>
      </w:pPr>
      <w:r>
        <w:rPr>
          <w:color w:val="auto"/>
          <w:highlight w:val="none"/>
        </w:rPr>
        <w:t xml:space="preserve">2.2.1 </w:t>
      </w:r>
      <w:r>
        <w:rPr>
          <w:rFonts w:hint="eastAsia"/>
          <w:color w:val="auto"/>
          <w:highlight w:val="none"/>
        </w:rPr>
        <w:t>投标人应仔细阅读和检查招标文件的全部内容。</w:t>
      </w:r>
      <w:r>
        <w:rPr>
          <w:rFonts w:hint="eastAsia" w:ascii="宋体" w:hAnsi="宋体"/>
          <w:color w:val="auto"/>
          <w:szCs w:val="21"/>
          <w:highlight w:val="none"/>
        </w:rPr>
        <w:t>如发现缺页或附件不全，应及时向招标人提出，以便补齐。</w:t>
      </w:r>
    </w:p>
    <w:p>
      <w:pPr>
        <w:spacing w:line="400" w:lineRule="exact"/>
        <w:ind w:firstLine="420" w:firstLineChars="200"/>
        <w:rPr>
          <w:rFonts w:ascii="宋体" w:hAnsi="宋体"/>
          <w:color w:val="auto"/>
          <w:szCs w:val="21"/>
          <w:highlight w:val="none"/>
        </w:rPr>
      </w:pPr>
      <w:r>
        <w:rPr>
          <w:color w:val="auto"/>
          <w:highlight w:val="none"/>
        </w:rPr>
        <w:t>2.2.</w:t>
      </w:r>
      <w:r>
        <w:rPr>
          <w:rFonts w:hint="eastAsia"/>
          <w:color w:val="auto"/>
          <w:highlight w:val="none"/>
        </w:rPr>
        <w:t>2</w:t>
      </w:r>
      <w:r>
        <w:rPr>
          <w:color w:val="auto"/>
          <w:highlight w:val="none"/>
        </w:rPr>
        <w:t xml:space="preserve"> </w:t>
      </w:r>
      <w:r>
        <w:rPr>
          <w:rFonts w:hint="eastAsia" w:ascii="宋体" w:hAnsi="宋体"/>
          <w:color w:val="auto"/>
          <w:szCs w:val="21"/>
          <w:highlight w:val="none"/>
        </w:rPr>
        <w:t>招标补充公告一经在广州南沙资产经营集团有限公司网站发布，视作已发放给所有投标人。</w:t>
      </w:r>
    </w:p>
    <w:p>
      <w:pPr>
        <w:pStyle w:val="8"/>
        <w:rPr>
          <w:color w:val="auto"/>
          <w:highlight w:val="none"/>
        </w:rPr>
      </w:pPr>
      <w:bookmarkStart w:id="289" w:name="_Toc29656"/>
      <w:bookmarkStart w:id="290" w:name="_Toc494371531"/>
      <w:bookmarkStart w:id="291" w:name="_Toc247513969"/>
      <w:bookmarkStart w:id="292" w:name="_Toc1392"/>
      <w:bookmarkStart w:id="293" w:name="_Toc152045545"/>
      <w:bookmarkStart w:id="294" w:name="_Toc21917"/>
      <w:bookmarkStart w:id="295" w:name="_Toc24839"/>
      <w:bookmarkStart w:id="296" w:name="_Toc300834966"/>
      <w:bookmarkStart w:id="297" w:name="_Toc247527570"/>
      <w:bookmarkStart w:id="298" w:name="_Toc28122"/>
      <w:bookmarkStart w:id="299" w:name="_Toc18567"/>
      <w:bookmarkStart w:id="300" w:name="_Toc152042321"/>
      <w:bookmarkStart w:id="301" w:name="_Toc2421"/>
      <w:bookmarkStart w:id="302" w:name="_Toc5512"/>
      <w:bookmarkStart w:id="303" w:name="_Toc13973"/>
      <w:bookmarkStart w:id="304" w:name="_Toc144974513"/>
      <w:bookmarkStart w:id="305" w:name="_Toc3897"/>
      <w:r>
        <w:rPr>
          <w:rFonts w:ascii="Times New Roman" w:hAnsi="Times New Roman"/>
          <w:color w:val="auto"/>
          <w:highlight w:val="none"/>
        </w:rPr>
        <w:t>2.3</w:t>
      </w:r>
      <w:r>
        <w:rPr>
          <w:color w:val="auto"/>
          <w:highlight w:val="none"/>
        </w:rPr>
        <w:t xml:space="preserve"> 招标文件的修改</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5"/>
        <w:spacing w:line="420" w:lineRule="exact"/>
        <w:ind w:firstLineChars="200"/>
        <w:rPr>
          <w:rFonts w:ascii="宋体" w:hAns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1招标文件的澄清、修改均以在广州南沙资产经营集团有限公司网站进行发布。当招标文件的澄清、修改在同一内容的表述不一致时，以广州南沙资产经营集团有限公司网站最后发布的内容为准。</w:t>
      </w:r>
    </w:p>
    <w:p>
      <w:pPr>
        <w:spacing w:line="400" w:lineRule="exact"/>
        <w:ind w:firstLine="420" w:firstLineChars="200"/>
        <w:rPr>
          <w:strike/>
          <w:color w:val="auto"/>
          <w:highlight w:val="none"/>
        </w:rPr>
      </w:pPr>
      <w:r>
        <w:rPr>
          <w:rFonts w:ascii="宋体" w:hAnsi="宋体"/>
          <w:color w:val="auto"/>
          <w:szCs w:val="21"/>
          <w:highlight w:val="none"/>
        </w:rPr>
        <w:t>2.3.</w:t>
      </w:r>
      <w:r>
        <w:rPr>
          <w:rFonts w:hint="eastAsia" w:ascii="宋体" w:hAnsi="宋体"/>
          <w:color w:val="auto"/>
          <w:szCs w:val="21"/>
          <w:highlight w:val="none"/>
        </w:rPr>
        <w:t>2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7"/>
        <w:rPr>
          <w:color w:val="auto"/>
          <w:highlight w:val="none"/>
        </w:rPr>
      </w:pPr>
      <w:bookmarkStart w:id="306" w:name="_Toc247513970"/>
      <w:bookmarkStart w:id="307" w:name="_Toc26603"/>
      <w:bookmarkStart w:id="308" w:name="_Toc29199"/>
      <w:bookmarkStart w:id="309" w:name="_Toc152045546"/>
      <w:bookmarkStart w:id="310" w:name="_Toc494371532"/>
      <w:bookmarkStart w:id="311" w:name="_Toc2248"/>
      <w:bookmarkStart w:id="312" w:name="_Toc152042322"/>
      <w:bookmarkStart w:id="313" w:name="_Toc5391"/>
      <w:bookmarkStart w:id="314" w:name="_Toc25826"/>
      <w:bookmarkStart w:id="315" w:name="_Toc144974514"/>
      <w:bookmarkStart w:id="316" w:name="_Toc31255"/>
      <w:bookmarkStart w:id="317" w:name="_Toc247527571"/>
      <w:bookmarkStart w:id="318" w:name="_Toc5036"/>
      <w:bookmarkStart w:id="319" w:name="_Toc2051"/>
      <w:bookmarkStart w:id="320" w:name="_Toc8312"/>
      <w:bookmarkStart w:id="321" w:name="_Toc26021"/>
      <w:bookmarkStart w:id="322" w:name="_Toc28135"/>
      <w:bookmarkStart w:id="323" w:name="_Toc3337"/>
      <w:bookmarkStart w:id="324" w:name="_Toc300834967"/>
      <w:r>
        <w:rPr>
          <w:color w:val="auto"/>
          <w:highlight w:val="none"/>
        </w:rPr>
        <w:t xml:space="preserve">3. </w:t>
      </w:r>
      <w:r>
        <w:rPr>
          <w:rFonts w:hint="eastAsia"/>
          <w:color w:val="auto"/>
          <w:highlight w:val="none"/>
        </w:rPr>
        <w:t>投标文件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8"/>
        <w:rPr>
          <w:color w:val="auto"/>
          <w:highlight w:val="none"/>
        </w:rPr>
      </w:pPr>
      <w:bookmarkStart w:id="325" w:name="_Toc18809"/>
      <w:bookmarkStart w:id="326" w:name="_Toc152045547"/>
      <w:bookmarkStart w:id="327" w:name="_Toc4137"/>
      <w:bookmarkStart w:id="328" w:name="_Toc300834968"/>
      <w:bookmarkStart w:id="329" w:name="_Toc144974515"/>
      <w:bookmarkStart w:id="330" w:name="_Toc247513971"/>
      <w:bookmarkStart w:id="331" w:name="_Toc494371533"/>
      <w:bookmarkStart w:id="332" w:name="_Toc247527572"/>
      <w:bookmarkStart w:id="333" w:name="_Toc26505"/>
      <w:bookmarkStart w:id="334" w:name="_Toc2343"/>
      <w:bookmarkStart w:id="335" w:name="_Toc15668"/>
      <w:bookmarkStart w:id="336" w:name="_Toc21128"/>
      <w:bookmarkStart w:id="337" w:name="_Toc3199"/>
      <w:bookmarkStart w:id="338" w:name="_Toc16929"/>
      <w:bookmarkStart w:id="339" w:name="_Toc152042323"/>
      <w:bookmarkStart w:id="340" w:name="_Toc10837"/>
      <w:bookmarkStart w:id="341" w:name="_Toc24076"/>
      <w:r>
        <w:rPr>
          <w:rFonts w:ascii="Times New Roman" w:hAnsi="Times New Roman"/>
          <w:color w:val="auto"/>
          <w:highlight w:val="none"/>
        </w:rPr>
        <w:t>3.1</w:t>
      </w:r>
      <w:r>
        <w:rPr>
          <w:color w:val="auto"/>
          <w:highlight w:val="none"/>
        </w:rPr>
        <w:t xml:space="preserve"> 投标文件的组成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5"/>
        <w:spacing w:line="360" w:lineRule="auto"/>
        <w:ind w:firstLineChars="200"/>
        <w:rPr>
          <w:rFonts w:ascii="宋体" w:hAnsi="宋体"/>
          <w:color w:val="auto"/>
          <w:szCs w:val="21"/>
          <w:highlight w:val="none"/>
        </w:rPr>
      </w:pPr>
      <w:bookmarkStart w:id="342" w:name="_Toc152045548"/>
      <w:bookmarkStart w:id="343" w:name="_Toc144974516"/>
      <w:bookmarkStart w:id="344" w:name="_Toc247527573"/>
      <w:bookmarkStart w:id="345" w:name="_Toc247513972"/>
      <w:bookmarkStart w:id="346" w:name="_Toc152042324"/>
      <w:bookmarkStart w:id="347" w:name="_Toc300834969"/>
      <w:r>
        <w:rPr>
          <w:rFonts w:ascii="宋体" w:hAnsi="宋体"/>
          <w:color w:val="auto"/>
          <w:szCs w:val="21"/>
          <w:highlight w:val="none"/>
        </w:rPr>
        <w:t>3.1.1</w:t>
      </w:r>
      <w:r>
        <w:rPr>
          <w:rFonts w:hint="eastAsia" w:ascii="宋体" w:hAnsi="宋体"/>
          <w:b/>
          <w:color w:val="auto"/>
          <w:szCs w:val="21"/>
          <w:highlight w:val="none"/>
        </w:rPr>
        <w:t>投标文件由资格审查文件、设计标投标文件、施工技术标投标文件、经济标投标文件四部分组成</w:t>
      </w:r>
      <w:r>
        <w:rPr>
          <w:rFonts w:hint="eastAsia" w:ascii="宋体" w:hAnsi="宋体"/>
          <w:color w:val="auto"/>
          <w:szCs w:val="21"/>
          <w:highlight w:val="none"/>
        </w:rPr>
        <w:t>。</w:t>
      </w:r>
    </w:p>
    <w:p>
      <w:pPr>
        <w:spacing w:beforeLines="50" w:line="400" w:lineRule="exact"/>
        <w:ind w:firstLine="422" w:firstLineChars="200"/>
        <w:rPr>
          <w:rFonts w:ascii="宋体" w:hAnsi="宋体"/>
          <w:b/>
          <w:color w:val="auto"/>
          <w:szCs w:val="21"/>
          <w:highlight w:val="none"/>
          <w:u w:val="single"/>
        </w:rPr>
      </w:pPr>
      <w:r>
        <w:rPr>
          <w:rFonts w:ascii="宋体" w:hAnsi="宋体"/>
          <w:b/>
          <w:color w:val="auto"/>
          <w:szCs w:val="21"/>
          <w:highlight w:val="none"/>
        </w:rPr>
        <w:t>3.1.2</w:t>
      </w:r>
      <w:r>
        <w:rPr>
          <w:rFonts w:hint="eastAsia" w:ascii="宋体" w:hAnsi="宋体"/>
          <w:b/>
          <w:color w:val="auto"/>
          <w:szCs w:val="21"/>
          <w:highlight w:val="none"/>
        </w:rPr>
        <w:t>资格审查文件（封面格式见第七章）</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（1）法人代表证明书，如投标文件为委托代理人签署应同时附上法定代表人证明书和法定代表人授权书。（格式见第七章）</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（2）企业营业执照或事业单位法人证书复印件。（联合体投标的各方均需提供）</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（3）企业资质证书复印件。（联合体投标的各方均需提供）</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（4）企业安全生产许可证复印件。（若为联合体投标，指承担施工任务的单位）</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5）施工负责人（兼任项目负责人）资料。机电工程专业二级（或以上）注册建造师且在投标人单位（若为联合体投标，指联合体主办方）注册，须同时附上2019年10月至2019年12月期间有效的社保证明材料，社保证明需能反映参保人在该投标单位（若为联合体投标，指联合体主办方）缴纳。设计负责人与项目负责人不能为同一人。</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6）设计负责人资料。具备注册电气工程师（供配电）资格，或具备电气专业高级工程师或以上职称，或电气专业中级技术职称从事本专业工作3年以上。须同时附上2019年10月至2019年12月期间有效的社保证明材料，社保证明需能反映参保人在该投标单位（若为联合体投标，指联合体工作协议中承担照明</w:t>
      </w:r>
      <w:r>
        <w:rPr>
          <w:rFonts w:hint="eastAsia" w:ascii="宋体" w:hAnsi="宋体"/>
          <w:color w:val="auto"/>
          <w:szCs w:val="21"/>
          <w:highlight w:val="none"/>
        </w:rPr>
        <w:t>工程设计任务</w:t>
      </w:r>
      <w:r>
        <w:rPr>
          <w:rFonts w:hint="eastAsia" w:ascii="宋体" w:hAnsi="宋体" w:cs="宋体"/>
          <w:bCs/>
          <w:color w:val="auto"/>
          <w:kern w:val="0"/>
          <w:szCs w:val="21"/>
          <w:highlight w:val="none"/>
        </w:rPr>
        <w:t>的一方）缴纳。设计负责人与项目负责人不能为同一人。</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（7）项目负责人（施工负责人）安全培训考核合格证（B类）或广东省建筑施工企业管理人员安全生产考核信息系统安全生产管理人员证书信息的打印页。</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（8）专职安全员（若为联合体投标，指联合体主办方）安全生产考核合格证（C类）或广东省建筑施工企业管理人员安全生产考核信息系统安全生产管理人员证书信息的打印页。</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（9）</w:t>
      </w:r>
      <w:r>
        <w:rPr>
          <w:rFonts w:hint="eastAsia" w:ascii="宋体" w:hAnsi="宋体"/>
          <w:color w:val="auto"/>
          <w:szCs w:val="21"/>
          <w:highlight w:val="none"/>
        </w:rPr>
        <w:t>投标人（若为联合体投标，指联合体主办方）自</w:t>
      </w:r>
      <w:r>
        <w:rPr>
          <w:rFonts w:hint="eastAsia" w:ascii="宋体" w:hAnsi="宋体"/>
          <w:color w:val="auto"/>
          <w:szCs w:val="21"/>
          <w:highlight w:val="none"/>
          <w:u w:val="single"/>
        </w:rPr>
        <w:t xml:space="preserve"> 2017 </w:t>
      </w:r>
      <w:r>
        <w:rPr>
          <w:rFonts w:hint="eastAsia" w:ascii="宋体" w:hAnsi="宋体"/>
          <w:color w:val="auto"/>
          <w:szCs w:val="21"/>
          <w:highlight w:val="none"/>
        </w:rPr>
        <w:t>年1月1日至今完成过质量合格的类似工程</w:t>
      </w:r>
      <w:r>
        <w:rPr>
          <w:rFonts w:hint="eastAsia" w:ascii="宋体" w:hAnsi="宋体" w:cs="宋体"/>
          <w:color w:val="auto"/>
          <w:kern w:val="0"/>
          <w:szCs w:val="21"/>
          <w:highlight w:val="none"/>
        </w:rPr>
        <w:t>业绩</w:t>
      </w:r>
      <w:r>
        <w:rPr>
          <w:rFonts w:hint="eastAsia" w:ascii="宋体" w:hAnsi="宋体"/>
          <w:color w:val="auto"/>
          <w:szCs w:val="21"/>
          <w:highlight w:val="none"/>
        </w:rPr>
        <w:t>（类似工程是指单项中标金额大于或等于100万元的景观亮化项目工程）。</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（10）拟担任本工程项目负责人、设计负责人、专职安全员等人员，须同时附上2019年10月至2019年12月期间有效的社保证明材料。</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（11）投标人已按照招标公告附件一的内容签署盖章的《投标申请人声明》。（原件放在正本上，副本可用复印件）</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（12）联合体工作协议。（非联合体投标的，无需提交本协议书）</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（13）投标人证明满足本项目招标公告第九条单列的投标人合格条件的其他资料。</w:t>
      </w:r>
    </w:p>
    <w:p>
      <w:pPr>
        <w:spacing w:beforeLines="50" w:line="400" w:lineRule="exact"/>
        <w:ind w:firstLine="422" w:firstLineChars="200"/>
        <w:rPr>
          <w:rFonts w:ascii="宋体" w:hAnsi="宋体"/>
          <w:b/>
          <w:color w:val="auto"/>
          <w:szCs w:val="21"/>
          <w:highlight w:val="none"/>
        </w:rPr>
      </w:pPr>
      <w:r>
        <w:rPr>
          <w:rFonts w:ascii="宋体" w:hAnsi="宋体"/>
          <w:b/>
          <w:color w:val="auto"/>
          <w:szCs w:val="21"/>
          <w:highlight w:val="none"/>
        </w:rPr>
        <w:t>3.1.3</w:t>
      </w:r>
      <w:r>
        <w:rPr>
          <w:rFonts w:hint="eastAsia" w:ascii="宋体" w:hAnsi="宋体"/>
          <w:b/>
          <w:color w:val="auto"/>
          <w:szCs w:val="21"/>
          <w:highlight w:val="none"/>
        </w:rPr>
        <w:t>设计标投标文件</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由设计技术文件、设计商务文件组成，主要包括下列内容：</w:t>
      </w:r>
    </w:p>
    <w:p>
      <w:pPr>
        <w:spacing w:beforeLines="5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）设计技术文件</w:t>
      </w:r>
      <w:r>
        <w:rPr>
          <w:rFonts w:hint="eastAsia" w:ascii="宋体" w:hAnsi="宋体"/>
          <w:b/>
          <w:color w:val="auto"/>
          <w:szCs w:val="21"/>
          <w:highlight w:val="none"/>
        </w:rPr>
        <w:t>（封面格式见第七章）</w:t>
      </w:r>
      <w:r>
        <w:rPr>
          <w:rFonts w:ascii="宋体" w:hAnsi="宋体"/>
          <w:b/>
          <w:color w:val="auto"/>
          <w:szCs w:val="21"/>
          <w:highlight w:val="none"/>
        </w:rPr>
        <w:t>：</w:t>
      </w:r>
    </w:p>
    <w:p>
      <w:pPr>
        <w:spacing w:line="400" w:lineRule="exact"/>
        <w:ind w:firstLine="420" w:firstLineChars="200"/>
        <w:rPr>
          <w:rFonts w:ascii="宋体" w:hAnsi="宋体"/>
          <w:bCs/>
          <w:color w:val="auto"/>
          <w:szCs w:val="21"/>
          <w:highlight w:val="none"/>
        </w:rPr>
      </w:pPr>
      <w:r>
        <w:rPr>
          <w:rFonts w:hint="eastAsia" w:ascii="宋体" w:hAnsi="宋体"/>
          <w:bCs/>
          <w:color w:val="auto"/>
          <w:highlight w:val="none"/>
        </w:rPr>
        <w:t>设计技术文件</w:t>
      </w:r>
      <w:r>
        <w:rPr>
          <w:rFonts w:hint="eastAsia" w:ascii="宋体" w:hAnsi="宋体"/>
          <w:bCs/>
          <w:color w:val="auto"/>
          <w:szCs w:val="21"/>
          <w:highlight w:val="none"/>
        </w:rPr>
        <w:t>以</w:t>
      </w:r>
      <w:r>
        <w:rPr>
          <w:rFonts w:ascii="宋体" w:hAnsi="宋体"/>
          <w:bCs/>
          <w:color w:val="auto"/>
          <w:szCs w:val="21"/>
          <w:highlight w:val="none"/>
        </w:rPr>
        <w:t>A3(297mm×420mm)</w:t>
      </w:r>
      <w:r>
        <w:rPr>
          <w:rFonts w:hint="eastAsia" w:ascii="宋体" w:hAnsi="宋体"/>
          <w:bCs/>
          <w:color w:val="auto"/>
          <w:szCs w:val="21"/>
          <w:highlight w:val="none"/>
        </w:rPr>
        <w:t>规格编排装订成册（装订后可适当裁边处理），</w:t>
      </w:r>
      <w:r>
        <w:rPr>
          <w:rFonts w:hint="eastAsia" w:ascii="宋体" w:hAnsi="宋体"/>
          <w:bCs/>
          <w:color w:val="auto"/>
          <w:highlight w:val="none"/>
        </w:rPr>
        <w:t>应包含但不限于以下内容</w:t>
      </w:r>
      <w:r>
        <w:rPr>
          <w:rFonts w:ascii="宋体" w:hAnsi="宋体"/>
          <w:bCs/>
          <w:color w:val="auto"/>
          <w:highlight w:val="none"/>
        </w:rPr>
        <w:t>:</w:t>
      </w:r>
    </w:p>
    <w:p>
      <w:pPr>
        <w:numPr>
          <w:ilvl w:val="0"/>
          <w:numId w:val="2"/>
        </w:numPr>
        <w:topLinePunct/>
        <w:spacing w:line="400" w:lineRule="exact"/>
        <w:ind w:left="1079" w:leftChars="164" w:hanging="735" w:hangingChars="350"/>
        <w:jc w:val="left"/>
        <w:rPr>
          <w:rFonts w:ascii="宋体" w:hAnsi="宋体"/>
          <w:color w:val="auto"/>
          <w:szCs w:val="21"/>
          <w:highlight w:val="none"/>
        </w:rPr>
      </w:pPr>
      <w:r>
        <w:rPr>
          <w:rFonts w:ascii="宋体" w:hAnsi="宋体"/>
          <w:bCs/>
          <w:color w:val="auto"/>
          <w:szCs w:val="21"/>
          <w:highlight w:val="none"/>
        </w:rPr>
        <w:t xml:space="preserve"> 封面：写明项目名称</w:t>
      </w:r>
      <w:r>
        <w:rPr>
          <w:rFonts w:hint="eastAsia" w:ascii="宋体" w:hAnsi="宋体"/>
          <w:bCs/>
          <w:color w:val="auto"/>
          <w:szCs w:val="21"/>
          <w:highlight w:val="none"/>
        </w:rPr>
        <w:t>等。</w:t>
      </w:r>
    </w:p>
    <w:p>
      <w:pPr>
        <w:numPr>
          <w:ilvl w:val="0"/>
          <w:numId w:val="2"/>
        </w:numPr>
        <w:topLinePunct/>
        <w:spacing w:line="400" w:lineRule="exact"/>
        <w:ind w:left="1079" w:leftChars="164" w:hanging="735" w:hangingChars="350"/>
        <w:jc w:val="left"/>
        <w:rPr>
          <w:rFonts w:ascii="宋体" w:hAnsi="宋体"/>
          <w:color w:val="auto"/>
          <w:szCs w:val="21"/>
          <w:highlight w:val="none"/>
        </w:rPr>
      </w:pPr>
      <w:r>
        <w:rPr>
          <w:rFonts w:ascii="宋体" w:hAnsi="宋体"/>
          <w:color w:val="auto"/>
          <w:szCs w:val="21"/>
          <w:highlight w:val="none"/>
        </w:rPr>
        <w:t xml:space="preserve"> 目录</w:t>
      </w:r>
    </w:p>
    <w:p>
      <w:pPr>
        <w:numPr>
          <w:ilvl w:val="0"/>
          <w:numId w:val="2"/>
        </w:numPr>
        <w:topLinePunct/>
        <w:spacing w:line="400" w:lineRule="exact"/>
        <w:ind w:left="1079" w:leftChars="164" w:hanging="735" w:hangingChars="350"/>
        <w:jc w:val="left"/>
        <w:rPr>
          <w:rFonts w:ascii="宋体" w:hAnsi="宋体"/>
          <w:color w:val="auto"/>
          <w:szCs w:val="21"/>
          <w:highlight w:val="none"/>
        </w:rPr>
      </w:pPr>
      <w:r>
        <w:rPr>
          <w:rFonts w:ascii="宋体" w:hAnsi="宋体"/>
          <w:color w:val="auto"/>
          <w:szCs w:val="21"/>
          <w:highlight w:val="none"/>
        </w:rPr>
        <w:t xml:space="preserve"> 设计</w:t>
      </w:r>
      <w:r>
        <w:rPr>
          <w:rFonts w:hint="eastAsia" w:ascii="宋体" w:hAnsi="宋体"/>
          <w:color w:val="auto"/>
          <w:szCs w:val="21"/>
          <w:highlight w:val="none"/>
        </w:rPr>
        <w:t>技术</w:t>
      </w:r>
      <w:r>
        <w:rPr>
          <w:rFonts w:ascii="宋体" w:hAnsi="宋体"/>
          <w:color w:val="auto"/>
          <w:szCs w:val="21"/>
          <w:highlight w:val="none"/>
        </w:rPr>
        <w:t>文本文件内容：</w:t>
      </w:r>
    </w:p>
    <w:p>
      <w:pPr>
        <w:topLinePunct/>
        <w:spacing w:line="400" w:lineRule="exact"/>
        <w:ind w:left="945" w:leftChars="300" w:hanging="315" w:hangingChars="150"/>
        <w:jc w:val="left"/>
        <w:rPr>
          <w:rFonts w:ascii="宋体" w:hAnsi="宋体"/>
          <w:color w:val="auto"/>
          <w:szCs w:val="21"/>
          <w:highlight w:val="none"/>
        </w:rPr>
      </w:pPr>
      <w:r>
        <w:rPr>
          <w:rFonts w:ascii="宋体" w:hAnsi="宋体"/>
          <w:color w:val="auto"/>
          <w:szCs w:val="21"/>
          <w:highlight w:val="none"/>
        </w:rPr>
        <w:t>☆ 设计说明书。</w:t>
      </w:r>
    </w:p>
    <w:p>
      <w:pPr>
        <w:topLinePunct/>
        <w:spacing w:line="400" w:lineRule="exact"/>
        <w:ind w:firstLine="630" w:firstLineChars="300"/>
        <w:jc w:val="left"/>
        <w:rPr>
          <w:rFonts w:ascii="宋体" w:hAnsi="宋体"/>
          <w:color w:val="auto"/>
          <w:szCs w:val="21"/>
          <w:highlight w:val="none"/>
        </w:rPr>
      </w:pPr>
      <w:r>
        <w:rPr>
          <w:rFonts w:ascii="宋体" w:hAnsi="宋体"/>
          <w:color w:val="auto"/>
          <w:szCs w:val="21"/>
          <w:highlight w:val="none"/>
        </w:rPr>
        <w:t>☆ 设计图纸。</w:t>
      </w:r>
      <w:r>
        <w:rPr>
          <w:rFonts w:hint="eastAsia" w:ascii="宋体" w:hAnsi="宋体"/>
          <w:color w:val="auto"/>
          <w:szCs w:val="21"/>
          <w:highlight w:val="none"/>
        </w:rPr>
        <w:t>设计图纸及效果图（如有），设计图纸包括但不限于以下内容：主要部分平面图等图纸（格式自拟）。</w:t>
      </w:r>
    </w:p>
    <w:p>
      <w:pPr>
        <w:topLinePunct/>
        <w:spacing w:line="400" w:lineRule="exact"/>
        <w:ind w:firstLine="630" w:firstLineChars="3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w:t>
      </w:r>
      <w:r>
        <w:rPr>
          <w:rFonts w:ascii="宋体" w:hAnsi="宋体"/>
          <w:color w:val="auto"/>
          <w:szCs w:val="21"/>
          <w:highlight w:val="none"/>
        </w:rPr>
        <w:t>标人认为有必要提供的其他资料。</w:t>
      </w:r>
    </w:p>
    <w:p>
      <w:pPr>
        <w:spacing w:beforeLines="5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）设计商务文件</w:t>
      </w:r>
      <w:r>
        <w:rPr>
          <w:rFonts w:hint="eastAsia" w:ascii="宋体" w:hAnsi="宋体"/>
          <w:b/>
          <w:color w:val="auto"/>
          <w:szCs w:val="21"/>
          <w:highlight w:val="none"/>
        </w:rPr>
        <w:t>（封面格式见第七章）</w:t>
      </w:r>
      <w:r>
        <w:rPr>
          <w:rFonts w:ascii="宋体" w:hAnsi="宋体"/>
          <w:b/>
          <w:color w:val="auto"/>
          <w:szCs w:val="21"/>
          <w:highlight w:val="none"/>
        </w:rPr>
        <w:t>：</w:t>
      </w:r>
    </w:p>
    <w:p>
      <w:pPr>
        <w:numPr>
          <w:ilvl w:val="0"/>
          <w:numId w:val="3"/>
        </w:numPr>
        <w:topLinePunct/>
        <w:spacing w:line="400" w:lineRule="exact"/>
        <w:ind w:left="1079" w:leftChars="164" w:hanging="735" w:hangingChars="350"/>
        <w:jc w:val="left"/>
        <w:rPr>
          <w:rFonts w:ascii="宋体" w:hAnsi="宋体"/>
          <w:color w:val="auto"/>
          <w:szCs w:val="21"/>
          <w:highlight w:val="none"/>
        </w:rPr>
      </w:pPr>
      <w:r>
        <w:rPr>
          <w:rFonts w:ascii="宋体" w:hAnsi="宋体"/>
          <w:color w:val="auto"/>
          <w:szCs w:val="21"/>
          <w:highlight w:val="none"/>
        </w:rPr>
        <w:t xml:space="preserve"> 目录。</w:t>
      </w:r>
    </w:p>
    <w:p>
      <w:pPr>
        <w:numPr>
          <w:ilvl w:val="0"/>
          <w:numId w:val="3"/>
        </w:numPr>
        <w:topLinePunct/>
        <w:spacing w:line="400" w:lineRule="exact"/>
        <w:ind w:left="1079" w:leftChars="164" w:hanging="735" w:hangingChars="350"/>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设计投标书。（格式见第七章）</w:t>
      </w:r>
    </w:p>
    <w:p>
      <w:pPr>
        <w:numPr>
          <w:ilvl w:val="0"/>
          <w:numId w:val="3"/>
        </w:numPr>
        <w:topLinePunct/>
        <w:spacing w:line="400" w:lineRule="exact"/>
        <w:ind w:left="1079" w:leftChars="164" w:hanging="735" w:hangingChars="350"/>
        <w:jc w:val="left"/>
        <w:rPr>
          <w:rFonts w:ascii="宋体" w:hAnsi="宋体"/>
          <w:color w:val="auto"/>
          <w:szCs w:val="21"/>
          <w:highlight w:val="none"/>
        </w:rPr>
      </w:pPr>
      <w:r>
        <w:rPr>
          <w:rFonts w:hint="eastAsia" w:ascii="宋体" w:hAnsi="宋体"/>
          <w:color w:val="auto"/>
          <w:szCs w:val="21"/>
          <w:highlight w:val="none"/>
        </w:rPr>
        <w:t xml:space="preserve"> 设计项目团队</w:t>
      </w:r>
      <w:r>
        <w:rPr>
          <w:rFonts w:ascii="宋体" w:hAnsi="宋体"/>
          <w:color w:val="auto"/>
          <w:szCs w:val="21"/>
          <w:highlight w:val="none"/>
        </w:rPr>
        <w:t>相关证明材料复印件。</w:t>
      </w:r>
    </w:p>
    <w:p>
      <w:pPr>
        <w:numPr>
          <w:ilvl w:val="0"/>
          <w:numId w:val="3"/>
        </w:numPr>
        <w:topLinePunct/>
        <w:spacing w:line="400" w:lineRule="exact"/>
        <w:ind w:left="1079" w:leftChars="164" w:hanging="735" w:hangingChars="350"/>
        <w:jc w:val="left"/>
        <w:rPr>
          <w:rFonts w:ascii="宋体" w:hAnsi="宋体"/>
          <w:color w:val="auto"/>
          <w:szCs w:val="21"/>
          <w:highlight w:val="none"/>
        </w:rPr>
      </w:pPr>
      <w:r>
        <w:rPr>
          <w:rFonts w:hint="eastAsia" w:ascii="宋体" w:hAnsi="宋体"/>
          <w:color w:val="auto"/>
          <w:szCs w:val="21"/>
          <w:highlight w:val="none"/>
        </w:rPr>
        <w:t xml:space="preserve"> 设计机构实力</w:t>
      </w:r>
      <w:r>
        <w:rPr>
          <w:rFonts w:ascii="宋体" w:hAnsi="宋体"/>
          <w:color w:val="auto"/>
          <w:szCs w:val="21"/>
          <w:highlight w:val="none"/>
        </w:rPr>
        <w:t>相关证明材料复印件。</w:t>
      </w:r>
    </w:p>
    <w:p>
      <w:pPr>
        <w:numPr>
          <w:ilvl w:val="0"/>
          <w:numId w:val="3"/>
        </w:numPr>
        <w:topLinePunct/>
        <w:spacing w:line="400" w:lineRule="exact"/>
        <w:ind w:left="1079" w:leftChars="164" w:hanging="735" w:hangingChars="350"/>
        <w:jc w:val="left"/>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投标人认为有必要提供的其他资料。</w:t>
      </w:r>
    </w:p>
    <w:p>
      <w:pPr>
        <w:spacing w:beforeLines="50" w:line="400" w:lineRule="exact"/>
        <w:ind w:firstLine="422" w:firstLineChars="200"/>
        <w:rPr>
          <w:rFonts w:ascii="宋体" w:hAnsi="宋体"/>
          <w:b/>
          <w:color w:val="auto"/>
          <w:szCs w:val="21"/>
          <w:highlight w:val="none"/>
          <w:u w:val="single"/>
        </w:rPr>
      </w:pPr>
      <w:r>
        <w:rPr>
          <w:rFonts w:ascii="宋体" w:hAnsi="宋体"/>
          <w:b/>
          <w:color w:val="auto"/>
          <w:szCs w:val="21"/>
          <w:highlight w:val="none"/>
        </w:rPr>
        <w:t>3.1.4 施工技术标投标文件</w:t>
      </w:r>
      <w:r>
        <w:rPr>
          <w:rFonts w:hint="eastAsia" w:ascii="宋体" w:hAnsi="宋体"/>
          <w:b/>
          <w:color w:val="auto"/>
          <w:szCs w:val="21"/>
          <w:highlight w:val="none"/>
        </w:rPr>
        <w:t>（封面格式见第七章）：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施工技术标投标书</w:t>
      </w:r>
      <w:r>
        <w:rPr>
          <w:rFonts w:ascii="宋体" w:hAnsi="宋体"/>
          <w:color w:val="auto"/>
          <w:szCs w:val="21"/>
          <w:highlight w:val="none"/>
        </w:rPr>
        <w:t>（</w:t>
      </w:r>
      <w:r>
        <w:rPr>
          <w:rFonts w:hint="eastAsia" w:ascii="宋体" w:hAnsi="宋体"/>
          <w:color w:val="auto"/>
          <w:szCs w:val="21"/>
          <w:highlight w:val="none"/>
        </w:rPr>
        <w:t>格式见第七章，原件放在正本上，副本可用复印</w:t>
      </w:r>
      <w:r>
        <w:rPr>
          <w:rFonts w:ascii="宋体" w:hAnsi="宋体"/>
          <w:color w:val="auto"/>
          <w:szCs w:val="21"/>
          <w:highlight w:val="none"/>
        </w:rPr>
        <w:t>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）投标承诺书</w:t>
      </w:r>
      <w:r>
        <w:rPr>
          <w:rFonts w:hint="eastAsia" w:ascii="宋体" w:hAnsi="宋体"/>
          <w:color w:val="auto"/>
          <w:szCs w:val="21"/>
          <w:highlight w:val="none"/>
        </w:rPr>
        <w:t>（格式见第七章，原件放在正本上，副本可用复印件）。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施工企业实力</w:t>
      </w:r>
      <w:r>
        <w:rPr>
          <w:rFonts w:ascii="宋体" w:hAnsi="宋体"/>
          <w:color w:val="auto"/>
          <w:szCs w:val="21"/>
          <w:highlight w:val="none"/>
        </w:rPr>
        <w:t>相关证明材料复印件</w:t>
      </w:r>
      <w:r>
        <w:rPr>
          <w:rFonts w:hint="eastAsia" w:ascii="宋体" w:hAnsi="宋体"/>
          <w:color w:val="auto"/>
          <w:highlight w:val="none"/>
        </w:rPr>
        <w:t>（按附表7《施工技术标投标文件详细审查评分表》）</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施工项目团队</w:t>
      </w:r>
      <w:r>
        <w:rPr>
          <w:rFonts w:ascii="宋体" w:hAnsi="宋体"/>
          <w:color w:val="auto"/>
          <w:szCs w:val="21"/>
          <w:highlight w:val="none"/>
        </w:rPr>
        <w:t>相关证明材料复印件</w:t>
      </w:r>
      <w:r>
        <w:rPr>
          <w:rFonts w:hint="eastAsia" w:ascii="宋体" w:hAnsi="宋体"/>
          <w:color w:val="auto"/>
          <w:szCs w:val="21"/>
          <w:highlight w:val="none"/>
        </w:rPr>
        <w:t>（按附表7《施工技术标投标文件详细审查评分表》）。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highlight w:val="none"/>
        </w:rPr>
        <w:t>施工组织设计（按附表7《施工技术标投标文件详细审查评分表》）</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（6）按照招标文件要求填写的《参与编制</w:t>
      </w:r>
      <w:r>
        <w:rPr>
          <w:rFonts w:ascii="宋体" w:hAnsi="宋体"/>
          <w:color w:val="auto"/>
          <w:szCs w:val="21"/>
          <w:highlight w:val="none"/>
        </w:rPr>
        <w:t>施工技术标</w:t>
      </w:r>
      <w:r>
        <w:rPr>
          <w:rFonts w:hint="eastAsia" w:ascii="宋体" w:hAnsi="宋体"/>
          <w:color w:val="auto"/>
          <w:szCs w:val="21"/>
          <w:highlight w:val="none"/>
        </w:rPr>
        <w:t>投标文件人员名单》。（格式见第七章）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（7）投标人认为应该提供的其他资料；</w:t>
      </w:r>
    </w:p>
    <w:p>
      <w:pPr>
        <w:spacing w:beforeLines="50" w:line="400" w:lineRule="exact"/>
        <w:ind w:firstLine="422" w:firstLineChars="200"/>
        <w:rPr>
          <w:rFonts w:ascii="宋体" w:hAnsi="宋体"/>
          <w:b/>
          <w:color w:val="auto"/>
          <w:szCs w:val="21"/>
          <w:highlight w:val="none"/>
          <w:u w:val="single"/>
        </w:rPr>
      </w:pPr>
      <w:r>
        <w:rPr>
          <w:rFonts w:ascii="宋体" w:hAnsi="宋体"/>
          <w:b/>
          <w:color w:val="auto"/>
          <w:szCs w:val="21"/>
          <w:highlight w:val="none"/>
        </w:rPr>
        <w:t>3.1.5 经济标投标文件</w:t>
      </w:r>
      <w:r>
        <w:rPr>
          <w:rFonts w:hint="eastAsia" w:ascii="宋体" w:hAnsi="宋体"/>
          <w:b/>
          <w:color w:val="auto"/>
          <w:szCs w:val="21"/>
          <w:highlight w:val="none"/>
        </w:rPr>
        <w:t>（封面格式见第七章）：</w:t>
      </w:r>
    </w:p>
    <w:p>
      <w:pPr>
        <w:tabs>
          <w:tab w:val="left" w:pos="1125"/>
        </w:tabs>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1）经济标投标书</w:t>
      </w:r>
      <w:r>
        <w:rPr>
          <w:rFonts w:hint="eastAsia" w:ascii="宋体" w:hAnsi="宋体"/>
          <w:color w:val="auto"/>
          <w:szCs w:val="21"/>
          <w:highlight w:val="none"/>
        </w:rPr>
        <w:t>（格式见第七章，原件放在正本上，副本可用复印件）。</w:t>
      </w:r>
    </w:p>
    <w:p>
      <w:pPr>
        <w:tabs>
          <w:tab w:val="left" w:pos="112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按照招标文件要求填写的《参与编制经济标投标文件人员名单》。（格式见第七章）</w:t>
      </w:r>
    </w:p>
    <w:p>
      <w:pPr>
        <w:tabs>
          <w:tab w:val="left" w:pos="112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）投标人认为应该提供的其他资料；</w:t>
      </w:r>
    </w:p>
    <w:p>
      <w:pPr>
        <w:pStyle w:val="8"/>
        <w:rPr>
          <w:color w:val="auto"/>
          <w:highlight w:val="none"/>
        </w:rPr>
      </w:pPr>
      <w:bookmarkStart w:id="348" w:name="_Toc31604"/>
      <w:bookmarkStart w:id="349" w:name="_Toc16226"/>
      <w:bookmarkStart w:id="350" w:name="_Toc18309"/>
      <w:bookmarkStart w:id="351" w:name="_Toc7389"/>
      <w:bookmarkStart w:id="352" w:name="_Toc27324"/>
      <w:bookmarkStart w:id="353" w:name="_Toc494371534"/>
      <w:bookmarkStart w:id="354" w:name="_Toc30945"/>
      <w:bookmarkStart w:id="355" w:name="_Toc23649"/>
      <w:bookmarkStart w:id="356" w:name="_Toc32538"/>
      <w:bookmarkStart w:id="357" w:name="_Toc1905"/>
      <w:bookmarkStart w:id="358" w:name="_Toc18850"/>
      <w:r>
        <w:rPr>
          <w:rFonts w:ascii="Times New Roman" w:hAnsi="Times New Roman"/>
          <w:color w:val="auto"/>
          <w:highlight w:val="none"/>
        </w:rPr>
        <w:t>3.2</w:t>
      </w:r>
      <w:r>
        <w:rPr>
          <w:color w:val="auto"/>
          <w:highlight w:val="none"/>
        </w:rPr>
        <w:t xml:space="preserve"> 投标报价</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400" w:lineRule="exact"/>
        <w:ind w:firstLine="420" w:firstLineChars="200"/>
        <w:rPr>
          <w:color w:val="auto"/>
          <w:highlight w:val="none"/>
        </w:rPr>
      </w:pPr>
      <w:r>
        <w:rPr>
          <w:color w:val="auto"/>
          <w:highlight w:val="none"/>
        </w:rPr>
        <w:t xml:space="preserve">3.2.1 </w:t>
      </w:r>
      <w:r>
        <w:rPr>
          <w:rFonts w:hint="eastAsia"/>
          <w:color w:val="auto"/>
          <w:highlight w:val="none"/>
        </w:rPr>
        <w:t>本工程的投标报价采用投标须知前附表第10款所规定的方式。</w:t>
      </w:r>
    </w:p>
    <w:p>
      <w:pPr>
        <w:spacing w:line="440" w:lineRule="exact"/>
        <w:ind w:firstLine="420" w:firstLineChars="200"/>
        <w:rPr>
          <w:color w:val="auto"/>
          <w:szCs w:val="21"/>
          <w:highlight w:val="none"/>
        </w:rPr>
      </w:pPr>
      <w:r>
        <w:rPr>
          <w:color w:val="auto"/>
          <w:highlight w:val="none"/>
        </w:rPr>
        <w:t xml:space="preserve">3.2.2 </w:t>
      </w:r>
      <w:r>
        <w:rPr>
          <w:rFonts w:hint="eastAsia"/>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color w:val="auto"/>
          <w:highlight w:val="none"/>
        </w:rPr>
      </w:pPr>
      <w:r>
        <w:rPr>
          <w:color w:val="auto"/>
          <w:highlight w:val="none"/>
        </w:rPr>
        <w:t xml:space="preserve">3.2.3 </w:t>
      </w:r>
      <w:r>
        <w:rPr>
          <w:rFonts w:hint="eastAsia"/>
          <w:color w:val="auto"/>
          <w:highlight w:val="none"/>
        </w:rPr>
        <w:t>招标人设有最高投标限价的，投标人的投标报价不得超过最高投标限价。</w:t>
      </w:r>
    </w:p>
    <w:p>
      <w:pPr>
        <w:spacing w:line="400" w:lineRule="exact"/>
        <w:ind w:firstLine="420" w:firstLineChars="200"/>
        <w:rPr>
          <w:color w:val="auto"/>
          <w:highlight w:val="none"/>
        </w:rPr>
      </w:pPr>
      <w:r>
        <w:rPr>
          <w:color w:val="auto"/>
          <w:highlight w:val="none"/>
        </w:rPr>
        <w:t xml:space="preserve">3.2.4 </w:t>
      </w:r>
      <w:r>
        <w:rPr>
          <w:rFonts w:hint="eastAsia"/>
          <w:color w:val="auto"/>
          <w:highlight w:val="none"/>
        </w:rPr>
        <w:t>投标报价的其他要求见投标人须知前附表。</w:t>
      </w:r>
    </w:p>
    <w:p>
      <w:pPr>
        <w:pStyle w:val="8"/>
        <w:rPr>
          <w:color w:val="auto"/>
          <w:highlight w:val="none"/>
        </w:rPr>
      </w:pPr>
      <w:bookmarkStart w:id="359" w:name="_Toc152042325"/>
      <w:bookmarkStart w:id="360" w:name="_Toc25305"/>
      <w:bookmarkStart w:id="361" w:name="_Toc29718"/>
      <w:bookmarkStart w:id="362" w:name="_Toc144974517"/>
      <w:bookmarkStart w:id="363" w:name="_Toc494371535"/>
      <w:bookmarkStart w:id="364" w:name="_Toc15196"/>
      <w:bookmarkStart w:id="365" w:name="_Toc3740"/>
      <w:bookmarkStart w:id="366" w:name="_Toc247513973"/>
      <w:bookmarkStart w:id="367" w:name="_Toc300834970"/>
      <w:bookmarkStart w:id="368" w:name="_Toc1280"/>
      <w:bookmarkStart w:id="369" w:name="_Toc32500"/>
      <w:bookmarkStart w:id="370" w:name="_Toc247527574"/>
      <w:bookmarkStart w:id="371" w:name="_Toc1581"/>
      <w:bookmarkStart w:id="372" w:name="_Toc5732"/>
      <w:bookmarkStart w:id="373" w:name="_Toc22353"/>
      <w:bookmarkStart w:id="374" w:name="_Toc25744"/>
      <w:bookmarkStart w:id="375" w:name="_Toc152045549"/>
      <w:r>
        <w:rPr>
          <w:rFonts w:ascii="Times New Roman" w:hAnsi="Times New Roman"/>
          <w:color w:val="auto"/>
          <w:highlight w:val="none"/>
        </w:rPr>
        <w:t>3.3</w:t>
      </w:r>
      <w:r>
        <w:rPr>
          <w:color w:val="auto"/>
          <w:highlight w:val="none"/>
        </w:rPr>
        <w:t xml:space="preserve"> 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20" w:firstLineChars="200"/>
        <w:rPr>
          <w:color w:val="auto"/>
          <w:highlight w:val="none"/>
        </w:rPr>
      </w:pPr>
      <w:r>
        <w:rPr>
          <w:color w:val="auto"/>
          <w:highlight w:val="none"/>
        </w:rPr>
        <w:t xml:space="preserve">3.3.1 </w:t>
      </w:r>
      <w:r>
        <w:rPr>
          <w:rFonts w:hint="eastAsia"/>
          <w:color w:val="auto"/>
          <w:highlight w:val="none"/>
        </w:rPr>
        <w:t>投标有效期按须知前附表的规定。</w:t>
      </w:r>
    </w:p>
    <w:p>
      <w:pPr>
        <w:spacing w:line="400" w:lineRule="exact"/>
        <w:ind w:firstLine="420" w:firstLineChars="200"/>
        <w:rPr>
          <w:color w:val="auto"/>
          <w:highlight w:val="none"/>
        </w:rPr>
      </w:pPr>
      <w:r>
        <w:rPr>
          <w:color w:val="auto"/>
          <w:highlight w:val="none"/>
        </w:rPr>
        <w:t xml:space="preserve">3.3.2 </w:t>
      </w:r>
      <w:r>
        <w:rPr>
          <w:rFonts w:hint="eastAsia"/>
          <w:color w:val="auto"/>
          <w:highlight w:val="none"/>
        </w:rPr>
        <w:t>在投标有效期内，投标人撤销或修改其投标文件的，应承担招标文件和法律规定的责任。</w:t>
      </w:r>
    </w:p>
    <w:p>
      <w:pPr>
        <w:spacing w:line="400" w:lineRule="exact"/>
        <w:ind w:firstLine="420" w:firstLineChars="200"/>
        <w:rPr>
          <w:color w:val="auto"/>
          <w:highlight w:val="none"/>
        </w:rPr>
      </w:pPr>
      <w:r>
        <w:rPr>
          <w:color w:val="auto"/>
          <w:highlight w:val="none"/>
        </w:rPr>
        <w:t xml:space="preserve">3.3.3 </w:t>
      </w:r>
      <w:r>
        <w:rPr>
          <w:rFonts w:hint="eastAsia"/>
          <w:color w:val="auto"/>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8"/>
        <w:rPr>
          <w:color w:val="auto"/>
          <w:highlight w:val="none"/>
        </w:rPr>
      </w:pPr>
      <w:bookmarkStart w:id="376" w:name="_Toc3081"/>
      <w:bookmarkStart w:id="377" w:name="_Toc144974518"/>
      <w:bookmarkStart w:id="378" w:name="_Toc152045550"/>
      <w:bookmarkStart w:id="379" w:name="_Toc13372"/>
      <w:bookmarkStart w:id="380" w:name="_Toc28691"/>
      <w:bookmarkStart w:id="381" w:name="_Toc24047"/>
      <w:bookmarkStart w:id="382" w:name="_Toc247527575"/>
      <w:bookmarkStart w:id="383" w:name="_Toc28467"/>
      <w:bookmarkStart w:id="384" w:name="_Toc25607"/>
      <w:bookmarkStart w:id="385" w:name="_Toc494371536"/>
      <w:bookmarkStart w:id="386" w:name="_Toc31983"/>
      <w:bookmarkStart w:id="387" w:name="_Toc300834971"/>
      <w:bookmarkStart w:id="388" w:name="_Toc3863"/>
      <w:bookmarkStart w:id="389" w:name="_Toc204"/>
      <w:bookmarkStart w:id="390" w:name="_Toc247513974"/>
      <w:bookmarkStart w:id="391" w:name="_Toc152042326"/>
      <w:bookmarkStart w:id="392" w:name="_Toc31972"/>
      <w:r>
        <w:rPr>
          <w:rFonts w:ascii="Times New Roman" w:hAnsi="Times New Roman"/>
          <w:color w:val="auto"/>
          <w:highlight w:val="none"/>
        </w:rPr>
        <w:t>3.4</w:t>
      </w:r>
      <w:r>
        <w:rPr>
          <w:color w:val="auto"/>
          <w:highlight w:val="none"/>
        </w:rPr>
        <w:t xml:space="preserve"> 投标保证金</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spacing w:line="400" w:lineRule="exact"/>
        <w:ind w:firstLine="420" w:firstLineChars="200"/>
        <w:rPr>
          <w:color w:val="auto"/>
          <w:highlight w:val="none"/>
        </w:rPr>
      </w:pPr>
      <w:r>
        <w:rPr>
          <w:color w:val="auto"/>
          <w:highlight w:val="none"/>
        </w:rPr>
        <w:t xml:space="preserve">3.4.1 </w:t>
      </w:r>
      <w:r>
        <w:rPr>
          <w:rFonts w:hint="eastAsia"/>
          <w:color w:val="auto"/>
          <w:highlight w:val="none"/>
        </w:rPr>
        <w:t>投标人须在开标前按投标人须知前附表规定的金额、担保形式递交投标保证金。联合体投标的，其投标保证金由主办方递交，并应符合投标人须知前附表的规定。</w:t>
      </w:r>
    </w:p>
    <w:p>
      <w:pPr>
        <w:spacing w:line="400" w:lineRule="exact"/>
        <w:ind w:firstLine="420" w:firstLineChars="200"/>
        <w:rPr>
          <w:color w:val="auto"/>
          <w:highlight w:val="none"/>
        </w:rPr>
      </w:pPr>
      <w:r>
        <w:rPr>
          <w:color w:val="auto"/>
          <w:highlight w:val="none"/>
        </w:rPr>
        <w:t>3.4.</w:t>
      </w:r>
      <w:r>
        <w:rPr>
          <w:rFonts w:hint="eastAsia"/>
          <w:color w:val="auto"/>
          <w:highlight w:val="none"/>
        </w:rPr>
        <w:t>2</w:t>
      </w:r>
      <w:r>
        <w:rPr>
          <w:color w:val="auto"/>
          <w:highlight w:val="none"/>
        </w:rPr>
        <w:t xml:space="preserve"> </w:t>
      </w:r>
      <w:r>
        <w:rPr>
          <w:rFonts w:hint="eastAsia"/>
          <w:color w:val="auto"/>
          <w:highlight w:val="none"/>
        </w:rPr>
        <w:t>有下列情形之一的，投标保证金将不予退还：</w:t>
      </w:r>
    </w:p>
    <w:p>
      <w:pPr>
        <w:spacing w:line="400" w:lineRule="exact"/>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）投标人在投标有效期内撤回投标标书；</w:t>
      </w:r>
    </w:p>
    <w:p>
      <w:pPr>
        <w:spacing w:line="400" w:lineRule="exact"/>
        <w:ind w:firstLine="315" w:firstLineChars="150"/>
        <w:rPr>
          <w:color w:val="auto"/>
          <w:highlight w:val="none"/>
        </w:rPr>
      </w:pPr>
      <w:r>
        <w:rPr>
          <w:rFonts w:hint="eastAsia"/>
          <w:color w:val="auto"/>
          <w:highlight w:val="none"/>
        </w:rPr>
        <w:t>（</w:t>
      </w:r>
      <w:r>
        <w:rPr>
          <w:color w:val="auto"/>
          <w:highlight w:val="none"/>
        </w:rPr>
        <w:t>2</w:t>
      </w:r>
      <w:r>
        <w:rPr>
          <w:rFonts w:hint="eastAsia"/>
          <w:color w:val="auto"/>
          <w:highlight w:val="none"/>
        </w:rPr>
        <w:t>）中标人未在规定期限内按要求递交履约担保；</w:t>
      </w:r>
    </w:p>
    <w:p>
      <w:pPr>
        <w:spacing w:line="400" w:lineRule="exact"/>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）中标人未在规定期限内签署合同协议。</w:t>
      </w:r>
    </w:p>
    <w:p>
      <w:pPr>
        <w:spacing w:line="400" w:lineRule="exact"/>
        <w:ind w:firstLine="315" w:firstLineChars="150"/>
        <w:rPr>
          <w:color w:val="auto"/>
          <w:highlight w:val="none"/>
        </w:rPr>
      </w:pPr>
      <w:r>
        <w:rPr>
          <w:rFonts w:hint="eastAsia"/>
          <w:color w:val="auto"/>
          <w:highlight w:val="none"/>
        </w:rPr>
        <w:t>（</w:t>
      </w:r>
      <w:r>
        <w:rPr>
          <w:color w:val="auto"/>
          <w:highlight w:val="none"/>
        </w:rPr>
        <w:t>4</w:t>
      </w:r>
      <w:r>
        <w:rPr>
          <w:rFonts w:hint="eastAsia"/>
          <w:color w:val="auto"/>
          <w:highlight w:val="none"/>
        </w:rPr>
        <w:t>）投标人在本项目投标过程中有违法违规行为的。</w:t>
      </w:r>
    </w:p>
    <w:p>
      <w:pPr>
        <w:pStyle w:val="8"/>
        <w:rPr>
          <w:color w:val="auto"/>
          <w:highlight w:val="none"/>
        </w:rPr>
      </w:pPr>
      <w:bookmarkStart w:id="393" w:name="_Toc29993"/>
      <w:bookmarkStart w:id="394" w:name="_Toc5946"/>
      <w:bookmarkStart w:id="395" w:name="_Toc30108"/>
      <w:bookmarkStart w:id="396" w:name="_Toc955"/>
      <w:bookmarkStart w:id="397" w:name="_Toc152042328"/>
      <w:bookmarkStart w:id="398" w:name="_Toc152045552"/>
      <w:bookmarkStart w:id="399" w:name="_Toc26931"/>
      <w:bookmarkStart w:id="400" w:name="_Toc247527577"/>
      <w:bookmarkStart w:id="401" w:name="_Toc24365"/>
      <w:bookmarkStart w:id="402" w:name="_Toc11498"/>
      <w:bookmarkStart w:id="403" w:name="_Toc28635"/>
      <w:bookmarkStart w:id="404" w:name="_Toc5908"/>
      <w:bookmarkStart w:id="405" w:name="_Toc8480"/>
      <w:bookmarkStart w:id="406" w:name="_Toc494371537"/>
      <w:bookmarkStart w:id="407" w:name="_Toc144974520"/>
      <w:bookmarkStart w:id="408" w:name="_Toc300834973"/>
      <w:bookmarkStart w:id="409" w:name="_Toc247513976"/>
      <w:r>
        <w:rPr>
          <w:rFonts w:ascii="Times New Roman" w:hAnsi="Times New Roman"/>
          <w:color w:val="auto"/>
          <w:highlight w:val="none"/>
        </w:rPr>
        <w:t>3.5</w:t>
      </w:r>
      <w:r>
        <w:rPr>
          <w:color w:val="auto"/>
          <w:highlight w:val="none"/>
        </w:rPr>
        <w:t xml:space="preserve"> 资格审查资料</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400" w:lineRule="exact"/>
        <w:ind w:firstLine="420" w:firstLineChars="200"/>
        <w:rPr>
          <w:strike/>
          <w:color w:val="auto"/>
          <w:highlight w:val="none"/>
        </w:rPr>
      </w:pPr>
      <w:r>
        <w:rPr>
          <w:rFonts w:hint="eastAsia" w:ascii="宋体" w:hAnsi="宋体"/>
          <w:color w:val="auto"/>
          <w:szCs w:val="21"/>
          <w:highlight w:val="none"/>
          <w:shd w:val="clear" w:color="auto" w:fill="FFFFFF"/>
        </w:rPr>
        <w:t>本项目采用非电子化资格后审，由施工标评标委员会负责对投标人的资格进行审查，</w:t>
      </w:r>
      <w:r>
        <w:rPr>
          <w:rFonts w:hint="eastAsia" w:ascii="宋体" w:hAnsi="宋体"/>
          <w:color w:val="auto"/>
          <w:szCs w:val="21"/>
          <w:highlight w:val="none"/>
        </w:rPr>
        <w:t>评标时只对通过资格审查的投标人进行下一阶段的评审。</w:t>
      </w:r>
    </w:p>
    <w:p>
      <w:pPr>
        <w:pStyle w:val="8"/>
        <w:rPr>
          <w:color w:val="auto"/>
          <w:highlight w:val="none"/>
        </w:rPr>
      </w:pPr>
      <w:bookmarkStart w:id="410" w:name="_Toc32158"/>
      <w:bookmarkStart w:id="411" w:name="_Toc1368"/>
      <w:bookmarkStart w:id="412" w:name="_Toc6939"/>
      <w:bookmarkStart w:id="413" w:name="_Toc494371539"/>
      <w:bookmarkStart w:id="414" w:name="_Toc152045554"/>
      <w:bookmarkStart w:id="415" w:name="_Toc8230"/>
      <w:bookmarkStart w:id="416" w:name="_Toc144974522"/>
      <w:bookmarkStart w:id="417" w:name="_Toc24511"/>
      <w:bookmarkStart w:id="418" w:name="_Toc152042330"/>
      <w:bookmarkStart w:id="419" w:name="_Toc247513978"/>
      <w:bookmarkStart w:id="420" w:name="_Toc29948"/>
      <w:bookmarkStart w:id="421" w:name="_Toc12571"/>
      <w:bookmarkStart w:id="422" w:name="_Toc2595"/>
      <w:bookmarkStart w:id="423" w:name="_Toc300834975"/>
      <w:bookmarkStart w:id="424" w:name="_Toc4267"/>
      <w:bookmarkStart w:id="425" w:name="_Toc1992"/>
      <w:bookmarkStart w:id="426" w:name="_Toc247527579"/>
      <w:r>
        <w:rPr>
          <w:rFonts w:ascii="Times New Roman" w:hAnsi="Times New Roman"/>
          <w:color w:val="auto"/>
          <w:highlight w:val="none"/>
        </w:rPr>
        <w:t>3.7</w:t>
      </w:r>
      <w:r>
        <w:rPr>
          <w:color w:val="auto"/>
          <w:highlight w:val="none"/>
        </w:rPr>
        <w:t xml:space="preserve"> 投标文件的编制</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spacing w:line="400" w:lineRule="exact"/>
        <w:ind w:firstLine="420" w:firstLineChars="200"/>
        <w:rPr>
          <w:color w:val="auto"/>
          <w:highlight w:val="none"/>
        </w:rPr>
      </w:pPr>
      <w:r>
        <w:rPr>
          <w:color w:val="auto"/>
          <w:highlight w:val="none"/>
        </w:rPr>
        <w:t xml:space="preserve">3.7.1 </w:t>
      </w:r>
      <w:r>
        <w:rPr>
          <w:rFonts w:hint="eastAsia"/>
          <w:color w:val="auto"/>
          <w:highlight w:val="none"/>
        </w:rPr>
        <w:t>投标文件应按“投标文件格式”进行编写，如有必要，可以增加附页，作为投标文件的组成部分。其中，投标函附录在满足招标文件实质性要求的基础上，可以提出比招标文件要求更有利于招标人的承诺。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color w:val="auto"/>
          <w:szCs w:val="21"/>
          <w:highlight w:val="none"/>
        </w:rPr>
      </w:pPr>
      <w:r>
        <w:rPr>
          <w:color w:val="auto"/>
          <w:highlight w:val="none"/>
        </w:rPr>
        <w:t xml:space="preserve">3.7.2 </w:t>
      </w:r>
      <w:r>
        <w:rPr>
          <w:rFonts w:hint="eastAsia"/>
          <w:color w:val="auto"/>
          <w:highlight w:val="none"/>
        </w:rPr>
        <w:t>投标文件应当对招标文件有关</w:t>
      </w:r>
      <w:r>
        <w:rPr>
          <w:rFonts w:hint="eastAsia"/>
          <w:color w:val="auto"/>
          <w:szCs w:val="21"/>
          <w:highlight w:val="none"/>
        </w:rPr>
        <w:t>招标范围、投标有效期、工期、质量标准、发包人要求等实质性内容作出响应。</w:t>
      </w:r>
    </w:p>
    <w:p>
      <w:pPr>
        <w:spacing w:line="400" w:lineRule="exact"/>
        <w:ind w:firstLine="420" w:firstLineChars="200"/>
        <w:rPr>
          <w:color w:val="auto"/>
          <w:highlight w:val="none"/>
        </w:rPr>
      </w:pPr>
      <w:r>
        <w:rPr>
          <w:color w:val="auto"/>
          <w:highlight w:val="none"/>
        </w:rPr>
        <w:t xml:space="preserve">3.7.3 </w:t>
      </w:r>
      <w:r>
        <w:rPr>
          <w:rFonts w:hint="eastAsia"/>
          <w:color w:val="auto"/>
          <w:highlight w:val="none"/>
        </w:rPr>
        <w:t>投标文件编制要求：</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）设计技术文件要求按本须知第</w:t>
      </w:r>
      <w:r>
        <w:rPr>
          <w:rFonts w:ascii="宋体" w:hAnsi="宋体"/>
          <w:color w:val="auto"/>
          <w:highlight w:val="none"/>
        </w:rPr>
        <w:t>3.1.3</w:t>
      </w:r>
      <w:r>
        <w:rPr>
          <w:rFonts w:hint="eastAsia" w:ascii="宋体" w:hAnsi="宋体"/>
          <w:color w:val="auto"/>
          <w:highlight w:val="none"/>
        </w:rPr>
        <w:t>（2）款的要求；其他投标文件应用不褪色的材料书写或打印。投标人的法定代表人授权代理人签字</w:t>
      </w:r>
      <w:r>
        <w:rPr>
          <w:rFonts w:hint="eastAsia" w:ascii="宋体" w:hAnsi="宋体"/>
          <w:color w:val="auto"/>
          <w:szCs w:val="21"/>
          <w:highlight w:val="none"/>
        </w:rPr>
        <w:t>或盖章</w:t>
      </w:r>
      <w:r>
        <w:rPr>
          <w:rFonts w:hint="eastAsia" w:ascii="宋体" w:hAnsi="宋体"/>
          <w:color w:val="auto"/>
          <w:highlight w:val="none"/>
        </w:rPr>
        <w:t>的，投标文件应附由法定代表人签署的授权委托书。投标文件应尽量避免涂改、行间插字或删除。如果出现上述情况，改动之处应加盖单位章或由投标人的法定代表人或其授权的代理人签字</w:t>
      </w:r>
      <w:r>
        <w:rPr>
          <w:rFonts w:hint="eastAsia" w:ascii="宋体" w:hAnsi="宋体"/>
          <w:color w:val="auto"/>
          <w:szCs w:val="21"/>
          <w:highlight w:val="none"/>
        </w:rPr>
        <w:t>或盖章</w:t>
      </w:r>
      <w:r>
        <w:rPr>
          <w:rFonts w:hint="eastAsia" w:ascii="宋体" w:hAnsi="宋体"/>
          <w:color w:val="auto"/>
          <w:highlight w:val="none"/>
        </w:rPr>
        <w:t>确认。</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）投标文件正本壹份，副本份数见投标人须知前附表。正本和副本的封面上应清楚地标记“正本”或“副本”的字样。当副本和正本不一致时，以正本为准。副本可为是正本签字盖章后的复印件。</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）投标文件的正本与副本应分别装订成册，</w:t>
      </w:r>
      <w:r>
        <w:rPr>
          <w:rFonts w:hint="eastAsia" w:ascii="宋体" w:hAnsi="宋体"/>
          <w:color w:val="auto"/>
          <w:szCs w:val="21"/>
          <w:highlight w:val="none"/>
        </w:rPr>
        <w:t>各册独立装订的投标文件均采用不易松散的书式装订</w:t>
      </w:r>
      <w:r>
        <w:rPr>
          <w:rFonts w:hint="eastAsia" w:ascii="宋体" w:hAnsi="宋体"/>
          <w:color w:val="auto"/>
          <w:highlight w:val="none"/>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）投标文件的规格：资格审查文件、设计商务文件、施工技术标投标文件、经济标投标文件统一</w:t>
      </w:r>
      <w:r>
        <w:rPr>
          <w:rFonts w:ascii="宋体" w:hAnsi="宋体"/>
          <w:color w:val="auto"/>
          <w:highlight w:val="none"/>
        </w:rPr>
        <w:t>A4</w:t>
      </w:r>
      <w:r>
        <w:rPr>
          <w:rFonts w:hint="eastAsia" w:ascii="宋体" w:hAnsi="宋体"/>
          <w:color w:val="auto"/>
          <w:highlight w:val="none"/>
        </w:rPr>
        <w:t>印刷本，纸质封面，封面</w:t>
      </w:r>
      <w:r>
        <w:rPr>
          <w:rFonts w:hint="eastAsia" w:ascii="宋体" w:hAnsi="宋体"/>
          <w:color w:val="auto"/>
          <w:szCs w:val="21"/>
          <w:highlight w:val="none"/>
        </w:rPr>
        <w:t>格式见第七章</w:t>
      </w:r>
      <w:r>
        <w:rPr>
          <w:rFonts w:ascii="宋体" w:hAnsi="宋体"/>
          <w:color w:val="auto"/>
          <w:highlight w:val="none"/>
        </w:rPr>
        <w:t>,</w:t>
      </w:r>
      <w:r>
        <w:rPr>
          <w:rFonts w:hint="eastAsia" w:ascii="宋体" w:hAnsi="宋体"/>
          <w:color w:val="auto"/>
          <w:highlight w:val="none"/>
        </w:rPr>
        <w:t>使用书式装订。</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）设计标投标文件中设计技术文件</w:t>
      </w:r>
      <w:r>
        <w:rPr>
          <w:rFonts w:hint="eastAsia" w:ascii="宋体" w:hAnsi="宋体"/>
          <w:color w:val="auto"/>
          <w:szCs w:val="21"/>
          <w:highlight w:val="none"/>
        </w:rPr>
        <w:t>的规格要求按本须知第</w:t>
      </w:r>
      <w:r>
        <w:rPr>
          <w:rFonts w:ascii="宋体" w:hAnsi="宋体"/>
          <w:color w:val="auto"/>
          <w:szCs w:val="21"/>
          <w:highlight w:val="none"/>
        </w:rPr>
        <w:t>3.1.3</w:t>
      </w:r>
      <w:r>
        <w:rPr>
          <w:rFonts w:hint="eastAsia" w:ascii="宋体" w:hAnsi="宋体"/>
          <w:color w:val="auto"/>
          <w:szCs w:val="21"/>
          <w:highlight w:val="none"/>
        </w:rPr>
        <w:t>款之（2）规定。</w:t>
      </w:r>
    </w:p>
    <w:p>
      <w:pPr>
        <w:spacing w:line="400" w:lineRule="exact"/>
        <w:ind w:firstLine="420" w:firstLineChars="200"/>
        <w:rPr>
          <w:rFonts w:ascii="宋体" w:hAnsi="宋体"/>
          <w:color w:val="auto"/>
          <w:highlight w:val="none"/>
        </w:rPr>
      </w:pPr>
      <w:r>
        <w:rPr>
          <w:rFonts w:ascii="宋体" w:hAnsi="宋体"/>
          <w:color w:val="auto"/>
          <w:highlight w:val="none"/>
        </w:rPr>
        <w:t xml:space="preserve">3.7.4 </w:t>
      </w:r>
      <w:r>
        <w:rPr>
          <w:rFonts w:hint="eastAsia" w:ascii="宋体" w:hAnsi="宋体"/>
          <w:color w:val="auto"/>
          <w:highlight w:val="none"/>
        </w:rPr>
        <w:t>投标文件份数：按须知前附表的规定。</w:t>
      </w:r>
    </w:p>
    <w:p>
      <w:pPr>
        <w:spacing w:line="400" w:lineRule="exact"/>
        <w:ind w:firstLine="422" w:firstLineChars="200"/>
        <w:rPr>
          <w:b/>
          <w:bCs/>
          <w:color w:val="auto"/>
          <w:highlight w:val="none"/>
          <w:u w:val="single"/>
        </w:rPr>
      </w:pPr>
      <w:r>
        <w:rPr>
          <w:rFonts w:ascii="宋体" w:hAnsi="宋体"/>
          <w:b/>
          <w:bCs/>
          <w:color w:val="auto"/>
          <w:highlight w:val="none"/>
        </w:rPr>
        <w:t>3.7.5</w:t>
      </w:r>
      <w:r>
        <w:rPr>
          <w:rFonts w:hint="eastAsia" w:ascii="宋体" w:hAnsi="宋体"/>
          <w:b/>
          <w:bCs/>
          <w:color w:val="auto"/>
          <w:highlight w:val="none"/>
        </w:rPr>
        <w:t>联合体投标时，除投标申请人声明、联合体工作协议必须联合体各方分别按要求进行签字或盖章外，其他资料若需要签字或盖章的均可联由合体主办方签字或盖章；投标资料封面及其他内容及落款中的“投标人或投标单位”应填写联合体各方的单位全称【格式示例为：(主)XXXX公司(成)XXXX公司,XXXX公司】，由联合体主办方签字或盖章即可。</w:t>
      </w:r>
    </w:p>
    <w:p>
      <w:pPr>
        <w:pStyle w:val="7"/>
        <w:rPr>
          <w:color w:val="auto"/>
          <w:highlight w:val="none"/>
        </w:rPr>
      </w:pPr>
      <w:bookmarkStart w:id="427" w:name="_Toc26855"/>
      <w:bookmarkStart w:id="428" w:name="_Toc24077"/>
      <w:bookmarkStart w:id="429" w:name="_Toc24355"/>
      <w:bookmarkStart w:id="430" w:name="_Toc28527"/>
      <w:bookmarkStart w:id="431" w:name="_Toc152042331"/>
      <w:bookmarkStart w:id="432" w:name="_Toc9443"/>
      <w:bookmarkStart w:id="433" w:name="_Toc300834976"/>
      <w:bookmarkStart w:id="434" w:name="_Toc16206"/>
      <w:bookmarkStart w:id="435" w:name="_Toc10739"/>
      <w:bookmarkStart w:id="436" w:name="_Toc152045555"/>
      <w:bookmarkStart w:id="437" w:name="_Toc144974523"/>
      <w:bookmarkStart w:id="438" w:name="_Toc247527580"/>
      <w:bookmarkStart w:id="439" w:name="_Toc21390"/>
      <w:bookmarkStart w:id="440" w:name="_Toc24913"/>
      <w:bookmarkStart w:id="441" w:name="_Toc247513979"/>
      <w:bookmarkStart w:id="442" w:name="_Toc2578"/>
      <w:bookmarkStart w:id="443" w:name="_Toc2705"/>
      <w:bookmarkStart w:id="444" w:name="_Toc28992"/>
      <w:bookmarkStart w:id="445" w:name="_Toc494371540"/>
      <w:r>
        <w:rPr>
          <w:color w:val="auto"/>
          <w:highlight w:val="none"/>
        </w:rPr>
        <w:t xml:space="preserve">4. </w:t>
      </w:r>
      <w:r>
        <w:rPr>
          <w:rFonts w:hint="eastAsia"/>
          <w:color w:val="auto"/>
          <w:highlight w:val="none"/>
        </w:rPr>
        <w:t>投标</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8"/>
        <w:rPr>
          <w:color w:val="auto"/>
          <w:highlight w:val="none"/>
        </w:rPr>
      </w:pPr>
      <w:bookmarkStart w:id="446" w:name="_Toc144974524"/>
      <w:bookmarkStart w:id="447" w:name="_Toc247527581"/>
      <w:bookmarkStart w:id="448" w:name="_Toc27945"/>
      <w:bookmarkStart w:id="449" w:name="_Toc152042332"/>
      <w:bookmarkStart w:id="450" w:name="_Toc10107"/>
      <w:bookmarkStart w:id="451" w:name="_Toc17563"/>
      <w:bookmarkStart w:id="452" w:name="_Toc7146"/>
      <w:bookmarkStart w:id="453" w:name="_Toc7880"/>
      <w:bookmarkStart w:id="454" w:name="_Toc30637"/>
      <w:bookmarkStart w:id="455" w:name="_Toc11788"/>
      <w:bookmarkStart w:id="456" w:name="_Toc300834977"/>
      <w:bookmarkStart w:id="457" w:name="_Toc17815"/>
      <w:bookmarkStart w:id="458" w:name="_Toc247513980"/>
      <w:bookmarkStart w:id="459" w:name="_Toc152045556"/>
      <w:bookmarkStart w:id="460" w:name="_Toc494371541"/>
      <w:bookmarkStart w:id="461" w:name="_Toc22232"/>
      <w:bookmarkStart w:id="462" w:name="_Toc563"/>
      <w:r>
        <w:rPr>
          <w:rFonts w:ascii="Times New Roman" w:hAnsi="Times New Roman"/>
          <w:color w:val="auto"/>
          <w:highlight w:val="none"/>
        </w:rPr>
        <w:t>4.1</w:t>
      </w:r>
      <w:r>
        <w:rPr>
          <w:color w:val="auto"/>
          <w:highlight w:val="none"/>
        </w:rPr>
        <w:t xml:space="preserve"> 投标文件的密封和标记</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pacing w:line="400" w:lineRule="exact"/>
        <w:ind w:firstLine="420" w:firstLineChars="200"/>
        <w:rPr>
          <w:rFonts w:ascii="宋体" w:hAnsi="宋体"/>
          <w:color w:val="auto"/>
          <w:highlight w:val="none"/>
        </w:rPr>
      </w:pPr>
      <w:r>
        <w:rPr>
          <w:rFonts w:ascii="宋体" w:hAnsi="宋体"/>
          <w:color w:val="auto"/>
          <w:highlight w:val="none"/>
        </w:rPr>
        <w:t>4.1.1 投标文件的包封要求；投标人应按以下规定分别独立包封投标文件，独自分开的封包数列于投标人须知前附表第</w:t>
      </w:r>
      <w:r>
        <w:rPr>
          <w:rFonts w:hint="eastAsia" w:ascii="宋体" w:hAnsi="宋体"/>
          <w:color w:val="auto"/>
          <w:highlight w:val="none"/>
        </w:rPr>
        <w:t>17</w:t>
      </w:r>
      <w:r>
        <w:rPr>
          <w:rFonts w:ascii="宋体" w:hAnsi="宋体"/>
          <w:color w:val="auto"/>
          <w:highlight w:val="none"/>
        </w:rPr>
        <w:t>款；</w:t>
      </w:r>
    </w:p>
    <w:p>
      <w:pPr>
        <w:spacing w:line="400" w:lineRule="exact"/>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b/>
          <w:color w:val="auto"/>
          <w:highlight w:val="none"/>
        </w:rPr>
        <w:t>设计标投标文件</w:t>
      </w:r>
      <w:r>
        <w:rPr>
          <w:rFonts w:hint="eastAsia" w:ascii="宋体" w:hAnsi="宋体"/>
          <w:color w:val="auto"/>
          <w:highlight w:val="none"/>
        </w:rPr>
        <w:t>正本、副本一起包封为一包；</w:t>
      </w:r>
      <w:r>
        <w:rPr>
          <w:rFonts w:ascii="宋体" w:hAnsi="宋体"/>
          <w:color w:val="auto"/>
          <w:highlight w:val="none"/>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）资格审查文件正本、副本一起包封为一包；</w:t>
      </w:r>
    </w:p>
    <w:p>
      <w:pPr>
        <w:spacing w:line="400" w:lineRule="exact"/>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）施工技术标投标文件正本、副本一起包封为一包；</w:t>
      </w:r>
    </w:p>
    <w:p>
      <w:pPr>
        <w:spacing w:line="400" w:lineRule="exact"/>
        <w:ind w:firstLine="42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）经济标投标文件正本、副本一起包封为一包；</w:t>
      </w:r>
    </w:p>
    <w:p>
      <w:pPr>
        <w:spacing w:line="400" w:lineRule="exact"/>
        <w:ind w:firstLine="420" w:firstLineChars="200"/>
        <w:rPr>
          <w:rFonts w:ascii="宋体" w:hAnsi="宋体"/>
          <w:color w:val="auto"/>
          <w:highlight w:val="none"/>
        </w:rPr>
      </w:pPr>
      <w:r>
        <w:rPr>
          <w:rFonts w:ascii="宋体" w:hAnsi="宋体"/>
          <w:color w:val="auto"/>
          <w:highlight w:val="none"/>
        </w:rPr>
        <w:t>4.1.2 投标文件的密封要求：投标人应确保投标文件密闭封装，外包装材料不应留有可在包封后添加或抽取投标文件的空隙。</w:t>
      </w:r>
    </w:p>
    <w:p>
      <w:pPr>
        <w:spacing w:line="400" w:lineRule="exact"/>
        <w:ind w:firstLine="420" w:firstLineChars="200"/>
        <w:rPr>
          <w:rFonts w:ascii="宋体" w:hAnsi="宋体"/>
          <w:color w:val="auto"/>
          <w:highlight w:val="none"/>
        </w:rPr>
      </w:pPr>
      <w:r>
        <w:rPr>
          <w:rFonts w:ascii="宋体" w:hAnsi="宋体"/>
          <w:color w:val="auto"/>
          <w:highlight w:val="none"/>
        </w:rPr>
        <w:t>4.1.3 投标文件的标志要求（除设计技术文件按4.1.1（2）的要求标志外）：每个包上应具有以下标志(内容已在本投标须知前附表中列明，由投标人自行填入)：</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 xml:space="preserve">1） </w:t>
      </w:r>
      <w:r>
        <w:rPr>
          <w:rFonts w:hint="eastAsia" w:ascii="宋体" w:hAnsi="宋体"/>
          <w:color w:val="auto"/>
          <w:highlight w:val="none"/>
        </w:rPr>
        <w:t>招标人的名称；</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 xml:space="preserve">2）[工程名称]项目[资格审查文件 </w:t>
      </w:r>
      <w:r>
        <w:rPr>
          <w:rFonts w:hint="eastAsia" w:ascii="宋体" w:hAnsi="宋体"/>
          <w:color w:val="auto"/>
          <w:highlight w:val="none"/>
        </w:rPr>
        <w:t>或 设计标投标文件 或 施工技术标投标文件 或 经济标投标文件</w:t>
      </w:r>
      <w:r>
        <w:rPr>
          <w:rFonts w:ascii="宋体" w:hAnsi="宋体"/>
          <w:color w:val="auto"/>
          <w:highlight w:val="none"/>
        </w:rPr>
        <w:t>]</w:t>
      </w:r>
      <w:r>
        <w:rPr>
          <w:rFonts w:hint="eastAsia" w:ascii="宋体" w:hAnsi="宋体"/>
          <w:color w:val="auto"/>
          <w:highlight w:val="none"/>
        </w:rPr>
        <w:t>”字样、投标人名称及加盖投标人公章。</w:t>
      </w:r>
    </w:p>
    <w:p>
      <w:pPr>
        <w:spacing w:line="400" w:lineRule="exact"/>
        <w:ind w:firstLine="420" w:firstLineChars="200"/>
        <w:rPr>
          <w:color w:val="auto"/>
          <w:highlight w:val="none"/>
        </w:rPr>
      </w:pPr>
      <w:r>
        <w:rPr>
          <w:color w:val="auto"/>
          <w:highlight w:val="none"/>
        </w:rPr>
        <w:t xml:space="preserve">4.1.4 </w:t>
      </w:r>
      <w:r>
        <w:rPr>
          <w:rFonts w:hint="eastAsia"/>
          <w:color w:val="auto"/>
          <w:highlight w:val="none"/>
        </w:rPr>
        <w:t>接收投标文件时，如果包封上没有按上述规定密封的，招标人予以拒绝，并退还给投标人。</w:t>
      </w:r>
      <w:bookmarkStart w:id="463" w:name="_Toc2556"/>
      <w:bookmarkStart w:id="464" w:name="_Toc300834978"/>
      <w:bookmarkStart w:id="465" w:name="_Toc16217"/>
      <w:bookmarkStart w:id="466" w:name="_Toc20865"/>
      <w:bookmarkStart w:id="467" w:name="_Toc144974525"/>
      <w:bookmarkStart w:id="468" w:name="_Toc17435"/>
      <w:bookmarkStart w:id="469" w:name="_Toc247527582"/>
      <w:bookmarkStart w:id="470" w:name="_Toc152045557"/>
      <w:bookmarkStart w:id="471" w:name="_Toc247513981"/>
      <w:bookmarkStart w:id="472" w:name="_Toc152042333"/>
      <w:bookmarkStart w:id="473" w:name="_Toc7700"/>
      <w:bookmarkStart w:id="474" w:name="_Toc17033"/>
    </w:p>
    <w:p>
      <w:pPr>
        <w:pStyle w:val="8"/>
        <w:rPr>
          <w:rFonts w:ascii="Times New Roman" w:hAnsi="Times New Roman"/>
          <w:color w:val="auto"/>
          <w:highlight w:val="none"/>
        </w:rPr>
      </w:pPr>
      <w:r>
        <w:rPr>
          <w:rFonts w:ascii="Times New Roman" w:hAnsi="Times New Roman"/>
          <w:color w:val="auto"/>
          <w:highlight w:val="none"/>
        </w:rPr>
        <w:t xml:space="preserve">4.2 </w:t>
      </w:r>
      <w:r>
        <w:rPr>
          <w:rFonts w:hint="eastAsia" w:ascii="Times New Roman" w:hAnsi="Times New Roman"/>
          <w:color w:val="auto"/>
          <w:highlight w:val="none"/>
        </w:rPr>
        <w:t>投标文件的递交</w:t>
      </w:r>
      <w:bookmarkEnd w:id="463"/>
      <w:bookmarkEnd w:id="464"/>
      <w:bookmarkEnd w:id="465"/>
      <w:bookmarkEnd w:id="466"/>
      <w:bookmarkEnd w:id="467"/>
      <w:bookmarkEnd w:id="468"/>
      <w:bookmarkEnd w:id="469"/>
      <w:bookmarkEnd w:id="470"/>
      <w:bookmarkEnd w:id="471"/>
      <w:bookmarkEnd w:id="472"/>
      <w:bookmarkEnd w:id="473"/>
      <w:bookmarkEnd w:id="474"/>
    </w:p>
    <w:p>
      <w:pPr>
        <w:spacing w:line="400" w:lineRule="exact"/>
        <w:ind w:firstLine="420" w:firstLineChars="200"/>
        <w:rPr>
          <w:rFonts w:ascii="宋体" w:hAnsi="宋体"/>
          <w:color w:val="auto"/>
          <w:highlight w:val="none"/>
        </w:rPr>
      </w:pPr>
      <w:r>
        <w:rPr>
          <w:color w:val="auto"/>
          <w:highlight w:val="none"/>
        </w:rPr>
        <w:t xml:space="preserve">4.2.1 </w:t>
      </w:r>
      <w:r>
        <w:rPr>
          <w:rFonts w:hint="eastAsia" w:ascii="宋体" w:hAnsi="宋体"/>
          <w:color w:val="auto"/>
          <w:highlight w:val="none"/>
        </w:rPr>
        <w:t>投标人代表应按投标须知前附表所规定的时间和地点向招标人提交投标文件。</w:t>
      </w:r>
    </w:p>
    <w:p>
      <w:pPr>
        <w:spacing w:line="400" w:lineRule="exact"/>
        <w:ind w:firstLine="420" w:firstLineChars="200"/>
        <w:rPr>
          <w:rFonts w:ascii="宋体" w:hAnsi="宋体"/>
          <w:color w:val="auto"/>
          <w:highlight w:val="none"/>
        </w:rPr>
      </w:pPr>
      <w:r>
        <w:rPr>
          <w:rFonts w:hint="eastAsia" w:ascii="宋体" w:hAnsi="宋体"/>
          <w:color w:val="auto"/>
          <w:highlight w:val="none"/>
        </w:rPr>
        <w:t>投标人代表应由投标人法定代表人或法定代表人书面授权的委托代理人担任。法定代表人应凭本人身份证和法定代表人证明书原件</w:t>
      </w:r>
      <w:r>
        <w:rPr>
          <w:rFonts w:hint="eastAsia" w:ascii="宋体" w:hAnsi="宋体"/>
          <w:bCs/>
          <w:color w:val="auto"/>
          <w:highlight w:val="none"/>
        </w:rPr>
        <w:t>提交</w:t>
      </w:r>
      <w:r>
        <w:rPr>
          <w:rFonts w:hint="eastAsia" w:ascii="宋体" w:hAnsi="宋体"/>
          <w:color w:val="auto"/>
          <w:highlight w:val="none"/>
        </w:rPr>
        <w:t>投标文件。委托代理人应凭本人身份证、法定代表人证明书原件和法定代表人授权委托证明书原件</w:t>
      </w:r>
      <w:r>
        <w:rPr>
          <w:rFonts w:hint="eastAsia" w:ascii="宋体" w:hAnsi="宋体"/>
          <w:bCs/>
          <w:color w:val="auto"/>
          <w:highlight w:val="none"/>
        </w:rPr>
        <w:t>提交</w:t>
      </w:r>
      <w:r>
        <w:rPr>
          <w:rFonts w:hint="eastAsia" w:ascii="宋体" w:hAnsi="宋体"/>
          <w:color w:val="auto"/>
          <w:highlight w:val="none"/>
        </w:rPr>
        <w:t>投标文件。</w:t>
      </w:r>
    </w:p>
    <w:p>
      <w:pPr>
        <w:spacing w:line="400" w:lineRule="exact"/>
        <w:ind w:firstLine="420" w:firstLineChars="200"/>
        <w:rPr>
          <w:color w:val="auto"/>
          <w:highlight w:val="none"/>
        </w:rPr>
      </w:pPr>
      <w:r>
        <w:rPr>
          <w:color w:val="auto"/>
          <w:highlight w:val="none"/>
        </w:rPr>
        <w:t xml:space="preserve">4.2.2 </w:t>
      </w:r>
      <w:r>
        <w:rPr>
          <w:rFonts w:hint="eastAsia"/>
          <w:color w:val="auto"/>
          <w:highlight w:val="none"/>
        </w:rPr>
        <w:t>投标人递交投标文件的地点：见投标人须知前附表。</w:t>
      </w:r>
    </w:p>
    <w:p>
      <w:pPr>
        <w:spacing w:line="400" w:lineRule="exact"/>
        <w:ind w:firstLine="420" w:firstLineChars="200"/>
        <w:rPr>
          <w:color w:val="auto"/>
          <w:highlight w:val="none"/>
        </w:rPr>
      </w:pPr>
      <w:r>
        <w:rPr>
          <w:color w:val="auto"/>
          <w:highlight w:val="none"/>
        </w:rPr>
        <w:t xml:space="preserve">4.2.3 </w:t>
      </w:r>
      <w:r>
        <w:rPr>
          <w:rFonts w:hint="eastAsia"/>
          <w:color w:val="auto"/>
          <w:highlight w:val="none"/>
        </w:rPr>
        <w:t>除投标人须知前附表另有规定外，投标人所递交的投标文件不予退还。</w:t>
      </w:r>
    </w:p>
    <w:p>
      <w:pPr>
        <w:spacing w:line="400" w:lineRule="exact"/>
        <w:ind w:firstLine="420" w:firstLineChars="200"/>
        <w:rPr>
          <w:color w:val="auto"/>
          <w:highlight w:val="none"/>
        </w:rPr>
      </w:pPr>
      <w:r>
        <w:rPr>
          <w:color w:val="auto"/>
          <w:highlight w:val="none"/>
        </w:rPr>
        <w:t xml:space="preserve">4.2.4 </w:t>
      </w:r>
      <w:r>
        <w:rPr>
          <w:rFonts w:hint="eastAsia"/>
          <w:color w:val="auto"/>
          <w:highlight w:val="none"/>
        </w:rPr>
        <w:t>逾期送达的或者未送达指定地点的投标文件，招标人不予受理。</w:t>
      </w:r>
    </w:p>
    <w:p>
      <w:pPr>
        <w:spacing w:line="400" w:lineRule="exact"/>
        <w:ind w:firstLine="420" w:firstLineChars="200"/>
        <w:rPr>
          <w:rFonts w:ascii="宋体" w:hAnsi="宋体"/>
          <w:color w:val="auto"/>
          <w:highlight w:val="none"/>
        </w:rPr>
      </w:pPr>
      <w:r>
        <w:rPr>
          <w:color w:val="auto"/>
          <w:highlight w:val="none"/>
        </w:rPr>
        <w:t>4.2.5</w:t>
      </w:r>
      <w:r>
        <w:rPr>
          <w:rFonts w:ascii="宋体" w:hAnsi="宋体"/>
          <w:color w:val="auto"/>
          <w:highlight w:val="none"/>
        </w:rPr>
        <w:t xml:space="preserve"> 若出现以下情况，招标人将拒绝接收投标文件：</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1）在投标截止期后逾期或未在指定地点递交投标文件的；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2）投标文件未按招标文件要求密封的；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3）投标人代表未按要求签到的；</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在投标截止期前，法定代表人提交投标文件，未同时提交本人身份证和法定代表人证明书原件，或委托代理人提交投标文件，未同时提交本人身份证、法定代表人证明书原件和法定代表人授权委托证明书原件的；</w:t>
      </w:r>
    </w:p>
    <w:p>
      <w:pPr>
        <w:spacing w:line="400" w:lineRule="exact"/>
        <w:ind w:firstLine="420" w:firstLineChars="200"/>
        <w:rPr>
          <w:rFonts w:ascii="宋体" w:hAnsi="宋体"/>
          <w:color w:val="auto"/>
          <w:highlight w:val="none"/>
          <w:u w:val="single"/>
        </w:rPr>
      </w:pPr>
      <w:r>
        <w:rPr>
          <w:rFonts w:hint="eastAsia" w:ascii="宋体" w:hAnsi="宋体"/>
          <w:color w:val="auto"/>
          <w:highlight w:val="none"/>
        </w:rPr>
        <w:t>（5）投标人未成功办理投标登记手续的。</w:t>
      </w:r>
    </w:p>
    <w:p>
      <w:pPr>
        <w:spacing w:line="400" w:lineRule="exact"/>
        <w:ind w:firstLine="420" w:firstLineChars="200"/>
        <w:rPr>
          <w:rFonts w:ascii="宋体"/>
          <w:color w:val="auto"/>
          <w:highlight w:val="none"/>
        </w:rPr>
      </w:pPr>
      <w:r>
        <w:rPr>
          <w:rFonts w:hint="eastAsia" w:ascii="宋体"/>
          <w:color w:val="auto"/>
          <w:highlight w:val="none"/>
        </w:rPr>
        <w:t>4.2.6投标截止前，招标人拒绝接收符合条件的投标文件，投标人可向招标监督机构投诉。</w:t>
      </w:r>
    </w:p>
    <w:p>
      <w:pPr>
        <w:spacing w:line="400" w:lineRule="exact"/>
        <w:ind w:firstLine="420" w:firstLineChars="200"/>
        <w:rPr>
          <w:rFonts w:ascii="宋体" w:hAnsi="宋体"/>
          <w:color w:val="auto"/>
          <w:highlight w:val="none"/>
          <w:u w:val="single"/>
        </w:rPr>
      </w:pPr>
      <w:r>
        <w:rPr>
          <w:rFonts w:hint="eastAsia" w:ascii="宋体"/>
          <w:color w:val="auto"/>
          <w:highlight w:val="none"/>
        </w:rPr>
        <w:t>4.2.7到投标截止时间止，若收到的投标文件少于3家的，本项目招标失败，将依法重新招标。</w:t>
      </w:r>
    </w:p>
    <w:p>
      <w:pPr>
        <w:pStyle w:val="8"/>
        <w:rPr>
          <w:color w:val="auto"/>
          <w:highlight w:val="none"/>
        </w:rPr>
      </w:pPr>
      <w:bookmarkStart w:id="475" w:name="_Toc152042334"/>
      <w:bookmarkStart w:id="476" w:name="_Toc3022"/>
      <w:bookmarkStart w:id="477" w:name="_Toc24863"/>
      <w:bookmarkStart w:id="478" w:name="_Toc494371542"/>
      <w:bookmarkStart w:id="479" w:name="_Toc25096"/>
      <w:bookmarkStart w:id="480" w:name="_Toc29774"/>
      <w:bookmarkStart w:id="481" w:name="_Toc29846"/>
      <w:bookmarkStart w:id="482" w:name="_Toc152045558"/>
      <w:bookmarkStart w:id="483" w:name="_Toc1732"/>
      <w:bookmarkStart w:id="484" w:name="_Toc23867"/>
      <w:bookmarkStart w:id="485" w:name="_Toc300834979"/>
      <w:bookmarkStart w:id="486" w:name="_Toc13098"/>
      <w:bookmarkStart w:id="487" w:name="_Toc28821"/>
      <w:bookmarkStart w:id="488" w:name="_Toc247513982"/>
      <w:bookmarkStart w:id="489" w:name="_Toc27188"/>
      <w:bookmarkStart w:id="490" w:name="_Toc144974526"/>
      <w:bookmarkStart w:id="491" w:name="_Toc247527583"/>
      <w:r>
        <w:rPr>
          <w:rFonts w:ascii="Times New Roman" w:hAnsi="Times New Roman"/>
          <w:color w:val="auto"/>
          <w:highlight w:val="none"/>
        </w:rPr>
        <w:t>4.3</w:t>
      </w:r>
      <w:r>
        <w:rPr>
          <w:color w:val="auto"/>
          <w:highlight w:val="none"/>
        </w:rPr>
        <w:t xml:space="preserve"> 投标文件的修改与撤回</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spacing w:line="400" w:lineRule="exact"/>
        <w:ind w:firstLine="420" w:firstLineChars="200"/>
        <w:rPr>
          <w:color w:val="auto"/>
          <w:highlight w:val="none"/>
        </w:rPr>
      </w:pPr>
      <w:r>
        <w:rPr>
          <w:color w:val="auto"/>
          <w:highlight w:val="none"/>
        </w:rPr>
        <w:t xml:space="preserve">4.3.1 </w:t>
      </w:r>
      <w:r>
        <w:rPr>
          <w:rFonts w:hint="eastAsia"/>
          <w:color w:val="auto"/>
          <w:highlight w:val="none"/>
        </w:rPr>
        <w:t>在规定的投标截止时间前，投标人可以修改或撤回已递交的投标文件，但应以书面形式通知招标人。</w:t>
      </w:r>
    </w:p>
    <w:p>
      <w:pPr>
        <w:spacing w:line="400" w:lineRule="exact"/>
        <w:ind w:firstLine="420" w:firstLineChars="200"/>
        <w:rPr>
          <w:color w:val="auto"/>
          <w:highlight w:val="none"/>
        </w:rPr>
      </w:pPr>
      <w:r>
        <w:rPr>
          <w:color w:val="auto"/>
          <w:highlight w:val="none"/>
        </w:rPr>
        <w:t xml:space="preserve">4.3.2 </w:t>
      </w:r>
      <w:r>
        <w:rPr>
          <w:rFonts w:hint="eastAsia"/>
          <w:color w:val="auto"/>
          <w:highlight w:val="none"/>
        </w:rPr>
        <w:t>投标人修改或撤回已递交投标文件的书面通知应按照本章第</w:t>
      </w:r>
      <w:r>
        <w:rPr>
          <w:color w:val="auto"/>
          <w:highlight w:val="none"/>
        </w:rPr>
        <w:t>3.7.3</w:t>
      </w:r>
      <w:r>
        <w:rPr>
          <w:rFonts w:hint="eastAsia"/>
          <w:color w:val="auto"/>
          <w:highlight w:val="none"/>
        </w:rPr>
        <w:t>项的要求签字或盖章。招标人收到书面通知后，向投标人出具签收凭证。</w:t>
      </w:r>
    </w:p>
    <w:p>
      <w:pPr>
        <w:spacing w:line="400" w:lineRule="exact"/>
        <w:ind w:firstLine="420" w:firstLineChars="200"/>
        <w:rPr>
          <w:color w:val="auto"/>
          <w:highlight w:val="none"/>
        </w:rPr>
      </w:pPr>
      <w:r>
        <w:rPr>
          <w:color w:val="auto"/>
          <w:highlight w:val="none"/>
        </w:rPr>
        <w:t xml:space="preserve">4.3.3 </w:t>
      </w:r>
      <w:r>
        <w:rPr>
          <w:rFonts w:hint="eastAsia"/>
          <w:color w:val="auto"/>
          <w:highlight w:val="none"/>
        </w:rPr>
        <w:t>投标人撤回投标文件的，招标人自收到投标人书面撤回通知之日起</w:t>
      </w:r>
      <w:r>
        <w:rPr>
          <w:color w:val="auto"/>
          <w:highlight w:val="none"/>
        </w:rPr>
        <w:t>5</w:t>
      </w:r>
      <w:r>
        <w:rPr>
          <w:rFonts w:hint="eastAsia"/>
          <w:color w:val="auto"/>
          <w:highlight w:val="none"/>
        </w:rPr>
        <w:t>日内退还已收取的投标保证金。</w:t>
      </w:r>
    </w:p>
    <w:p>
      <w:pPr>
        <w:spacing w:line="400" w:lineRule="exact"/>
        <w:ind w:firstLine="420" w:firstLineChars="200"/>
        <w:rPr>
          <w:color w:val="auto"/>
          <w:highlight w:val="none"/>
        </w:rPr>
      </w:pPr>
      <w:r>
        <w:rPr>
          <w:color w:val="auto"/>
          <w:highlight w:val="none"/>
        </w:rPr>
        <w:t xml:space="preserve">4.3.4 </w:t>
      </w:r>
      <w:r>
        <w:rPr>
          <w:rFonts w:hint="eastAsia"/>
          <w:color w:val="auto"/>
          <w:highlight w:val="none"/>
        </w:rPr>
        <w:t>修改的内容为投标文件的组成部分。修改的投标文件应按照本章第</w:t>
      </w:r>
      <w:r>
        <w:rPr>
          <w:color w:val="auto"/>
          <w:highlight w:val="none"/>
        </w:rPr>
        <w:t>3</w:t>
      </w:r>
      <w:r>
        <w:rPr>
          <w:rFonts w:hint="eastAsia"/>
          <w:color w:val="auto"/>
          <w:highlight w:val="none"/>
        </w:rPr>
        <w:t>条、第</w:t>
      </w:r>
      <w:r>
        <w:rPr>
          <w:color w:val="auto"/>
          <w:highlight w:val="none"/>
        </w:rPr>
        <w:t>4</w:t>
      </w:r>
      <w:r>
        <w:rPr>
          <w:rFonts w:hint="eastAsia"/>
          <w:color w:val="auto"/>
          <w:highlight w:val="none"/>
        </w:rPr>
        <w:t>条规定进行编制、密封、标记和递交，并标明“修改”字样。</w:t>
      </w:r>
    </w:p>
    <w:p>
      <w:pPr>
        <w:spacing w:line="400" w:lineRule="exact"/>
        <w:ind w:firstLine="420" w:firstLineChars="200"/>
        <w:rPr>
          <w:rFonts w:ascii="宋体" w:hAnsi="宋体"/>
          <w:color w:val="auto"/>
          <w:highlight w:val="none"/>
        </w:rPr>
      </w:pPr>
      <w:r>
        <w:rPr>
          <w:rFonts w:ascii="宋体" w:hAnsi="宋体"/>
          <w:color w:val="auto"/>
          <w:highlight w:val="none"/>
        </w:rPr>
        <w:t>4.3.5 在投标截止时间之后，投标人不得补充、修改和更换投标文件。</w:t>
      </w:r>
    </w:p>
    <w:p>
      <w:pPr>
        <w:spacing w:line="400" w:lineRule="exact"/>
        <w:ind w:firstLine="420" w:firstLineChars="200"/>
        <w:rPr>
          <w:color w:val="auto"/>
          <w:highlight w:val="none"/>
        </w:rPr>
      </w:pPr>
      <w:r>
        <w:rPr>
          <w:rFonts w:ascii="宋体" w:hAnsi="宋体"/>
          <w:color w:val="auto"/>
          <w:highlight w:val="none"/>
        </w:rPr>
        <w:t>4.3.6 在投标截止后，投标人在投标文件格式中规定的有效期终止日前，投标人不能撤</w:t>
      </w:r>
      <w:r>
        <w:rPr>
          <w:rFonts w:hint="eastAsia"/>
          <w:color w:val="auto"/>
          <w:highlight w:val="none"/>
        </w:rPr>
        <w:t>回投标文件，否则其投标担保将被没收，且招标人有权就其撤回行为报告政府主管部门载入不良信用记录。</w:t>
      </w:r>
    </w:p>
    <w:p>
      <w:pPr>
        <w:spacing w:line="400" w:lineRule="exact"/>
        <w:ind w:firstLine="420" w:firstLineChars="200"/>
        <w:rPr>
          <w:color w:val="auto"/>
          <w:highlight w:val="none"/>
        </w:rPr>
      </w:pPr>
    </w:p>
    <w:p>
      <w:pPr>
        <w:pStyle w:val="7"/>
        <w:rPr>
          <w:color w:val="auto"/>
          <w:highlight w:val="none"/>
        </w:rPr>
      </w:pPr>
      <w:bookmarkStart w:id="492" w:name="_Toc19353"/>
      <w:bookmarkStart w:id="493" w:name="_Toc494371543"/>
      <w:bookmarkStart w:id="494" w:name="_Toc300834980"/>
      <w:bookmarkStart w:id="495" w:name="_Toc152045559"/>
      <w:bookmarkStart w:id="496" w:name="_Toc29122"/>
      <w:bookmarkStart w:id="497" w:name="_Toc7044"/>
      <w:bookmarkStart w:id="498" w:name="_Toc21626"/>
      <w:bookmarkStart w:id="499" w:name="_Toc4859"/>
      <w:bookmarkStart w:id="500" w:name="_Toc144974527"/>
      <w:bookmarkStart w:id="501" w:name="_Toc21050"/>
      <w:bookmarkStart w:id="502" w:name="_Toc21324"/>
      <w:bookmarkStart w:id="503" w:name="_Toc247527584"/>
      <w:bookmarkStart w:id="504" w:name="_Toc17327"/>
      <w:bookmarkStart w:id="505" w:name="_Toc19988"/>
      <w:bookmarkStart w:id="506" w:name="_Toc247513983"/>
      <w:bookmarkStart w:id="507" w:name="_Toc12021"/>
      <w:bookmarkStart w:id="508" w:name="_Toc152042335"/>
      <w:bookmarkStart w:id="509" w:name="_Toc20912"/>
      <w:bookmarkStart w:id="510" w:name="_Toc4190"/>
      <w:r>
        <w:rPr>
          <w:color w:val="auto"/>
          <w:highlight w:val="none"/>
        </w:rPr>
        <w:t xml:space="preserve">5. </w:t>
      </w:r>
      <w:r>
        <w:rPr>
          <w:rFonts w:hint="eastAsia"/>
          <w:color w:val="auto"/>
          <w:highlight w:val="none"/>
        </w:rPr>
        <w:t>开标</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8"/>
        <w:rPr>
          <w:color w:val="auto"/>
          <w:highlight w:val="none"/>
        </w:rPr>
      </w:pPr>
      <w:bookmarkStart w:id="511" w:name="_Toc795"/>
      <w:bookmarkStart w:id="512" w:name="_Toc152045560"/>
      <w:bookmarkStart w:id="513" w:name="_Toc247527585"/>
      <w:bookmarkStart w:id="514" w:name="_Toc247513984"/>
      <w:bookmarkStart w:id="515" w:name="_Toc23891"/>
      <w:bookmarkStart w:id="516" w:name="_Toc152042336"/>
      <w:bookmarkStart w:id="517" w:name="_Toc27776"/>
      <w:bookmarkStart w:id="518" w:name="_Toc25302"/>
      <w:bookmarkStart w:id="519" w:name="_Toc11407"/>
      <w:bookmarkStart w:id="520" w:name="_Toc21178"/>
      <w:bookmarkStart w:id="521" w:name="_Toc144974528"/>
      <w:bookmarkStart w:id="522" w:name="_Toc11445"/>
      <w:bookmarkStart w:id="523" w:name="_Toc22910"/>
      <w:bookmarkStart w:id="524" w:name="_Toc300834981"/>
      <w:bookmarkStart w:id="525" w:name="_Toc25002"/>
      <w:bookmarkStart w:id="526" w:name="_Toc494371544"/>
      <w:bookmarkStart w:id="527" w:name="_Toc25808"/>
      <w:r>
        <w:rPr>
          <w:rFonts w:ascii="Times New Roman" w:hAnsi="Times New Roman"/>
          <w:color w:val="auto"/>
          <w:highlight w:val="none"/>
        </w:rPr>
        <w:t>5.1</w:t>
      </w:r>
      <w:r>
        <w:rPr>
          <w:color w:val="auto"/>
          <w:highlight w:val="none"/>
        </w:rPr>
        <w:t xml:space="preserve"> 开标时间和地点</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spacing w:line="400" w:lineRule="exact"/>
        <w:ind w:firstLine="420" w:firstLineChars="200"/>
        <w:rPr>
          <w:color w:val="auto"/>
          <w:highlight w:val="none"/>
        </w:rPr>
      </w:pPr>
      <w:r>
        <w:rPr>
          <w:rFonts w:hint="eastAsia"/>
          <w:color w:val="auto"/>
          <w:highlight w:val="none"/>
        </w:rPr>
        <w:t>招标人在规定的投标截止时间（开标时间）和投标人须知前附表规定的地点公开开标，并邀请所有投标人的法定代表人或其委托代理人准时参加。</w:t>
      </w:r>
    </w:p>
    <w:p>
      <w:pPr>
        <w:pStyle w:val="8"/>
        <w:rPr>
          <w:color w:val="auto"/>
          <w:highlight w:val="none"/>
        </w:rPr>
      </w:pPr>
      <w:bookmarkStart w:id="528" w:name="_Toc3986"/>
      <w:bookmarkStart w:id="529" w:name="_Toc247527586"/>
      <w:bookmarkStart w:id="530" w:name="_Toc494371545"/>
      <w:bookmarkStart w:id="531" w:name="_Toc144974529"/>
      <w:bookmarkStart w:id="532" w:name="_Toc247513985"/>
      <w:bookmarkStart w:id="533" w:name="_Toc152045561"/>
      <w:bookmarkStart w:id="534" w:name="_Toc25280"/>
      <w:bookmarkStart w:id="535" w:name="_Toc22540"/>
      <w:bookmarkStart w:id="536" w:name="_Toc15353"/>
      <w:bookmarkStart w:id="537" w:name="_Toc25227"/>
      <w:bookmarkStart w:id="538" w:name="_Toc152042337"/>
      <w:bookmarkStart w:id="539" w:name="_Toc22493"/>
      <w:bookmarkStart w:id="540" w:name="_Toc19222"/>
      <w:bookmarkStart w:id="541" w:name="_Toc300834982"/>
      <w:bookmarkStart w:id="542" w:name="_Toc2530"/>
      <w:bookmarkStart w:id="543" w:name="_Toc3230"/>
      <w:bookmarkStart w:id="544" w:name="_Toc22461"/>
      <w:r>
        <w:rPr>
          <w:rFonts w:ascii="Times New Roman" w:hAnsi="Times New Roman"/>
          <w:color w:val="auto"/>
          <w:highlight w:val="none"/>
        </w:rPr>
        <w:t>5.2</w:t>
      </w:r>
      <w:r>
        <w:rPr>
          <w:color w:val="auto"/>
          <w:highlight w:val="none"/>
        </w:rPr>
        <w:t xml:space="preserve"> 开标程序</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5.2.1 招标人按投标须知前附表所规定的时间和地点公开开标，并邀请所有投标人参加。截标后，开标开始时间因故推迟的，</w:t>
      </w:r>
      <w:r>
        <w:rPr>
          <w:rFonts w:hint="eastAsia" w:ascii="宋体" w:hAnsi="宋体"/>
          <w:color w:val="auto"/>
          <w:szCs w:val="21"/>
          <w:highlight w:val="none"/>
        </w:rPr>
        <w:t>以实际开标时间为准。</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5.2.2 开标时，出现下列情形之一的，不参与开标及后续评审工作：</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 xml:space="preserve">5.2.2.1 </w:t>
      </w:r>
      <w:r>
        <w:rPr>
          <w:rFonts w:hint="eastAsia" w:ascii="宋体" w:hAnsi="宋体"/>
          <w:color w:val="auto"/>
          <w:szCs w:val="21"/>
          <w:highlight w:val="none"/>
        </w:rPr>
        <w:t>未按招标文件要求提供投标担保的；</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3</w:t>
      </w:r>
      <w:r>
        <w:rPr>
          <w:rFonts w:ascii="宋体" w:hAnsi="宋体"/>
          <w:color w:val="auto"/>
          <w:szCs w:val="21"/>
          <w:highlight w:val="none"/>
        </w:rPr>
        <w:t xml:space="preserve"> 开标由招标人主持。</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4</w:t>
      </w:r>
      <w:r>
        <w:rPr>
          <w:rFonts w:ascii="宋体" w:hAnsi="宋体"/>
          <w:color w:val="auto"/>
          <w:szCs w:val="21"/>
          <w:highlight w:val="none"/>
        </w:rPr>
        <w:t>由投标人或其推选的代表检查投标文件的包封、标记和密封情况。</w:t>
      </w:r>
    </w:p>
    <w:p>
      <w:pPr>
        <w:spacing w:line="360" w:lineRule="auto"/>
        <w:ind w:firstLine="457" w:firstLineChars="218"/>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5</w:t>
      </w:r>
      <w:r>
        <w:rPr>
          <w:rFonts w:ascii="宋体" w:hAnsi="宋体"/>
          <w:color w:val="auto"/>
          <w:szCs w:val="21"/>
          <w:highlight w:val="none"/>
        </w:rPr>
        <w:t>开标细则</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（1）资格审查文件、设计标投标文件、施工技术标投标文件、经济标投标文件同时公开开标；</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（2）经确认无误后，由招标人当众拆封各投标人递交的资格审查文件、设计标投标文件、施工技术标投标文件、经济标投标文件。开标时宣读下列内容，并予以记录，开标记录提交评标委员会评审：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开标时，宣读</w:t>
      </w:r>
      <w:r>
        <w:rPr>
          <w:rFonts w:ascii="宋体" w:hAnsi="宋体"/>
          <w:color w:val="auto"/>
          <w:szCs w:val="21"/>
          <w:highlight w:val="none"/>
        </w:rPr>
        <w:t>a、投标人名称；b、标书密封情况；c、有无法定代表人证明书及授权委托证明书；d、投标担保递交情况；e、工期；f、质量标准；g、</w:t>
      </w:r>
      <w:r>
        <w:rPr>
          <w:rFonts w:hint="eastAsia" w:ascii="宋体" w:hAnsi="宋体"/>
          <w:color w:val="auto"/>
          <w:szCs w:val="21"/>
          <w:highlight w:val="none"/>
        </w:rPr>
        <w:t>施工</w:t>
      </w:r>
      <w:r>
        <w:rPr>
          <w:rFonts w:ascii="宋体" w:hAnsi="宋体"/>
          <w:color w:val="auto"/>
          <w:szCs w:val="21"/>
          <w:highlight w:val="none"/>
        </w:rPr>
        <w:t>负责人；h、安全员；i、设计负责人；j、投标总报价等主要内容以及开标记录表中的其他必要内容。招标人或招标代理对开标过程进行记录，并存档备查。</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（3）资格审查文件评审；编制资格审查报告。</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（4）设计标投标文件评审；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（5）施工技术标投标文件评审；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（6）经济标投标文件评审；</w:t>
      </w:r>
    </w:p>
    <w:p>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（7）</w:t>
      </w:r>
      <w:r>
        <w:rPr>
          <w:rFonts w:hint="eastAsia"/>
          <w:color w:val="auto"/>
          <w:highlight w:val="none"/>
        </w:rPr>
        <w:t>施工标评委</w:t>
      </w:r>
      <w:r>
        <w:rPr>
          <w:rFonts w:hint="eastAsia" w:ascii="宋体" w:hAnsi="宋体"/>
          <w:color w:val="auto"/>
          <w:szCs w:val="21"/>
          <w:highlight w:val="none"/>
        </w:rPr>
        <w:t>汇总设计标投标文件、施工技术标投标文件与经济标投标文件得分，并按照总分从高到低排序；</w:t>
      </w:r>
    </w:p>
    <w:p>
      <w:pPr>
        <w:spacing w:line="360" w:lineRule="auto"/>
        <w:ind w:firstLine="457" w:firstLineChars="218"/>
        <w:rPr>
          <w:color w:val="auto"/>
          <w:highlight w:val="none"/>
        </w:rPr>
      </w:pPr>
      <w:r>
        <w:rPr>
          <w:rFonts w:hint="eastAsia" w:ascii="宋体" w:hAnsi="宋体"/>
          <w:color w:val="auto"/>
          <w:szCs w:val="21"/>
          <w:highlight w:val="none"/>
        </w:rPr>
        <w:t>（8）</w:t>
      </w:r>
      <w:r>
        <w:rPr>
          <w:rFonts w:hint="eastAsia"/>
          <w:color w:val="auto"/>
          <w:highlight w:val="none"/>
        </w:rPr>
        <w:t>施工标评委</w:t>
      </w:r>
      <w:r>
        <w:rPr>
          <w:rFonts w:hint="eastAsia" w:ascii="宋体" w:hAnsi="宋体"/>
          <w:color w:val="auto"/>
          <w:szCs w:val="21"/>
          <w:highlight w:val="none"/>
        </w:rPr>
        <w:t>评标委员会向业主推荐中标候选人，编写评标报告。</w:t>
      </w:r>
    </w:p>
    <w:p>
      <w:pPr>
        <w:pStyle w:val="8"/>
        <w:rPr>
          <w:color w:val="auto"/>
          <w:highlight w:val="none"/>
        </w:rPr>
      </w:pPr>
      <w:bookmarkStart w:id="545" w:name="_Toc300834983"/>
      <w:bookmarkStart w:id="546" w:name="_Toc12520"/>
      <w:bookmarkStart w:id="547" w:name="_Toc10688"/>
      <w:bookmarkStart w:id="548" w:name="_Toc494371546"/>
      <w:bookmarkStart w:id="549" w:name="_Toc5505"/>
      <w:bookmarkStart w:id="550" w:name="_Toc20975"/>
      <w:bookmarkStart w:id="551" w:name="_Toc16449"/>
      <w:bookmarkStart w:id="552" w:name="_Toc3531"/>
      <w:bookmarkStart w:id="553" w:name="_Toc7458"/>
      <w:bookmarkStart w:id="554" w:name="_Toc29859"/>
      <w:bookmarkStart w:id="555" w:name="_Toc25032"/>
      <w:bookmarkStart w:id="556" w:name="_Toc24887"/>
      <w:r>
        <w:rPr>
          <w:rFonts w:ascii="Times New Roman" w:hAnsi="Times New Roman"/>
          <w:color w:val="auto"/>
          <w:highlight w:val="none"/>
        </w:rPr>
        <w:t>5.3</w:t>
      </w:r>
      <w:r>
        <w:rPr>
          <w:color w:val="auto"/>
          <w:highlight w:val="none"/>
        </w:rPr>
        <w:t xml:space="preserve"> 开标异议</w:t>
      </w:r>
      <w:bookmarkEnd w:id="545"/>
      <w:bookmarkEnd w:id="546"/>
      <w:bookmarkEnd w:id="547"/>
      <w:bookmarkEnd w:id="548"/>
      <w:bookmarkEnd w:id="549"/>
      <w:bookmarkEnd w:id="550"/>
      <w:bookmarkEnd w:id="551"/>
      <w:bookmarkEnd w:id="552"/>
      <w:bookmarkEnd w:id="553"/>
      <w:bookmarkEnd w:id="554"/>
      <w:bookmarkEnd w:id="555"/>
      <w:bookmarkEnd w:id="556"/>
    </w:p>
    <w:p>
      <w:pPr>
        <w:spacing w:line="400" w:lineRule="exact"/>
        <w:ind w:firstLine="359" w:firstLineChars="171"/>
        <w:rPr>
          <w:color w:val="auto"/>
          <w:highlight w:val="none"/>
        </w:rPr>
      </w:pPr>
      <w:r>
        <w:rPr>
          <w:rFonts w:hint="eastAsia"/>
          <w:color w:val="auto"/>
          <w:highlight w:val="none"/>
        </w:rPr>
        <w:t>投标人对开标有异议的，应当在开标现场提出，招标人当场作出答复，并制作记录。</w:t>
      </w:r>
    </w:p>
    <w:p>
      <w:pPr>
        <w:pStyle w:val="7"/>
        <w:rPr>
          <w:color w:val="auto"/>
          <w:highlight w:val="none"/>
        </w:rPr>
      </w:pPr>
      <w:bookmarkStart w:id="557" w:name="_Toc27705"/>
      <w:bookmarkStart w:id="558" w:name="_Toc26333"/>
      <w:bookmarkStart w:id="559" w:name="_Toc109"/>
      <w:bookmarkStart w:id="560" w:name="_Toc300834984"/>
      <w:bookmarkStart w:id="561" w:name="_Toc15719"/>
      <w:bookmarkStart w:id="562" w:name="_Toc144974530"/>
      <w:bookmarkStart w:id="563" w:name="_Toc837"/>
      <w:bookmarkStart w:id="564" w:name="_Toc30687"/>
      <w:bookmarkStart w:id="565" w:name="_Toc247527587"/>
      <w:bookmarkStart w:id="566" w:name="_Toc152045562"/>
      <w:bookmarkStart w:id="567" w:name="_Toc152042338"/>
      <w:bookmarkStart w:id="568" w:name="_Toc247513986"/>
      <w:bookmarkStart w:id="569" w:name="_Toc15084"/>
      <w:bookmarkStart w:id="570" w:name="_Toc3149"/>
      <w:bookmarkStart w:id="571" w:name="_Toc32048"/>
      <w:bookmarkStart w:id="572" w:name="_Toc30683"/>
      <w:bookmarkStart w:id="573" w:name="_Toc494371547"/>
      <w:bookmarkStart w:id="574" w:name="_Toc198"/>
      <w:bookmarkStart w:id="575" w:name="_Toc12313"/>
      <w:r>
        <w:rPr>
          <w:color w:val="auto"/>
          <w:highlight w:val="none"/>
        </w:rPr>
        <w:t xml:space="preserve">6. </w:t>
      </w:r>
      <w:r>
        <w:rPr>
          <w:rFonts w:hint="eastAsia"/>
          <w:color w:val="auto"/>
          <w:highlight w:val="none"/>
        </w:rPr>
        <w:t>评标</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pStyle w:val="8"/>
        <w:rPr>
          <w:color w:val="auto"/>
          <w:highlight w:val="none"/>
        </w:rPr>
      </w:pPr>
      <w:bookmarkStart w:id="576" w:name="_Toc16291"/>
      <w:bookmarkStart w:id="577" w:name="_Toc15741"/>
      <w:bookmarkStart w:id="578" w:name="_Toc144974531"/>
      <w:bookmarkStart w:id="579" w:name="_Toc29481"/>
      <w:bookmarkStart w:id="580" w:name="_Toc300834985"/>
      <w:bookmarkStart w:id="581" w:name="_Toc152042339"/>
      <w:bookmarkStart w:id="582" w:name="_Toc7043"/>
      <w:bookmarkStart w:id="583" w:name="_Toc494371548"/>
      <w:bookmarkStart w:id="584" w:name="_Toc2807"/>
      <w:bookmarkStart w:id="585" w:name="_Toc18724"/>
      <w:bookmarkStart w:id="586" w:name="_Toc247527588"/>
      <w:bookmarkStart w:id="587" w:name="_Toc152045563"/>
      <w:bookmarkStart w:id="588" w:name="_Toc32379"/>
      <w:bookmarkStart w:id="589" w:name="_Toc13286"/>
      <w:bookmarkStart w:id="590" w:name="_Toc3086"/>
      <w:bookmarkStart w:id="591" w:name="_Toc8891"/>
      <w:bookmarkStart w:id="592" w:name="_Toc247513987"/>
      <w:r>
        <w:rPr>
          <w:rFonts w:ascii="Times New Roman" w:hAnsi="Times New Roman"/>
          <w:color w:val="auto"/>
          <w:highlight w:val="none"/>
        </w:rPr>
        <w:t>6.1</w:t>
      </w:r>
      <w:r>
        <w:rPr>
          <w:color w:val="auto"/>
          <w:highlight w:val="none"/>
        </w:rPr>
        <w:t xml:space="preserve"> 评标委员会</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spacing w:line="400" w:lineRule="exact"/>
        <w:ind w:firstLine="420" w:firstLineChars="200"/>
        <w:rPr>
          <w:color w:val="auto"/>
          <w:highlight w:val="none"/>
        </w:rPr>
      </w:pPr>
      <w:r>
        <w:rPr>
          <w:color w:val="auto"/>
          <w:highlight w:val="none"/>
        </w:rPr>
        <w:t xml:space="preserve">6.1.1 </w:t>
      </w:r>
      <w:r>
        <w:rPr>
          <w:rFonts w:hint="eastAsia"/>
          <w:color w:val="auto"/>
          <w:highlight w:val="none"/>
        </w:rPr>
        <w:t>评标由招标人依法组建的评标委员会负责，成员人数为五人以上单数。招标人参加或派代表参加评标委员会的，人数原则上以一人为限，评标过程中不得以任何方式影响其他评标专家独立评标。</w:t>
      </w:r>
    </w:p>
    <w:p>
      <w:pPr>
        <w:pStyle w:val="8"/>
        <w:rPr>
          <w:color w:val="auto"/>
          <w:highlight w:val="none"/>
        </w:rPr>
      </w:pPr>
      <w:bookmarkStart w:id="593" w:name="_Toc300834986"/>
      <w:bookmarkStart w:id="594" w:name="_Toc247513988"/>
      <w:bookmarkStart w:id="595" w:name="_Toc19377"/>
      <w:bookmarkStart w:id="596" w:name="_Toc6886"/>
      <w:bookmarkStart w:id="597" w:name="_Toc494371549"/>
      <w:bookmarkStart w:id="598" w:name="_Toc247527589"/>
      <w:bookmarkStart w:id="599" w:name="_Toc152045564"/>
      <w:bookmarkStart w:id="600" w:name="_Toc26316"/>
      <w:bookmarkStart w:id="601" w:name="_Toc19365"/>
      <w:bookmarkStart w:id="602" w:name="_Toc30692"/>
      <w:bookmarkStart w:id="603" w:name="_Toc152042340"/>
      <w:bookmarkStart w:id="604" w:name="_Toc1462"/>
      <w:bookmarkStart w:id="605" w:name="_Toc18883"/>
      <w:bookmarkStart w:id="606" w:name="_Toc14458"/>
      <w:bookmarkStart w:id="607" w:name="_Toc12970"/>
      <w:bookmarkStart w:id="608" w:name="_Toc144974532"/>
      <w:bookmarkStart w:id="609" w:name="_Toc6335"/>
      <w:r>
        <w:rPr>
          <w:rFonts w:ascii="Times New Roman" w:hAnsi="Times New Roman"/>
          <w:color w:val="auto"/>
          <w:highlight w:val="none"/>
        </w:rPr>
        <w:t>6.2</w:t>
      </w:r>
      <w:r>
        <w:rPr>
          <w:color w:val="auto"/>
          <w:highlight w:val="none"/>
        </w:rPr>
        <w:t xml:space="preserve"> 评标原则</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spacing w:line="400" w:lineRule="exact"/>
        <w:ind w:firstLine="420" w:firstLineChars="200"/>
        <w:rPr>
          <w:color w:val="auto"/>
          <w:highlight w:val="none"/>
        </w:rPr>
      </w:pPr>
      <w:r>
        <w:rPr>
          <w:rFonts w:hint="eastAsia"/>
          <w:color w:val="auto"/>
          <w:highlight w:val="none"/>
        </w:rPr>
        <w:t>评标活动遵循公平、公正、科学和择优的原则。</w:t>
      </w:r>
    </w:p>
    <w:p>
      <w:pPr>
        <w:pStyle w:val="8"/>
        <w:rPr>
          <w:color w:val="auto"/>
          <w:highlight w:val="none"/>
        </w:rPr>
      </w:pPr>
      <w:bookmarkStart w:id="610" w:name="_Toc144974533"/>
      <w:bookmarkStart w:id="611" w:name="_Toc494371550"/>
      <w:bookmarkStart w:id="612" w:name="_Toc11669"/>
      <w:bookmarkStart w:id="613" w:name="_Toc10168"/>
      <w:bookmarkStart w:id="614" w:name="_Toc25099"/>
      <w:bookmarkStart w:id="615" w:name="_Toc16889"/>
      <w:bookmarkStart w:id="616" w:name="_Toc30595"/>
      <w:bookmarkStart w:id="617" w:name="_Toc247527590"/>
      <w:bookmarkStart w:id="618" w:name="_Toc17295"/>
      <w:bookmarkStart w:id="619" w:name="_Toc28220"/>
      <w:bookmarkStart w:id="620" w:name="_Toc25394"/>
      <w:bookmarkStart w:id="621" w:name="_Toc152042341"/>
      <w:bookmarkStart w:id="622" w:name="_Toc300834987"/>
      <w:bookmarkStart w:id="623" w:name="_Toc18237"/>
      <w:bookmarkStart w:id="624" w:name="_Toc152045565"/>
      <w:bookmarkStart w:id="625" w:name="_Toc247513989"/>
      <w:bookmarkStart w:id="626" w:name="_Toc8724"/>
      <w:r>
        <w:rPr>
          <w:rFonts w:ascii="Times New Roman" w:hAnsi="Times New Roman"/>
          <w:color w:val="auto"/>
          <w:highlight w:val="none"/>
        </w:rPr>
        <w:t>6.3</w:t>
      </w:r>
      <w:r>
        <w:rPr>
          <w:color w:val="auto"/>
          <w:highlight w:val="none"/>
        </w:rPr>
        <w:t xml:space="preserve"> 评标</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spacing w:line="400" w:lineRule="exact"/>
        <w:ind w:firstLine="420" w:firstLineChars="200"/>
        <w:rPr>
          <w:color w:val="auto"/>
          <w:highlight w:val="none"/>
        </w:rPr>
      </w:pPr>
      <w:r>
        <w:rPr>
          <w:rFonts w:hint="eastAsia"/>
          <w:color w:val="auto"/>
          <w:highlight w:val="none"/>
        </w:rPr>
        <w:t>评标委员会按照第三章“评标办法”规定的方法、评审因素、标准和程序对投标文件进行评审。第三章“评标办法”没有规定的方法、评审因素和标准，不作为评标依据。</w:t>
      </w:r>
    </w:p>
    <w:p>
      <w:pPr>
        <w:pStyle w:val="7"/>
        <w:rPr>
          <w:color w:val="auto"/>
          <w:highlight w:val="none"/>
        </w:rPr>
      </w:pPr>
      <w:bookmarkStart w:id="627" w:name="_Toc152042342"/>
      <w:bookmarkStart w:id="628" w:name="_Toc22878"/>
      <w:bookmarkStart w:id="629" w:name="_Toc247527591"/>
      <w:bookmarkStart w:id="630" w:name="_Toc23086"/>
      <w:bookmarkStart w:id="631" w:name="_Toc17020"/>
      <w:bookmarkStart w:id="632" w:name="_Toc22306"/>
      <w:bookmarkStart w:id="633" w:name="_Toc300834988"/>
      <w:bookmarkStart w:id="634" w:name="_Toc6130"/>
      <w:bookmarkStart w:id="635" w:name="_Toc26245"/>
      <w:bookmarkStart w:id="636" w:name="_Toc30273"/>
      <w:bookmarkStart w:id="637" w:name="_Toc5557"/>
      <w:bookmarkStart w:id="638" w:name="_Toc144974534"/>
      <w:bookmarkStart w:id="639" w:name="_Toc9728"/>
      <w:bookmarkStart w:id="640" w:name="_Toc5422"/>
      <w:bookmarkStart w:id="641" w:name="_Toc152045566"/>
      <w:bookmarkStart w:id="642" w:name="_Toc12877"/>
      <w:bookmarkStart w:id="643" w:name="_Toc494371551"/>
      <w:bookmarkStart w:id="644" w:name="_Toc247513990"/>
      <w:bookmarkStart w:id="645" w:name="_Toc24084"/>
      <w:r>
        <w:rPr>
          <w:color w:val="auto"/>
          <w:highlight w:val="none"/>
        </w:rPr>
        <w:t xml:space="preserve">7. </w:t>
      </w:r>
      <w:r>
        <w:rPr>
          <w:rFonts w:hint="eastAsia"/>
          <w:color w:val="auto"/>
          <w:highlight w:val="none"/>
        </w:rPr>
        <w:t>合同授予</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pStyle w:val="8"/>
        <w:rPr>
          <w:color w:val="auto"/>
          <w:highlight w:val="none"/>
        </w:rPr>
      </w:pPr>
      <w:bookmarkStart w:id="646" w:name="_Toc10016"/>
      <w:bookmarkStart w:id="647" w:name="_Toc247527592"/>
      <w:bookmarkStart w:id="648" w:name="_Toc152042343"/>
      <w:bookmarkStart w:id="649" w:name="_Toc2434"/>
      <w:bookmarkStart w:id="650" w:name="_Toc7596"/>
      <w:bookmarkStart w:id="651" w:name="_Toc25537"/>
      <w:bookmarkStart w:id="652" w:name="_Toc28741"/>
      <w:bookmarkStart w:id="653" w:name="_Toc28912"/>
      <w:bookmarkStart w:id="654" w:name="_Toc28811"/>
      <w:bookmarkStart w:id="655" w:name="_Toc494371552"/>
      <w:bookmarkStart w:id="656" w:name="_Toc144974535"/>
      <w:bookmarkStart w:id="657" w:name="_Toc247513991"/>
      <w:bookmarkStart w:id="658" w:name="_Toc620"/>
      <w:bookmarkStart w:id="659" w:name="_Toc29318"/>
      <w:bookmarkStart w:id="660" w:name="_Toc300834989"/>
      <w:bookmarkStart w:id="661" w:name="_Toc152045567"/>
      <w:bookmarkStart w:id="662" w:name="_Toc6661"/>
      <w:r>
        <w:rPr>
          <w:rFonts w:ascii="Times New Roman" w:hAnsi="Times New Roman"/>
          <w:color w:val="auto"/>
          <w:highlight w:val="none"/>
        </w:rPr>
        <w:t>7.1</w:t>
      </w:r>
      <w:r>
        <w:rPr>
          <w:color w:val="auto"/>
          <w:highlight w:val="none"/>
        </w:rPr>
        <w:t xml:space="preserve"> 定标方式</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400" w:lineRule="exact"/>
        <w:ind w:firstLine="420" w:firstLineChars="200"/>
        <w:rPr>
          <w:rFonts w:ascii="宋体" w:hAnsi="宋体" w:cs="宋体"/>
          <w:color w:val="auto"/>
          <w:highlight w:val="none"/>
        </w:rPr>
      </w:pPr>
      <w:r>
        <w:rPr>
          <w:rFonts w:ascii="宋体" w:hAnsi="宋体" w:cs="宋体"/>
          <w:color w:val="auto"/>
          <w:highlight w:val="none"/>
        </w:rPr>
        <w:t>7.1.1</w:t>
      </w:r>
      <w:r>
        <w:rPr>
          <w:rFonts w:hint="eastAsia" w:ascii="宋体" w:hAnsi="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ascii="宋体" w:hAnsi="宋体" w:cs="宋体"/>
          <w:color w:val="auto"/>
          <w:highlight w:val="none"/>
        </w:rPr>
      </w:pPr>
      <w:r>
        <w:rPr>
          <w:rFonts w:ascii="宋体" w:hAnsi="宋体" w:cs="宋体"/>
          <w:color w:val="auto"/>
          <w:highlight w:val="none"/>
        </w:rPr>
        <w:t>7.1.2 依法必须进行公开招标的项目，招标人应当确定排名第一的中标候选人为中标人。</w:t>
      </w:r>
    </w:p>
    <w:p>
      <w:pPr>
        <w:spacing w:line="400" w:lineRule="exact"/>
        <w:ind w:firstLine="420" w:firstLineChars="200"/>
        <w:rPr>
          <w:color w:val="auto"/>
          <w:highlight w:val="none"/>
        </w:rPr>
      </w:pPr>
      <w:r>
        <w:rPr>
          <w:rFonts w:ascii="宋体" w:hAnsi="宋体" w:cs="宋体"/>
          <w:color w:val="auto"/>
          <w:highlight w:val="none"/>
        </w:rPr>
        <w:t>7.1.3</w:t>
      </w:r>
      <w:r>
        <w:rPr>
          <w:rFonts w:hint="eastAsia" w:ascii="宋体" w:hAnsi="宋体" w:cs="宋体"/>
          <w:color w:val="auto"/>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8"/>
        <w:rPr>
          <w:color w:val="auto"/>
          <w:highlight w:val="none"/>
        </w:rPr>
      </w:pPr>
      <w:bookmarkStart w:id="663" w:name="_Toc300834990"/>
      <w:bookmarkStart w:id="664" w:name="_Toc21974"/>
      <w:bookmarkStart w:id="665" w:name="_Toc16401"/>
      <w:bookmarkStart w:id="666" w:name="_Toc32142"/>
      <w:bookmarkStart w:id="667" w:name="_Toc3190"/>
      <w:bookmarkStart w:id="668" w:name="_Toc30311"/>
      <w:bookmarkStart w:id="669" w:name="_Toc10691"/>
      <w:bookmarkStart w:id="670" w:name="_Toc9281"/>
      <w:bookmarkStart w:id="671" w:name="_Toc31309"/>
      <w:bookmarkStart w:id="672" w:name="_Toc25164"/>
      <w:bookmarkStart w:id="673" w:name="_Toc494371553"/>
      <w:bookmarkStart w:id="674" w:name="_Toc8069"/>
      <w:r>
        <w:rPr>
          <w:rFonts w:ascii="Times New Roman" w:hAnsi="Times New Roman"/>
          <w:color w:val="auto"/>
          <w:highlight w:val="none"/>
        </w:rPr>
        <w:t>7.2</w:t>
      </w:r>
      <w:r>
        <w:rPr>
          <w:color w:val="auto"/>
          <w:highlight w:val="none"/>
        </w:rPr>
        <w:t xml:space="preserve"> 中标候选人公示</w:t>
      </w:r>
      <w:bookmarkEnd w:id="663"/>
      <w:bookmarkEnd w:id="664"/>
      <w:bookmarkEnd w:id="665"/>
      <w:bookmarkEnd w:id="666"/>
      <w:bookmarkEnd w:id="667"/>
      <w:bookmarkEnd w:id="668"/>
      <w:bookmarkEnd w:id="669"/>
      <w:bookmarkEnd w:id="670"/>
      <w:bookmarkEnd w:id="671"/>
      <w:bookmarkEnd w:id="672"/>
      <w:bookmarkEnd w:id="673"/>
      <w:bookmarkEnd w:id="674"/>
    </w:p>
    <w:p>
      <w:pPr>
        <w:spacing w:line="400" w:lineRule="exact"/>
        <w:ind w:firstLine="420" w:firstLineChars="200"/>
        <w:rPr>
          <w:color w:val="auto"/>
          <w:highlight w:val="none"/>
        </w:rPr>
      </w:pPr>
      <w:r>
        <w:rPr>
          <w:rFonts w:hint="eastAsia"/>
          <w:color w:val="auto"/>
          <w:highlight w:val="none"/>
        </w:rPr>
        <w:t>在广州南沙资产经营有限公司网站公示中标候选人。</w:t>
      </w:r>
    </w:p>
    <w:p>
      <w:pPr>
        <w:pStyle w:val="8"/>
        <w:rPr>
          <w:color w:val="auto"/>
          <w:highlight w:val="none"/>
        </w:rPr>
      </w:pPr>
      <w:bookmarkStart w:id="675" w:name="_Toc6019"/>
      <w:bookmarkStart w:id="676" w:name="_Toc15630"/>
      <w:bookmarkStart w:id="677" w:name="_Toc9148"/>
      <w:bookmarkStart w:id="678" w:name="_Toc3421"/>
      <w:bookmarkStart w:id="679" w:name="_Toc494371554"/>
      <w:bookmarkStart w:id="680" w:name="_Toc14116"/>
      <w:bookmarkStart w:id="681" w:name="_Toc775"/>
      <w:bookmarkStart w:id="682" w:name="_Toc247513992"/>
      <w:bookmarkStart w:id="683" w:name="_Toc8897"/>
      <w:bookmarkStart w:id="684" w:name="_Toc144974536"/>
      <w:bookmarkStart w:id="685" w:name="_Toc16751"/>
      <w:bookmarkStart w:id="686" w:name="_Toc32373"/>
      <w:bookmarkStart w:id="687" w:name="_Toc152042344"/>
      <w:bookmarkStart w:id="688" w:name="_Toc300834991"/>
      <w:bookmarkStart w:id="689" w:name="_Toc247527593"/>
      <w:bookmarkStart w:id="690" w:name="_Toc14168"/>
      <w:bookmarkStart w:id="691" w:name="_Toc152045568"/>
      <w:r>
        <w:rPr>
          <w:rFonts w:ascii="Times New Roman" w:hAnsi="Times New Roman"/>
          <w:color w:val="auto"/>
          <w:highlight w:val="none"/>
        </w:rPr>
        <w:t>7.3</w:t>
      </w:r>
      <w:r>
        <w:rPr>
          <w:color w:val="auto"/>
          <w:highlight w:val="none"/>
        </w:rPr>
        <w:t xml:space="preserve"> 中标通知</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spacing w:line="400" w:lineRule="exact"/>
        <w:ind w:firstLine="420" w:firstLineChars="200"/>
        <w:rPr>
          <w:color w:val="auto"/>
          <w:highlight w:val="none"/>
        </w:rPr>
      </w:pPr>
      <w:r>
        <w:rPr>
          <w:rFonts w:hint="eastAsia"/>
          <w:color w:val="auto"/>
          <w:highlight w:val="none"/>
        </w:rPr>
        <w:t>评标公示后，在本章第</w:t>
      </w:r>
      <w:r>
        <w:rPr>
          <w:color w:val="auto"/>
          <w:highlight w:val="none"/>
        </w:rPr>
        <w:t xml:space="preserve">3.3 </w:t>
      </w:r>
      <w:r>
        <w:rPr>
          <w:rFonts w:hint="eastAsia"/>
          <w:color w:val="auto"/>
          <w:highlight w:val="none"/>
        </w:rPr>
        <w:t>款规定的投标有效期内，招标人以书面形式向中标人发出中标通知书。</w:t>
      </w:r>
    </w:p>
    <w:p>
      <w:pPr>
        <w:pStyle w:val="8"/>
        <w:rPr>
          <w:color w:val="auto"/>
          <w:highlight w:val="none"/>
        </w:rPr>
      </w:pPr>
      <w:bookmarkStart w:id="692" w:name="_Toc300834993"/>
      <w:bookmarkStart w:id="693" w:name="_Toc144974538"/>
      <w:bookmarkStart w:id="694" w:name="_Toc20159"/>
      <w:bookmarkStart w:id="695" w:name="_Toc494371556"/>
      <w:bookmarkStart w:id="696" w:name="_Toc14095"/>
      <w:bookmarkStart w:id="697" w:name="_Toc152042346"/>
      <w:bookmarkStart w:id="698" w:name="_Toc8137"/>
      <w:bookmarkStart w:id="699" w:name="_Toc12825"/>
      <w:bookmarkStart w:id="700" w:name="_Toc21116"/>
      <w:bookmarkStart w:id="701" w:name="_Toc247513994"/>
      <w:bookmarkStart w:id="702" w:name="_Toc20796"/>
      <w:bookmarkStart w:id="703" w:name="_Toc247527595"/>
      <w:bookmarkStart w:id="704" w:name="_Toc21568"/>
      <w:bookmarkStart w:id="705" w:name="_Toc1202"/>
      <w:bookmarkStart w:id="706" w:name="_Toc17963"/>
      <w:bookmarkStart w:id="707" w:name="_Toc5220"/>
      <w:bookmarkStart w:id="708" w:name="_Toc152045570"/>
      <w:r>
        <w:rPr>
          <w:rFonts w:ascii="Times New Roman" w:hAnsi="Times New Roman"/>
          <w:color w:val="auto"/>
          <w:highlight w:val="none"/>
        </w:rPr>
        <w:t>7.</w:t>
      </w:r>
      <w:r>
        <w:rPr>
          <w:rFonts w:hint="eastAsia" w:ascii="Times New Roman" w:hAnsi="Times New Roman"/>
          <w:color w:val="auto"/>
          <w:highlight w:val="none"/>
        </w:rPr>
        <w:t>4</w:t>
      </w:r>
      <w:r>
        <w:rPr>
          <w:color w:val="auto"/>
          <w:highlight w:val="none"/>
        </w:rPr>
        <w:t xml:space="preserve"> 签订合同</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spacing w:line="400" w:lineRule="exact"/>
        <w:ind w:firstLine="420" w:firstLineChars="200"/>
        <w:rPr>
          <w:color w:val="auto"/>
          <w:highlight w:val="none"/>
        </w:rPr>
      </w:pPr>
      <w:r>
        <w:rPr>
          <w:color w:val="auto"/>
          <w:highlight w:val="none"/>
        </w:rPr>
        <w:t xml:space="preserve">7.5.1 </w:t>
      </w:r>
      <w:r>
        <w:rPr>
          <w:rFonts w:hint="eastAsia"/>
          <w:color w:val="auto"/>
          <w:highlight w:val="none"/>
        </w:rPr>
        <w:t>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color w:val="auto"/>
          <w:highlight w:val="none"/>
        </w:rPr>
      </w:pPr>
      <w:r>
        <w:rPr>
          <w:color w:val="auto"/>
          <w:highlight w:val="none"/>
        </w:rPr>
        <w:t xml:space="preserve">7.5.2 </w:t>
      </w:r>
      <w:r>
        <w:rPr>
          <w:rFonts w:hint="eastAsia"/>
          <w:color w:val="auto"/>
          <w:highlight w:val="none"/>
        </w:rPr>
        <w:t>发出中标通知书后，招标人无正当理由拒签合同的，招标人向中标人退还投标保证金；给中标人造成损失的，还应当赔偿损失。</w:t>
      </w:r>
    </w:p>
    <w:p>
      <w:pPr>
        <w:pStyle w:val="7"/>
        <w:rPr>
          <w:color w:val="auto"/>
          <w:highlight w:val="none"/>
        </w:rPr>
      </w:pPr>
      <w:bookmarkStart w:id="709" w:name="_Toc152042347"/>
      <w:bookmarkStart w:id="710" w:name="_Toc247513995"/>
      <w:bookmarkStart w:id="711" w:name="_Toc144974539"/>
      <w:bookmarkStart w:id="712" w:name="_Toc152045571"/>
      <w:bookmarkStart w:id="713" w:name="_Toc247527596"/>
      <w:bookmarkStart w:id="714" w:name="_Toc300834994"/>
      <w:bookmarkStart w:id="715" w:name="_Toc25920"/>
      <w:bookmarkStart w:id="716" w:name="_Toc3080"/>
      <w:bookmarkStart w:id="717" w:name="_Toc16289"/>
      <w:bookmarkStart w:id="718" w:name="_Toc24208"/>
      <w:bookmarkStart w:id="719" w:name="_Toc22337"/>
      <w:bookmarkStart w:id="720" w:name="_Toc494371557"/>
      <w:bookmarkStart w:id="721" w:name="_Toc4387"/>
      <w:bookmarkStart w:id="722" w:name="_Toc27652"/>
      <w:bookmarkStart w:id="723" w:name="_Toc1819"/>
      <w:bookmarkStart w:id="724" w:name="_Toc12071"/>
      <w:bookmarkStart w:id="725" w:name="_Toc5006"/>
      <w:bookmarkStart w:id="726" w:name="_Toc7104"/>
      <w:bookmarkStart w:id="727" w:name="_Toc26309"/>
      <w:r>
        <w:rPr>
          <w:color w:val="auto"/>
          <w:highlight w:val="none"/>
        </w:rPr>
        <w:t>8</w:t>
      </w:r>
      <w:bookmarkEnd w:id="709"/>
      <w:bookmarkEnd w:id="710"/>
      <w:bookmarkEnd w:id="711"/>
      <w:bookmarkEnd w:id="712"/>
      <w:bookmarkEnd w:id="713"/>
      <w:bookmarkStart w:id="728" w:name="_Toc152045574"/>
      <w:bookmarkStart w:id="729" w:name="_Toc247513998"/>
      <w:bookmarkStart w:id="730" w:name="_Toc247527599"/>
      <w:bookmarkStart w:id="731" w:name="_Toc144974542"/>
      <w:bookmarkStart w:id="732" w:name="_Toc152042350"/>
      <w:r>
        <w:rPr>
          <w:rFonts w:hint="eastAsia"/>
          <w:color w:val="auto"/>
          <w:highlight w:val="none"/>
        </w:rPr>
        <w:t>. 纪律和监督</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8"/>
        <w:rPr>
          <w:color w:val="auto"/>
          <w:highlight w:val="none"/>
        </w:rPr>
      </w:pPr>
      <w:bookmarkStart w:id="733" w:name="_Toc27050"/>
      <w:bookmarkStart w:id="734" w:name="_Toc23906"/>
      <w:bookmarkStart w:id="735" w:name="_Toc152045575"/>
      <w:bookmarkStart w:id="736" w:name="_Toc12304"/>
      <w:bookmarkStart w:id="737" w:name="_Toc247527600"/>
      <w:bookmarkStart w:id="738" w:name="_Toc152042351"/>
      <w:bookmarkStart w:id="739" w:name="_Toc144974543"/>
      <w:bookmarkStart w:id="740" w:name="_Toc32569"/>
      <w:bookmarkStart w:id="741" w:name="_Toc247513999"/>
      <w:bookmarkStart w:id="742" w:name="_Toc494371558"/>
      <w:bookmarkStart w:id="743" w:name="_Toc27460"/>
      <w:bookmarkStart w:id="744" w:name="_Toc13879"/>
      <w:bookmarkStart w:id="745" w:name="_Toc26340"/>
      <w:bookmarkStart w:id="746" w:name="_Toc7513"/>
      <w:bookmarkStart w:id="747" w:name="_Toc22388"/>
      <w:bookmarkStart w:id="748" w:name="_Toc300834995"/>
      <w:bookmarkStart w:id="749" w:name="_Toc15792"/>
      <w:r>
        <w:rPr>
          <w:rFonts w:ascii="Times New Roman" w:hAnsi="Times New Roman"/>
          <w:color w:val="auto"/>
          <w:highlight w:val="none"/>
        </w:rPr>
        <w:t>8.1</w:t>
      </w:r>
      <w:r>
        <w:rPr>
          <w:color w:val="auto"/>
          <w:highlight w:val="none"/>
        </w:rPr>
        <w:t xml:space="preserve"> 对招标人的纪律要求</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spacing w:line="400" w:lineRule="exact"/>
        <w:ind w:firstLine="420" w:firstLineChars="200"/>
        <w:rPr>
          <w:color w:val="auto"/>
          <w:highlight w:val="none"/>
        </w:rPr>
      </w:pPr>
      <w:r>
        <w:rPr>
          <w:rFonts w:hint="eastAsia"/>
          <w:color w:val="auto"/>
          <w:highlight w:val="none"/>
        </w:rPr>
        <w:t>招标人不得泄漏招标投标活动中应当保密的情况和资料，不得与投标人串通损害国家利益、社会公共利益或者他人合法权益。</w:t>
      </w:r>
    </w:p>
    <w:p>
      <w:pPr>
        <w:pStyle w:val="8"/>
        <w:rPr>
          <w:color w:val="auto"/>
          <w:highlight w:val="none"/>
        </w:rPr>
      </w:pPr>
      <w:bookmarkStart w:id="750" w:name="_Toc152042352"/>
      <w:bookmarkStart w:id="751" w:name="_Toc300834996"/>
      <w:bookmarkStart w:id="752" w:name="_Toc26587"/>
      <w:bookmarkStart w:id="753" w:name="_Toc144974544"/>
      <w:bookmarkStart w:id="754" w:name="_Toc15845"/>
      <w:bookmarkStart w:id="755" w:name="_Toc19057"/>
      <w:bookmarkStart w:id="756" w:name="_Toc14942"/>
      <w:bookmarkStart w:id="757" w:name="_Toc494371559"/>
      <w:bookmarkStart w:id="758" w:name="_Toc247514000"/>
      <w:bookmarkStart w:id="759" w:name="_Toc247527601"/>
      <w:bookmarkStart w:id="760" w:name="_Toc8212"/>
      <w:bookmarkStart w:id="761" w:name="_Toc152045576"/>
      <w:bookmarkStart w:id="762" w:name="_Toc2646"/>
      <w:bookmarkStart w:id="763" w:name="_Toc31880"/>
      <w:bookmarkStart w:id="764" w:name="_Toc25080"/>
      <w:bookmarkStart w:id="765" w:name="_Toc31828"/>
      <w:bookmarkStart w:id="766" w:name="_Toc4332"/>
      <w:r>
        <w:rPr>
          <w:rFonts w:ascii="Times New Roman" w:hAnsi="Times New Roman"/>
          <w:color w:val="auto"/>
          <w:highlight w:val="none"/>
        </w:rPr>
        <w:t>8.2</w:t>
      </w:r>
      <w:r>
        <w:rPr>
          <w:color w:val="auto"/>
          <w:highlight w:val="none"/>
        </w:rPr>
        <w:t xml:space="preserve"> 对投标人的纪律要求</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spacing w:line="400" w:lineRule="exact"/>
        <w:ind w:firstLine="420" w:firstLineChars="200"/>
        <w:rPr>
          <w:color w:val="auto"/>
          <w:highlight w:val="none"/>
        </w:rPr>
      </w:pPr>
      <w:r>
        <w:rPr>
          <w:rFonts w:hint="eastAsia"/>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8"/>
        <w:rPr>
          <w:color w:val="auto"/>
          <w:highlight w:val="none"/>
        </w:rPr>
      </w:pPr>
      <w:bookmarkStart w:id="767" w:name="_Toc152042353"/>
      <w:bookmarkStart w:id="768" w:name="_Toc402"/>
      <w:bookmarkStart w:id="769" w:name="_Toc17070"/>
      <w:bookmarkStart w:id="770" w:name="_Toc21624"/>
      <w:bookmarkStart w:id="771" w:name="_Toc9766"/>
      <w:bookmarkStart w:id="772" w:name="_Toc247527602"/>
      <w:bookmarkStart w:id="773" w:name="_Toc17727"/>
      <w:bookmarkStart w:id="774" w:name="_Toc15857"/>
      <w:bookmarkStart w:id="775" w:name="_Toc15492"/>
      <w:bookmarkStart w:id="776" w:name="_Toc247514001"/>
      <w:bookmarkStart w:id="777" w:name="_Toc494371560"/>
      <w:bookmarkStart w:id="778" w:name="_Toc28024"/>
      <w:bookmarkStart w:id="779" w:name="_Toc144974545"/>
      <w:bookmarkStart w:id="780" w:name="_Toc11809"/>
      <w:bookmarkStart w:id="781" w:name="_Toc300834997"/>
      <w:bookmarkStart w:id="782" w:name="_Toc152045577"/>
      <w:bookmarkStart w:id="783" w:name="_Toc23820"/>
      <w:r>
        <w:rPr>
          <w:rFonts w:ascii="Times New Roman" w:hAnsi="Times New Roman"/>
          <w:color w:val="auto"/>
          <w:highlight w:val="none"/>
        </w:rPr>
        <w:t>8.3</w:t>
      </w:r>
      <w:r>
        <w:rPr>
          <w:color w:val="auto"/>
          <w:highlight w:val="none"/>
        </w:rPr>
        <w:t xml:space="preserve"> 对评标委员会成员的纪律要求</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spacing w:line="400" w:lineRule="exact"/>
        <w:ind w:firstLine="420" w:firstLineChars="200"/>
        <w:rPr>
          <w:color w:val="auto"/>
          <w:highlight w:val="none"/>
        </w:rPr>
      </w:pPr>
      <w:r>
        <w:rPr>
          <w:rFonts w:hint="eastAsia"/>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8"/>
        <w:rPr>
          <w:color w:val="auto"/>
          <w:highlight w:val="none"/>
        </w:rPr>
      </w:pPr>
      <w:bookmarkStart w:id="784" w:name="_Toc29753"/>
      <w:bookmarkStart w:id="785" w:name="_Toc30457"/>
      <w:bookmarkStart w:id="786" w:name="_Toc247514002"/>
      <w:bookmarkStart w:id="787" w:name="_Toc152045578"/>
      <w:bookmarkStart w:id="788" w:name="_Toc247527603"/>
      <w:bookmarkStart w:id="789" w:name="_Toc11718"/>
      <w:bookmarkStart w:id="790" w:name="_Toc21492"/>
      <w:bookmarkStart w:id="791" w:name="_Toc10968"/>
      <w:bookmarkStart w:id="792" w:name="_Toc300834998"/>
      <w:bookmarkStart w:id="793" w:name="_Toc4059"/>
      <w:bookmarkStart w:id="794" w:name="_Toc152042354"/>
      <w:bookmarkStart w:id="795" w:name="_Toc27915"/>
      <w:bookmarkStart w:id="796" w:name="_Toc494371561"/>
      <w:bookmarkStart w:id="797" w:name="_Toc23511"/>
      <w:bookmarkStart w:id="798" w:name="_Toc15170"/>
      <w:bookmarkStart w:id="799" w:name="_Toc7845"/>
      <w:bookmarkStart w:id="800" w:name="_Toc144974546"/>
      <w:r>
        <w:rPr>
          <w:rFonts w:ascii="Times New Roman" w:hAnsi="Times New Roman"/>
          <w:color w:val="auto"/>
          <w:highlight w:val="none"/>
        </w:rPr>
        <w:t>8.4</w:t>
      </w:r>
      <w:r>
        <w:rPr>
          <w:color w:val="auto"/>
          <w:highlight w:val="none"/>
        </w:rPr>
        <w:t xml:space="preserve"> 对与评标活动有关的工作人员的纪律要求</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pPr>
        <w:spacing w:line="400" w:lineRule="exact"/>
        <w:ind w:firstLine="420" w:firstLineChars="200"/>
        <w:rPr>
          <w:color w:val="auto"/>
          <w:highlight w:val="none"/>
        </w:rPr>
      </w:pPr>
      <w:bookmarkStart w:id="801" w:name="_Toc152042355"/>
      <w:r>
        <w:rPr>
          <w:rFonts w:hint="eastAsia"/>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01"/>
    </w:p>
    <w:p>
      <w:pPr>
        <w:pStyle w:val="8"/>
        <w:rPr>
          <w:color w:val="auto"/>
          <w:highlight w:val="none"/>
        </w:rPr>
      </w:pPr>
      <w:bookmarkStart w:id="802" w:name="_Toc152042356"/>
      <w:bookmarkStart w:id="803" w:name="_Toc247514003"/>
      <w:bookmarkStart w:id="804" w:name="_Toc24198"/>
      <w:bookmarkStart w:id="805" w:name="_Toc13039"/>
      <w:bookmarkStart w:id="806" w:name="_Toc152045579"/>
      <w:bookmarkStart w:id="807" w:name="_Toc247527604"/>
      <w:bookmarkStart w:id="808" w:name="_Toc19195"/>
      <w:bookmarkStart w:id="809" w:name="_Toc21044"/>
      <w:bookmarkStart w:id="810" w:name="_Toc29127"/>
      <w:bookmarkStart w:id="811" w:name="_Toc26570"/>
      <w:bookmarkStart w:id="812" w:name="_Toc32045"/>
      <w:bookmarkStart w:id="813" w:name="_Toc1588"/>
      <w:bookmarkStart w:id="814" w:name="_Toc9764"/>
      <w:bookmarkStart w:id="815" w:name="_Toc300834999"/>
      <w:bookmarkStart w:id="816" w:name="_Toc18798"/>
      <w:bookmarkStart w:id="817" w:name="_Toc494371562"/>
      <w:r>
        <w:rPr>
          <w:rFonts w:ascii="Times New Roman" w:hAnsi="Times New Roman"/>
          <w:color w:val="auto"/>
          <w:highlight w:val="none"/>
        </w:rPr>
        <w:t>8.5</w:t>
      </w:r>
      <w:r>
        <w:rPr>
          <w:color w:val="auto"/>
          <w:highlight w:val="none"/>
        </w:rPr>
        <w:t xml:space="preserve"> 投诉</w:t>
      </w:r>
      <w:bookmarkEnd w:id="800"/>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spacing w:line="400" w:lineRule="exact"/>
        <w:ind w:firstLine="420" w:firstLineChars="200"/>
        <w:rPr>
          <w:color w:val="auto"/>
          <w:highlight w:val="none"/>
        </w:rPr>
      </w:pPr>
      <w:r>
        <w:rPr>
          <w:rFonts w:hint="eastAsia"/>
          <w:color w:val="auto"/>
          <w:highlight w:val="none"/>
        </w:rPr>
        <w:t>投标人和其他利害关系人认为本次招标活动违反法律、法规和规章规定的，有权向有关行政监督部门投诉。</w:t>
      </w:r>
    </w:p>
    <w:p>
      <w:pPr>
        <w:pStyle w:val="7"/>
        <w:rPr>
          <w:color w:val="auto"/>
          <w:highlight w:val="none"/>
        </w:rPr>
      </w:pPr>
      <w:bookmarkStart w:id="818" w:name="_Toc11552"/>
      <w:bookmarkStart w:id="819" w:name="_Toc247514004"/>
      <w:bookmarkStart w:id="820" w:name="_Toc10294"/>
      <w:bookmarkStart w:id="821" w:name="_Toc494371563"/>
      <w:bookmarkStart w:id="822" w:name="_Toc25605"/>
      <w:bookmarkStart w:id="823" w:name="_Toc144974547"/>
      <w:bookmarkStart w:id="824" w:name="_Toc152042357"/>
      <w:bookmarkStart w:id="825" w:name="_Toc9682"/>
      <w:bookmarkStart w:id="826" w:name="_Toc24403"/>
      <w:bookmarkStart w:id="827" w:name="_Toc8751"/>
      <w:bookmarkStart w:id="828" w:name="_Toc22887"/>
      <w:bookmarkStart w:id="829" w:name="_Toc797"/>
      <w:bookmarkStart w:id="830" w:name="_Toc28094"/>
      <w:bookmarkStart w:id="831" w:name="_Toc247527605"/>
      <w:bookmarkStart w:id="832" w:name="_Toc300835000"/>
      <w:bookmarkStart w:id="833" w:name="_Toc17185"/>
      <w:bookmarkStart w:id="834" w:name="_Toc152045580"/>
      <w:bookmarkStart w:id="835" w:name="_Toc15576"/>
      <w:bookmarkStart w:id="836" w:name="_Toc32584"/>
      <w:r>
        <w:rPr>
          <w:color w:val="auto"/>
          <w:highlight w:val="none"/>
        </w:rPr>
        <w:t xml:space="preserve">9. </w:t>
      </w:r>
      <w:r>
        <w:rPr>
          <w:rFonts w:hint="eastAsia"/>
          <w:color w:val="auto"/>
          <w:highlight w:val="none"/>
        </w:rPr>
        <w:t>需要补充的其他内容</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spacing w:line="400" w:lineRule="exact"/>
        <w:ind w:firstLine="420" w:firstLineChars="200"/>
        <w:rPr>
          <w:color w:val="auto"/>
          <w:highlight w:val="none"/>
        </w:rPr>
      </w:pPr>
      <w:r>
        <w:rPr>
          <w:rFonts w:hint="eastAsia"/>
          <w:color w:val="auto"/>
          <w:highlight w:val="none"/>
        </w:rPr>
        <w:t>需要补充的其他内容：见投标人须知前附表。</w:t>
      </w:r>
    </w:p>
    <w:p>
      <w:pPr>
        <w:spacing w:line="400" w:lineRule="exact"/>
        <w:ind w:firstLine="420" w:firstLineChars="200"/>
        <w:rPr>
          <w:color w:val="auto"/>
          <w:highlight w:val="none"/>
        </w:rPr>
        <w:sectPr>
          <w:pgSz w:w="11906" w:h="16838"/>
          <w:pgMar w:top="1247" w:right="1134" w:bottom="1247" w:left="1361" w:header="851" w:footer="992" w:gutter="0"/>
          <w:cols w:space="720" w:num="1"/>
          <w:docGrid w:type="lines" w:linePitch="312" w:charSpace="0"/>
        </w:sectPr>
      </w:pPr>
    </w:p>
    <w:p>
      <w:pPr>
        <w:pStyle w:val="8"/>
        <w:rPr>
          <w:color w:val="auto"/>
          <w:highlight w:val="none"/>
        </w:rPr>
      </w:pPr>
      <w:bookmarkStart w:id="837" w:name="_Toc300835002"/>
      <w:bookmarkStart w:id="838" w:name="_Toc32210"/>
      <w:bookmarkStart w:id="839" w:name="_Toc6420"/>
      <w:bookmarkStart w:id="840" w:name="_Toc32753"/>
      <w:bookmarkStart w:id="841" w:name="_Toc30853"/>
      <w:bookmarkStart w:id="842" w:name="_Toc2797"/>
      <w:bookmarkStart w:id="843" w:name="_Toc16200"/>
      <w:bookmarkStart w:id="844" w:name="_Toc9735"/>
      <w:bookmarkStart w:id="845" w:name="_Toc19905"/>
      <w:bookmarkStart w:id="846" w:name="_Toc18813"/>
      <w:bookmarkStart w:id="847" w:name="_Toc15442"/>
      <w:bookmarkStart w:id="848" w:name="_Toc144974548"/>
      <w:bookmarkStart w:id="849" w:name="_Toc494371565"/>
      <w:bookmarkStart w:id="850" w:name="_Toc152045581"/>
      <w:bookmarkStart w:id="851" w:name="_Toc247527606"/>
      <w:bookmarkStart w:id="852" w:name="_Toc247514005"/>
      <w:bookmarkStart w:id="853" w:name="_Toc152042358"/>
      <w:r>
        <w:rPr>
          <w:rFonts w:hint="eastAsia"/>
          <w:color w:val="auto"/>
          <w:highlight w:val="none"/>
        </w:rPr>
        <w:t>附表：开标记录表</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spacing w:line="400" w:lineRule="exact"/>
        <w:jc w:val="center"/>
        <w:rPr>
          <w:rFonts w:ascii="黑体" w:eastAsia="黑体"/>
          <w:color w:val="auto"/>
          <w:sz w:val="28"/>
          <w:szCs w:val="28"/>
          <w:highlight w:val="none"/>
        </w:rPr>
      </w:pPr>
      <w:r>
        <w:rPr>
          <w:rFonts w:hint="eastAsia" w:ascii="黑体" w:eastAsia="黑体"/>
          <w:color w:val="auto"/>
          <w:sz w:val="28"/>
          <w:szCs w:val="28"/>
          <w:highlight w:val="none"/>
        </w:rPr>
        <w:t>开标记录表</w:t>
      </w:r>
    </w:p>
    <w:p>
      <w:pPr>
        <w:spacing w:line="620" w:lineRule="exact"/>
        <w:rPr>
          <w:color w:val="auto"/>
          <w:szCs w:val="21"/>
          <w:highlight w:val="none"/>
          <w:u w:val="single"/>
        </w:rPr>
      </w:pPr>
    </w:p>
    <w:p>
      <w:pPr>
        <w:spacing w:line="400" w:lineRule="exact"/>
        <w:ind w:right="420"/>
        <w:jc w:val="left"/>
        <w:rPr>
          <w:color w:val="auto"/>
          <w:highlight w:val="none"/>
        </w:rPr>
      </w:pPr>
      <w:r>
        <w:rPr>
          <w:rFonts w:hint="eastAsia"/>
          <w:color w:val="auto"/>
          <w:szCs w:val="21"/>
          <w:highlight w:val="none"/>
        </w:rPr>
        <w:t>项目名称：</w:t>
      </w:r>
    </w:p>
    <w:tbl>
      <w:tblPr>
        <w:tblStyle w:val="43"/>
        <w:tblW w:w="14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71"/>
        <w:gridCol w:w="1461"/>
        <w:gridCol w:w="1561"/>
        <w:gridCol w:w="1417"/>
        <w:gridCol w:w="1559"/>
        <w:gridCol w:w="1418"/>
        <w:gridCol w:w="1549"/>
        <w:gridCol w:w="127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698" w:type="dxa"/>
            <w:vAlign w:val="center"/>
          </w:tcPr>
          <w:p>
            <w:pPr>
              <w:jc w:val="center"/>
              <w:rPr>
                <w:color w:val="auto"/>
                <w:sz w:val="18"/>
                <w:szCs w:val="18"/>
                <w:highlight w:val="none"/>
              </w:rPr>
            </w:pPr>
            <w:r>
              <w:rPr>
                <w:rFonts w:hint="eastAsia"/>
                <w:color w:val="auto"/>
                <w:sz w:val="18"/>
                <w:szCs w:val="18"/>
                <w:highlight w:val="none"/>
              </w:rPr>
              <w:t>序号</w:t>
            </w:r>
          </w:p>
        </w:tc>
        <w:tc>
          <w:tcPr>
            <w:tcW w:w="2371" w:type="dxa"/>
            <w:vAlign w:val="center"/>
          </w:tcPr>
          <w:p>
            <w:pPr>
              <w:jc w:val="center"/>
              <w:rPr>
                <w:color w:val="auto"/>
                <w:sz w:val="18"/>
                <w:szCs w:val="18"/>
                <w:highlight w:val="none"/>
              </w:rPr>
            </w:pPr>
            <w:r>
              <w:rPr>
                <w:rFonts w:hint="eastAsia"/>
                <w:color w:val="auto"/>
                <w:sz w:val="18"/>
                <w:szCs w:val="18"/>
                <w:highlight w:val="none"/>
              </w:rPr>
              <w:t>投标人名称</w:t>
            </w:r>
          </w:p>
        </w:tc>
        <w:tc>
          <w:tcPr>
            <w:tcW w:w="1461" w:type="dxa"/>
            <w:vAlign w:val="center"/>
          </w:tcPr>
          <w:p>
            <w:pPr>
              <w:jc w:val="center"/>
              <w:rPr>
                <w:color w:val="auto"/>
                <w:sz w:val="18"/>
                <w:szCs w:val="18"/>
                <w:highlight w:val="none"/>
              </w:rPr>
            </w:pPr>
            <w:r>
              <w:rPr>
                <w:rFonts w:hint="eastAsia"/>
                <w:color w:val="auto"/>
                <w:sz w:val="18"/>
                <w:szCs w:val="18"/>
                <w:highlight w:val="none"/>
              </w:rPr>
              <w:t>投标文件</w:t>
            </w:r>
          </w:p>
          <w:p>
            <w:pPr>
              <w:jc w:val="center"/>
              <w:rPr>
                <w:color w:val="auto"/>
                <w:sz w:val="18"/>
                <w:szCs w:val="18"/>
                <w:highlight w:val="none"/>
              </w:rPr>
            </w:pPr>
            <w:r>
              <w:rPr>
                <w:rFonts w:hint="eastAsia"/>
                <w:color w:val="auto"/>
                <w:sz w:val="18"/>
                <w:szCs w:val="18"/>
                <w:highlight w:val="none"/>
              </w:rPr>
              <w:t>密封性</w:t>
            </w:r>
          </w:p>
        </w:tc>
        <w:tc>
          <w:tcPr>
            <w:tcW w:w="1561" w:type="dxa"/>
            <w:vAlign w:val="center"/>
          </w:tcPr>
          <w:p>
            <w:pPr>
              <w:jc w:val="center"/>
              <w:rPr>
                <w:color w:val="auto"/>
                <w:sz w:val="18"/>
                <w:szCs w:val="18"/>
                <w:highlight w:val="none"/>
              </w:rPr>
            </w:pPr>
            <w:r>
              <w:rPr>
                <w:rFonts w:hint="eastAsia"/>
                <w:color w:val="auto"/>
                <w:sz w:val="18"/>
                <w:szCs w:val="18"/>
                <w:highlight w:val="none"/>
              </w:rPr>
              <w:t>有无法定代表人证明书及授权委托证明书</w:t>
            </w:r>
          </w:p>
        </w:tc>
        <w:tc>
          <w:tcPr>
            <w:tcW w:w="1417" w:type="dxa"/>
            <w:vAlign w:val="center"/>
          </w:tcPr>
          <w:p>
            <w:pPr>
              <w:jc w:val="center"/>
              <w:rPr>
                <w:color w:val="auto"/>
                <w:sz w:val="18"/>
                <w:szCs w:val="18"/>
                <w:highlight w:val="none"/>
              </w:rPr>
            </w:pPr>
            <w:r>
              <w:rPr>
                <w:rFonts w:hint="eastAsia"/>
                <w:color w:val="auto"/>
                <w:sz w:val="18"/>
                <w:szCs w:val="18"/>
                <w:highlight w:val="none"/>
              </w:rPr>
              <w:t>有无递交投标担保金</w:t>
            </w:r>
          </w:p>
        </w:tc>
        <w:tc>
          <w:tcPr>
            <w:tcW w:w="1559" w:type="dxa"/>
            <w:vAlign w:val="center"/>
          </w:tcPr>
          <w:p>
            <w:pPr>
              <w:jc w:val="center"/>
              <w:rPr>
                <w:color w:val="auto"/>
                <w:sz w:val="18"/>
                <w:szCs w:val="18"/>
                <w:highlight w:val="none"/>
              </w:rPr>
            </w:pPr>
            <w:r>
              <w:rPr>
                <w:rFonts w:hint="eastAsia"/>
                <w:color w:val="auto"/>
                <w:sz w:val="18"/>
                <w:szCs w:val="18"/>
                <w:highlight w:val="none"/>
              </w:rPr>
              <w:t>施工负责人</w:t>
            </w:r>
          </w:p>
          <w:p>
            <w:pPr>
              <w:jc w:val="center"/>
              <w:rPr>
                <w:color w:val="auto"/>
                <w:sz w:val="18"/>
                <w:szCs w:val="18"/>
                <w:highlight w:val="none"/>
              </w:rPr>
            </w:pPr>
            <w:r>
              <w:rPr>
                <w:rFonts w:hint="eastAsia"/>
                <w:color w:val="auto"/>
                <w:sz w:val="18"/>
                <w:szCs w:val="18"/>
                <w:highlight w:val="none"/>
              </w:rPr>
              <w:t>（投标文件）</w:t>
            </w:r>
          </w:p>
        </w:tc>
        <w:tc>
          <w:tcPr>
            <w:tcW w:w="1418" w:type="dxa"/>
            <w:vAlign w:val="center"/>
          </w:tcPr>
          <w:p>
            <w:pPr>
              <w:jc w:val="center"/>
              <w:rPr>
                <w:color w:val="auto"/>
                <w:sz w:val="18"/>
                <w:szCs w:val="18"/>
                <w:highlight w:val="none"/>
              </w:rPr>
            </w:pPr>
            <w:r>
              <w:rPr>
                <w:rFonts w:hint="eastAsia"/>
                <w:color w:val="auto"/>
                <w:sz w:val="18"/>
                <w:szCs w:val="18"/>
                <w:highlight w:val="none"/>
              </w:rPr>
              <w:t>设计负责人</w:t>
            </w:r>
          </w:p>
          <w:p>
            <w:pPr>
              <w:jc w:val="center"/>
              <w:rPr>
                <w:color w:val="auto"/>
                <w:sz w:val="18"/>
                <w:szCs w:val="18"/>
                <w:highlight w:val="none"/>
              </w:rPr>
            </w:pPr>
            <w:r>
              <w:rPr>
                <w:rFonts w:hint="eastAsia"/>
                <w:color w:val="auto"/>
                <w:sz w:val="18"/>
                <w:szCs w:val="18"/>
                <w:highlight w:val="none"/>
              </w:rPr>
              <w:t>（投标文件）</w:t>
            </w:r>
          </w:p>
        </w:tc>
        <w:tc>
          <w:tcPr>
            <w:tcW w:w="1549" w:type="dxa"/>
            <w:vAlign w:val="center"/>
          </w:tcPr>
          <w:p>
            <w:pPr>
              <w:jc w:val="center"/>
              <w:rPr>
                <w:color w:val="auto"/>
                <w:sz w:val="18"/>
                <w:szCs w:val="18"/>
                <w:highlight w:val="none"/>
              </w:rPr>
            </w:pPr>
            <w:r>
              <w:rPr>
                <w:rFonts w:hint="eastAsia"/>
                <w:color w:val="auto"/>
                <w:sz w:val="18"/>
                <w:szCs w:val="18"/>
                <w:highlight w:val="none"/>
              </w:rPr>
              <w:t>投标总报价</w:t>
            </w:r>
          </w:p>
          <w:p>
            <w:pPr>
              <w:jc w:val="center"/>
              <w:rPr>
                <w:color w:val="auto"/>
                <w:sz w:val="18"/>
                <w:szCs w:val="18"/>
                <w:highlight w:val="none"/>
              </w:rPr>
            </w:pPr>
            <w:r>
              <w:rPr>
                <w:rFonts w:hint="eastAsia"/>
                <w:color w:val="auto"/>
                <w:sz w:val="18"/>
                <w:szCs w:val="18"/>
                <w:highlight w:val="none"/>
              </w:rPr>
              <w:t>（万元）</w:t>
            </w:r>
          </w:p>
        </w:tc>
        <w:tc>
          <w:tcPr>
            <w:tcW w:w="1276" w:type="dxa"/>
            <w:vAlign w:val="center"/>
          </w:tcPr>
          <w:p>
            <w:pPr>
              <w:jc w:val="center"/>
              <w:rPr>
                <w:color w:val="auto"/>
                <w:sz w:val="18"/>
                <w:szCs w:val="18"/>
                <w:highlight w:val="none"/>
              </w:rPr>
            </w:pPr>
            <w:r>
              <w:rPr>
                <w:rFonts w:hint="eastAsia"/>
                <w:color w:val="auto"/>
                <w:sz w:val="18"/>
                <w:szCs w:val="18"/>
                <w:highlight w:val="none"/>
              </w:rPr>
              <w:t>投标人代表</w:t>
            </w:r>
          </w:p>
          <w:p>
            <w:pPr>
              <w:jc w:val="center"/>
              <w:rPr>
                <w:color w:val="auto"/>
                <w:sz w:val="18"/>
                <w:szCs w:val="18"/>
                <w:highlight w:val="none"/>
              </w:rPr>
            </w:pPr>
            <w:r>
              <w:rPr>
                <w:rFonts w:hint="eastAsia"/>
                <w:color w:val="auto"/>
                <w:sz w:val="18"/>
                <w:szCs w:val="18"/>
                <w:highlight w:val="none"/>
              </w:rPr>
              <w:t>签名</w:t>
            </w:r>
          </w:p>
        </w:tc>
        <w:tc>
          <w:tcPr>
            <w:tcW w:w="746" w:type="dxa"/>
            <w:vAlign w:val="center"/>
          </w:tcPr>
          <w:p>
            <w:pPr>
              <w:jc w:val="center"/>
              <w:rPr>
                <w:color w:val="auto"/>
                <w:sz w:val="18"/>
                <w:szCs w:val="18"/>
                <w:highlight w:val="none"/>
              </w:rPr>
            </w:pPr>
            <w:r>
              <w:rPr>
                <w:rFonts w:hint="eastAsia"/>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698" w:type="dxa"/>
            <w:vAlign w:val="center"/>
          </w:tcPr>
          <w:p>
            <w:pPr>
              <w:spacing w:line="620" w:lineRule="exact"/>
              <w:jc w:val="center"/>
              <w:rPr>
                <w:color w:val="auto"/>
                <w:szCs w:val="21"/>
                <w:highlight w:val="none"/>
              </w:rPr>
            </w:pPr>
          </w:p>
        </w:tc>
        <w:tc>
          <w:tcPr>
            <w:tcW w:w="2371" w:type="dxa"/>
            <w:vAlign w:val="center"/>
          </w:tcPr>
          <w:p>
            <w:pPr>
              <w:spacing w:line="620" w:lineRule="exact"/>
              <w:jc w:val="center"/>
              <w:rPr>
                <w:color w:val="auto"/>
                <w:szCs w:val="21"/>
                <w:highlight w:val="none"/>
              </w:rPr>
            </w:pPr>
          </w:p>
        </w:tc>
        <w:tc>
          <w:tcPr>
            <w:tcW w:w="1461" w:type="dxa"/>
            <w:vAlign w:val="center"/>
          </w:tcPr>
          <w:p>
            <w:pPr>
              <w:spacing w:line="620" w:lineRule="exact"/>
              <w:jc w:val="center"/>
              <w:rPr>
                <w:color w:val="auto"/>
                <w:szCs w:val="21"/>
                <w:highlight w:val="none"/>
              </w:rPr>
            </w:pPr>
          </w:p>
        </w:tc>
        <w:tc>
          <w:tcPr>
            <w:tcW w:w="1561" w:type="dxa"/>
            <w:vAlign w:val="center"/>
          </w:tcPr>
          <w:p>
            <w:pPr>
              <w:spacing w:line="620" w:lineRule="exact"/>
              <w:jc w:val="center"/>
              <w:rPr>
                <w:color w:val="auto"/>
                <w:szCs w:val="21"/>
                <w:highlight w:val="none"/>
              </w:rPr>
            </w:pPr>
          </w:p>
        </w:tc>
        <w:tc>
          <w:tcPr>
            <w:tcW w:w="1417" w:type="dxa"/>
            <w:vAlign w:val="center"/>
          </w:tcPr>
          <w:p>
            <w:pPr>
              <w:spacing w:line="620" w:lineRule="exact"/>
              <w:jc w:val="center"/>
              <w:rPr>
                <w:color w:val="auto"/>
                <w:szCs w:val="21"/>
                <w:highlight w:val="none"/>
              </w:rPr>
            </w:pPr>
          </w:p>
        </w:tc>
        <w:tc>
          <w:tcPr>
            <w:tcW w:w="1559" w:type="dxa"/>
            <w:vAlign w:val="center"/>
          </w:tcPr>
          <w:p>
            <w:pPr>
              <w:spacing w:line="620" w:lineRule="exact"/>
              <w:jc w:val="center"/>
              <w:rPr>
                <w:color w:val="auto"/>
                <w:szCs w:val="21"/>
                <w:highlight w:val="none"/>
              </w:rPr>
            </w:pPr>
          </w:p>
        </w:tc>
        <w:tc>
          <w:tcPr>
            <w:tcW w:w="1418" w:type="dxa"/>
            <w:vAlign w:val="center"/>
          </w:tcPr>
          <w:p>
            <w:pPr>
              <w:spacing w:line="620" w:lineRule="exact"/>
              <w:jc w:val="center"/>
              <w:rPr>
                <w:color w:val="auto"/>
                <w:szCs w:val="21"/>
                <w:highlight w:val="none"/>
              </w:rPr>
            </w:pPr>
          </w:p>
        </w:tc>
        <w:tc>
          <w:tcPr>
            <w:tcW w:w="1549" w:type="dxa"/>
            <w:vAlign w:val="center"/>
          </w:tcPr>
          <w:p>
            <w:pPr>
              <w:spacing w:line="620" w:lineRule="exact"/>
              <w:jc w:val="center"/>
              <w:rPr>
                <w:color w:val="auto"/>
                <w:szCs w:val="21"/>
                <w:highlight w:val="none"/>
              </w:rPr>
            </w:pPr>
          </w:p>
        </w:tc>
        <w:tc>
          <w:tcPr>
            <w:tcW w:w="1276" w:type="dxa"/>
          </w:tcPr>
          <w:p>
            <w:pPr>
              <w:spacing w:line="620" w:lineRule="exact"/>
              <w:jc w:val="center"/>
              <w:rPr>
                <w:color w:val="auto"/>
                <w:szCs w:val="21"/>
                <w:highlight w:val="none"/>
              </w:rPr>
            </w:pPr>
          </w:p>
        </w:tc>
        <w:tc>
          <w:tcPr>
            <w:tcW w:w="746"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620" w:lineRule="exact"/>
              <w:jc w:val="center"/>
              <w:rPr>
                <w:color w:val="auto"/>
                <w:szCs w:val="21"/>
                <w:highlight w:val="none"/>
              </w:rPr>
            </w:pPr>
          </w:p>
        </w:tc>
        <w:tc>
          <w:tcPr>
            <w:tcW w:w="2371" w:type="dxa"/>
            <w:vAlign w:val="center"/>
          </w:tcPr>
          <w:p>
            <w:pPr>
              <w:spacing w:line="620" w:lineRule="exact"/>
              <w:jc w:val="center"/>
              <w:rPr>
                <w:color w:val="auto"/>
                <w:szCs w:val="21"/>
                <w:highlight w:val="none"/>
              </w:rPr>
            </w:pPr>
          </w:p>
        </w:tc>
        <w:tc>
          <w:tcPr>
            <w:tcW w:w="1461" w:type="dxa"/>
            <w:vAlign w:val="center"/>
          </w:tcPr>
          <w:p>
            <w:pPr>
              <w:spacing w:line="620" w:lineRule="exact"/>
              <w:jc w:val="center"/>
              <w:rPr>
                <w:color w:val="auto"/>
                <w:szCs w:val="21"/>
                <w:highlight w:val="none"/>
              </w:rPr>
            </w:pPr>
          </w:p>
        </w:tc>
        <w:tc>
          <w:tcPr>
            <w:tcW w:w="1561" w:type="dxa"/>
            <w:vAlign w:val="center"/>
          </w:tcPr>
          <w:p>
            <w:pPr>
              <w:spacing w:line="620" w:lineRule="exact"/>
              <w:jc w:val="center"/>
              <w:rPr>
                <w:color w:val="auto"/>
                <w:szCs w:val="21"/>
                <w:highlight w:val="none"/>
              </w:rPr>
            </w:pPr>
          </w:p>
        </w:tc>
        <w:tc>
          <w:tcPr>
            <w:tcW w:w="1417" w:type="dxa"/>
            <w:vAlign w:val="center"/>
          </w:tcPr>
          <w:p>
            <w:pPr>
              <w:spacing w:line="620" w:lineRule="exact"/>
              <w:jc w:val="center"/>
              <w:rPr>
                <w:color w:val="auto"/>
                <w:szCs w:val="21"/>
                <w:highlight w:val="none"/>
              </w:rPr>
            </w:pPr>
          </w:p>
        </w:tc>
        <w:tc>
          <w:tcPr>
            <w:tcW w:w="1559" w:type="dxa"/>
            <w:vAlign w:val="center"/>
          </w:tcPr>
          <w:p>
            <w:pPr>
              <w:spacing w:line="620" w:lineRule="exact"/>
              <w:jc w:val="center"/>
              <w:rPr>
                <w:color w:val="auto"/>
                <w:szCs w:val="21"/>
                <w:highlight w:val="none"/>
              </w:rPr>
            </w:pPr>
          </w:p>
        </w:tc>
        <w:tc>
          <w:tcPr>
            <w:tcW w:w="1418" w:type="dxa"/>
            <w:vAlign w:val="center"/>
          </w:tcPr>
          <w:p>
            <w:pPr>
              <w:spacing w:line="620" w:lineRule="exact"/>
              <w:jc w:val="center"/>
              <w:rPr>
                <w:color w:val="auto"/>
                <w:szCs w:val="21"/>
                <w:highlight w:val="none"/>
              </w:rPr>
            </w:pPr>
          </w:p>
        </w:tc>
        <w:tc>
          <w:tcPr>
            <w:tcW w:w="1549" w:type="dxa"/>
            <w:vAlign w:val="center"/>
          </w:tcPr>
          <w:p>
            <w:pPr>
              <w:spacing w:line="620" w:lineRule="exact"/>
              <w:jc w:val="center"/>
              <w:rPr>
                <w:color w:val="auto"/>
                <w:szCs w:val="21"/>
                <w:highlight w:val="none"/>
              </w:rPr>
            </w:pPr>
          </w:p>
        </w:tc>
        <w:tc>
          <w:tcPr>
            <w:tcW w:w="1276" w:type="dxa"/>
          </w:tcPr>
          <w:p>
            <w:pPr>
              <w:spacing w:line="620" w:lineRule="exact"/>
              <w:jc w:val="center"/>
              <w:rPr>
                <w:color w:val="auto"/>
                <w:szCs w:val="21"/>
                <w:highlight w:val="none"/>
              </w:rPr>
            </w:pPr>
          </w:p>
        </w:tc>
        <w:tc>
          <w:tcPr>
            <w:tcW w:w="746"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620" w:lineRule="exact"/>
              <w:jc w:val="center"/>
              <w:rPr>
                <w:color w:val="auto"/>
                <w:szCs w:val="21"/>
                <w:highlight w:val="none"/>
              </w:rPr>
            </w:pPr>
          </w:p>
        </w:tc>
        <w:tc>
          <w:tcPr>
            <w:tcW w:w="2371" w:type="dxa"/>
            <w:vAlign w:val="center"/>
          </w:tcPr>
          <w:p>
            <w:pPr>
              <w:spacing w:line="620" w:lineRule="exact"/>
              <w:jc w:val="center"/>
              <w:rPr>
                <w:color w:val="auto"/>
                <w:szCs w:val="21"/>
                <w:highlight w:val="none"/>
              </w:rPr>
            </w:pPr>
          </w:p>
        </w:tc>
        <w:tc>
          <w:tcPr>
            <w:tcW w:w="1461" w:type="dxa"/>
            <w:vAlign w:val="center"/>
          </w:tcPr>
          <w:p>
            <w:pPr>
              <w:spacing w:line="620" w:lineRule="exact"/>
              <w:jc w:val="center"/>
              <w:rPr>
                <w:color w:val="auto"/>
                <w:szCs w:val="21"/>
                <w:highlight w:val="none"/>
              </w:rPr>
            </w:pPr>
          </w:p>
        </w:tc>
        <w:tc>
          <w:tcPr>
            <w:tcW w:w="1561" w:type="dxa"/>
            <w:vAlign w:val="center"/>
          </w:tcPr>
          <w:p>
            <w:pPr>
              <w:spacing w:line="620" w:lineRule="exact"/>
              <w:jc w:val="center"/>
              <w:rPr>
                <w:color w:val="auto"/>
                <w:szCs w:val="21"/>
                <w:highlight w:val="none"/>
              </w:rPr>
            </w:pPr>
          </w:p>
        </w:tc>
        <w:tc>
          <w:tcPr>
            <w:tcW w:w="1417" w:type="dxa"/>
            <w:vAlign w:val="center"/>
          </w:tcPr>
          <w:p>
            <w:pPr>
              <w:spacing w:line="620" w:lineRule="exact"/>
              <w:jc w:val="center"/>
              <w:rPr>
                <w:color w:val="auto"/>
                <w:szCs w:val="21"/>
                <w:highlight w:val="none"/>
              </w:rPr>
            </w:pPr>
          </w:p>
        </w:tc>
        <w:tc>
          <w:tcPr>
            <w:tcW w:w="1559" w:type="dxa"/>
            <w:vAlign w:val="center"/>
          </w:tcPr>
          <w:p>
            <w:pPr>
              <w:spacing w:line="620" w:lineRule="exact"/>
              <w:jc w:val="center"/>
              <w:rPr>
                <w:color w:val="auto"/>
                <w:szCs w:val="21"/>
                <w:highlight w:val="none"/>
              </w:rPr>
            </w:pPr>
          </w:p>
        </w:tc>
        <w:tc>
          <w:tcPr>
            <w:tcW w:w="1418" w:type="dxa"/>
            <w:vAlign w:val="center"/>
          </w:tcPr>
          <w:p>
            <w:pPr>
              <w:spacing w:line="620" w:lineRule="exact"/>
              <w:jc w:val="center"/>
              <w:rPr>
                <w:color w:val="auto"/>
                <w:szCs w:val="21"/>
                <w:highlight w:val="none"/>
              </w:rPr>
            </w:pPr>
          </w:p>
        </w:tc>
        <w:tc>
          <w:tcPr>
            <w:tcW w:w="1549" w:type="dxa"/>
            <w:vAlign w:val="center"/>
          </w:tcPr>
          <w:p>
            <w:pPr>
              <w:spacing w:line="620" w:lineRule="exact"/>
              <w:jc w:val="center"/>
              <w:rPr>
                <w:color w:val="auto"/>
                <w:szCs w:val="21"/>
                <w:highlight w:val="none"/>
              </w:rPr>
            </w:pPr>
          </w:p>
        </w:tc>
        <w:tc>
          <w:tcPr>
            <w:tcW w:w="1276" w:type="dxa"/>
          </w:tcPr>
          <w:p>
            <w:pPr>
              <w:spacing w:line="620" w:lineRule="exact"/>
              <w:jc w:val="center"/>
              <w:rPr>
                <w:color w:val="auto"/>
                <w:szCs w:val="21"/>
                <w:highlight w:val="none"/>
              </w:rPr>
            </w:pPr>
          </w:p>
        </w:tc>
        <w:tc>
          <w:tcPr>
            <w:tcW w:w="746"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620" w:lineRule="exact"/>
              <w:jc w:val="center"/>
              <w:rPr>
                <w:color w:val="auto"/>
                <w:szCs w:val="21"/>
                <w:highlight w:val="none"/>
              </w:rPr>
            </w:pPr>
          </w:p>
        </w:tc>
        <w:tc>
          <w:tcPr>
            <w:tcW w:w="2371" w:type="dxa"/>
            <w:vAlign w:val="center"/>
          </w:tcPr>
          <w:p>
            <w:pPr>
              <w:spacing w:line="620" w:lineRule="exact"/>
              <w:jc w:val="center"/>
              <w:rPr>
                <w:color w:val="auto"/>
                <w:szCs w:val="21"/>
                <w:highlight w:val="none"/>
              </w:rPr>
            </w:pPr>
          </w:p>
        </w:tc>
        <w:tc>
          <w:tcPr>
            <w:tcW w:w="1461" w:type="dxa"/>
            <w:vAlign w:val="center"/>
          </w:tcPr>
          <w:p>
            <w:pPr>
              <w:spacing w:line="620" w:lineRule="exact"/>
              <w:jc w:val="center"/>
              <w:rPr>
                <w:color w:val="auto"/>
                <w:szCs w:val="21"/>
                <w:highlight w:val="none"/>
              </w:rPr>
            </w:pPr>
          </w:p>
        </w:tc>
        <w:tc>
          <w:tcPr>
            <w:tcW w:w="1561" w:type="dxa"/>
            <w:vAlign w:val="center"/>
          </w:tcPr>
          <w:p>
            <w:pPr>
              <w:spacing w:line="620" w:lineRule="exact"/>
              <w:jc w:val="center"/>
              <w:rPr>
                <w:color w:val="auto"/>
                <w:szCs w:val="21"/>
                <w:highlight w:val="none"/>
              </w:rPr>
            </w:pPr>
          </w:p>
        </w:tc>
        <w:tc>
          <w:tcPr>
            <w:tcW w:w="1417" w:type="dxa"/>
            <w:vAlign w:val="center"/>
          </w:tcPr>
          <w:p>
            <w:pPr>
              <w:spacing w:line="620" w:lineRule="exact"/>
              <w:jc w:val="center"/>
              <w:rPr>
                <w:color w:val="auto"/>
                <w:szCs w:val="21"/>
                <w:highlight w:val="none"/>
              </w:rPr>
            </w:pPr>
          </w:p>
        </w:tc>
        <w:tc>
          <w:tcPr>
            <w:tcW w:w="1559" w:type="dxa"/>
            <w:vAlign w:val="center"/>
          </w:tcPr>
          <w:p>
            <w:pPr>
              <w:spacing w:line="620" w:lineRule="exact"/>
              <w:jc w:val="center"/>
              <w:rPr>
                <w:color w:val="auto"/>
                <w:szCs w:val="21"/>
                <w:highlight w:val="none"/>
              </w:rPr>
            </w:pPr>
          </w:p>
        </w:tc>
        <w:tc>
          <w:tcPr>
            <w:tcW w:w="1418" w:type="dxa"/>
            <w:vAlign w:val="center"/>
          </w:tcPr>
          <w:p>
            <w:pPr>
              <w:spacing w:line="620" w:lineRule="exact"/>
              <w:jc w:val="center"/>
              <w:rPr>
                <w:color w:val="auto"/>
                <w:szCs w:val="21"/>
                <w:highlight w:val="none"/>
              </w:rPr>
            </w:pPr>
          </w:p>
        </w:tc>
        <w:tc>
          <w:tcPr>
            <w:tcW w:w="1549" w:type="dxa"/>
            <w:vAlign w:val="center"/>
          </w:tcPr>
          <w:p>
            <w:pPr>
              <w:spacing w:line="620" w:lineRule="exact"/>
              <w:jc w:val="center"/>
              <w:rPr>
                <w:color w:val="auto"/>
                <w:szCs w:val="21"/>
                <w:highlight w:val="none"/>
              </w:rPr>
            </w:pPr>
          </w:p>
        </w:tc>
        <w:tc>
          <w:tcPr>
            <w:tcW w:w="1276" w:type="dxa"/>
          </w:tcPr>
          <w:p>
            <w:pPr>
              <w:spacing w:line="620" w:lineRule="exact"/>
              <w:jc w:val="center"/>
              <w:rPr>
                <w:color w:val="auto"/>
                <w:szCs w:val="21"/>
                <w:highlight w:val="none"/>
              </w:rPr>
            </w:pPr>
          </w:p>
        </w:tc>
        <w:tc>
          <w:tcPr>
            <w:tcW w:w="746" w:type="dxa"/>
          </w:tcPr>
          <w:p>
            <w:pPr>
              <w:spacing w:line="6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Align w:val="center"/>
          </w:tcPr>
          <w:p>
            <w:pPr>
              <w:spacing w:line="620" w:lineRule="exact"/>
              <w:jc w:val="center"/>
              <w:rPr>
                <w:color w:val="auto"/>
                <w:szCs w:val="21"/>
                <w:highlight w:val="none"/>
              </w:rPr>
            </w:pPr>
          </w:p>
        </w:tc>
        <w:tc>
          <w:tcPr>
            <w:tcW w:w="2371" w:type="dxa"/>
            <w:vAlign w:val="center"/>
          </w:tcPr>
          <w:p>
            <w:pPr>
              <w:spacing w:line="620" w:lineRule="exact"/>
              <w:jc w:val="center"/>
              <w:rPr>
                <w:color w:val="auto"/>
                <w:szCs w:val="21"/>
                <w:highlight w:val="none"/>
              </w:rPr>
            </w:pPr>
          </w:p>
        </w:tc>
        <w:tc>
          <w:tcPr>
            <w:tcW w:w="1461" w:type="dxa"/>
            <w:vAlign w:val="center"/>
          </w:tcPr>
          <w:p>
            <w:pPr>
              <w:spacing w:line="620" w:lineRule="exact"/>
              <w:jc w:val="center"/>
              <w:rPr>
                <w:color w:val="auto"/>
                <w:szCs w:val="21"/>
                <w:highlight w:val="none"/>
              </w:rPr>
            </w:pPr>
          </w:p>
        </w:tc>
        <w:tc>
          <w:tcPr>
            <w:tcW w:w="1561" w:type="dxa"/>
            <w:vAlign w:val="center"/>
          </w:tcPr>
          <w:p>
            <w:pPr>
              <w:spacing w:line="620" w:lineRule="exact"/>
              <w:jc w:val="center"/>
              <w:rPr>
                <w:color w:val="auto"/>
                <w:szCs w:val="21"/>
                <w:highlight w:val="none"/>
              </w:rPr>
            </w:pPr>
          </w:p>
        </w:tc>
        <w:tc>
          <w:tcPr>
            <w:tcW w:w="1417" w:type="dxa"/>
            <w:vAlign w:val="center"/>
          </w:tcPr>
          <w:p>
            <w:pPr>
              <w:spacing w:line="620" w:lineRule="exact"/>
              <w:jc w:val="center"/>
              <w:rPr>
                <w:color w:val="auto"/>
                <w:szCs w:val="21"/>
                <w:highlight w:val="none"/>
              </w:rPr>
            </w:pPr>
          </w:p>
        </w:tc>
        <w:tc>
          <w:tcPr>
            <w:tcW w:w="1559" w:type="dxa"/>
            <w:vAlign w:val="center"/>
          </w:tcPr>
          <w:p>
            <w:pPr>
              <w:spacing w:line="620" w:lineRule="exact"/>
              <w:jc w:val="center"/>
              <w:rPr>
                <w:color w:val="auto"/>
                <w:szCs w:val="21"/>
                <w:highlight w:val="none"/>
              </w:rPr>
            </w:pPr>
          </w:p>
        </w:tc>
        <w:tc>
          <w:tcPr>
            <w:tcW w:w="1418" w:type="dxa"/>
            <w:vAlign w:val="center"/>
          </w:tcPr>
          <w:p>
            <w:pPr>
              <w:spacing w:line="620" w:lineRule="exact"/>
              <w:jc w:val="center"/>
              <w:rPr>
                <w:color w:val="auto"/>
                <w:szCs w:val="21"/>
                <w:highlight w:val="none"/>
              </w:rPr>
            </w:pPr>
          </w:p>
        </w:tc>
        <w:tc>
          <w:tcPr>
            <w:tcW w:w="1549" w:type="dxa"/>
            <w:vAlign w:val="center"/>
          </w:tcPr>
          <w:p>
            <w:pPr>
              <w:spacing w:line="620" w:lineRule="exact"/>
              <w:jc w:val="center"/>
              <w:rPr>
                <w:color w:val="auto"/>
                <w:szCs w:val="21"/>
                <w:highlight w:val="none"/>
              </w:rPr>
            </w:pPr>
          </w:p>
        </w:tc>
        <w:tc>
          <w:tcPr>
            <w:tcW w:w="1276" w:type="dxa"/>
          </w:tcPr>
          <w:p>
            <w:pPr>
              <w:spacing w:line="620" w:lineRule="exact"/>
              <w:jc w:val="center"/>
              <w:rPr>
                <w:color w:val="auto"/>
                <w:szCs w:val="21"/>
                <w:highlight w:val="none"/>
              </w:rPr>
            </w:pPr>
          </w:p>
        </w:tc>
        <w:tc>
          <w:tcPr>
            <w:tcW w:w="746" w:type="dxa"/>
          </w:tcPr>
          <w:p>
            <w:pPr>
              <w:spacing w:line="620" w:lineRule="exact"/>
              <w:jc w:val="center"/>
              <w:rPr>
                <w:color w:val="auto"/>
                <w:szCs w:val="21"/>
                <w:highlight w:val="none"/>
              </w:rPr>
            </w:pPr>
          </w:p>
        </w:tc>
      </w:tr>
    </w:tbl>
    <w:p>
      <w:pPr>
        <w:spacing w:line="620" w:lineRule="exact"/>
        <w:rPr>
          <w:color w:val="auto"/>
          <w:szCs w:val="21"/>
          <w:highlight w:val="none"/>
        </w:rPr>
      </w:pPr>
      <w:r>
        <w:rPr>
          <w:rFonts w:hint="eastAsia"/>
          <w:color w:val="auto"/>
          <w:szCs w:val="21"/>
          <w:highlight w:val="none"/>
        </w:rPr>
        <w:t>监管单位：                                             招标人：</w:t>
      </w:r>
    </w:p>
    <w:p>
      <w:pPr>
        <w:pStyle w:val="6"/>
        <w:rPr>
          <w:color w:val="auto"/>
          <w:szCs w:val="21"/>
          <w:highlight w:val="none"/>
        </w:rPr>
      </w:pPr>
    </w:p>
    <w:p>
      <w:pPr>
        <w:pStyle w:val="6"/>
        <w:rPr>
          <w:color w:val="auto"/>
          <w:szCs w:val="21"/>
          <w:highlight w:val="none"/>
        </w:rPr>
        <w:sectPr>
          <w:pgSz w:w="16838" w:h="11906" w:orient="landscape"/>
          <w:pgMar w:top="1247" w:right="1134" w:bottom="1247" w:left="1361" w:header="851" w:footer="992" w:gutter="0"/>
          <w:cols w:space="720" w:num="1"/>
          <w:docGrid w:linePitch="312" w:charSpace="0"/>
        </w:sectPr>
      </w:pPr>
      <w:r>
        <w:rPr>
          <w:rFonts w:hint="eastAsia"/>
          <w:color w:val="auto"/>
          <w:szCs w:val="21"/>
          <w:highlight w:val="none"/>
        </w:rPr>
        <w:t>本表仅供参考，具体以开标时的开标记录表为准。</w:t>
      </w:r>
    </w:p>
    <w:p>
      <w:pPr>
        <w:pStyle w:val="3"/>
        <w:rPr>
          <w:rFonts w:ascii="宋体" w:hAnsi="宋体"/>
          <w:color w:val="auto"/>
          <w:highlight w:val="none"/>
        </w:rPr>
      </w:pPr>
      <w:bookmarkStart w:id="854" w:name="_Toc247527623"/>
      <w:bookmarkStart w:id="855" w:name="_Toc152045598"/>
      <w:bookmarkStart w:id="856" w:name="_Toc12479"/>
      <w:bookmarkStart w:id="857" w:name="_Toc21033"/>
      <w:bookmarkStart w:id="858" w:name="_Toc3567"/>
      <w:bookmarkStart w:id="859" w:name="_Toc436834776"/>
      <w:bookmarkStart w:id="860" w:name="_Toc21214"/>
      <w:bookmarkStart w:id="861" w:name="_Toc247514022"/>
      <w:bookmarkStart w:id="862" w:name="_Toc494371566"/>
      <w:bookmarkStart w:id="863" w:name="_Toc4886"/>
      <w:bookmarkStart w:id="864" w:name="_Toc152042375"/>
      <w:bookmarkStart w:id="865" w:name="_Toc29364"/>
      <w:bookmarkStart w:id="866" w:name="_Toc144974565"/>
      <w:r>
        <w:rPr>
          <w:rFonts w:hint="eastAsia" w:ascii="宋体" w:hAnsi="宋体"/>
          <w:color w:val="auto"/>
          <w:highlight w:val="none"/>
        </w:rPr>
        <w:t>第三章评标办法（综合评估法）</w:t>
      </w:r>
      <w:bookmarkEnd w:id="854"/>
      <w:bookmarkEnd w:id="855"/>
      <w:bookmarkEnd w:id="856"/>
      <w:bookmarkEnd w:id="857"/>
      <w:bookmarkEnd w:id="858"/>
      <w:bookmarkEnd w:id="859"/>
      <w:bookmarkEnd w:id="860"/>
      <w:bookmarkEnd w:id="861"/>
      <w:bookmarkEnd w:id="862"/>
      <w:bookmarkEnd w:id="863"/>
      <w:bookmarkEnd w:id="864"/>
      <w:bookmarkEnd w:id="865"/>
      <w:bookmarkEnd w:id="866"/>
    </w:p>
    <w:p>
      <w:pPr>
        <w:pStyle w:val="7"/>
        <w:spacing w:before="120" w:after="120"/>
        <w:jc w:val="center"/>
        <w:rPr>
          <w:rFonts w:ascii="宋体" w:hAnsi="宋体" w:eastAsia="宋体"/>
          <w:color w:val="auto"/>
          <w:highlight w:val="none"/>
        </w:rPr>
      </w:pPr>
      <w:bookmarkStart w:id="867" w:name="_Toc27045"/>
      <w:bookmarkStart w:id="868" w:name="_Toc25647"/>
      <w:bookmarkStart w:id="869" w:name="_Toc152042376"/>
      <w:bookmarkStart w:id="870" w:name="_Toc16563"/>
      <w:bookmarkStart w:id="871" w:name="_Toc247527624"/>
      <w:bookmarkStart w:id="872" w:name="_Toc30828"/>
      <w:bookmarkStart w:id="873" w:name="_Toc436834184"/>
      <w:bookmarkStart w:id="874" w:name="_Toc16897"/>
      <w:bookmarkStart w:id="875" w:name="_Toc300835009"/>
      <w:bookmarkStart w:id="876" w:name="_Toc5317"/>
      <w:bookmarkStart w:id="877" w:name="_Toc436834777"/>
      <w:bookmarkStart w:id="878" w:name="_Toc247514023"/>
      <w:bookmarkStart w:id="879" w:name="_Toc399165430"/>
      <w:bookmarkStart w:id="880" w:name="_Toc494371567"/>
      <w:bookmarkStart w:id="881" w:name="_Toc144974566"/>
      <w:bookmarkStart w:id="882" w:name="_Toc152045599"/>
      <w:r>
        <w:rPr>
          <w:rFonts w:hint="eastAsia" w:ascii="宋体" w:hAnsi="宋体" w:eastAsia="宋体"/>
          <w:color w:val="auto"/>
          <w:highlight w:val="none"/>
        </w:rPr>
        <w:t>评标办法前附表</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tbl>
      <w:tblPr>
        <w:tblStyle w:val="43"/>
        <w:tblW w:w="949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7"/>
        <w:gridCol w:w="1538"/>
        <w:gridCol w:w="1575"/>
        <w:gridCol w:w="55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75" w:type="dxa"/>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评审因素</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blHeader/>
          <w:jc w:val="center"/>
        </w:trPr>
        <w:tc>
          <w:tcPr>
            <w:tcW w:w="2415" w:type="dxa"/>
            <w:gridSpan w:val="2"/>
            <w:tcBorders>
              <w:top w:val="single" w:color="auto" w:sz="4"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2.1.1</w:t>
            </w: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资格审查</w:t>
            </w:r>
          </w:p>
        </w:tc>
        <w:tc>
          <w:tcPr>
            <w:tcW w:w="5508" w:type="dxa"/>
            <w:tcBorders>
              <w:top w:val="single" w:color="auto" w:sz="4"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w:t>
            </w:r>
            <w:r>
              <w:rPr>
                <w:rFonts w:ascii="宋体" w:hAnsi="宋体"/>
                <w:color w:val="auto"/>
                <w:szCs w:val="21"/>
                <w:highlight w:val="none"/>
              </w:rPr>
              <w:t>1《资格审查表》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2.1.2</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设计标投标文件有效性审查</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w:t>
            </w:r>
            <w:r>
              <w:rPr>
                <w:rFonts w:ascii="宋体" w:hAnsi="宋体"/>
                <w:color w:val="auto"/>
                <w:szCs w:val="21"/>
                <w:highlight w:val="none"/>
              </w:rPr>
              <w:t>2《设计商务文件有效性审查表》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2.1.3</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施工标投标文件有效性审查</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见附表5</w:t>
            </w:r>
            <w:r>
              <w:rPr>
                <w:rFonts w:ascii="宋体" w:hAnsi="宋体"/>
                <w:color w:val="auto"/>
                <w:szCs w:val="21"/>
                <w:highlight w:val="none"/>
              </w:rPr>
              <w:t>《施工</w:t>
            </w:r>
            <w:r>
              <w:rPr>
                <w:rFonts w:hint="eastAsia" w:ascii="宋体" w:hAnsi="宋体"/>
                <w:color w:val="auto"/>
                <w:szCs w:val="21"/>
                <w:highlight w:val="none"/>
              </w:rPr>
              <w:t>技术</w:t>
            </w:r>
            <w:r>
              <w:rPr>
                <w:rFonts w:ascii="宋体" w:hAnsi="宋体"/>
                <w:color w:val="auto"/>
                <w:szCs w:val="21"/>
                <w:highlight w:val="none"/>
              </w:rPr>
              <w:t>投标文件有效性审查表》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2.1.4</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经济标投标文件有效性审查</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见附表8《编制技术标书的经济标投标文件有效性审查表》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条款内容</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2.2.1</w:t>
            </w:r>
          </w:p>
        </w:tc>
        <w:tc>
          <w:tcPr>
            <w:tcW w:w="15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分值构成及权重</w:t>
            </w:r>
          </w:p>
        </w:tc>
        <w:tc>
          <w:tcPr>
            <w:tcW w:w="5508" w:type="dxa"/>
            <w:tcBorders>
              <w:top w:val="single" w:color="auto" w:sz="6" w:space="0"/>
              <w:left w:val="single" w:color="auto" w:sz="6" w:space="0"/>
              <w:bottom w:val="single" w:color="auto" w:sz="6"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olor w:val="auto"/>
                <w:szCs w:val="21"/>
                <w:highlight w:val="none"/>
              </w:rPr>
              <w:t>1.投标人总得分（满分</w:t>
            </w:r>
            <w:r>
              <w:rPr>
                <w:rFonts w:ascii="宋体" w:hAnsi="宋体"/>
                <w:color w:val="auto"/>
                <w:szCs w:val="21"/>
                <w:highlight w:val="none"/>
              </w:rPr>
              <w:t>100</w:t>
            </w:r>
            <w:r>
              <w:rPr>
                <w:rFonts w:hint="eastAsia" w:ascii="宋体" w:hAnsi="宋体"/>
                <w:color w:val="auto"/>
                <w:szCs w:val="21"/>
                <w:highlight w:val="none"/>
              </w:rPr>
              <w:t>分）</w:t>
            </w:r>
            <w:r>
              <w:rPr>
                <w:rFonts w:ascii="宋体" w:hAnsi="宋体"/>
                <w:color w:val="auto"/>
                <w:szCs w:val="21"/>
                <w:highlight w:val="none"/>
              </w:rPr>
              <w:t>=</w:t>
            </w:r>
            <w:r>
              <w:rPr>
                <w:rFonts w:hint="eastAsia" w:ascii="宋体" w:hAnsi="宋体"/>
                <w:color w:val="auto"/>
                <w:szCs w:val="21"/>
                <w:highlight w:val="none"/>
              </w:rPr>
              <w:t>设计标得分×权重（</w:t>
            </w:r>
            <w:r>
              <w:rPr>
                <w:rFonts w:ascii="宋体" w:hAnsi="宋体"/>
                <w:color w:val="auto"/>
                <w:szCs w:val="21"/>
                <w:highlight w:val="none"/>
                <w:u w:val="single"/>
              </w:rPr>
              <w:t>2</w:t>
            </w:r>
            <w:r>
              <w:rPr>
                <w:rFonts w:hint="eastAsia" w:ascii="宋体" w:hAnsi="宋体"/>
                <w:color w:val="auto"/>
                <w:szCs w:val="21"/>
                <w:highlight w:val="none"/>
                <w:u w:val="single"/>
              </w:rPr>
              <w:t>0</w:t>
            </w:r>
            <w:r>
              <w:rPr>
                <w:rFonts w:ascii="宋体" w:hAnsi="宋体"/>
                <w:color w:val="auto"/>
                <w:szCs w:val="21"/>
                <w:highlight w:val="none"/>
                <w:u w:val="singl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施工标得分×权重（</w:t>
            </w:r>
            <w:r>
              <w:rPr>
                <w:rFonts w:ascii="宋体" w:hAnsi="宋体"/>
                <w:color w:val="auto"/>
                <w:szCs w:val="21"/>
                <w:highlight w:val="none"/>
                <w:u w:val="single"/>
              </w:rPr>
              <w:t>8</w:t>
            </w:r>
            <w:r>
              <w:rPr>
                <w:rFonts w:hint="eastAsia" w:ascii="宋体" w:hAnsi="宋体"/>
                <w:color w:val="auto"/>
                <w:szCs w:val="21"/>
                <w:highlight w:val="none"/>
                <w:u w:val="single"/>
              </w:rPr>
              <w:t>0</w:t>
            </w:r>
            <w:r>
              <w:rPr>
                <w:rFonts w:ascii="宋体" w:hAnsi="宋体"/>
                <w:color w:val="auto"/>
                <w:szCs w:val="21"/>
                <w:highlight w:val="none"/>
                <w:u w:val="single"/>
              </w:rPr>
              <w:t>%</w:t>
            </w:r>
            <w:r>
              <w:rPr>
                <w:rFonts w:hint="eastAsia" w:ascii="宋体" w:hAnsi="宋体"/>
                <w:color w:val="auto"/>
                <w:szCs w:val="21"/>
                <w:highlight w:val="none"/>
              </w:rPr>
              <w:t>）</w:t>
            </w:r>
          </w:p>
          <w:p>
            <w:pPr>
              <w:spacing w:line="300" w:lineRule="exact"/>
              <w:rPr>
                <w:rFonts w:ascii="宋体" w:hAnsi="宋体"/>
                <w:color w:val="auto"/>
                <w:szCs w:val="21"/>
                <w:highlight w:val="none"/>
              </w:rPr>
            </w:pPr>
            <w:r>
              <w:rPr>
                <w:rFonts w:hint="eastAsia" w:ascii="宋体" w:hAnsi="宋体"/>
                <w:color w:val="auto"/>
                <w:szCs w:val="21"/>
                <w:highlight w:val="none"/>
              </w:rPr>
              <w:t>2.其中：</w:t>
            </w:r>
          </w:p>
          <w:p>
            <w:pPr>
              <w:spacing w:line="300" w:lineRule="exact"/>
              <w:rPr>
                <w:rFonts w:ascii="宋体" w:hAnsi="宋体"/>
                <w:color w:val="auto"/>
                <w:szCs w:val="21"/>
                <w:highlight w:val="none"/>
              </w:rPr>
            </w:pPr>
            <w:r>
              <w:rPr>
                <w:rFonts w:hint="eastAsia" w:ascii="宋体" w:hAnsi="宋体"/>
                <w:color w:val="auto"/>
                <w:szCs w:val="21"/>
                <w:highlight w:val="none"/>
              </w:rPr>
              <w:t>设计标得分（满分100分）</w:t>
            </w:r>
            <w:r>
              <w:rPr>
                <w:rFonts w:ascii="宋体" w:hAnsi="宋体"/>
                <w:color w:val="auto"/>
                <w:szCs w:val="21"/>
                <w:highlight w:val="none"/>
              </w:rPr>
              <w:t>=</w:t>
            </w:r>
            <w:r>
              <w:rPr>
                <w:rFonts w:hint="eastAsia" w:ascii="宋体" w:hAnsi="宋体"/>
                <w:color w:val="auto"/>
                <w:szCs w:val="21"/>
                <w:highlight w:val="none"/>
              </w:rPr>
              <w:t>设计商务得分（满分30分）</w:t>
            </w:r>
            <w:r>
              <w:rPr>
                <w:rFonts w:ascii="宋体" w:hAnsi="宋体"/>
                <w:color w:val="auto"/>
                <w:szCs w:val="21"/>
                <w:highlight w:val="none"/>
              </w:rPr>
              <w:t>+</w:t>
            </w:r>
            <w:r>
              <w:rPr>
                <w:rFonts w:hint="eastAsia" w:ascii="宋体" w:hAnsi="宋体"/>
                <w:color w:val="auto"/>
                <w:szCs w:val="21"/>
                <w:highlight w:val="none"/>
              </w:rPr>
              <w:t>设计技术得分（满分70分）</w:t>
            </w:r>
          </w:p>
          <w:p>
            <w:pPr>
              <w:spacing w:line="300" w:lineRule="exact"/>
              <w:rPr>
                <w:rFonts w:ascii="宋体" w:hAnsi="宋体"/>
                <w:color w:val="auto"/>
                <w:szCs w:val="21"/>
                <w:highlight w:val="none"/>
              </w:rPr>
            </w:pPr>
            <w:r>
              <w:rPr>
                <w:rFonts w:hint="eastAsia" w:ascii="宋体" w:hAnsi="宋体"/>
                <w:color w:val="auto"/>
                <w:szCs w:val="21"/>
                <w:highlight w:val="none"/>
              </w:rPr>
              <w:t>施工标得分（满分100分）</w:t>
            </w:r>
            <w:r>
              <w:rPr>
                <w:rFonts w:ascii="宋体" w:hAnsi="宋体"/>
                <w:color w:val="auto"/>
                <w:szCs w:val="21"/>
                <w:highlight w:val="none"/>
              </w:rPr>
              <w:t>=</w:t>
            </w:r>
            <w:r>
              <w:rPr>
                <w:rFonts w:hint="eastAsia" w:ascii="宋体" w:hAnsi="宋体"/>
                <w:color w:val="auto"/>
                <w:szCs w:val="21"/>
                <w:highlight w:val="none"/>
              </w:rPr>
              <w:t>（施工技术得分（权重60</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建安工程费投标报价得分（权重40</w:t>
            </w:r>
            <w:r>
              <w:rPr>
                <w:rFonts w:ascii="宋体" w:hAnsi="宋体"/>
                <w:color w:val="auto"/>
                <w:szCs w:val="21"/>
                <w:highlight w:val="none"/>
              </w:rPr>
              <w:t>%</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2415"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条款号</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5508"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p>
        </w:tc>
        <w:tc>
          <w:tcPr>
            <w:tcW w:w="1538" w:type="dxa"/>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设计标详细审查评分</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s="宋体"/>
                <w:color w:val="auto"/>
                <w:szCs w:val="21"/>
                <w:highlight w:val="none"/>
              </w:rPr>
              <w:t>设计商务文件</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w:t>
            </w:r>
            <w:r>
              <w:rPr>
                <w:rFonts w:hint="eastAsia" w:ascii="宋体" w:hAnsi="宋体"/>
                <w:color w:val="auto"/>
                <w:highlight w:val="none"/>
              </w:rPr>
              <w:t>附表3</w:t>
            </w:r>
            <w:r>
              <w:rPr>
                <w:rFonts w:ascii="宋体" w:hAnsi="宋体"/>
                <w:color w:val="auto"/>
                <w:highlight w:val="none"/>
              </w:rPr>
              <w:t>《设计商务文件详细审查评分</w:t>
            </w:r>
            <w:r>
              <w:rPr>
                <w:rFonts w:hint="eastAsia" w:ascii="宋体" w:hAnsi="宋体"/>
                <w:color w:val="auto"/>
                <w:highlight w:val="none"/>
              </w:rPr>
              <w:t>表</w:t>
            </w:r>
            <w:r>
              <w:rPr>
                <w:rFonts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vMerge w:val="restart"/>
            <w:tcBorders>
              <w:top w:val="single" w:color="auto" w:sz="6" w:space="0"/>
              <w:left w:val="single" w:color="auto" w:sz="4" w:space="0"/>
              <w:right w:val="single" w:color="auto" w:sz="6" w:space="0"/>
            </w:tcBorders>
            <w:vAlign w:val="center"/>
          </w:tcPr>
          <w:p>
            <w:pPr>
              <w:spacing w:line="300" w:lineRule="exact"/>
              <w:jc w:val="center"/>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p>
        </w:tc>
        <w:tc>
          <w:tcPr>
            <w:tcW w:w="1538" w:type="dxa"/>
            <w:vMerge w:val="restart"/>
            <w:tcBorders>
              <w:top w:val="single" w:color="auto" w:sz="6" w:space="0"/>
              <w:left w:val="single" w:color="auto" w:sz="6" w:space="0"/>
              <w:right w:val="single" w:color="auto" w:sz="6" w:space="0"/>
            </w:tcBorders>
            <w:vAlign w:val="center"/>
          </w:tcPr>
          <w:p>
            <w:pPr>
              <w:spacing w:line="300" w:lineRule="exact"/>
              <w:jc w:val="center"/>
              <w:rPr>
                <w:rFonts w:ascii="宋体" w:hAnsi="宋体"/>
                <w:color w:val="auto"/>
                <w:szCs w:val="21"/>
                <w:highlight w:val="none"/>
              </w:rPr>
            </w:pPr>
            <w:r>
              <w:rPr>
                <w:rFonts w:hint="eastAsia" w:ascii="宋体" w:hAnsi="宋体" w:cs="宋体"/>
                <w:color w:val="auto"/>
                <w:szCs w:val="21"/>
                <w:highlight w:val="none"/>
              </w:rPr>
              <w:t>施工标投标文件评审</w:t>
            </w:r>
          </w:p>
        </w:tc>
        <w:tc>
          <w:tcPr>
            <w:tcW w:w="15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s="宋体"/>
                <w:color w:val="auto"/>
                <w:szCs w:val="21"/>
                <w:highlight w:val="none"/>
              </w:rPr>
              <w:t>施工组织设计及施工企业实力等</w:t>
            </w:r>
          </w:p>
        </w:tc>
        <w:tc>
          <w:tcPr>
            <w:tcW w:w="5508" w:type="dxa"/>
            <w:tcBorders>
              <w:top w:val="single" w:color="auto" w:sz="6" w:space="0"/>
              <w:left w:val="single" w:color="auto" w:sz="4" w:space="0"/>
              <w:bottom w:val="single" w:color="auto" w:sz="4"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见附表6</w:t>
            </w:r>
            <w:r>
              <w:rPr>
                <w:rFonts w:ascii="宋体" w:hAnsi="宋体"/>
                <w:color w:val="auto"/>
                <w:szCs w:val="21"/>
                <w:highlight w:val="none"/>
              </w:rPr>
              <w:t>《施工</w:t>
            </w:r>
            <w:r>
              <w:rPr>
                <w:rFonts w:hint="eastAsia" w:ascii="宋体" w:hAnsi="宋体"/>
                <w:color w:val="auto"/>
                <w:szCs w:val="21"/>
                <w:highlight w:val="none"/>
              </w:rPr>
              <w:t>技术</w:t>
            </w:r>
            <w:r>
              <w:rPr>
                <w:rFonts w:ascii="宋体" w:hAnsi="宋体"/>
                <w:color w:val="auto"/>
                <w:szCs w:val="21"/>
                <w:highlight w:val="none"/>
              </w:rPr>
              <w:t>标</w:t>
            </w:r>
            <w:r>
              <w:rPr>
                <w:rFonts w:hint="eastAsia" w:ascii="宋体" w:hAnsi="宋体"/>
                <w:color w:val="auto"/>
                <w:szCs w:val="21"/>
                <w:highlight w:val="none"/>
              </w:rPr>
              <w:t>投标文件</w:t>
            </w:r>
            <w:r>
              <w:rPr>
                <w:rFonts w:ascii="宋体" w:hAnsi="宋体"/>
                <w:color w:val="auto"/>
                <w:szCs w:val="21"/>
                <w:highlight w:val="none"/>
              </w:rPr>
              <w:t>详细审查评分</w:t>
            </w:r>
            <w:r>
              <w:rPr>
                <w:rFonts w:hint="eastAsia" w:ascii="宋体" w:hAnsi="宋体"/>
                <w:color w:val="auto"/>
                <w:szCs w:val="21"/>
                <w:highlight w:val="none"/>
              </w:rPr>
              <w:t>表</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877" w:type="dxa"/>
            <w:vMerge w:val="continue"/>
            <w:tcBorders>
              <w:left w:val="single" w:color="auto" w:sz="4" w:space="0"/>
              <w:right w:val="single" w:color="auto" w:sz="6" w:space="0"/>
            </w:tcBorders>
            <w:vAlign w:val="center"/>
          </w:tcPr>
          <w:p>
            <w:pPr>
              <w:widowControl/>
              <w:jc w:val="center"/>
              <w:rPr>
                <w:rFonts w:ascii="宋体" w:hAnsi="宋体"/>
                <w:color w:val="auto"/>
                <w:szCs w:val="21"/>
                <w:highlight w:val="none"/>
              </w:rPr>
            </w:pPr>
          </w:p>
        </w:tc>
        <w:tc>
          <w:tcPr>
            <w:tcW w:w="1538" w:type="dxa"/>
            <w:vMerge w:val="continue"/>
            <w:tcBorders>
              <w:left w:val="single" w:color="auto" w:sz="6" w:space="0"/>
              <w:right w:val="single" w:color="auto" w:sz="6" w:space="0"/>
            </w:tcBorders>
            <w:vAlign w:val="center"/>
          </w:tcPr>
          <w:p>
            <w:pPr>
              <w:widowControl/>
              <w:jc w:val="center"/>
              <w:rPr>
                <w:rFonts w:ascii="宋体" w:hAnsi="宋体"/>
                <w:color w:val="auto"/>
                <w:szCs w:val="21"/>
                <w:highlight w:val="none"/>
              </w:rPr>
            </w:pPr>
          </w:p>
        </w:tc>
        <w:tc>
          <w:tcPr>
            <w:tcW w:w="1575" w:type="dxa"/>
            <w:tcBorders>
              <w:top w:val="single" w:color="auto" w:sz="4" w:space="0"/>
              <w:left w:val="single" w:color="auto" w:sz="6" w:space="0"/>
              <w:bottom w:val="single" w:color="auto" w:sz="6" w:space="0"/>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5508" w:type="dxa"/>
            <w:tcBorders>
              <w:top w:val="single" w:color="auto" w:sz="4" w:space="0"/>
              <w:left w:val="single" w:color="auto" w:sz="4" w:space="0"/>
              <w:bottom w:val="single" w:color="auto" w:sz="6" w:space="0"/>
              <w:right w:val="single" w:color="auto" w:sz="4" w:space="0"/>
            </w:tcBorders>
            <w:vAlign w:val="center"/>
          </w:tcPr>
          <w:p>
            <w:pPr>
              <w:spacing w:line="300" w:lineRule="exact"/>
              <w:jc w:val="left"/>
              <w:rPr>
                <w:rFonts w:ascii="宋体" w:hAnsi="宋体"/>
                <w:color w:val="auto"/>
                <w:szCs w:val="21"/>
                <w:highlight w:val="none"/>
              </w:rPr>
            </w:pPr>
            <w:r>
              <w:rPr>
                <w:rFonts w:hint="eastAsia" w:ascii="宋体" w:hAnsi="宋体"/>
                <w:color w:val="auto"/>
                <w:szCs w:val="21"/>
                <w:highlight w:val="none"/>
              </w:rPr>
              <w:t>见附表</w:t>
            </w:r>
            <w:r>
              <w:rPr>
                <w:rFonts w:ascii="宋体" w:hAnsi="宋体"/>
                <w:color w:val="auto"/>
                <w:szCs w:val="21"/>
                <w:highlight w:val="none"/>
              </w:rPr>
              <w:t>9《</w:t>
            </w:r>
            <w:r>
              <w:rPr>
                <w:rFonts w:hint="eastAsia" w:ascii="宋体" w:hAnsi="宋体"/>
                <w:color w:val="auto"/>
                <w:szCs w:val="21"/>
                <w:highlight w:val="none"/>
              </w:rPr>
              <w:t>建安工程费投标报价</w:t>
            </w:r>
            <w:r>
              <w:rPr>
                <w:rFonts w:ascii="宋体" w:hAnsi="宋体"/>
                <w:color w:val="auto"/>
                <w:szCs w:val="21"/>
                <w:highlight w:val="none"/>
              </w:rPr>
              <w:t>评分表》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jc w:val="center"/>
        </w:trPr>
        <w:tc>
          <w:tcPr>
            <w:tcW w:w="9498" w:type="dxa"/>
            <w:gridSpan w:val="4"/>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b/>
                <w:color w:val="auto"/>
                <w:szCs w:val="21"/>
                <w:highlight w:val="none"/>
              </w:rPr>
            </w:pPr>
            <w:r>
              <w:rPr>
                <w:rFonts w:hint="eastAsia" w:ascii="宋体" w:hAnsi="宋体"/>
                <w:b/>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4" w:hRule="atLeast"/>
          <w:jc w:val="center"/>
        </w:trPr>
        <w:tc>
          <w:tcPr>
            <w:tcW w:w="9498" w:type="dxa"/>
            <w:gridSpan w:val="4"/>
            <w:tcBorders>
              <w:top w:val="single" w:color="auto" w:sz="6" w:space="0"/>
              <w:left w:val="single" w:color="auto" w:sz="4" w:space="0"/>
              <w:bottom w:val="single" w:color="auto" w:sz="4" w:space="0"/>
              <w:right w:val="single" w:color="auto" w:sz="4" w:space="0"/>
            </w:tcBorders>
          </w:tcPr>
          <w:p>
            <w:pPr>
              <w:spacing w:line="300" w:lineRule="exact"/>
              <w:rPr>
                <w:rFonts w:ascii="宋体" w:hAnsi="宋体"/>
                <w:color w:val="auto"/>
                <w:szCs w:val="21"/>
                <w:highlight w:val="none"/>
              </w:rPr>
            </w:pPr>
            <w:r>
              <w:rPr>
                <w:rFonts w:hint="eastAsia" w:ascii="宋体" w:hAnsi="宋体"/>
                <w:color w:val="auto"/>
                <w:szCs w:val="21"/>
                <w:highlight w:val="none"/>
              </w:rPr>
              <w:t>关于联合体投标人评标的相关规定：如组成联合体投标的，设计标评分以承接照明工程设计任务的单位为准；施工标评分以联合体主办方为准。</w:t>
            </w:r>
          </w:p>
        </w:tc>
      </w:tr>
    </w:tbl>
    <w:p>
      <w:pPr>
        <w:pStyle w:val="7"/>
        <w:spacing w:before="100" w:after="100" w:line="360" w:lineRule="auto"/>
        <w:rPr>
          <w:rFonts w:ascii="宋体" w:hAnsi="宋体" w:eastAsia="宋体"/>
          <w:color w:val="auto"/>
          <w:highlight w:val="none"/>
        </w:rPr>
      </w:pPr>
      <w:r>
        <w:rPr>
          <w:color w:val="auto"/>
          <w:highlight w:val="none"/>
        </w:rPr>
        <w:br w:type="page"/>
      </w:r>
      <w:bookmarkStart w:id="883" w:name="_Toc399165431"/>
      <w:bookmarkStart w:id="884" w:name="_Toc152042377"/>
      <w:bookmarkStart w:id="885" w:name="_Toc144974567"/>
      <w:bookmarkStart w:id="886" w:name="_Toc247527625"/>
      <w:bookmarkStart w:id="887" w:name="_Toc247514024"/>
      <w:bookmarkStart w:id="888" w:name="_Toc10123"/>
      <w:bookmarkStart w:id="889" w:name="_Toc25710"/>
      <w:bookmarkStart w:id="890" w:name="_Toc300835010"/>
      <w:bookmarkStart w:id="891" w:name="_Toc152045600"/>
      <w:bookmarkStart w:id="892" w:name="_Toc23786"/>
      <w:bookmarkStart w:id="893" w:name="_Toc27587"/>
      <w:bookmarkStart w:id="894" w:name="_Toc494371568"/>
      <w:bookmarkStart w:id="895" w:name="_Toc25246"/>
      <w:bookmarkStart w:id="896" w:name="_Toc436834185"/>
      <w:bookmarkStart w:id="897" w:name="_Toc20806"/>
      <w:bookmarkStart w:id="898" w:name="_Toc436834778"/>
      <w:r>
        <w:rPr>
          <w:rFonts w:ascii="宋体" w:hAnsi="宋体" w:eastAsia="宋体"/>
          <w:color w:val="auto"/>
          <w:highlight w:val="none"/>
        </w:rPr>
        <w:t xml:space="preserve">1. </w:t>
      </w:r>
      <w:r>
        <w:rPr>
          <w:rFonts w:hint="eastAsia" w:ascii="宋体" w:hAnsi="宋体" w:eastAsia="宋体"/>
          <w:color w:val="auto"/>
          <w:highlight w:val="none"/>
        </w:rPr>
        <w:t>评标方法</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spacing w:line="400" w:lineRule="exact"/>
        <w:ind w:firstLine="420" w:firstLineChars="200"/>
        <w:rPr>
          <w:rFonts w:ascii="宋体" w:hAnsi="宋体"/>
          <w:color w:val="auto"/>
          <w:highlight w:val="none"/>
        </w:rPr>
      </w:pPr>
      <w:r>
        <w:rPr>
          <w:rFonts w:hint="eastAsia" w:ascii="宋体" w:hAnsi="宋体"/>
          <w:color w:val="auto"/>
          <w:highlight w:val="none"/>
        </w:rPr>
        <w:t>本次评标采用综合评估法。评标委员会对满足招标文件实质性要求的投标文件，按照本章第</w:t>
      </w:r>
      <w:r>
        <w:rPr>
          <w:rFonts w:ascii="宋体" w:hAnsi="宋体"/>
          <w:color w:val="auto"/>
          <w:highlight w:val="none"/>
        </w:rPr>
        <w:t>2.2</w:t>
      </w:r>
      <w:r>
        <w:rPr>
          <w:rFonts w:hint="eastAsia" w:ascii="宋体" w:hAnsi="宋体"/>
          <w:color w:val="auto"/>
          <w:highlight w:val="none"/>
        </w:rPr>
        <w:t>款规定的评分标准进行打分，并按得分由高到低顺序推荐中标候选人，或根据招标人授权直接确定中标人，但投标报价低于其成本的除外。</w:t>
      </w:r>
    </w:p>
    <w:p>
      <w:pPr>
        <w:pStyle w:val="7"/>
        <w:spacing w:before="100" w:after="100" w:line="360" w:lineRule="auto"/>
        <w:rPr>
          <w:rFonts w:ascii="宋体" w:hAnsi="宋体" w:eastAsia="宋体"/>
          <w:color w:val="auto"/>
          <w:highlight w:val="none"/>
        </w:rPr>
      </w:pPr>
      <w:bookmarkStart w:id="899" w:name="_Toc247514025"/>
      <w:bookmarkStart w:id="900" w:name="_Toc300835011"/>
      <w:bookmarkStart w:id="901" w:name="_Toc32459"/>
      <w:bookmarkStart w:id="902" w:name="_Toc144974568"/>
      <w:bookmarkStart w:id="903" w:name="_Toc9484"/>
      <w:bookmarkStart w:id="904" w:name="_Toc65"/>
      <w:bookmarkStart w:id="905" w:name="_Toc30197"/>
      <w:bookmarkStart w:id="906" w:name="_Toc247527626"/>
      <w:bookmarkStart w:id="907" w:name="_Toc14150"/>
      <w:bookmarkStart w:id="908" w:name="_Toc17632"/>
      <w:bookmarkStart w:id="909" w:name="_Toc152045601"/>
      <w:bookmarkStart w:id="910" w:name="_Toc436834186"/>
      <w:bookmarkStart w:id="911" w:name="_Toc152042378"/>
      <w:bookmarkStart w:id="912" w:name="_Toc494371569"/>
      <w:bookmarkStart w:id="913" w:name="_Toc399165432"/>
      <w:bookmarkStart w:id="914" w:name="_Toc436834779"/>
      <w:r>
        <w:rPr>
          <w:rFonts w:ascii="宋体" w:hAnsi="宋体" w:eastAsia="宋体"/>
          <w:color w:val="auto"/>
          <w:highlight w:val="none"/>
        </w:rPr>
        <w:t xml:space="preserve">2. </w:t>
      </w:r>
      <w:r>
        <w:rPr>
          <w:rFonts w:hint="eastAsia" w:ascii="宋体" w:hAnsi="宋体" w:eastAsia="宋体"/>
          <w:color w:val="auto"/>
          <w:highlight w:val="none"/>
        </w:rPr>
        <w:t>评审标准</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pPr>
        <w:pStyle w:val="8"/>
        <w:spacing w:before="100" w:after="100" w:line="360" w:lineRule="auto"/>
        <w:rPr>
          <w:rFonts w:ascii="宋体" w:eastAsia="宋体"/>
          <w:color w:val="auto"/>
          <w:highlight w:val="none"/>
        </w:rPr>
      </w:pPr>
      <w:bookmarkStart w:id="915" w:name="_Toc300835012"/>
      <w:bookmarkStart w:id="916" w:name="_Toc247527627"/>
      <w:bookmarkStart w:id="917" w:name="_Toc399165433"/>
      <w:bookmarkStart w:id="918" w:name="_Toc436834780"/>
      <w:bookmarkStart w:id="919" w:name="_Toc144974569"/>
      <w:bookmarkStart w:id="920" w:name="_Toc247514026"/>
      <w:bookmarkStart w:id="921" w:name="_Toc2867"/>
      <w:bookmarkStart w:id="922" w:name="_Toc152045602"/>
      <w:bookmarkStart w:id="923" w:name="_Toc436834187"/>
      <w:bookmarkStart w:id="924" w:name="_Toc13888"/>
      <w:bookmarkStart w:id="925" w:name="_Toc152042379"/>
      <w:bookmarkStart w:id="926" w:name="_Toc32127"/>
      <w:bookmarkStart w:id="927" w:name="_Toc17113"/>
      <w:bookmarkStart w:id="928" w:name="_Toc494371570"/>
      <w:r>
        <w:rPr>
          <w:rFonts w:ascii="宋体" w:eastAsia="宋体"/>
          <w:color w:val="auto"/>
          <w:highlight w:val="none"/>
        </w:rPr>
        <w:t>2.1 初步评审标准</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spacing w:line="400" w:lineRule="exact"/>
        <w:ind w:firstLine="420" w:firstLineChars="200"/>
        <w:rPr>
          <w:rFonts w:ascii="宋体" w:hAnsi="宋体"/>
          <w:color w:val="auto"/>
          <w:highlight w:val="none"/>
        </w:rPr>
      </w:pPr>
      <w:r>
        <w:rPr>
          <w:rFonts w:ascii="宋体" w:hAnsi="宋体"/>
          <w:color w:val="auto"/>
          <w:highlight w:val="none"/>
        </w:rPr>
        <w:t>2.1.1 资格审查标准：见评标办法前附表。</w:t>
      </w:r>
    </w:p>
    <w:p>
      <w:pPr>
        <w:spacing w:line="400" w:lineRule="exact"/>
        <w:ind w:firstLine="420" w:firstLineChars="200"/>
        <w:rPr>
          <w:rFonts w:ascii="宋体" w:hAnsi="宋体"/>
          <w:color w:val="auto"/>
          <w:highlight w:val="none"/>
        </w:rPr>
      </w:pPr>
      <w:bookmarkStart w:id="929" w:name="_Toc152045603"/>
      <w:bookmarkStart w:id="930" w:name="_Toc247514027"/>
      <w:bookmarkStart w:id="931" w:name="_Toc300835013"/>
      <w:bookmarkStart w:id="932" w:name="_Toc152042380"/>
      <w:bookmarkStart w:id="933" w:name="_Toc247527628"/>
      <w:bookmarkStart w:id="934" w:name="_Toc399165434"/>
      <w:bookmarkStart w:id="935" w:name="_Toc144974570"/>
      <w:r>
        <w:rPr>
          <w:rFonts w:ascii="宋体" w:hAnsi="宋体"/>
          <w:color w:val="auto"/>
          <w:highlight w:val="none"/>
        </w:rPr>
        <w:t>2.1.2</w:t>
      </w:r>
      <w:r>
        <w:rPr>
          <w:rFonts w:hint="eastAsia" w:ascii="宋体" w:hAnsi="宋体"/>
          <w:color w:val="auto"/>
          <w:highlight w:val="none"/>
        </w:rPr>
        <w:t>设计标投标文件有效性审查标准：见评标办法前附表。</w:t>
      </w:r>
    </w:p>
    <w:p>
      <w:pPr>
        <w:spacing w:line="400" w:lineRule="exact"/>
        <w:ind w:firstLine="420" w:firstLineChars="200"/>
        <w:rPr>
          <w:rFonts w:ascii="宋体" w:hAnsi="宋体"/>
          <w:color w:val="auto"/>
          <w:highlight w:val="none"/>
        </w:rPr>
      </w:pPr>
      <w:r>
        <w:rPr>
          <w:rFonts w:ascii="宋体" w:hAnsi="宋体"/>
          <w:color w:val="auto"/>
          <w:highlight w:val="none"/>
        </w:rPr>
        <w:t>2.1.3</w:t>
      </w:r>
      <w:r>
        <w:rPr>
          <w:rFonts w:hint="eastAsia" w:ascii="宋体" w:hAnsi="宋体"/>
          <w:color w:val="auto"/>
          <w:highlight w:val="none"/>
        </w:rPr>
        <w:t>施工标投标文件有效性审查标准：见评标办法前附表。</w:t>
      </w:r>
    </w:p>
    <w:p>
      <w:pPr>
        <w:pStyle w:val="8"/>
        <w:spacing w:before="100" w:after="100" w:line="360" w:lineRule="auto"/>
        <w:rPr>
          <w:rFonts w:ascii="宋体" w:eastAsia="宋体"/>
          <w:color w:val="auto"/>
          <w:highlight w:val="none"/>
        </w:rPr>
      </w:pPr>
      <w:bookmarkStart w:id="936" w:name="_Toc16804"/>
      <w:bookmarkStart w:id="937" w:name="_Toc436834188"/>
      <w:bookmarkStart w:id="938" w:name="_Toc25188"/>
      <w:bookmarkStart w:id="939" w:name="_Toc494371571"/>
      <w:bookmarkStart w:id="940" w:name="_Toc436834781"/>
      <w:bookmarkStart w:id="941" w:name="_Toc14736"/>
      <w:bookmarkStart w:id="942" w:name="_Toc32259"/>
      <w:r>
        <w:rPr>
          <w:rFonts w:ascii="宋体" w:eastAsia="宋体"/>
          <w:color w:val="auto"/>
          <w:highlight w:val="none"/>
        </w:rPr>
        <w:t xml:space="preserve">2.2 </w:t>
      </w:r>
      <w:r>
        <w:rPr>
          <w:rFonts w:hint="eastAsia" w:ascii="宋体" w:eastAsia="宋体"/>
          <w:color w:val="auto"/>
          <w:highlight w:val="none"/>
        </w:rPr>
        <w:t>分值构成与评分标准</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spacing w:line="400" w:lineRule="exact"/>
        <w:ind w:firstLine="420" w:firstLineChars="200"/>
        <w:rPr>
          <w:rFonts w:ascii="宋体" w:hAnsi="宋体"/>
          <w:color w:val="auto"/>
          <w:highlight w:val="none"/>
        </w:rPr>
      </w:pPr>
      <w:bookmarkStart w:id="943" w:name="_Toc247527629"/>
      <w:bookmarkStart w:id="944" w:name="_Toc399165435"/>
      <w:bookmarkStart w:id="945" w:name="_Toc152045604"/>
      <w:bookmarkStart w:id="946" w:name="_Toc247514028"/>
      <w:bookmarkStart w:id="947" w:name="_Toc144974571"/>
      <w:bookmarkStart w:id="948" w:name="_Toc300835014"/>
      <w:bookmarkStart w:id="949" w:name="_Toc152042381"/>
      <w:r>
        <w:rPr>
          <w:rFonts w:ascii="宋体" w:hAnsi="宋体"/>
          <w:color w:val="auto"/>
          <w:highlight w:val="none"/>
        </w:rPr>
        <w:t>2.2.1</w:t>
      </w:r>
      <w:r>
        <w:rPr>
          <w:rFonts w:ascii="宋体" w:hAnsi="宋体"/>
          <w:color w:val="auto"/>
          <w:szCs w:val="21"/>
          <w:highlight w:val="none"/>
        </w:rPr>
        <w:t>分值构成</w:t>
      </w:r>
      <w:r>
        <w:rPr>
          <w:rFonts w:hint="eastAsia" w:ascii="宋体" w:hAnsi="宋体"/>
          <w:color w:val="auto"/>
          <w:szCs w:val="21"/>
          <w:highlight w:val="none"/>
        </w:rPr>
        <w:t>及权重</w:t>
      </w:r>
      <w:r>
        <w:rPr>
          <w:rFonts w:hint="eastAsia" w:ascii="宋体" w:hAnsi="宋体"/>
          <w:color w:val="auto"/>
          <w:highlight w:val="none"/>
        </w:rPr>
        <w:t>：见评标办法前附表。</w:t>
      </w:r>
    </w:p>
    <w:p>
      <w:pPr>
        <w:spacing w:line="400" w:lineRule="exact"/>
        <w:ind w:firstLine="420" w:firstLineChars="200"/>
        <w:rPr>
          <w:rFonts w:ascii="宋体" w:hAnsi="宋体"/>
          <w:color w:val="auto"/>
          <w:highlight w:val="none"/>
        </w:rPr>
      </w:pPr>
      <w:r>
        <w:rPr>
          <w:rFonts w:ascii="宋体" w:hAnsi="宋体"/>
          <w:color w:val="auto"/>
          <w:highlight w:val="none"/>
        </w:rPr>
        <w:t>2.2.2 评分标准</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1）设计标投标文件详细审查评分标准：见评标办法前附表。</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2）施工标投标文件详细审查评分标准：见评标办法前附表。</w:t>
      </w:r>
    </w:p>
    <w:p>
      <w:pPr>
        <w:pStyle w:val="7"/>
        <w:spacing w:before="100" w:after="100" w:line="360" w:lineRule="auto"/>
        <w:rPr>
          <w:rFonts w:ascii="宋体" w:hAnsi="宋体" w:eastAsia="宋体"/>
          <w:color w:val="auto"/>
          <w:highlight w:val="none"/>
        </w:rPr>
      </w:pPr>
      <w:bookmarkStart w:id="950" w:name="_Toc24635"/>
      <w:bookmarkStart w:id="951" w:name="_Toc24656"/>
      <w:bookmarkStart w:id="952" w:name="_Toc436834189"/>
      <w:bookmarkStart w:id="953" w:name="_Toc13060"/>
      <w:bookmarkStart w:id="954" w:name="_Toc436834782"/>
      <w:bookmarkStart w:id="955" w:name="_Toc494371572"/>
      <w:bookmarkStart w:id="956" w:name="_Toc29432"/>
      <w:bookmarkStart w:id="957" w:name="_Toc210"/>
      <w:bookmarkStart w:id="958" w:name="_Toc11029"/>
      <w:r>
        <w:rPr>
          <w:rFonts w:ascii="宋体" w:hAnsi="宋体" w:eastAsia="宋体"/>
          <w:color w:val="auto"/>
          <w:highlight w:val="none"/>
        </w:rPr>
        <w:t xml:space="preserve">3. </w:t>
      </w:r>
      <w:r>
        <w:rPr>
          <w:rFonts w:hint="eastAsia" w:ascii="宋体" w:hAnsi="宋体" w:eastAsia="宋体"/>
          <w:color w:val="auto"/>
          <w:highlight w:val="none"/>
        </w:rPr>
        <w:t>评标程序</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pPr>
        <w:pStyle w:val="8"/>
        <w:spacing w:before="100" w:after="100" w:line="360" w:lineRule="auto"/>
        <w:rPr>
          <w:rFonts w:ascii="宋体" w:eastAsia="宋体"/>
          <w:color w:val="auto"/>
          <w:highlight w:val="none"/>
        </w:rPr>
      </w:pPr>
      <w:bookmarkStart w:id="959" w:name="_Toc263"/>
      <w:bookmarkStart w:id="960" w:name="_Toc1082"/>
      <w:bookmarkStart w:id="961" w:name="_Toc24446"/>
      <w:bookmarkStart w:id="962" w:name="_Toc5646"/>
      <w:bookmarkStart w:id="963" w:name="_Toc494371574"/>
      <w:r>
        <w:rPr>
          <w:rFonts w:ascii="宋体" w:eastAsia="宋体"/>
          <w:color w:val="auto"/>
          <w:highlight w:val="none"/>
        </w:rPr>
        <w:t>3.1资格审查文件评审</w:t>
      </w:r>
      <w:bookmarkEnd w:id="959"/>
      <w:bookmarkEnd w:id="960"/>
      <w:bookmarkEnd w:id="961"/>
      <w:bookmarkEnd w:id="962"/>
      <w:bookmarkEnd w:id="963"/>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3.1.1</w:t>
      </w:r>
      <w:r>
        <w:rPr>
          <w:rFonts w:hint="eastAsia" w:ascii="宋体" w:hAnsi="宋体"/>
          <w:color w:val="auto"/>
          <w:highlight w:val="none"/>
        </w:rPr>
        <w:t>资格审查采用非电子化审查方式进行，评标委员会对投标人递交的资格审查文件</w:t>
      </w:r>
      <w:r>
        <w:rPr>
          <w:rFonts w:hint="eastAsia" w:ascii="宋体" w:hAnsi="宋体"/>
          <w:color w:val="auto"/>
          <w:szCs w:val="21"/>
          <w:highlight w:val="none"/>
        </w:rPr>
        <w:t>进行评审。</w:t>
      </w:r>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3.1.2资格审查文件中全部符合附表1《资格审查表》中情形的，为资格审查合格。否则为资格审查不合格，经评标委员会认定后，其资格审查文件将被拒绝。如评标委员会成员的评审意见不一致时，应先公开要求投标人进行澄清，并记录及由评标委员会、作出澄清的投标人签字确认，以评标委员会过半数成员的意见作为评标委员会对该情形的认定结论。只有通过资格审查的投标人方可进入下一阶段的评审。</w:t>
      </w:r>
    </w:p>
    <w:p>
      <w:pPr>
        <w:spacing w:line="400" w:lineRule="exact"/>
        <w:ind w:firstLine="457" w:firstLineChars="218"/>
        <w:rPr>
          <w:rFonts w:ascii="宋体" w:hAnsi="宋体"/>
          <w:color w:val="auto"/>
          <w:kern w:val="0"/>
          <w:szCs w:val="21"/>
          <w:highlight w:val="none"/>
        </w:rPr>
      </w:pPr>
      <w:r>
        <w:rPr>
          <w:rFonts w:ascii="宋体" w:hAnsi="宋体"/>
          <w:color w:val="auto"/>
          <w:kern w:val="0"/>
          <w:szCs w:val="21"/>
          <w:highlight w:val="none"/>
        </w:rPr>
        <w:t>3.1.</w:t>
      </w:r>
      <w:r>
        <w:rPr>
          <w:rFonts w:hint="eastAsia" w:ascii="宋体" w:hAnsi="宋体"/>
          <w:color w:val="auto"/>
          <w:kern w:val="0"/>
          <w:szCs w:val="21"/>
          <w:highlight w:val="none"/>
        </w:rPr>
        <w:t>3汇总资格审查情况，编写资格审查报告。</w:t>
      </w:r>
    </w:p>
    <w:p>
      <w:pPr>
        <w:spacing w:line="400" w:lineRule="exact"/>
        <w:ind w:firstLine="457" w:firstLineChars="218"/>
        <w:rPr>
          <w:rFonts w:ascii="宋体" w:hAnsi="宋体"/>
          <w:color w:val="auto"/>
          <w:kern w:val="0"/>
          <w:szCs w:val="21"/>
          <w:highlight w:val="none"/>
        </w:rPr>
      </w:pPr>
      <w:r>
        <w:rPr>
          <w:rFonts w:ascii="宋体" w:hAnsi="宋体"/>
          <w:color w:val="auto"/>
          <w:kern w:val="0"/>
          <w:szCs w:val="21"/>
          <w:highlight w:val="none"/>
        </w:rPr>
        <w:t>3.1.</w:t>
      </w:r>
      <w:r>
        <w:rPr>
          <w:rFonts w:hint="eastAsia" w:ascii="宋体" w:hAnsi="宋体"/>
          <w:color w:val="auto"/>
          <w:kern w:val="0"/>
          <w:szCs w:val="21"/>
          <w:highlight w:val="none"/>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400" w:lineRule="exact"/>
        <w:ind w:firstLine="457" w:firstLineChars="218"/>
        <w:rPr>
          <w:rFonts w:ascii="宋体" w:hAnsi="宋体"/>
          <w:color w:val="auto"/>
          <w:kern w:val="0"/>
          <w:szCs w:val="21"/>
          <w:highlight w:val="none"/>
        </w:rPr>
      </w:pPr>
      <w:r>
        <w:rPr>
          <w:rFonts w:hint="eastAsia" w:ascii="宋体" w:hAnsi="宋体"/>
          <w:color w:val="auto"/>
          <w:kern w:val="0"/>
          <w:szCs w:val="21"/>
          <w:highlight w:val="none"/>
        </w:rPr>
        <w:t>特别声明：资审合格后，投标人的资格发生变化而不满足投标人合格条件，在发出中标通知书前，资格问题仍未解决的，招标人将取消其中标资格。</w:t>
      </w:r>
    </w:p>
    <w:p>
      <w:pPr>
        <w:pStyle w:val="8"/>
        <w:spacing w:before="100" w:after="100" w:line="360" w:lineRule="auto"/>
        <w:rPr>
          <w:rFonts w:ascii="宋体" w:eastAsia="宋体"/>
          <w:color w:val="auto"/>
          <w:szCs w:val="21"/>
          <w:highlight w:val="none"/>
        </w:rPr>
      </w:pPr>
      <w:bookmarkStart w:id="964" w:name="_Toc26253"/>
      <w:bookmarkStart w:id="965" w:name="_Toc494371575"/>
      <w:bookmarkStart w:id="966" w:name="_Toc30033"/>
      <w:bookmarkStart w:id="967" w:name="_Toc436834783"/>
      <w:bookmarkStart w:id="968" w:name="_Toc15835"/>
      <w:bookmarkStart w:id="969" w:name="_Toc22209"/>
      <w:bookmarkStart w:id="970" w:name="_Toc436834190"/>
      <w:bookmarkStart w:id="971" w:name="_Toc300835017"/>
      <w:bookmarkStart w:id="972" w:name="_Toc247527632"/>
      <w:bookmarkStart w:id="973" w:name="_Toc247514031"/>
      <w:bookmarkStart w:id="974" w:name="_Toc399165439"/>
      <w:bookmarkStart w:id="975" w:name="_Toc152042385"/>
      <w:bookmarkStart w:id="976" w:name="_Toc144974575"/>
      <w:bookmarkStart w:id="977" w:name="_Toc152045607"/>
      <w:r>
        <w:rPr>
          <w:rFonts w:ascii="宋体" w:eastAsia="宋体"/>
          <w:color w:val="auto"/>
          <w:highlight w:val="none"/>
        </w:rPr>
        <w:t>3.2</w:t>
      </w:r>
      <w:r>
        <w:rPr>
          <w:rFonts w:hint="eastAsia"/>
          <w:color w:val="auto"/>
          <w:highlight w:val="none"/>
        </w:rPr>
        <w:t>设计标投标文件评审</w:t>
      </w:r>
      <w:bookmarkEnd w:id="964"/>
      <w:bookmarkEnd w:id="965"/>
      <w:bookmarkEnd w:id="966"/>
      <w:bookmarkEnd w:id="967"/>
      <w:bookmarkEnd w:id="968"/>
      <w:bookmarkEnd w:id="969"/>
      <w:bookmarkEnd w:id="970"/>
    </w:p>
    <w:p>
      <w:pPr>
        <w:spacing w:line="400" w:lineRule="exact"/>
        <w:ind w:firstLine="457" w:firstLineChars="218"/>
        <w:rPr>
          <w:rFonts w:ascii="宋体" w:hAnsi="宋体"/>
          <w:color w:val="auto"/>
          <w:szCs w:val="21"/>
          <w:highlight w:val="none"/>
        </w:rPr>
      </w:pPr>
      <w:bookmarkStart w:id="978" w:name="_Toc436834784"/>
      <w:bookmarkStart w:id="979" w:name="_Toc436834191"/>
      <w:r>
        <w:rPr>
          <w:rFonts w:ascii="宋体" w:hAnsi="宋体"/>
          <w:color w:val="auto"/>
          <w:szCs w:val="21"/>
          <w:highlight w:val="none"/>
        </w:rPr>
        <w:t>3.2.1</w:t>
      </w:r>
      <w:r>
        <w:rPr>
          <w:rFonts w:hint="eastAsia" w:ascii="宋体" w:hAnsi="宋体"/>
          <w:color w:val="auto"/>
          <w:szCs w:val="21"/>
          <w:highlight w:val="none"/>
        </w:rPr>
        <w:t>评标委员会按本办法附表</w:t>
      </w:r>
      <w:r>
        <w:rPr>
          <w:rFonts w:ascii="宋体" w:hAnsi="宋体"/>
          <w:color w:val="auto"/>
          <w:szCs w:val="21"/>
          <w:highlight w:val="none"/>
        </w:rPr>
        <w:t>2</w:t>
      </w:r>
      <w:r>
        <w:rPr>
          <w:rFonts w:hint="eastAsia" w:ascii="宋体" w:hAnsi="宋体"/>
          <w:color w:val="auto"/>
          <w:szCs w:val="21"/>
          <w:highlight w:val="none"/>
        </w:rPr>
        <w:t>《设计商务文件有效性审查表》</w:t>
      </w:r>
      <w:r>
        <w:rPr>
          <w:rFonts w:ascii="宋体" w:hAnsi="宋体"/>
          <w:color w:val="auto"/>
          <w:szCs w:val="21"/>
          <w:highlight w:val="none"/>
        </w:rPr>
        <w:t>、</w:t>
      </w:r>
      <w:r>
        <w:rPr>
          <w:rFonts w:hint="eastAsia" w:ascii="宋体" w:hAnsi="宋体"/>
          <w:color w:val="auto"/>
          <w:szCs w:val="21"/>
          <w:highlight w:val="none"/>
        </w:rPr>
        <w:t>附表4</w:t>
      </w:r>
      <w:r>
        <w:rPr>
          <w:rFonts w:ascii="宋体" w:hAnsi="宋体"/>
          <w:color w:val="auto"/>
          <w:szCs w:val="21"/>
          <w:highlight w:val="none"/>
        </w:rPr>
        <w:t>《设计技术文件有效性审查表》对各设计标投标文件进行评审，只有通过有效性审查的设计标投标文件方可进入下一阶段的评审。如果</w:t>
      </w:r>
      <w:r>
        <w:rPr>
          <w:rFonts w:hint="eastAsia" w:ascii="宋体" w:hAnsi="宋体"/>
          <w:color w:val="auto"/>
          <w:szCs w:val="21"/>
          <w:highlight w:val="none"/>
        </w:rPr>
        <w:t>有废标提议，则评标委员会成员共同表决，按照少数服从多数的原则决定是否废标。</w:t>
      </w:r>
    </w:p>
    <w:p>
      <w:pPr>
        <w:spacing w:line="400" w:lineRule="exact"/>
        <w:ind w:firstLine="457" w:firstLineChars="218"/>
        <w:rPr>
          <w:rFonts w:ascii="宋体"/>
          <w:color w:val="auto"/>
          <w:szCs w:val="21"/>
          <w:highlight w:val="none"/>
        </w:rPr>
      </w:pPr>
      <w:r>
        <w:rPr>
          <w:rFonts w:ascii="宋体" w:hAnsi="宋体"/>
          <w:color w:val="auto"/>
          <w:szCs w:val="21"/>
          <w:highlight w:val="none"/>
        </w:rPr>
        <w:t>3.2.2</w:t>
      </w:r>
      <w:r>
        <w:rPr>
          <w:rFonts w:hint="eastAsia" w:ascii="宋体"/>
          <w:color w:val="auto"/>
          <w:szCs w:val="21"/>
          <w:highlight w:val="none"/>
        </w:rPr>
        <w:t>评标委员会按本办法附表3《设计商务文件详细审查评分表》对各投标人的设计商务文件进行评分，投标人得分为评标委员会各成员对其评分合计的算术平均值。分数出现小数点，保留小数点后二位小数，第三位小数四舍五入。</w:t>
      </w:r>
    </w:p>
    <w:p>
      <w:pPr>
        <w:spacing w:line="400" w:lineRule="exact"/>
        <w:ind w:firstLine="457" w:firstLineChars="218"/>
        <w:rPr>
          <w:rFonts w:ascii="宋体"/>
          <w:color w:val="auto"/>
          <w:szCs w:val="21"/>
          <w:highlight w:val="none"/>
        </w:rPr>
      </w:pPr>
      <w:r>
        <w:rPr>
          <w:rFonts w:hint="eastAsia" w:ascii="宋体"/>
          <w:color w:val="auto"/>
          <w:szCs w:val="21"/>
          <w:highlight w:val="none"/>
        </w:rPr>
        <w:t>3.2.3评标委员会按本办法附表</w:t>
      </w:r>
      <w:r>
        <w:rPr>
          <w:rFonts w:hint="eastAsia" w:ascii="宋体" w:hAnsi="宋体"/>
          <w:color w:val="auto"/>
          <w:szCs w:val="21"/>
          <w:highlight w:val="none"/>
        </w:rPr>
        <w:t>5</w:t>
      </w:r>
      <w:r>
        <w:rPr>
          <w:rFonts w:ascii="宋体" w:hAnsi="宋体"/>
          <w:color w:val="auto"/>
          <w:szCs w:val="21"/>
          <w:highlight w:val="none"/>
        </w:rPr>
        <w:t>《设计技术文件详细审查评分</w:t>
      </w:r>
      <w:r>
        <w:rPr>
          <w:rFonts w:hint="eastAsia" w:ascii="宋体" w:hAnsi="宋体"/>
          <w:color w:val="auto"/>
          <w:szCs w:val="21"/>
          <w:highlight w:val="none"/>
        </w:rPr>
        <w:t>表</w:t>
      </w:r>
      <w:r>
        <w:rPr>
          <w:rFonts w:ascii="宋体" w:hAnsi="宋体"/>
          <w:color w:val="auto"/>
          <w:szCs w:val="21"/>
          <w:highlight w:val="none"/>
        </w:rPr>
        <w:t>》</w:t>
      </w:r>
      <w:r>
        <w:rPr>
          <w:rFonts w:hint="eastAsia" w:ascii="宋体"/>
          <w:color w:val="auto"/>
          <w:szCs w:val="21"/>
          <w:highlight w:val="none"/>
        </w:rPr>
        <w:t>对各投标人的设计技术文件进行评分，投标人得分为评标委员会各成员对其评分合计的算术平均值。分数出现小数点，保留小数点后二位小数，第三位小数四舍五入。</w:t>
      </w:r>
    </w:p>
    <w:p>
      <w:pPr>
        <w:spacing w:line="400" w:lineRule="exact"/>
        <w:ind w:firstLine="420" w:firstLineChars="200"/>
        <w:rPr>
          <w:rFonts w:ascii="宋体" w:hAnsi="宋体"/>
          <w:color w:val="auto"/>
          <w:szCs w:val="21"/>
          <w:highlight w:val="none"/>
        </w:rPr>
      </w:pPr>
      <w:r>
        <w:rPr>
          <w:rFonts w:hint="eastAsia" w:ascii="宋体"/>
          <w:color w:val="auto"/>
          <w:szCs w:val="21"/>
          <w:highlight w:val="none"/>
        </w:rPr>
        <w:t>3.2.4设计标评标委员会评出各投标人的设计商务、设计技术得分后，按</w:t>
      </w:r>
      <w:r>
        <w:rPr>
          <w:rFonts w:hint="eastAsia" w:ascii="宋体"/>
          <w:b/>
          <w:color w:val="auto"/>
          <w:szCs w:val="21"/>
          <w:highlight w:val="none"/>
        </w:rPr>
        <w:t>“设计标得分=设计商务得分+设计技术得分”</w:t>
      </w:r>
      <w:r>
        <w:rPr>
          <w:rFonts w:hint="eastAsia"/>
          <w:color w:val="auto"/>
          <w:highlight w:val="none"/>
        </w:rPr>
        <w:t xml:space="preserve"> 的公式，</w:t>
      </w:r>
      <w:r>
        <w:rPr>
          <w:rFonts w:hint="eastAsia" w:ascii="宋体"/>
          <w:color w:val="auto"/>
          <w:szCs w:val="21"/>
          <w:highlight w:val="none"/>
        </w:rPr>
        <w:t>计算各投标人设计标得分（分数出现小数点，保留小数点后二位，第三位小数四舍五入）。</w:t>
      </w:r>
    </w:p>
    <w:p>
      <w:pPr>
        <w:spacing w:line="400" w:lineRule="exact"/>
        <w:ind w:firstLine="457" w:firstLineChars="218"/>
        <w:rPr>
          <w:rFonts w:ascii="宋体" w:hAnsi="宋体"/>
          <w:b/>
          <w:bCs/>
          <w:color w:val="auto"/>
          <w:szCs w:val="21"/>
          <w:highlight w:val="none"/>
        </w:rPr>
      </w:pPr>
      <w:r>
        <w:rPr>
          <w:rFonts w:ascii="宋体" w:hAnsi="宋体"/>
          <w:color w:val="auto"/>
          <w:szCs w:val="21"/>
          <w:highlight w:val="none"/>
        </w:rPr>
        <w:t>3.2.</w:t>
      </w:r>
      <w:r>
        <w:rPr>
          <w:rFonts w:hint="eastAsia" w:ascii="宋体" w:hAnsi="宋体"/>
          <w:color w:val="auto"/>
          <w:szCs w:val="21"/>
          <w:highlight w:val="none"/>
        </w:rPr>
        <w:t>5招标人</w:t>
      </w:r>
      <w:r>
        <w:rPr>
          <w:rFonts w:hint="eastAsia" w:ascii="宋体" w:hAnsi="宋体"/>
          <w:color w:val="auto"/>
          <w:szCs w:val="21"/>
          <w:highlight w:val="none"/>
          <w:lang w:eastAsia="zh-CN"/>
        </w:rPr>
        <w:t>先</w:t>
      </w:r>
      <w:r>
        <w:rPr>
          <w:rFonts w:hint="eastAsia" w:ascii="宋体" w:hAnsi="宋体"/>
          <w:color w:val="auto"/>
          <w:szCs w:val="21"/>
          <w:highlight w:val="none"/>
        </w:rPr>
        <w:t>揭晓设计标评审结果。评标委员会取消未通过设计标投标文件有效性审查的投标人的设计标得分，并编写设计标评标报告。</w:t>
      </w:r>
    </w:p>
    <w:p>
      <w:pPr>
        <w:pStyle w:val="8"/>
        <w:spacing w:before="100" w:after="100" w:line="360" w:lineRule="auto"/>
        <w:rPr>
          <w:rFonts w:ascii="宋体" w:eastAsia="宋体"/>
          <w:color w:val="auto"/>
          <w:highlight w:val="none"/>
        </w:rPr>
      </w:pPr>
      <w:bookmarkStart w:id="980" w:name="_Toc29017"/>
      <w:bookmarkStart w:id="981" w:name="_Toc23957"/>
      <w:bookmarkStart w:id="982" w:name="_Toc10463"/>
      <w:bookmarkStart w:id="983" w:name="_Toc23184"/>
      <w:bookmarkStart w:id="984" w:name="_Toc494371576"/>
      <w:r>
        <w:rPr>
          <w:rFonts w:ascii="宋体" w:eastAsia="宋体"/>
          <w:color w:val="auto"/>
          <w:highlight w:val="none"/>
        </w:rPr>
        <w:t>3.3</w:t>
      </w:r>
      <w:bookmarkEnd w:id="978"/>
      <w:bookmarkEnd w:id="979"/>
      <w:r>
        <w:rPr>
          <w:rFonts w:hint="eastAsia" w:ascii="宋体" w:eastAsia="宋体"/>
          <w:color w:val="auto"/>
          <w:highlight w:val="none"/>
        </w:rPr>
        <w:t>施工技术标投标文件评审</w:t>
      </w:r>
      <w:bookmarkEnd w:id="980"/>
      <w:bookmarkEnd w:id="981"/>
      <w:bookmarkEnd w:id="982"/>
      <w:bookmarkEnd w:id="983"/>
      <w:bookmarkEnd w:id="984"/>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3.3.1施工技术标投标文件有效性审查：评标委员会对通过资格审查的投标文件按本办法附表6《施工技术投标文件有效性审查表》的评审内容进行施工技术标投标文件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施工技术标投标文件详细审查：评标委员会按照本办法附表7</w:t>
      </w:r>
      <w:r>
        <w:rPr>
          <w:rFonts w:ascii="宋体" w:hAnsi="宋体"/>
          <w:color w:val="auto"/>
          <w:szCs w:val="21"/>
          <w:highlight w:val="none"/>
        </w:rPr>
        <w:t>《施工</w:t>
      </w:r>
      <w:r>
        <w:rPr>
          <w:rFonts w:hint="eastAsia" w:ascii="宋体" w:hAnsi="宋体"/>
          <w:color w:val="auto"/>
          <w:szCs w:val="21"/>
          <w:highlight w:val="none"/>
        </w:rPr>
        <w:t>技术</w:t>
      </w:r>
      <w:r>
        <w:rPr>
          <w:rFonts w:ascii="宋体" w:hAnsi="宋体"/>
          <w:color w:val="auto"/>
          <w:szCs w:val="21"/>
          <w:highlight w:val="none"/>
        </w:rPr>
        <w:t>标</w:t>
      </w:r>
      <w:r>
        <w:rPr>
          <w:rFonts w:hint="eastAsia" w:ascii="宋体" w:hAnsi="宋体"/>
          <w:color w:val="auto"/>
          <w:szCs w:val="21"/>
          <w:highlight w:val="none"/>
        </w:rPr>
        <w:t>投标文件</w:t>
      </w:r>
      <w:r>
        <w:rPr>
          <w:rFonts w:ascii="宋体" w:hAnsi="宋体"/>
          <w:color w:val="auto"/>
          <w:szCs w:val="21"/>
          <w:highlight w:val="none"/>
        </w:rPr>
        <w:t>详细审查评分</w:t>
      </w:r>
      <w:r>
        <w:rPr>
          <w:rFonts w:hint="eastAsia" w:ascii="宋体" w:hAnsi="宋体"/>
          <w:color w:val="auto"/>
          <w:szCs w:val="21"/>
          <w:highlight w:val="none"/>
        </w:rPr>
        <w:t>表</w:t>
      </w:r>
      <w:r>
        <w:rPr>
          <w:rFonts w:ascii="宋体" w:hAnsi="宋体"/>
          <w:color w:val="auto"/>
          <w:szCs w:val="21"/>
          <w:highlight w:val="none"/>
        </w:rPr>
        <w:t>》的标准，对通过施工标有效性审查的投标文件进行详细审查</w:t>
      </w:r>
      <w:r>
        <w:rPr>
          <w:rFonts w:hint="eastAsia" w:ascii="宋体" w:hAnsi="宋体"/>
          <w:color w:val="auto"/>
          <w:szCs w:val="21"/>
          <w:highlight w:val="none"/>
        </w:rPr>
        <w:t>，评出施工技术得分。投标人得分为评标委员会各成员对其评分合计的算术平均值。分数出现小数点，保留小数点后二位小数，第三位小数四舍五入</w:t>
      </w:r>
      <w:r>
        <w:rPr>
          <w:rFonts w:ascii="宋体" w:hAnsi="宋体"/>
          <w:color w:val="auto"/>
          <w:szCs w:val="21"/>
          <w:highlight w:val="none"/>
        </w:rPr>
        <w:t>。</w:t>
      </w:r>
    </w:p>
    <w:p>
      <w:pPr>
        <w:pStyle w:val="8"/>
        <w:spacing w:before="100" w:after="100" w:line="360" w:lineRule="auto"/>
        <w:rPr>
          <w:rFonts w:ascii="宋体" w:eastAsia="宋体"/>
          <w:color w:val="auto"/>
          <w:highlight w:val="none"/>
        </w:rPr>
      </w:pPr>
      <w:bookmarkStart w:id="985" w:name="_Toc436834785"/>
      <w:bookmarkStart w:id="986" w:name="_Toc436834192"/>
      <w:bookmarkStart w:id="987" w:name="_Toc25154"/>
      <w:bookmarkStart w:id="988" w:name="_Toc17554"/>
      <w:bookmarkStart w:id="989" w:name="_Toc29164"/>
      <w:bookmarkStart w:id="990" w:name="_Toc2742"/>
      <w:bookmarkStart w:id="991" w:name="_Toc494371577"/>
      <w:r>
        <w:rPr>
          <w:rFonts w:ascii="宋体" w:eastAsia="宋体"/>
          <w:color w:val="auto"/>
          <w:highlight w:val="none"/>
        </w:rPr>
        <w:t>3.4</w:t>
      </w:r>
      <w:bookmarkEnd w:id="985"/>
      <w:bookmarkEnd w:id="986"/>
      <w:r>
        <w:rPr>
          <w:rFonts w:hint="eastAsia" w:ascii="宋体" w:eastAsia="宋体"/>
          <w:color w:val="auto"/>
          <w:highlight w:val="none"/>
        </w:rPr>
        <w:t>经济标投标文件评审</w:t>
      </w:r>
      <w:bookmarkEnd w:id="987"/>
      <w:bookmarkEnd w:id="988"/>
      <w:bookmarkEnd w:id="989"/>
      <w:bookmarkEnd w:id="990"/>
      <w:bookmarkEnd w:id="991"/>
    </w:p>
    <w:p>
      <w:pPr>
        <w:spacing w:line="360" w:lineRule="auto"/>
        <w:ind w:firstLine="420" w:firstLineChars="200"/>
        <w:rPr>
          <w:rFonts w:ascii="宋体" w:hAnsi="宋体"/>
          <w:color w:val="auto"/>
          <w:szCs w:val="21"/>
          <w:highlight w:val="none"/>
        </w:rPr>
      </w:pPr>
      <w:r>
        <w:rPr>
          <w:rFonts w:ascii="宋体" w:hAnsi="宋体"/>
          <w:color w:val="auto"/>
          <w:highlight w:val="none"/>
        </w:rPr>
        <w:t xml:space="preserve">3.4.1 </w:t>
      </w:r>
      <w:r>
        <w:rPr>
          <w:rFonts w:hint="eastAsia" w:ascii="宋体" w:hAnsi="宋体"/>
          <w:color w:val="auto"/>
          <w:highlight w:val="none"/>
        </w:rPr>
        <w:t>编制技术标书的经济标投标文件有效性审查：标评标委员会对通过施工技术标投标文件有效性审查的投标人递交的经济标投标文件进行有效性审查，按本办法附表8《编制技术标书的经济标投标文件有效性审查表》的评审内容进行经济标投标文件有效性审查，经评标委员会认定为无效标书的，其投标文件将被拒绝。如评标委员会成员的评审意见不一致时，以评标委员会过半数成员的意见作为评标委员会对该情形的认定结论。未通过有效性审查的，不得进入下一阶段评审。</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3.4.2建安工程费报价的算术校核。施工组评标委员会对通过</w:t>
      </w:r>
      <w:r>
        <w:rPr>
          <w:rFonts w:hint="eastAsia" w:ascii="宋体" w:hAnsi="宋体"/>
          <w:color w:val="auto"/>
          <w:highlight w:val="none"/>
        </w:rPr>
        <w:t>经济标投标文件</w:t>
      </w:r>
      <w:r>
        <w:rPr>
          <w:rFonts w:hint="eastAsia" w:ascii="宋体" w:hAnsi="宋体"/>
          <w:color w:val="auto"/>
          <w:szCs w:val="21"/>
          <w:highlight w:val="none"/>
        </w:rPr>
        <w:t>有效性审查的投标文件的建安工程费报价进行算术校核，具体标准如下：</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（1）如果数字表示的金额和用文字表示的金额不一致时，应以文字表示的金额为准（有以下算术性错误需要修正的除外）；</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2）如果费率与施工部分限价乘积不等于合价时，以费率为准修正合价（费率有明显的数量级错误的除外，此时应修正费率）；</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3）如果分项报价累加不等总价的，以分项报价累加为准，修正总价；</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4）投标文件存在其他计算性错误的，按正确的方法计算并修正；</w:t>
      </w:r>
    </w:p>
    <w:p>
      <w:pPr>
        <w:spacing w:line="400" w:lineRule="exact"/>
        <w:ind w:firstLine="457" w:firstLineChars="218"/>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5）按上述修正错误的原则及方法调整或修正投标文件的投标报价，调整后的投标报价对投标人起约束作用。如果投标人不接受修正后的报价，则取消其投标资格，并且其投标担保也将被没收。</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3.4.3</w:t>
      </w:r>
      <w:r>
        <w:rPr>
          <w:rFonts w:hint="eastAsia" w:ascii="宋体" w:hAnsi="宋体"/>
          <w:color w:val="auto"/>
          <w:szCs w:val="21"/>
          <w:highlight w:val="none"/>
        </w:rPr>
        <w:t>投标报价评分</w:t>
      </w:r>
    </w:p>
    <w:p>
      <w:pPr>
        <w:spacing w:line="360" w:lineRule="auto"/>
        <w:ind w:firstLine="420" w:firstLineChars="200"/>
        <w:rPr>
          <w:rFonts w:ascii="宋体" w:hAnsi="宋体"/>
          <w:color w:val="auto"/>
          <w:highlight w:val="none"/>
        </w:rPr>
      </w:pPr>
      <w:r>
        <w:rPr>
          <w:rFonts w:hint="eastAsia" w:ascii="宋体" w:hAnsi="宋体"/>
          <w:color w:val="auto"/>
          <w:highlight w:val="none"/>
        </w:rPr>
        <w:t>①以通过投标文件有效性审查（包括资格审查文件、设计标投标文件、施工技术标投标文件和经济标投标文件）的投标文件的建安工程费报价中，在位于</w:t>
      </w:r>
      <w:r>
        <w:rPr>
          <w:rFonts w:ascii="宋体" w:hAnsi="宋体"/>
          <w:color w:val="auto"/>
          <w:highlight w:val="none"/>
        </w:rPr>
        <w:t>[建安工程费</w:t>
      </w:r>
      <w:r>
        <w:rPr>
          <w:rFonts w:hint="eastAsia" w:ascii="宋体" w:hAnsi="宋体"/>
          <w:color w:val="auto"/>
          <w:highlight w:val="none"/>
        </w:rPr>
        <w:t>最高投标限价</w:t>
      </w:r>
      <w:r>
        <w:rPr>
          <w:rFonts w:ascii="宋体" w:hAnsi="宋体"/>
          <w:color w:val="auto"/>
          <w:highlight w:val="none"/>
        </w:rPr>
        <w:t>×</w:t>
      </w:r>
      <w:r>
        <w:rPr>
          <w:rFonts w:hint="eastAsia"/>
          <w:color w:val="auto"/>
          <w:highlight w:val="none"/>
        </w:rPr>
        <w:t>90</w:t>
      </w:r>
      <w:r>
        <w:rPr>
          <w:color w:val="auto"/>
          <w:highlight w:val="none"/>
        </w:rPr>
        <w:t>%</w:t>
      </w:r>
      <w:r>
        <w:rPr>
          <w:rFonts w:hint="eastAsia" w:ascii="宋体" w:hAnsi="宋体"/>
          <w:color w:val="auto"/>
          <w:highlight w:val="none"/>
        </w:rPr>
        <w:t>，建安工程费最高投标限价</w:t>
      </w:r>
      <w:r>
        <w:rPr>
          <w:color w:val="auto"/>
          <w:highlight w:val="none"/>
        </w:rPr>
        <w:t>]</w:t>
      </w:r>
      <w:r>
        <w:rPr>
          <w:rFonts w:hint="eastAsia" w:ascii="宋体" w:hAnsi="宋体"/>
          <w:color w:val="auto"/>
          <w:highlight w:val="none"/>
        </w:rPr>
        <w:t>区间的投标价大于三个时，去掉一个最高价和一个最低价后，剩余报价的算术平均值为评标参考价。若位于</w:t>
      </w:r>
      <w:r>
        <w:rPr>
          <w:color w:val="auto"/>
          <w:highlight w:val="none"/>
        </w:rPr>
        <w:t>[</w:t>
      </w:r>
      <w:r>
        <w:rPr>
          <w:rFonts w:ascii="宋体" w:hAnsi="宋体"/>
          <w:color w:val="auto"/>
          <w:highlight w:val="none"/>
        </w:rPr>
        <w:t>建安工程费</w:t>
      </w:r>
      <w:r>
        <w:rPr>
          <w:rFonts w:hint="eastAsia" w:ascii="宋体" w:hAnsi="宋体"/>
          <w:color w:val="auto"/>
          <w:highlight w:val="none"/>
        </w:rPr>
        <w:t>最高投标限价</w:t>
      </w:r>
      <w:r>
        <w:rPr>
          <w:rFonts w:ascii="宋体" w:hAnsi="宋体"/>
          <w:color w:val="auto"/>
          <w:highlight w:val="none"/>
        </w:rPr>
        <w:t>×</w:t>
      </w:r>
      <w:r>
        <w:rPr>
          <w:rFonts w:hint="eastAsia"/>
          <w:color w:val="auto"/>
          <w:highlight w:val="none"/>
        </w:rPr>
        <w:t>90</w:t>
      </w:r>
      <w:r>
        <w:rPr>
          <w:color w:val="auto"/>
          <w:highlight w:val="none"/>
        </w:rPr>
        <w:t>%</w:t>
      </w:r>
      <w:r>
        <w:rPr>
          <w:rFonts w:hint="eastAsia" w:ascii="宋体" w:hAnsi="宋体"/>
          <w:color w:val="auto"/>
          <w:highlight w:val="none"/>
        </w:rPr>
        <w:t>，建安工程费最高投标限价</w:t>
      </w:r>
      <w:r>
        <w:rPr>
          <w:color w:val="auto"/>
          <w:highlight w:val="none"/>
        </w:rPr>
        <w:t>]</w:t>
      </w:r>
      <w:r>
        <w:rPr>
          <w:rFonts w:hint="eastAsia" w:ascii="宋体" w:hAnsi="宋体"/>
          <w:color w:val="auto"/>
          <w:highlight w:val="none"/>
        </w:rPr>
        <w:t>区间的投标价少于或等于三个，直接取区间中的投标价的算术平均值为评标参考价。若没有投标价位于</w:t>
      </w:r>
      <w:r>
        <w:rPr>
          <w:color w:val="auto"/>
          <w:highlight w:val="none"/>
        </w:rPr>
        <w:t>[</w:t>
      </w:r>
      <w:r>
        <w:rPr>
          <w:rFonts w:ascii="宋体" w:hAnsi="宋体"/>
          <w:color w:val="auto"/>
          <w:highlight w:val="none"/>
        </w:rPr>
        <w:t>建安工程费</w:t>
      </w:r>
      <w:r>
        <w:rPr>
          <w:rFonts w:hint="eastAsia" w:ascii="宋体" w:hAnsi="宋体"/>
          <w:color w:val="auto"/>
          <w:highlight w:val="none"/>
        </w:rPr>
        <w:t>最高投标限价</w:t>
      </w:r>
      <w:r>
        <w:rPr>
          <w:rFonts w:ascii="宋体" w:hAnsi="宋体"/>
          <w:color w:val="auto"/>
          <w:highlight w:val="none"/>
        </w:rPr>
        <w:t>×</w:t>
      </w:r>
      <w:r>
        <w:rPr>
          <w:rFonts w:hint="eastAsia" w:ascii="宋体" w:hAnsi="宋体"/>
          <w:color w:val="auto"/>
          <w:highlight w:val="none"/>
        </w:rPr>
        <w:t>90</w:t>
      </w:r>
      <w:r>
        <w:rPr>
          <w:color w:val="auto"/>
          <w:highlight w:val="none"/>
        </w:rPr>
        <w:t>%</w:t>
      </w:r>
      <w:r>
        <w:rPr>
          <w:rFonts w:hint="eastAsia" w:ascii="宋体" w:hAnsi="宋体"/>
          <w:color w:val="auto"/>
          <w:highlight w:val="none"/>
        </w:rPr>
        <w:t>，建安工程费最高投标限价</w:t>
      </w:r>
      <w:r>
        <w:rPr>
          <w:color w:val="auto"/>
          <w:highlight w:val="none"/>
        </w:rPr>
        <w:t>]</w:t>
      </w:r>
      <w:r>
        <w:rPr>
          <w:rFonts w:hint="eastAsia" w:ascii="宋体" w:hAnsi="宋体"/>
          <w:color w:val="auto"/>
          <w:highlight w:val="none"/>
        </w:rPr>
        <w:t>区间，则由招标人依法重新招标；</w:t>
      </w:r>
    </w:p>
    <w:p>
      <w:pPr>
        <w:spacing w:line="360" w:lineRule="auto"/>
        <w:ind w:firstLine="420" w:firstLineChars="200"/>
        <w:rPr>
          <w:rFonts w:ascii="宋体" w:hAnsi="宋体"/>
          <w:color w:val="auto"/>
          <w:highlight w:val="none"/>
        </w:rPr>
      </w:pPr>
      <w:r>
        <w:rPr>
          <w:rFonts w:hint="eastAsia" w:ascii="宋体" w:hAnsi="宋体"/>
          <w:color w:val="auto"/>
          <w:highlight w:val="none"/>
        </w:rPr>
        <w:t>②建安工程费投标报价等于评标参考价时得</w:t>
      </w:r>
      <w:r>
        <w:rPr>
          <w:rFonts w:ascii="宋体" w:hAnsi="宋体"/>
          <w:color w:val="auto"/>
          <w:highlight w:val="none"/>
        </w:rPr>
        <w:t>100分，投标价每高于评标参考价</w:t>
      </w:r>
      <w:r>
        <w:rPr>
          <w:color w:val="auto"/>
          <w:highlight w:val="none"/>
        </w:rPr>
        <w:t>1%</w:t>
      </w:r>
      <w:r>
        <w:rPr>
          <w:rFonts w:hint="eastAsia" w:ascii="宋体" w:hAnsi="宋体"/>
          <w:color w:val="auto"/>
          <w:highlight w:val="none"/>
        </w:rPr>
        <w:t>，扣</w:t>
      </w:r>
      <w:r>
        <w:rPr>
          <w:rFonts w:hint="eastAsia"/>
          <w:color w:val="auto"/>
          <w:highlight w:val="none"/>
        </w:rPr>
        <w:t>0.3</w:t>
      </w:r>
      <w:r>
        <w:rPr>
          <w:rFonts w:hint="eastAsia" w:ascii="宋体" w:hAnsi="宋体"/>
          <w:color w:val="auto"/>
          <w:highlight w:val="none"/>
        </w:rPr>
        <w:t>分，每低于评标参考价</w:t>
      </w:r>
      <w:r>
        <w:rPr>
          <w:color w:val="auto"/>
          <w:highlight w:val="none"/>
        </w:rPr>
        <w:t>1%</w:t>
      </w:r>
      <w:r>
        <w:rPr>
          <w:rFonts w:hint="eastAsia" w:ascii="宋体" w:hAnsi="宋体"/>
          <w:color w:val="auto"/>
          <w:highlight w:val="none"/>
        </w:rPr>
        <w:t>，扣</w:t>
      </w:r>
      <w:r>
        <w:rPr>
          <w:rFonts w:hint="eastAsia"/>
          <w:color w:val="auto"/>
          <w:highlight w:val="none"/>
        </w:rPr>
        <w:t>0.15</w:t>
      </w:r>
      <w:r>
        <w:rPr>
          <w:rFonts w:hint="eastAsia" w:ascii="宋体" w:hAnsi="宋体"/>
          <w:color w:val="auto"/>
          <w:highlight w:val="none"/>
        </w:rPr>
        <w:t>分，扣至</w:t>
      </w:r>
      <w:r>
        <w:rPr>
          <w:color w:val="auto"/>
          <w:highlight w:val="none"/>
        </w:rPr>
        <w:t>0</w:t>
      </w:r>
      <w:r>
        <w:rPr>
          <w:rFonts w:hint="eastAsia" w:ascii="宋体" w:hAnsi="宋体"/>
          <w:color w:val="auto"/>
          <w:highlight w:val="none"/>
        </w:rPr>
        <w:t>分为止，得出的投标报价得分乘以40%作为最终经济标投标文件得分，精确到小数点后两位，第三位小数四舍五入。</w:t>
      </w:r>
    </w:p>
    <w:p>
      <w:pPr>
        <w:pStyle w:val="2"/>
        <w:rPr>
          <w:color w:val="auto"/>
          <w:highlight w:val="none"/>
        </w:rPr>
      </w:pPr>
    </w:p>
    <w:p>
      <w:pPr>
        <w:pStyle w:val="8"/>
        <w:spacing w:before="100" w:after="100" w:line="360" w:lineRule="auto"/>
        <w:rPr>
          <w:rFonts w:ascii="宋体" w:eastAsia="宋体"/>
          <w:color w:val="auto"/>
          <w:highlight w:val="none"/>
        </w:rPr>
      </w:pPr>
      <w:bookmarkStart w:id="992" w:name="_Toc494371578"/>
      <w:bookmarkStart w:id="993" w:name="_Toc436834786"/>
      <w:bookmarkStart w:id="994" w:name="_Toc10214"/>
      <w:bookmarkStart w:id="995" w:name="_Toc10879"/>
      <w:bookmarkStart w:id="996" w:name="_Toc27882"/>
      <w:bookmarkStart w:id="997" w:name="_Toc23723"/>
      <w:bookmarkStart w:id="998" w:name="_Toc436834193"/>
      <w:r>
        <w:rPr>
          <w:rFonts w:hint="eastAsia" w:ascii="宋体" w:eastAsia="宋体"/>
          <w:color w:val="auto"/>
          <w:highlight w:val="none"/>
        </w:rPr>
        <w:t>3.5评审汇总</w:t>
      </w:r>
      <w:bookmarkEnd w:id="992"/>
      <w:bookmarkEnd w:id="993"/>
      <w:bookmarkEnd w:id="994"/>
      <w:bookmarkEnd w:id="995"/>
      <w:bookmarkEnd w:id="996"/>
      <w:bookmarkEnd w:id="997"/>
      <w:bookmarkEnd w:id="998"/>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3.5.1</w:t>
      </w:r>
      <w:r>
        <w:rPr>
          <w:rFonts w:hint="eastAsia" w:ascii="宋体" w:hAnsi="宋体"/>
          <w:color w:val="auto"/>
          <w:szCs w:val="21"/>
          <w:highlight w:val="none"/>
        </w:rPr>
        <w:t>投标人总得分满分为</w:t>
      </w:r>
      <w:r>
        <w:rPr>
          <w:rFonts w:ascii="宋体" w:hAnsi="宋体"/>
          <w:color w:val="auto"/>
          <w:szCs w:val="21"/>
          <w:highlight w:val="none"/>
        </w:rPr>
        <w:t>100分，总分权重分配见:评标办法前附表。</w:t>
      </w:r>
    </w:p>
    <w:p>
      <w:pPr>
        <w:spacing w:line="400" w:lineRule="exact"/>
        <w:ind w:firstLine="457" w:firstLineChars="218"/>
        <w:rPr>
          <w:rFonts w:ascii="宋体" w:hAnsi="宋体"/>
          <w:color w:val="auto"/>
          <w:szCs w:val="21"/>
          <w:highlight w:val="none"/>
        </w:rPr>
      </w:pPr>
      <w:r>
        <w:rPr>
          <w:rFonts w:ascii="宋体" w:hAnsi="宋体"/>
          <w:color w:val="auto"/>
          <w:szCs w:val="21"/>
          <w:highlight w:val="none"/>
        </w:rPr>
        <w:t>3.5.2</w:t>
      </w:r>
      <w:r>
        <w:rPr>
          <w:rFonts w:hint="eastAsia" w:ascii="宋体" w:hAnsi="宋体"/>
          <w:color w:val="auto"/>
          <w:szCs w:val="21"/>
          <w:highlight w:val="none"/>
        </w:rPr>
        <w:t>评标委员会按照“评标办法前附表</w:t>
      </w:r>
      <w:r>
        <w:rPr>
          <w:rFonts w:ascii="宋体" w:hAnsi="宋体"/>
          <w:color w:val="auto"/>
          <w:szCs w:val="21"/>
          <w:highlight w:val="none"/>
        </w:rPr>
        <w:t>”</w:t>
      </w:r>
      <w:r>
        <w:rPr>
          <w:rFonts w:hint="eastAsia" w:ascii="宋体" w:hAnsi="宋体"/>
          <w:color w:val="auto"/>
          <w:szCs w:val="21"/>
          <w:highlight w:val="none"/>
        </w:rPr>
        <w:t>所述公式，计算各有效投标文件的总分，并按照总分从高到低排列先后次序。总分相同的，以联合体主办方施工技术得分高的排前；如仍存在相同情况，则对具有相同情况的投标人，按中标候选人数量规定，由评标委员会采用记名投票方式，确定中标候选人的排序。评标委员会应按排序先后，在招标文件有效的投标人中，向招标人推荐前</w:t>
      </w:r>
      <w:r>
        <w:rPr>
          <w:rFonts w:ascii="宋体" w:hAnsi="宋体"/>
          <w:color w:val="auto"/>
          <w:szCs w:val="21"/>
          <w:highlight w:val="none"/>
        </w:rPr>
        <w:t>3名投标人依次为第一中标候选人至第三中标候选人，并编写评标报告。</w:t>
      </w:r>
    </w:p>
    <w:bookmarkEnd w:id="971"/>
    <w:bookmarkEnd w:id="972"/>
    <w:bookmarkEnd w:id="973"/>
    <w:bookmarkEnd w:id="974"/>
    <w:bookmarkEnd w:id="975"/>
    <w:bookmarkEnd w:id="976"/>
    <w:bookmarkEnd w:id="977"/>
    <w:p>
      <w:pPr>
        <w:pStyle w:val="8"/>
        <w:spacing w:before="100" w:after="100" w:line="360" w:lineRule="auto"/>
        <w:rPr>
          <w:rFonts w:ascii="宋体" w:eastAsia="宋体"/>
          <w:color w:val="auto"/>
          <w:highlight w:val="none"/>
        </w:rPr>
      </w:pPr>
      <w:bookmarkStart w:id="999" w:name="_Toc5720"/>
      <w:bookmarkStart w:id="1000" w:name="_Toc436834787"/>
      <w:bookmarkStart w:id="1001" w:name="_Toc11454"/>
      <w:bookmarkStart w:id="1002" w:name="_Toc28563"/>
      <w:bookmarkStart w:id="1003" w:name="_Toc436834194"/>
      <w:bookmarkStart w:id="1004" w:name="_Toc4315"/>
      <w:bookmarkStart w:id="1005" w:name="_Toc494371579"/>
      <w:bookmarkStart w:id="1006" w:name="_Toc399165441"/>
      <w:r>
        <w:rPr>
          <w:rFonts w:ascii="宋体" w:eastAsia="宋体"/>
          <w:color w:val="auto"/>
          <w:highlight w:val="none"/>
        </w:rPr>
        <w:t>3.6投标文件的澄清和补正</w:t>
      </w:r>
      <w:bookmarkEnd w:id="999"/>
      <w:bookmarkEnd w:id="1000"/>
      <w:bookmarkEnd w:id="1001"/>
      <w:bookmarkEnd w:id="1002"/>
      <w:bookmarkEnd w:id="1003"/>
      <w:bookmarkEnd w:id="1004"/>
      <w:bookmarkEnd w:id="1005"/>
    </w:p>
    <w:p>
      <w:pPr>
        <w:spacing w:line="400" w:lineRule="exact"/>
        <w:ind w:firstLine="420" w:firstLineChars="200"/>
        <w:rPr>
          <w:rFonts w:ascii="宋体" w:hAnsi="宋体"/>
          <w:color w:val="auto"/>
          <w:highlight w:val="none"/>
        </w:rPr>
      </w:pPr>
      <w:r>
        <w:rPr>
          <w:rFonts w:ascii="宋体" w:hAnsi="宋体"/>
          <w:color w:val="auto"/>
          <w:highlight w:val="none"/>
        </w:rPr>
        <w:t>3.6.1</w:t>
      </w:r>
      <w:r>
        <w:rPr>
          <w:rFonts w:hint="eastAsia" w:ascii="宋体" w:hAnsi="宋体"/>
          <w:color w:val="auto"/>
          <w:highlight w:val="none"/>
        </w:rPr>
        <w:t>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400" w:lineRule="exact"/>
        <w:ind w:firstLine="420" w:firstLineChars="200"/>
        <w:rPr>
          <w:rFonts w:ascii="宋体" w:hAnsi="宋体"/>
          <w:color w:val="auto"/>
          <w:highlight w:val="none"/>
        </w:rPr>
      </w:pPr>
      <w:r>
        <w:rPr>
          <w:rFonts w:ascii="宋体" w:hAnsi="宋体"/>
          <w:color w:val="auto"/>
          <w:highlight w:val="none"/>
        </w:rPr>
        <w:t xml:space="preserve">3.6.2 </w:t>
      </w:r>
      <w:r>
        <w:rPr>
          <w:rFonts w:hint="eastAsia" w:ascii="宋体" w:hAnsi="宋体"/>
          <w:color w:val="auto"/>
          <w:highlight w:val="none"/>
        </w:rPr>
        <w:t>投标人应以书面形式进行澄清，澄清中的承诺性意思表示在投标文件有效期内均对投标人有约束力。澄清不得超出投标文件的范围或改变投标文件的实质性内容，超出部分不作为评标委员会相应评审的依据。</w:t>
      </w:r>
    </w:p>
    <w:p>
      <w:pPr>
        <w:spacing w:line="400" w:lineRule="exact"/>
        <w:ind w:firstLine="420" w:firstLineChars="200"/>
        <w:rPr>
          <w:rFonts w:ascii="宋体" w:hAnsi="宋体"/>
          <w:color w:val="auto"/>
          <w:highlight w:val="none"/>
        </w:rPr>
      </w:pPr>
      <w:r>
        <w:rPr>
          <w:rFonts w:ascii="宋体" w:hAnsi="宋体"/>
          <w:color w:val="auto"/>
          <w:highlight w:val="none"/>
        </w:rPr>
        <w:t>3.6.3 评标委员会成员均应当阅读投标人的澄清，但应独立参考澄清对投标文件进行评审。</w:t>
      </w:r>
    </w:p>
    <w:p>
      <w:pPr>
        <w:spacing w:line="400" w:lineRule="exact"/>
        <w:ind w:firstLine="420" w:firstLineChars="200"/>
        <w:rPr>
          <w:rFonts w:ascii="宋体" w:hAnsi="宋体"/>
          <w:color w:val="auto"/>
          <w:highlight w:val="none"/>
        </w:rPr>
      </w:pPr>
      <w:r>
        <w:rPr>
          <w:rFonts w:ascii="宋体" w:hAnsi="宋体"/>
          <w:color w:val="auto"/>
          <w:highlight w:val="none"/>
        </w:rPr>
        <w:t>3.6.4</w:t>
      </w:r>
      <w:r>
        <w:rPr>
          <w:rFonts w:hint="eastAsia" w:ascii="宋体" w:hAnsi="宋体"/>
          <w:color w:val="auto"/>
          <w:highlight w:val="none"/>
        </w:rPr>
        <w:t>如果投标文件实质上不响应招标文件的各项要求，评标委员会相应评审将按照有效性审查标准予以拒绝，不接受投标人通过修改或撤销其不符合要求的差异或保留，使之成为具有响应性的投标。</w:t>
      </w:r>
    </w:p>
    <w:p>
      <w:pPr>
        <w:pStyle w:val="8"/>
        <w:spacing w:before="100" w:after="100" w:line="360" w:lineRule="auto"/>
        <w:rPr>
          <w:rFonts w:ascii="宋体" w:eastAsia="宋体"/>
          <w:color w:val="auto"/>
          <w:highlight w:val="none"/>
        </w:rPr>
      </w:pPr>
      <w:bookmarkStart w:id="1007" w:name="_Toc4464"/>
      <w:bookmarkStart w:id="1008" w:name="_Toc494371580"/>
      <w:bookmarkStart w:id="1009" w:name="_Toc436834195"/>
      <w:bookmarkStart w:id="1010" w:name="_Toc15072"/>
      <w:bookmarkStart w:id="1011" w:name="_Toc30749"/>
      <w:bookmarkStart w:id="1012" w:name="_Toc436834788"/>
      <w:bookmarkStart w:id="1013" w:name="_Toc17293"/>
      <w:r>
        <w:rPr>
          <w:rFonts w:ascii="宋体" w:eastAsia="宋体"/>
          <w:color w:val="auto"/>
          <w:highlight w:val="none"/>
        </w:rPr>
        <w:t>3.7评标结果</w:t>
      </w:r>
      <w:bookmarkEnd w:id="1007"/>
      <w:bookmarkEnd w:id="1008"/>
      <w:bookmarkEnd w:id="1009"/>
      <w:bookmarkEnd w:id="1010"/>
      <w:bookmarkEnd w:id="1011"/>
      <w:bookmarkEnd w:id="1012"/>
      <w:bookmarkEnd w:id="1013"/>
    </w:p>
    <w:p>
      <w:pPr>
        <w:spacing w:line="400" w:lineRule="exact"/>
        <w:ind w:firstLine="420" w:firstLineChars="200"/>
        <w:rPr>
          <w:rFonts w:ascii="宋体" w:hAnsi="宋体"/>
          <w:color w:val="auto"/>
          <w:highlight w:val="none"/>
        </w:rPr>
      </w:pPr>
      <w:bookmarkStart w:id="1014" w:name="_Toc436834789"/>
      <w:bookmarkStart w:id="1015" w:name="_Toc436834196"/>
      <w:r>
        <w:rPr>
          <w:rFonts w:hint="eastAsia" w:ascii="宋体" w:hAnsi="宋体"/>
          <w:color w:val="auto"/>
          <w:szCs w:val="21"/>
          <w:highlight w:val="none"/>
        </w:rPr>
        <w:t>评标委员会应按排序先后，在招标文件有效的投标人中，向招标人推荐投标人总得分前3名投标人依次为第一中标候选人至第三中标候选人。</w:t>
      </w:r>
    </w:p>
    <w:p>
      <w:pPr>
        <w:pStyle w:val="7"/>
        <w:spacing w:before="100" w:after="100" w:line="360" w:lineRule="auto"/>
        <w:rPr>
          <w:rFonts w:ascii="宋体" w:hAnsi="宋体" w:eastAsia="宋体"/>
          <w:color w:val="auto"/>
          <w:highlight w:val="none"/>
        </w:rPr>
      </w:pPr>
      <w:bookmarkStart w:id="1016" w:name="_Toc28901"/>
      <w:bookmarkStart w:id="1017" w:name="_Toc5262"/>
      <w:bookmarkStart w:id="1018" w:name="_Toc18452"/>
      <w:bookmarkStart w:id="1019" w:name="_Toc28257"/>
      <w:bookmarkStart w:id="1020" w:name="_Toc1854"/>
      <w:bookmarkStart w:id="1021" w:name="_Toc19275"/>
      <w:bookmarkStart w:id="1022" w:name="_Toc494371581"/>
      <w:r>
        <w:rPr>
          <w:rFonts w:ascii="宋体" w:hAnsi="宋体" w:eastAsia="宋体"/>
          <w:color w:val="auto"/>
          <w:highlight w:val="none"/>
        </w:rPr>
        <w:t xml:space="preserve">4. </w:t>
      </w:r>
      <w:r>
        <w:rPr>
          <w:rFonts w:hint="eastAsia" w:ascii="宋体" w:hAnsi="宋体" w:eastAsia="宋体"/>
          <w:color w:val="auto"/>
          <w:highlight w:val="none"/>
        </w:rPr>
        <w:t>评标表格</w:t>
      </w:r>
      <w:bookmarkEnd w:id="1006"/>
      <w:bookmarkEnd w:id="1014"/>
      <w:bookmarkEnd w:id="1015"/>
      <w:bookmarkEnd w:id="1016"/>
      <w:bookmarkEnd w:id="1017"/>
      <w:bookmarkEnd w:id="1018"/>
      <w:bookmarkEnd w:id="1019"/>
      <w:bookmarkEnd w:id="1020"/>
      <w:bookmarkEnd w:id="1021"/>
      <w:bookmarkEnd w:id="1022"/>
    </w:p>
    <w:p>
      <w:pPr>
        <w:spacing w:line="400" w:lineRule="exact"/>
        <w:ind w:firstLine="420" w:firstLineChars="200"/>
        <w:rPr>
          <w:rFonts w:ascii="宋体" w:hAnsi="宋体"/>
          <w:color w:val="auto"/>
          <w:highlight w:val="none"/>
        </w:rPr>
      </w:pPr>
      <w:r>
        <w:rPr>
          <w:rFonts w:hint="eastAsia" w:ascii="宋体" w:hAnsi="宋体"/>
          <w:color w:val="auto"/>
          <w:highlight w:val="none"/>
        </w:rPr>
        <w:t>见后附。</w:t>
      </w:r>
    </w:p>
    <w:p>
      <w:pPr>
        <w:spacing w:line="400" w:lineRule="exact"/>
        <w:rPr>
          <w:rFonts w:ascii="宋体" w:hAnsi="宋体"/>
          <w:b/>
          <w:color w:val="auto"/>
          <w:sz w:val="28"/>
          <w:szCs w:val="28"/>
          <w:highlight w:val="none"/>
        </w:rPr>
      </w:pPr>
      <w:r>
        <w:rPr>
          <w:rFonts w:ascii="宋体" w:hAnsi="宋体"/>
          <w:color w:val="auto"/>
          <w:highlight w:val="none"/>
        </w:rPr>
        <w:br w:type="page"/>
      </w:r>
      <w:r>
        <w:rPr>
          <w:rFonts w:hint="eastAsia" w:ascii="宋体" w:hAnsi="宋体"/>
          <w:b/>
          <w:color w:val="auto"/>
          <w:sz w:val="28"/>
          <w:szCs w:val="28"/>
          <w:highlight w:val="none"/>
        </w:rPr>
        <w:t>附表</w:t>
      </w:r>
      <w:r>
        <w:rPr>
          <w:rFonts w:ascii="宋体" w:hAnsi="宋体"/>
          <w:b/>
          <w:color w:val="auto"/>
          <w:sz w:val="28"/>
          <w:szCs w:val="28"/>
          <w:highlight w:val="none"/>
        </w:rPr>
        <w:t xml:space="preserve">1： </w:t>
      </w:r>
    </w:p>
    <w:p>
      <w:pPr>
        <w:jc w:val="center"/>
        <w:rPr>
          <w:rFonts w:ascii="宋体" w:hAnsi="宋体"/>
          <w:b/>
          <w:color w:val="auto"/>
          <w:sz w:val="32"/>
          <w:szCs w:val="32"/>
          <w:highlight w:val="none"/>
        </w:rPr>
      </w:pPr>
      <w:r>
        <w:rPr>
          <w:rFonts w:hint="eastAsia" w:ascii="宋体" w:hAnsi="宋体"/>
          <w:b/>
          <w:color w:val="auto"/>
          <w:sz w:val="32"/>
          <w:szCs w:val="32"/>
          <w:highlight w:val="none"/>
        </w:rPr>
        <w:t>资格审查表</w:t>
      </w:r>
    </w:p>
    <w:p>
      <w:pPr>
        <w:rPr>
          <w:rFonts w:ascii="宋体" w:hAnsi="宋体"/>
          <w:color w:val="auto"/>
          <w:highlight w:val="none"/>
        </w:rPr>
      </w:pPr>
      <w:r>
        <w:rPr>
          <w:rFonts w:hint="eastAsia" w:ascii="宋体" w:hAnsi="宋体"/>
          <w:color w:val="auto"/>
          <w:highlight w:val="none"/>
        </w:rPr>
        <w:t>工程名称：</w:t>
      </w:r>
    </w:p>
    <w:p>
      <w:pPr>
        <w:rPr>
          <w:rFonts w:ascii="宋体" w:hAnsi="宋体"/>
          <w:color w:val="auto"/>
          <w:highlight w:val="none"/>
        </w:rPr>
      </w:pPr>
    </w:p>
    <w:tbl>
      <w:tblPr>
        <w:tblStyle w:val="43"/>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46"/>
        <w:gridCol w:w="1261"/>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hint="eastAsia" w:ascii="宋体" w:hAnsi="宋体"/>
                <w:color w:val="auto"/>
                <w:highlight w:val="none"/>
              </w:rPr>
              <w:t>序号</w:t>
            </w:r>
          </w:p>
        </w:tc>
        <w:tc>
          <w:tcPr>
            <w:tcW w:w="514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napToGrid w:val="0"/>
              <w:ind w:right="102"/>
              <w:jc w:val="right"/>
              <w:rPr>
                <w:rFonts w:ascii="宋体" w:hAnsi="宋体"/>
                <w:color w:val="auto"/>
                <w:highlight w:val="none"/>
              </w:rPr>
            </w:pPr>
            <w:r>
              <w:rPr>
                <w:rFonts w:hint="eastAsia" w:ascii="宋体" w:hAnsi="宋体"/>
                <w:color w:val="auto"/>
                <w:highlight w:val="none"/>
              </w:rPr>
              <w:t>投标人</w:t>
            </w:r>
          </w:p>
          <w:p>
            <w:pPr>
              <w:widowControl/>
              <w:snapToGrid w:val="0"/>
              <w:ind w:right="102"/>
              <w:jc w:val="left"/>
              <w:rPr>
                <w:rFonts w:ascii="宋体" w:hAnsi="宋体"/>
                <w:color w:val="auto"/>
                <w:highlight w:val="none"/>
              </w:rPr>
            </w:pPr>
            <w:r>
              <w:rPr>
                <w:rFonts w:hint="eastAsia" w:ascii="宋体" w:hAnsi="宋体"/>
                <w:color w:val="auto"/>
                <w:highlight w:val="none"/>
              </w:rPr>
              <w:t>审查项目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85"/>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投标人参加投标的意思表达清楚，投标人代表被授权有效；</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投标人（若为联合体投标，指联合体各方）均具有独立法人资格，按国家法律经营。</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3</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投标人（若为联合体投标，指承担施工任务的单位）持有有效的建设行政主管部门颁发的安全生产许可证。</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4</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投标人资质符合本项目招标公告要求。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center"/>
              <w:rPr>
                <w:rFonts w:ascii="宋体" w:hAnsi="宋体"/>
                <w:color w:val="auto"/>
                <w:highlight w:val="none"/>
              </w:rPr>
            </w:pPr>
            <w:r>
              <w:rPr>
                <w:rFonts w:ascii="宋体" w:hAnsi="宋体"/>
                <w:color w:val="auto"/>
                <w:highlight w:val="none"/>
              </w:rPr>
              <w:t>5</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u w:val="single"/>
              </w:rPr>
            </w:pPr>
            <w:r>
              <w:rPr>
                <w:rFonts w:hint="eastAsia" w:ascii="宋体" w:hAnsi="宋体" w:cs="宋体"/>
                <w:color w:val="auto"/>
                <w:kern w:val="0"/>
                <w:szCs w:val="21"/>
                <w:highlight w:val="none"/>
              </w:rPr>
              <w:t>施工负责人（兼任项目负责人）符合本项目招标公告要求。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6</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设计负责人符合本项目招标公告要求。</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7</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s="宋体"/>
                <w:color w:val="auto"/>
                <w:kern w:val="0"/>
                <w:szCs w:val="21"/>
                <w:highlight w:val="none"/>
              </w:rPr>
              <w:t>项目负责人（施工负责人）安全培训考核合格证（B类）或广东省建筑施工企业管理人员安全生产考核信息系统安全生产管理人员证书信息的打印页。</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8</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rPr>
            </w:pPr>
            <w:r>
              <w:rPr>
                <w:rFonts w:hint="eastAsia" w:ascii="宋体" w:hAnsi="宋体" w:cs="宋体"/>
                <w:color w:val="auto"/>
                <w:kern w:val="0"/>
                <w:szCs w:val="21"/>
                <w:highlight w:val="none"/>
              </w:rPr>
              <w:t>专职安全员（若为联合体投标，指联合体主办方）安全生产考核合格证（C类）或广东省建筑施工企业管理人员安全生产考核信息系统安全生产管理人员证书信息的打印页,项目负责人和安全员不为同一人。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9</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szCs w:val="21"/>
                <w:highlight w:val="none"/>
              </w:rPr>
            </w:pPr>
            <w:r>
              <w:rPr>
                <w:rFonts w:hint="eastAsia" w:ascii="宋体" w:hAnsi="宋体" w:cs="宋体"/>
                <w:color w:val="auto"/>
                <w:kern w:val="0"/>
                <w:szCs w:val="21"/>
                <w:highlight w:val="none"/>
              </w:rPr>
              <w:t>投标人已按照招标公告附件一的内容签署盖章的《投标申请人声明》。</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szCs w:val="21"/>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hint="eastAsia" w:ascii="宋体" w:hAnsi="宋体"/>
                <w:color w:val="auto"/>
                <w:highlight w:val="none"/>
              </w:rPr>
              <w:t>10</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投标人以联合体投标的，需提供联合体工作协议。</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11</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投标人（含联合体各方）未出现以下情形：与其它投标人（含联合体各方）的单位负责人为同一人或者存在控股、管理关系的（按投标人提供的《投标申请人声明》第七条内容进行评审）。</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center"/>
              <w:rPr>
                <w:rFonts w:ascii="宋体" w:hAnsi="宋体"/>
                <w:color w:val="auto"/>
                <w:highlight w:val="none"/>
              </w:rPr>
            </w:pPr>
            <w:r>
              <w:rPr>
                <w:rFonts w:ascii="宋体" w:hAnsi="宋体"/>
                <w:color w:val="auto"/>
                <w:highlight w:val="none"/>
              </w:rPr>
              <w:t>1</w:t>
            </w:r>
            <w:r>
              <w:rPr>
                <w:rFonts w:hint="eastAsia" w:ascii="宋体" w:hAnsi="宋体"/>
                <w:color w:val="auto"/>
                <w:highlight w:val="none"/>
              </w:rPr>
              <w:t>2</w:t>
            </w:r>
          </w:p>
        </w:tc>
        <w:tc>
          <w:tcPr>
            <w:tcW w:w="5146" w:type="dxa"/>
            <w:tcBorders>
              <w:top w:val="single" w:color="auto" w:sz="4" w:space="0"/>
              <w:left w:val="single" w:color="auto" w:sz="4" w:space="0"/>
              <w:bottom w:val="single" w:color="auto" w:sz="4" w:space="0"/>
              <w:right w:val="single" w:color="auto" w:sz="4" w:space="0"/>
            </w:tcBorders>
            <w:vAlign w:val="center"/>
          </w:tcPr>
          <w:p>
            <w:pPr>
              <w:widowControl/>
              <w:snapToGrid w:val="0"/>
              <w:ind w:right="-3"/>
              <w:jc w:val="left"/>
              <w:rPr>
                <w:rFonts w:ascii="宋体" w:hAnsi="宋体"/>
                <w:color w:val="auto"/>
                <w:highlight w:val="none"/>
              </w:rPr>
            </w:pPr>
            <w:r>
              <w:rPr>
                <w:rFonts w:hint="eastAsia" w:ascii="宋体" w:hAnsi="宋体"/>
                <w:color w:val="auto"/>
                <w:highlight w:val="none"/>
              </w:rPr>
              <w:t>结论</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auto"/>
                <w:highlight w:val="none"/>
              </w:rPr>
            </w:pPr>
          </w:p>
        </w:tc>
        <w:tc>
          <w:tcPr>
            <w:tcW w:w="1262" w:type="dxa"/>
            <w:tcBorders>
              <w:top w:val="single" w:color="auto" w:sz="4" w:space="0"/>
              <w:left w:val="single" w:color="auto" w:sz="4" w:space="0"/>
              <w:bottom w:val="single" w:color="auto" w:sz="4" w:space="0"/>
              <w:right w:val="single" w:color="auto" w:sz="4" w:space="0"/>
            </w:tcBorders>
            <w:vAlign w:val="center"/>
          </w:tcPr>
          <w:p>
            <w:pPr>
              <w:widowControl/>
              <w:snapToGrid w:val="0"/>
              <w:ind w:right="102"/>
              <w:jc w:val="left"/>
              <w:rPr>
                <w:rFonts w:ascii="宋体" w:hAnsi="宋体"/>
                <w:color w:val="auto"/>
                <w:highlight w:val="none"/>
              </w:rPr>
            </w:pPr>
          </w:p>
        </w:tc>
      </w:tr>
    </w:tbl>
    <w:p>
      <w:pPr>
        <w:rPr>
          <w:rFonts w:ascii="宋体" w:hAnsi="宋体" w:cs="宋体"/>
          <w:color w:val="auto"/>
          <w:szCs w:val="21"/>
          <w:highlight w:val="none"/>
        </w:rPr>
      </w:pPr>
      <w:r>
        <w:rPr>
          <w:rFonts w:hint="eastAsia" w:ascii="宋体" w:hAnsi="宋体"/>
          <w:color w:val="auto"/>
          <w:highlight w:val="none"/>
        </w:rPr>
        <w:t>备注：</w:t>
      </w:r>
      <w:r>
        <w:rPr>
          <w:rFonts w:hint="eastAsia" w:ascii="宋体" w:hAnsi="宋体" w:cs="宋体"/>
          <w:color w:val="auto"/>
          <w:szCs w:val="21"/>
          <w:highlight w:val="none"/>
        </w:rPr>
        <w:t>1.根据本表审查项目，符合的填“○”，不符合的填“×”，评审结论填“通过“或“不通过”。</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2.本表中出现一个（或以上）“×”，投标人的评审结论为“不通过”，即该投标人不进入下一阶段评审。</w:t>
      </w:r>
    </w:p>
    <w:p>
      <w:pPr>
        <w:ind w:firstLine="630" w:firstLineChars="300"/>
        <w:rPr>
          <w:rFonts w:ascii="宋体" w:hAnsi="宋体" w:cs="宋体"/>
          <w:color w:val="auto"/>
          <w:szCs w:val="21"/>
          <w:highlight w:val="none"/>
        </w:rPr>
      </w:pPr>
      <w:r>
        <w:rPr>
          <w:rFonts w:hint="eastAsia" w:ascii="宋体" w:hAnsi="宋体" w:cs="宋体"/>
          <w:color w:val="auto"/>
          <w:szCs w:val="21"/>
          <w:highlight w:val="none"/>
        </w:rPr>
        <w:t>3.本表中评审项目全部为“○”，投标人的评审结论为“通过”，即该投标人进入下一阶段评审</w:t>
      </w:r>
    </w:p>
    <w:p>
      <w:pPr>
        <w:ind w:firstLine="630" w:firstLineChars="300"/>
        <w:rPr>
          <w:rFonts w:ascii="宋体" w:hAnsi="宋体"/>
          <w:color w:val="auto"/>
          <w:highlight w:val="none"/>
        </w:rPr>
      </w:pPr>
      <w:r>
        <w:rPr>
          <w:rFonts w:hint="eastAsia" w:ascii="宋体" w:hAnsi="宋体" w:cs="宋体"/>
          <w:color w:val="auto"/>
          <w:szCs w:val="21"/>
          <w:highlight w:val="none"/>
        </w:rPr>
        <w:t>4.如对本表中某种情形的评审意见不一致时，以评审组过半数成员的意见作为评审组对该情形的认定结论。</w:t>
      </w:r>
    </w:p>
    <w:p>
      <w:pPr>
        <w:widowControl/>
        <w:snapToGrid w:val="0"/>
        <w:ind w:right="102"/>
        <w:jc w:val="left"/>
        <w:rPr>
          <w:rFonts w:ascii="宋体" w:hAnsi="宋体"/>
          <w:color w:val="auto"/>
          <w:highlight w:val="none"/>
        </w:rPr>
      </w:pPr>
    </w:p>
    <w:p>
      <w:pPr>
        <w:widowControl/>
        <w:snapToGrid w:val="0"/>
        <w:ind w:right="102"/>
        <w:jc w:val="left"/>
        <w:rPr>
          <w:rFonts w:ascii="宋体" w:hAnsi="宋体"/>
          <w:color w:val="auto"/>
          <w:highlight w:val="none"/>
        </w:rPr>
      </w:pPr>
      <w:r>
        <w:rPr>
          <w:rFonts w:hint="eastAsia" w:ascii="宋体" w:hAnsi="宋体"/>
          <w:color w:val="auto"/>
          <w:highlight w:val="none"/>
        </w:rPr>
        <w:t>评委签名：</w:t>
      </w:r>
      <w:r>
        <w:rPr>
          <w:rFonts w:ascii="宋体" w:hAnsi="宋体"/>
          <w:color w:val="auto"/>
          <w:szCs w:val="21"/>
          <w:highlight w:val="none"/>
        </w:rPr>
        <w:t xml:space="preserve">                     日期：</w:t>
      </w:r>
    </w:p>
    <w:p>
      <w:pPr>
        <w:spacing w:line="400" w:lineRule="exact"/>
        <w:rPr>
          <w:rFonts w:ascii="宋体" w:hAnsi="宋体"/>
          <w:b/>
          <w:color w:val="auto"/>
          <w:sz w:val="28"/>
          <w:szCs w:val="28"/>
          <w:highlight w:val="none"/>
        </w:rPr>
        <w:sectPr>
          <w:pgSz w:w="11906" w:h="16838"/>
          <w:pgMar w:top="1418" w:right="1247" w:bottom="1418" w:left="1247" w:header="851" w:footer="992" w:gutter="0"/>
          <w:cols w:space="720" w:num="1"/>
          <w:docGrid w:type="lines" w:linePitch="312" w:charSpace="0"/>
        </w:sectPr>
      </w:pP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附表2</w:t>
      </w:r>
      <w:r>
        <w:rPr>
          <w:rFonts w:ascii="宋体" w:hAnsi="宋体"/>
          <w:b/>
          <w:color w:val="auto"/>
          <w:sz w:val="28"/>
          <w:szCs w:val="28"/>
          <w:highlight w:val="none"/>
        </w:rPr>
        <w:t xml:space="preserve">： </w:t>
      </w:r>
    </w:p>
    <w:p>
      <w:pPr>
        <w:spacing w:line="400" w:lineRule="exact"/>
        <w:ind w:firstLine="562" w:firstLineChars="200"/>
        <w:rPr>
          <w:rFonts w:ascii="宋体" w:hAnsi="宋体"/>
          <w:b/>
          <w:color w:val="auto"/>
          <w:sz w:val="28"/>
          <w:szCs w:val="28"/>
          <w:highlight w:val="none"/>
        </w:rPr>
      </w:pPr>
    </w:p>
    <w:p>
      <w:pPr>
        <w:widowControl/>
        <w:jc w:val="left"/>
        <w:rPr>
          <w:rFonts w:ascii="宋体" w:hAnsi="宋体"/>
          <w:color w:val="auto"/>
          <w:highlight w:val="none"/>
        </w:rPr>
      </w:pPr>
    </w:p>
    <w:p>
      <w:pPr>
        <w:jc w:val="center"/>
        <w:rPr>
          <w:rFonts w:ascii="宋体" w:hAnsi="宋体"/>
          <w:b/>
          <w:color w:val="auto"/>
          <w:sz w:val="36"/>
          <w:szCs w:val="36"/>
          <w:highlight w:val="none"/>
        </w:rPr>
      </w:pPr>
      <w:r>
        <w:rPr>
          <w:rFonts w:hint="eastAsia" w:ascii="宋体" w:hAnsi="宋体"/>
          <w:b/>
          <w:color w:val="auto"/>
          <w:sz w:val="32"/>
          <w:highlight w:val="none"/>
        </w:rPr>
        <w:t>设计商务文件有效性审查表</w:t>
      </w:r>
    </w:p>
    <w:p>
      <w:pPr>
        <w:tabs>
          <w:tab w:val="left" w:pos="720"/>
        </w:tabs>
        <w:snapToGrid w:val="0"/>
        <w:spacing w:line="360" w:lineRule="auto"/>
        <w:rPr>
          <w:rFonts w:ascii="宋体" w:hAnsi="宋体"/>
          <w:bCs/>
          <w:color w:val="auto"/>
          <w:szCs w:val="21"/>
          <w:highlight w:val="none"/>
        </w:rPr>
      </w:pPr>
      <w:r>
        <w:rPr>
          <w:rFonts w:hint="eastAsia" w:ascii="宋体" w:hAnsi="宋体"/>
          <w:bCs/>
          <w:color w:val="auto"/>
          <w:szCs w:val="21"/>
          <w:highlight w:val="none"/>
        </w:rPr>
        <w:t>工程名称：</w:t>
      </w:r>
    </w:p>
    <w:tbl>
      <w:tblPr>
        <w:tblStyle w:val="43"/>
        <w:tblW w:w="9582" w:type="dxa"/>
        <w:jc w:val="center"/>
        <w:tblInd w:w="0" w:type="dxa"/>
        <w:tblLayout w:type="fixed"/>
        <w:tblCellMar>
          <w:top w:w="0" w:type="dxa"/>
          <w:left w:w="108" w:type="dxa"/>
          <w:bottom w:w="0" w:type="dxa"/>
          <w:right w:w="108" w:type="dxa"/>
        </w:tblCellMar>
      </w:tblPr>
      <w:tblGrid>
        <w:gridCol w:w="672"/>
        <w:gridCol w:w="5733"/>
        <w:gridCol w:w="1059"/>
        <w:gridCol w:w="1059"/>
        <w:gridCol w:w="1059"/>
      </w:tblGrid>
      <w:tr>
        <w:tblPrEx>
          <w:tblLayout w:type="fixed"/>
          <w:tblCellMar>
            <w:top w:w="0" w:type="dxa"/>
            <w:left w:w="108" w:type="dxa"/>
            <w:bottom w:w="0" w:type="dxa"/>
            <w:right w:w="108" w:type="dxa"/>
          </w:tblCellMar>
        </w:tblPrEx>
        <w:trPr>
          <w:trHeight w:val="7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5733" w:type="dxa"/>
            <w:tcBorders>
              <w:top w:val="single" w:color="auto" w:sz="4" w:space="0"/>
              <w:left w:val="single" w:color="auto" w:sz="4" w:space="0"/>
              <w:bottom w:val="single" w:color="auto" w:sz="4" w:space="0"/>
              <w:right w:val="single" w:color="auto" w:sz="4" w:space="0"/>
              <w:tl2br w:val="single" w:color="auto" w:sz="4" w:space="0"/>
            </w:tcBorders>
          </w:tcPr>
          <w:p>
            <w:pPr>
              <w:ind w:firstLine="4578" w:firstLineChars="2180"/>
              <w:rPr>
                <w:rFonts w:ascii="宋体" w:hAnsi="宋体"/>
                <w:color w:val="auto"/>
                <w:szCs w:val="21"/>
                <w:highlight w:val="none"/>
              </w:rPr>
            </w:pPr>
            <w:r>
              <w:rPr>
                <w:rFonts w:hint="eastAsia" w:ascii="宋体" w:hAnsi="宋体"/>
                <w:color w:val="auto"/>
                <w:szCs w:val="21"/>
                <w:highlight w:val="none"/>
              </w:rPr>
              <w:t>投标单位</w:t>
            </w:r>
          </w:p>
          <w:p>
            <w:pPr>
              <w:rPr>
                <w:rFonts w:ascii="宋体" w:hAnsi="宋体"/>
                <w:color w:val="auto"/>
                <w:szCs w:val="21"/>
                <w:highlight w:val="none"/>
              </w:rPr>
            </w:pPr>
            <w:r>
              <w:rPr>
                <w:rFonts w:hint="eastAsia" w:ascii="宋体" w:hAnsi="宋体"/>
                <w:color w:val="auto"/>
                <w:szCs w:val="21"/>
                <w:highlight w:val="none"/>
              </w:rPr>
              <w:t>审查项目</w:t>
            </w: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526"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bCs/>
                <w:color w:val="auto"/>
                <w:szCs w:val="21"/>
                <w:highlight w:val="none"/>
              </w:rPr>
              <w:t>未发现投标人与招标人、评标委员会成员或者其他投标人串通投标</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0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bCs/>
                <w:color w:val="auto"/>
                <w:szCs w:val="21"/>
                <w:highlight w:val="none"/>
              </w:rPr>
              <w:t>商务文件封面已盖投标人公章</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41"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highlight w:val="none"/>
              </w:rPr>
            </w:pPr>
            <w:r>
              <w:rPr>
                <w:rFonts w:hint="eastAsia" w:ascii="宋体" w:hAnsi="宋体" w:cs="宋体"/>
                <w:bCs/>
                <w:color w:val="auto"/>
                <w:szCs w:val="21"/>
                <w:highlight w:val="none"/>
              </w:rPr>
              <w:t>《设计</w:t>
            </w:r>
            <w:r>
              <w:rPr>
                <w:rFonts w:hint="eastAsia" w:ascii="宋体" w:hAnsi="宋体" w:cs="宋体"/>
                <w:bCs/>
                <w:color w:val="auto"/>
                <w:szCs w:val="21"/>
                <w:highlight w:val="none"/>
                <w:lang w:val="zh-CN"/>
              </w:rPr>
              <w:t>投标书</w:t>
            </w:r>
            <w:r>
              <w:rPr>
                <w:rFonts w:hint="eastAsia" w:ascii="宋体" w:hAnsi="宋体" w:cs="宋体"/>
                <w:bCs/>
                <w:color w:val="auto"/>
                <w:szCs w:val="21"/>
                <w:highlight w:val="none"/>
              </w:rPr>
              <w:t>》已盖投标人公章</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bCs/>
                <w:color w:val="auto"/>
                <w:szCs w:val="21"/>
                <w:highlight w:val="none"/>
              </w:rPr>
              <w:t>《设计</w:t>
            </w:r>
            <w:r>
              <w:rPr>
                <w:rFonts w:hint="eastAsia" w:ascii="宋体" w:hAnsi="宋体" w:cs="宋体"/>
                <w:bCs/>
                <w:color w:val="auto"/>
                <w:szCs w:val="21"/>
                <w:highlight w:val="none"/>
                <w:lang w:val="zh-CN"/>
              </w:rPr>
              <w:t>投标书</w:t>
            </w:r>
            <w:r>
              <w:rPr>
                <w:rFonts w:hint="eastAsia" w:ascii="宋体" w:hAnsi="宋体" w:cs="宋体"/>
                <w:bCs/>
                <w:color w:val="auto"/>
                <w:szCs w:val="21"/>
                <w:highlight w:val="none"/>
              </w:rPr>
              <w:t>》已有法定代表人或者其授权代表签名或盖章</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5</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bCs/>
                <w:color w:val="auto"/>
                <w:szCs w:val="21"/>
                <w:highlight w:val="none"/>
              </w:rPr>
              <w:t>《设计</w:t>
            </w:r>
            <w:r>
              <w:rPr>
                <w:rFonts w:hint="eastAsia" w:ascii="宋体" w:hAnsi="宋体" w:cs="宋体"/>
                <w:bCs/>
                <w:color w:val="auto"/>
                <w:szCs w:val="21"/>
                <w:highlight w:val="none"/>
                <w:lang w:val="zh-CN"/>
              </w:rPr>
              <w:t>投标书</w:t>
            </w:r>
            <w:r>
              <w:rPr>
                <w:rFonts w:hint="eastAsia" w:ascii="宋体" w:hAnsi="宋体" w:cs="宋体"/>
                <w:bCs/>
                <w:color w:val="auto"/>
                <w:szCs w:val="21"/>
                <w:highlight w:val="none"/>
              </w:rPr>
              <w:t>》按招标文件规定的格式填写，没有出现内容不全或者关键字迹模糊无法辨认</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552"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6</w:t>
            </w:r>
          </w:p>
        </w:tc>
        <w:tc>
          <w:tcPr>
            <w:tcW w:w="57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bCs/>
                <w:color w:val="auto"/>
                <w:szCs w:val="21"/>
                <w:highlight w:val="none"/>
              </w:rPr>
              <w:t>按照要求（必要时）对投标文件进行澄清、说明或者补正</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1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573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059"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r>
    </w:tbl>
    <w:p>
      <w:pPr>
        <w:tabs>
          <w:tab w:val="left" w:pos="720"/>
        </w:tabs>
        <w:snapToGrid w:val="0"/>
        <w:rPr>
          <w:rFonts w:ascii="宋体" w:hAnsi="宋体" w:cs="宋体"/>
          <w:bCs/>
          <w:color w:val="auto"/>
          <w:szCs w:val="21"/>
          <w:highlight w:val="none"/>
        </w:rPr>
      </w:pPr>
      <w:r>
        <w:rPr>
          <w:rFonts w:hint="eastAsia" w:ascii="宋体" w:hAnsi="宋体"/>
          <w:color w:val="auto"/>
          <w:szCs w:val="21"/>
          <w:highlight w:val="none"/>
        </w:rPr>
        <w:t>注：</w:t>
      </w:r>
      <w:r>
        <w:rPr>
          <w:rFonts w:hint="eastAsia" w:ascii="宋体" w:hAnsi="宋体" w:cs="宋体"/>
          <w:bCs/>
          <w:color w:val="auto"/>
          <w:szCs w:val="21"/>
          <w:highlight w:val="none"/>
        </w:rPr>
        <w:t>1、根据本表的审查项目，符合的填“○”，不符合的填“×”，评审结论填“通过“或“不通过”。</w:t>
      </w:r>
    </w:p>
    <w:p>
      <w:pPr>
        <w:tabs>
          <w:tab w:val="left" w:pos="720"/>
        </w:tabs>
        <w:snapToGri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2、表中出现一个或以上“×”，即该投标人的评审“结论”为“不通过”，即该投标人不进入下一阶段评审。</w:t>
      </w:r>
    </w:p>
    <w:p>
      <w:pPr>
        <w:tabs>
          <w:tab w:val="left" w:pos="720"/>
        </w:tabs>
        <w:snapToGrid w:val="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3、表中全部评审结果为“○”，即该投标人的评审结论为“通过”。</w:t>
      </w:r>
    </w:p>
    <w:p>
      <w:pPr>
        <w:ind w:firstLine="420" w:firstLineChars="200"/>
        <w:rPr>
          <w:color w:val="auto"/>
          <w:highlight w:val="none"/>
        </w:rPr>
      </w:pPr>
      <w:r>
        <w:rPr>
          <w:rFonts w:hint="eastAsia" w:ascii="宋体" w:hAnsi="宋体" w:cs="宋体"/>
          <w:bCs/>
          <w:color w:val="auto"/>
          <w:szCs w:val="21"/>
          <w:highlight w:val="none"/>
        </w:rPr>
        <w:t>4、若评委意见不一致时，则按少数服从多数的原则，决定该投标人是否通过符合性审查，进入下一阶段评审。</w:t>
      </w:r>
    </w:p>
    <w:p>
      <w:pPr>
        <w:pStyle w:val="2"/>
        <w:rPr>
          <w:rFonts w:hAnsi="宋体"/>
          <w:color w:val="auto"/>
          <w:szCs w:val="21"/>
          <w:highlight w:val="none"/>
        </w:rPr>
      </w:pPr>
    </w:p>
    <w:p>
      <w:pPr>
        <w:pStyle w:val="2"/>
        <w:rPr>
          <w:rFonts w:hAnsi="宋体"/>
          <w:b/>
          <w:color w:val="auto"/>
          <w:sz w:val="21"/>
          <w:szCs w:val="21"/>
          <w:highlight w:val="none"/>
        </w:rPr>
      </w:pPr>
      <w:r>
        <w:rPr>
          <w:rFonts w:hint="eastAsia" w:hAnsi="宋体"/>
          <w:color w:val="auto"/>
          <w:sz w:val="21"/>
          <w:szCs w:val="21"/>
          <w:highlight w:val="none"/>
        </w:rPr>
        <w:t>评委签名：日期：</w:t>
      </w:r>
    </w:p>
    <w:p>
      <w:pPr>
        <w:spacing w:line="400" w:lineRule="exact"/>
        <w:rPr>
          <w:rFonts w:ascii="宋体" w:hAnsi="宋体"/>
          <w:b/>
          <w:color w:val="auto"/>
          <w:sz w:val="28"/>
          <w:szCs w:val="28"/>
          <w:highlight w:val="none"/>
        </w:rPr>
        <w:sectPr>
          <w:pgSz w:w="11906" w:h="16838"/>
          <w:pgMar w:top="1440" w:right="1134" w:bottom="1440" w:left="1134" w:header="851" w:footer="992" w:gutter="0"/>
          <w:cols w:space="720" w:num="1"/>
          <w:docGrid w:type="lines" w:linePitch="312" w:charSpace="0"/>
        </w:sectPr>
      </w:pPr>
    </w:p>
    <w:p>
      <w:pPr>
        <w:rPr>
          <w:rFonts w:ascii="宋体" w:hAnsi="宋体"/>
          <w:color w:val="auto"/>
          <w:szCs w:val="21"/>
          <w:highlight w:val="none"/>
        </w:rPr>
      </w:pPr>
      <w:r>
        <w:rPr>
          <w:rFonts w:hint="eastAsia" w:ascii="宋体" w:hAnsi="宋体"/>
          <w:b/>
          <w:color w:val="auto"/>
          <w:sz w:val="28"/>
          <w:szCs w:val="28"/>
          <w:highlight w:val="none"/>
        </w:rPr>
        <w:t>附表3</w:t>
      </w:r>
      <w:r>
        <w:rPr>
          <w:rFonts w:ascii="宋体" w:hAnsi="宋体"/>
          <w:b/>
          <w:color w:val="auto"/>
          <w:sz w:val="28"/>
          <w:szCs w:val="28"/>
          <w:highlight w:val="none"/>
        </w:rPr>
        <w:t>：</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设计商务文件详细审查评分表</w:t>
      </w:r>
    </w:p>
    <w:tbl>
      <w:tblPr>
        <w:tblStyle w:val="43"/>
        <w:tblW w:w="14040" w:type="dxa"/>
        <w:jc w:val="center"/>
        <w:tblInd w:w="0" w:type="dxa"/>
        <w:tblLayout w:type="fixed"/>
        <w:tblCellMar>
          <w:top w:w="0" w:type="dxa"/>
          <w:left w:w="108" w:type="dxa"/>
          <w:bottom w:w="0" w:type="dxa"/>
          <w:right w:w="108" w:type="dxa"/>
        </w:tblCellMar>
      </w:tblPr>
      <w:tblGrid>
        <w:gridCol w:w="560"/>
        <w:gridCol w:w="1582"/>
        <w:gridCol w:w="11240"/>
        <w:gridCol w:w="658"/>
      </w:tblGrid>
      <w:tr>
        <w:tblPrEx>
          <w:tblLayout w:type="fixed"/>
          <w:tblCellMar>
            <w:top w:w="0" w:type="dxa"/>
            <w:left w:w="108" w:type="dxa"/>
            <w:bottom w:w="0" w:type="dxa"/>
            <w:right w:w="108" w:type="dxa"/>
          </w:tblCellMar>
        </w:tblPrEx>
        <w:trPr>
          <w:trHeight w:val="442" w:hRule="atLeast"/>
          <w:tblHeader/>
          <w:jc w:val="center"/>
        </w:trPr>
        <w:tc>
          <w:tcPr>
            <w:tcW w:w="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left="-50" w:leftChars="-24" w:right="-65" w:rightChars="-31"/>
              <w:jc w:val="center"/>
              <w:rPr>
                <w:rFonts w:ascii="宋体" w:hAnsi="宋体" w:cs="宋体"/>
                <w:color w:val="auto"/>
                <w:szCs w:val="21"/>
                <w:highlight w:val="none"/>
                <w:lang w:val="zh-CN"/>
              </w:rPr>
            </w:pPr>
            <w:r>
              <w:rPr>
                <w:rFonts w:hint="eastAsia" w:ascii="宋体" w:hAnsi="宋体" w:cs="宋体"/>
                <w:color w:val="auto"/>
                <w:szCs w:val="21"/>
                <w:highlight w:val="none"/>
                <w:lang w:val="zh-CN"/>
              </w:rPr>
              <w:t>序号</w:t>
            </w:r>
          </w:p>
        </w:tc>
        <w:tc>
          <w:tcPr>
            <w:tcW w:w="15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left="-50" w:leftChars="-24" w:right="-65" w:rightChars="-31"/>
              <w:jc w:val="center"/>
              <w:rPr>
                <w:rFonts w:ascii="宋体" w:hAnsi="宋体"/>
                <w:color w:val="auto"/>
                <w:szCs w:val="21"/>
                <w:highlight w:val="none"/>
              </w:rPr>
            </w:pPr>
            <w:r>
              <w:rPr>
                <w:rFonts w:hint="eastAsia" w:ascii="宋体" w:hAnsi="宋体"/>
                <w:color w:val="auto"/>
                <w:szCs w:val="21"/>
                <w:highlight w:val="none"/>
              </w:rPr>
              <w:t>评审项目</w:t>
            </w:r>
          </w:p>
        </w:tc>
        <w:tc>
          <w:tcPr>
            <w:tcW w:w="11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left="-50" w:leftChars="-24" w:right="-65" w:rightChars="-31"/>
              <w:jc w:val="center"/>
              <w:rPr>
                <w:rFonts w:ascii="宋体" w:hAnsi="宋体"/>
                <w:color w:val="auto"/>
                <w:szCs w:val="21"/>
                <w:highlight w:val="none"/>
              </w:rPr>
            </w:pPr>
            <w:r>
              <w:rPr>
                <w:rFonts w:hint="eastAsia" w:ascii="宋体" w:hAnsi="宋体" w:cs="宋体"/>
                <w:color w:val="auto"/>
                <w:szCs w:val="21"/>
                <w:highlight w:val="none"/>
                <w:lang w:val="zh-CN"/>
              </w:rPr>
              <w:t>内容</w:t>
            </w:r>
          </w:p>
        </w:tc>
        <w:tc>
          <w:tcPr>
            <w:tcW w:w="6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ind w:left="-50" w:leftChars="-24" w:right="-65" w:rightChars="-31"/>
              <w:jc w:val="center"/>
              <w:rPr>
                <w:rFonts w:ascii="宋体" w:hAnsi="宋体"/>
                <w:color w:val="auto"/>
                <w:szCs w:val="21"/>
                <w:highlight w:val="none"/>
              </w:rPr>
            </w:pPr>
            <w:r>
              <w:rPr>
                <w:rFonts w:hint="eastAsia" w:ascii="宋体" w:hAnsi="宋体"/>
                <w:color w:val="auto"/>
                <w:szCs w:val="21"/>
                <w:highlight w:val="none"/>
                <w:lang w:val="zh-CN"/>
              </w:rPr>
              <w:t>得分</w:t>
            </w:r>
          </w:p>
        </w:tc>
      </w:tr>
      <w:tr>
        <w:tblPrEx>
          <w:tblLayout w:type="fixed"/>
          <w:tblCellMar>
            <w:top w:w="0" w:type="dxa"/>
            <w:left w:w="108" w:type="dxa"/>
            <w:bottom w:w="0" w:type="dxa"/>
            <w:right w:w="108" w:type="dxa"/>
          </w:tblCellMar>
        </w:tblPrEx>
        <w:trPr>
          <w:trHeight w:val="82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50" w:leftChars="-24" w:right="-65" w:rightChars="-31"/>
              <w:jc w:val="center"/>
              <w:rPr>
                <w:rFonts w:ascii="宋体" w:hAnsi="宋体"/>
                <w:color w:val="auto"/>
                <w:szCs w:val="21"/>
                <w:highlight w:val="none"/>
              </w:rPr>
            </w:pPr>
            <w:r>
              <w:rPr>
                <w:rFonts w:ascii="宋体" w:hAnsi="宋体"/>
                <w:color w:val="auto"/>
                <w:szCs w:val="21"/>
                <w:highlight w:val="none"/>
              </w:rPr>
              <w:t>1</w:t>
            </w: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lang w:val="zh-CN"/>
              </w:rPr>
            </w:pPr>
            <w:r>
              <w:rPr>
                <w:rFonts w:hint="eastAsia" w:ascii="宋体" w:hAnsi="宋体" w:cs="Calibri"/>
                <w:color w:val="auto"/>
                <w:kern w:val="0"/>
                <w:szCs w:val="21"/>
                <w:highlight w:val="none"/>
              </w:rPr>
              <w:t>设计机构实力</w:t>
            </w:r>
          </w:p>
        </w:tc>
        <w:tc>
          <w:tcPr>
            <w:tcW w:w="1124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ind w:left="-50" w:leftChars="-24" w:right="-65" w:rightChars="-31"/>
              <w:rPr>
                <w:color w:val="auto"/>
                <w:highlight w:val="none"/>
              </w:rPr>
            </w:pPr>
            <w:r>
              <w:rPr>
                <w:rFonts w:hint="eastAsia" w:ascii="宋体" w:hAnsi="宋体"/>
                <w:color w:val="auto"/>
                <w:szCs w:val="21"/>
                <w:highlight w:val="none"/>
              </w:rPr>
              <w:t>1）投标人具备照明工程设计专项甲级，得6分；其它不得分；</w:t>
            </w:r>
          </w:p>
          <w:p>
            <w:pPr>
              <w:autoSpaceDE w:val="0"/>
              <w:autoSpaceDN w:val="0"/>
              <w:adjustRightInd w:val="0"/>
              <w:ind w:left="-50" w:leftChars="-24" w:right="-65" w:rightChars="-31"/>
              <w:rPr>
                <w:rFonts w:ascii="宋体" w:hAnsi="宋体"/>
                <w:color w:val="auto"/>
                <w:szCs w:val="21"/>
                <w:highlight w:val="none"/>
                <w:lang w:val="zh-CN"/>
              </w:rPr>
            </w:pPr>
            <w:r>
              <w:rPr>
                <w:rFonts w:hint="eastAsia" w:ascii="宋体" w:hAnsi="宋体"/>
                <w:color w:val="auto"/>
                <w:szCs w:val="21"/>
                <w:highlight w:val="none"/>
              </w:rPr>
              <w:t>2）</w:t>
            </w:r>
            <w:r>
              <w:rPr>
                <w:rFonts w:ascii="宋体" w:hAnsi="宋体"/>
                <w:color w:val="auto"/>
                <w:szCs w:val="21"/>
                <w:highlight w:val="none"/>
                <w:lang w:val="zh-CN"/>
              </w:rPr>
              <w:t>201</w:t>
            </w:r>
            <w:r>
              <w:rPr>
                <w:rFonts w:hint="eastAsia" w:ascii="宋体" w:hAnsi="宋体"/>
                <w:color w:val="auto"/>
                <w:szCs w:val="21"/>
                <w:highlight w:val="none"/>
              </w:rPr>
              <w:t>7</w:t>
            </w:r>
            <w:r>
              <w:rPr>
                <w:rFonts w:hint="eastAsia" w:ascii="宋体" w:hAnsi="宋体"/>
                <w:color w:val="auto"/>
                <w:szCs w:val="21"/>
                <w:highlight w:val="none"/>
                <w:lang w:val="zh-CN"/>
              </w:rPr>
              <w:t>年</w:t>
            </w:r>
            <w:r>
              <w:rPr>
                <w:rFonts w:ascii="宋体" w:hAnsi="宋体"/>
                <w:color w:val="auto"/>
                <w:szCs w:val="21"/>
                <w:highlight w:val="none"/>
                <w:lang w:val="zh-CN"/>
              </w:rPr>
              <w:t>1</w:t>
            </w:r>
            <w:r>
              <w:rPr>
                <w:rFonts w:hint="eastAsia" w:ascii="宋体" w:hAnsi="宋体"/>
                <w:color w:val="auto"/>
                <w:szCs w:val="21"/>
                <w:highlight w:val="none"/>
                <w:lang w:val="zh-CN"/>
              </w:rPr>
              <w:t>月</w:t>
            </w:r>
            <w:r>
              <w:rPr>
                <w:rFonts w:ascii="宋体" w:hAnsi="宋体"/>
                <w:color w:val="auto"/>
                <w:szCs w:val="21"/>
                <w:highlight w:val="none"/>
                <w:lang w:val="zh-CN"/>
              </w:rPr>
              <w:t>1</w:t>
            </w:r>
            <w:r>
              <w:rPr>
                <w:rFonts w:hint="eastAsia" w:ascii="宋体" w:hAnsi="宋体"/>
                <w:color w:val="auto"/>
                <w:szCs w:val="21"/>
                <w:highlight w:val="none"/>
                <w:lang w:val="zh-CN"/>
              </w:rPr>
              <w:t>日</w:t>
            </w:r>
            <w:r>
              <w:rPr>
                <w:rFonts w:hint="eastAsia" w:ascii="宋体" w:hAnsi="宋体"/>
                <w:color w:val="auto"/>
                <w:szCs w:val="21"/>
                <w:highlight w:val="none"/>
              </w:rPr>
              <w:t>至</w:t>
            </w:r>
            <w:r>
              <w:rPr>
                <w:rFonts w:ascii="宋体" w:hAnsi="宋体"/>
                <w:color w:val="auto"/>
                <w:szCs w:val="21"/>
                <w:highlight w:val="none"/>
              </w:rPr>
              <w:t>投标截止时间止</w:t>
            </w:r>
            <w:r>
              <w:rPr>
                <w:rFonts w:hint="eastAsia" w:ascii="宋体" w:hAnsi="宋体"/>
                <w:color w:val="auto"/>
                <w:szCs w:val="21"/>
                <w:highlight w:val="none"/>
                <w:lang w:val="zh-CN"/>
              </w:rPr>
              <w:t>，投标人承接过设计费不少于</w:t>
            </w:r>
            <w:r>
              <w:rPr>
                <w:rFonts w:hint="eastAsia" w:ascii="宋体" w:hAnsi="宋体"/>
                <w:color w:val="auto"/>
                <w:szCs w:val="21"/>
                <w:highlight w:val="none"/>
                <w:u w:val="single"/>
              </w:rPr>
              <w:t xml:space="preserve"> 10 </w:t>
            </w:r>
            <w:r>
              <w:rPr>
                <w:rFonts w:hint="eastAsia" w:ascii="宋体" w:hAnsi="宋体"/>
                <w:color w:val="auto"/>
                <w:szCs w:val="21"/>
                <w:highlight w:val="none"/>
                <w:lang w:val="zh-CN"/>
              </w:rPr>
              <w:t>万元的</w:t>
            </w:r>
            <w:r>
              <w:rPr>
                <w:rFonts w:hint="eastAsia" w:ascii="宋体" w:hAnsi="宋体"/>
                <w:color w:val="auto"/>
                <w:szCs w:val="21"/>
                <w:highlight w:val="none"/>
              </w:rPr>
              <w:t>照明工程设计</w:t>
            </w:r>
            <w:r>
              <w:rPr>
                <w:rFonts w:hint="eastAsia" w:ascii="宋体" w:hAnsi="宋体"/>
                <w:color w:val="auto"/>
                <w:szCs w:val="21"/>
                <w:highlight w:val="none"/>
                <w:lang w:val="zh-CN"/>
              </w:rPr>
              <w:t>业绩，每项得</w:t>
            </w:r>
            <w:r>
              <w:rPr>
                <w:rFonts w:hint="eastAsia" w:ascii="宋体" w:hAnsi="宋体"/>
                <w:color w:val="auto"/>
                <w:szCs w:val="21"/>
                <w:highlight w:val="none"/>
              </w:rPr>
              <w:t>2</w:t>
            </w:r>
            <w:r>
              <w:rPr>
                <w:rFonts w:hint="eastAsia" w:ascii="宋体" w:hAnsi="宋体"/>
                <w:color w:val="auto"/>
                <w:szCs w:val="21"/>
                <w:highlight w:val="none"/>
                <w:lang w:val="zh-CN"/>
              </w:rPr>
              <w:t>分，最多得</w:t>
            </w:r>
            <w:r>
              <w:rPr>
                <w:rFonts w:hint="eastAsia" w:ascii="宋体" w:hAnsi="宋体"/>
                <w:color w:val="auto"/>
                <w:szCs w:val="21"/>
                <w:highlight w:val="none"/>
              </w:rPr>
              <w:t>4</w:t>
            </w:r>
            <w:r>
              <w:rPr>
                <w:rFonts w:hint="eastAsia" w:ascii="宋体" w:hAnsi="宋体"/>
                <w:color w:val="auto"/>
                <w:szCs w:val="21"/>
                <w:highlight w:val="none"/>
                <w:lang w:val="zh-CN"/>
              </w:rPr>
              <w:t>分。</w:t>
            </w:r>
          </w:p>
          <w:p>
            <w:pPr>
              <w:autoSpaceDE w:val="0"/>
              <w:autoSpaceDN w:val="0"/>
              <w:adjustRightInd w:val="0"/>
              <w:ind w:left="-50" w:leftChars="-24" w:right="-65" w:rightChars="-31"/>
              <w:rPr>
                <w:rFonts w:ascii="宋体" w:hAnsi="宋体"/>
                <w:color w:val="auto"/>
                <w:szCs w:val="21"/>
                <w:highlight w:val="none"/>
                <w:lang w:val="zh-CN"/>
              </w:rPr>
            </w:pPr>
            <w:r>
              <w:rPr>
                <w:rFonts w:hint="eastAsia" w:ascii="宋体" w:hAnsi="宋体"/>
                <w:color w:val="auto"/>
                <w:szCs w:val="21"/>
                <w:highlight w:val="none"/>
                <w:lang w:val="zh-CN"/>
              </w:rPr>
              <w:t>注：业绩认定证明材料需提供合同复印件，业绩确认时间以合同签订时间为准。</w:t>
            </w:r>
            <w:r>
              <w:rPr>
                <w:rFonts w:hint="eastAsia" w:ascii="宋体" w:hAnsi="宋体"/>
                <w:color w:val="auto"/>
                <w:szCs w:val="21"/>
                <w:highlight w:val="none"/>
              </w:rPr>
              <w:t>所有</w:t>
            </w:r>
            <w:r>
              <w:rPr>
                <w:rFonts w:hint="eastAsia" w:ascii="宋体" w:hAnsi="宋体"/>
                <w:color w:val="auto"/>
                <w:szCs w:val="21"/>
                <w:highlight w:val="none"/>
                <w:lang w:val="zh-CN"/>
              </w:rPr>
              <w:t>资料均需加盖单位公章，否则不得分。</w:t>
            </w:r>
          </w:p>
        </w:tc>
        <w:tc>
          <w:tcPr>
            <w:tcW w:w="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rPr>
            </w:pPr>
            <w:r>
              <w:rPr>
                <w:rFonts w:hint="eastAsia" w:ascii="宋体" w:hAnsi="宋体"/>
                <w:color w:val="auto"/>
                <w:szCs w:val="21"/>
                <w:highlight w:val="none"/>
              </w:rPr>
              <w:t>10</w:t>
            </w:r>
          </w:p>
        </w:tc>
      </w:tr>
      <w:tr>
        <w:tblPrEx>
          <w:tblLayout w:type="fixed"/>
          <w:tblCellMar>
            <w:top w:w="0" w:type="dxa"/>
            <w:left w:w="108" w:type="dxa"/>
            <w:bottom w:w="0" w:type="dxa"/>
            <w:right w:w="108" w:type="dxa"/>
          </w:tblCellMar>
        </w:tblPrEx>
        <w:trPr>
          <w:trHeight w:val="90" w:hRule="atLeast"/>
          <w:jc w:val="center"/>
        </w:trPr>
        <w:tc>
          <w:tcPr>
            <w:tcW w:w="5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80" w:lineRule="exact"/>
              <w:ind w:left="-50" w:leftChars="-24" w:right="-65" w:rightChars="-31"/>
              <w:jc w:val="center"/>
              <w:rPr>
                <w:rFonts w:ascii="宋体" w:hAnsi="宋体"/>
                <w:color w:val="auto"/>
                <w:szCs w:val="21"/>
                <w:highlight w:val="none"/>
              </w:rPr>
            </w:pPr>
            <w:r>
              <w:rPr>
                <w:rFonts w:ascii="宋体" w:hAnsi="宋体"/>
                <w:color w:val="auto"/>
                <w:szCs w:val="21"/>
                <w:highlight w:val="none"/>
              </w:rPr>
              <w:t>2</w:t>
            </w:r>
          </w:p>
        </w:tc>
        <w:tc>
          <w:tcPr>
            <w:tcW w:w="1582" w:type="dxa"/>
            <w:vMerge w:val="restart"/>
            <w:tcBorders>
              <w:top w:val="single" w:color="auto" w:sz="4" w:space="0"/>
              <w:left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lang w:val="zh-CN"/>
              </w:rPr>
            </w:pPr>
            <w:r>
              <w:rPr>
                <w:rFonts w:hint="eastAsia" w:ascii="宋体" w:hAnsi="宋体" w:cs="Calibri"/>
                <w:color w:val="auto"/>
                <w:kern w:val="0"/>
                <w:szCs w:val="21"/>
                <w:highlight w:val="none"/>
              </w:rPr>
              <w:t>设计团队配备</w:t>
            </w:r>
          </w:p>
        </w:tc>
        <w:tc>
          <w:tcPr>
            <w:tcW w:w="11240" w:type="dxa"/>
            <w:tcBorders>
              <w:top w:val="single" w:color="auto" w:sz="6" w:space="0"/>
              <w:left w:val="single" w:color="auto" w:sz="4" w:space="0"/>
              <w:bottom w:val="single" w:color="auto" w:sz="6" w:space="0"/>
              <w:right w:val="single" w:color="auto" w:sz="4" w:space="0"/>
            </w:tcBorders>
            <w:vAlign w:val="center"/>
          </w:tcPr>
          <w:p>
            <w:pPr>
              <w:tabs>
                <w:tab w:val="left" w:pos="360"/>
              </w:tabs>
              <w:snapToGrid w:val="0"/>
              <w:spacing w:line="240" w:lineRule="exact"/>
              <w:ind w:left="-50" w:leftChars="-24"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设计负责人资历：</w:t>
            </w:r>
          </w:p>
          <w:p>
            <w:pPr>
              <w:tabs>
                <w:tab w:val="left" w:pos="360"/>
              </w:tabs>
              <w:snapToGrid w:val="0"/>
              <w:spacing w:line="240" w:lineRule="exact"/>
              <w:ind w:left="580" w:leftChars="-24" w:right="-65" w:rightChars="-31" w:hanging="630" w:hangingChars="300"/>
              <w:jc w:val="left"/>
              <w:rPr>
                <w:rFonts w:ascii="宋体" w:hAnsi="宋体" w:cs="Calibri"/>
                <w:color w:val="auto"/>
                <w:szCs w:val="21"/>
                <w:highlight w:val="none"/>
              </w:rPr>
            </w:pPr>
            <w:r>
              <w:rPr>
                <w:rFonts w:hint="eastAsia" w:ascii="宋体" w:hAnsi="宋体"/>
                <w:color w:val="auto"/>
                <w:szCs w:val="21"/>
                <w:highlight w:val="none"/>
              </w:rPr>
              <w:t>1）具备注册电气工程师（供配电）资质证书，得分6</w:t>
            </w:r>
            <w:r>
              <w:rPr>
                <w:rFonts w:hint="eastAsia" w:ascii="宋体" w:hAnsi="宋体" w:cs="Calibri"/>
                <w:color w:val="auto"/>
                <w:szCs w:val="21"/>
                <w:highlight w:val="none"/>
              </w:rPr>
              <w:t>；</w:t>
            </w:r>
          </w:p>
          <w:p>
            <w:pPr>
              <w:tabs>
                <w:tab w:val="left" w:pos="360"/>
              </w:tabs>
              <w:snapToGrid w:val="0"/>
              <w:spacing w:line="240" w:lineRule="exact"/>
              <w:ind w:left="580" w:leftChars="-24" w:right="-65" w:rightChars="-31" w:hanging="630" w:hangingChars="300"/>
              <w:jc w:val="left"/>
              <w:rPr>
                <w:rFonts w:ascii="宋体" w:hAnsi="宋体"/>
                <w:color w:val="auto"/>
                <w:szCs w:val="21"/>
                <w:highlight w:val="none"/>
              </w:rPr>
            </w:pPr>
            <w:r>
              <w:rPr>
                <w:rFonts w:hint="eastAsia" w:ascii="宋体" w:hAnsi="宋体"/>
                <w:color w:val="auto"/>
                <w:szCs w:val="21"/>
                <w:highlight w:val="none"/>
              </w:rPr>
              <w:t>2）具备电气专业高级工程师职称的，得4分</w:t>
            </w:r>
            <w:r>
              <w:rPr>
                <w:rFonts w:hint="eastAsia" w:ascii="宋体" w:hAnsi="宋体" w:cs="Calibri"/>
                <w:color w:val="auto"/>
                <w:szCs w:val="21"/>
                <w:highlight w:val="none"/>
              </w:rPr>
              <w:t>；</w:t>
            </w:r>
          </w:p>
          <w:p>
            <w:pPr>
              <w:tabs>
                <w:tab w:val="left" w:pos="360"/>
              </w:tabs>
              <w:snapToGrid w:val="0"/>
              <w:spacing w:line="240" w:lineRule="exact"/>
              <w:ind w:left="580" w:leftChars="-24" w:right="-65" w:rightChars="-31" w:hanging="630" w:hangingChars="300"/>
              <w:jc w:val="left"/>
              <w:rPr>
                <w:rFonts w:ascii="宋体" w:hAnsi="宋体" w:cs="Calibri"/>
                <w:color w:val="auto"/>
                <w:szCs w:val="21"/>
                <w:highlight w:val="none"/>
              </w:rPr>
            </w:pPr>
            <w:r>
              <w:rPr>
                <w:rFonts w:hint="eastAsia" w:ascii="宋体" w:hAnsi="宋体"/>
                <w:color w:val="auto"/>
                <w:szCs w:val="21"/>
                <w:highlight w:val="none"/>
              </w:rPr>
              <w:t>3）具备电气专业中级工程师职称的，得2分</w:t>
            </w:r>
            <w:r>
              <w:rPr>
                <w:rFonts w:hint="eastAsia" w:ascii="宋体" w:hAnsi="宋体" w:cs="Calibri"/>
                <w:color w:val="auto"/>
                <w:szCs w:val="21"/>
                <w:highlight w:val="none"/>
              </w:rPr>
              <w:t>；</w:t>
            </w:r>
          </w:p>
          <w:p>
            <w:pPr>
              <w:pStyle w:val="2"/>
              <w:rPr>
                <w:color w:val="auto"/>
                <w:highlight w:val="none"/>
              </w:rPr>
            </w:pPr>
            <w:r>
              <w:rPr>
                <w:rFonts w:hint="eastAsia" w:ascii="宋体" w:hAnsi="宋体" w:cs="Calibri"/>
                <w:color w:val="auto"/>
                <w:szCs w:val="21"/>
                <w:highlight w:val="none"/>
              </w:rPr>
              <w:t>最高得6分。</w:t>
            </w:r>
          </w:p>
          <w:p>
            <w:pPr>
              <w:tabs>
                <w:tab w:val="left" w:pos="360"/>
              </w:tabs>
              <w:snapToGrid w:val="0"/>
              <w:spacing w:beforeLines="25" w:line="240" w:lineRule="exact"/>
              <w:ind w:left="370" w:leftChars="-24" w:right="-65" w:rightChars="-31" w:hanging="420" w:hangingChars="200"/>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Calibri"/>
                <w:color w:val="auto"/>
                <w:szCs w:val="21"/>
                <w:highlight w:val="none"/>
              </w:rPr>
              <w:t>同时具备高级职称与中级职称的，按高级职称计取。</w:t>
            </w:r>
            <w:r>
              <w:rPr>
                <w:rFonts w:hint="eastAsia" w:ascii="宋体" w:hAnsi="宋体" w:cs="宋体"/>
                <w:color w:val="auto"/>
                <w:kern w:val="0"/>
                <w:szCs w:val="21"/>
                <w:highlight w:val="none"/>
              </w:rPr>
              <w:t>须提供上述</w:t>
            </w:r>
            <w:r>
              <w:rPr>
                <w:rFonts w:hint="eastAsia" w:ascii="宋体" w:hAnsi="宋体" w:cs="Calibri"/>
                <w:color w:val="auto"/>
                <w:szCs w:val="21"/>
                <w:highlight w:val="none"/>
              </w:rPr>
              <w:t>所有</w:t>
            </w:r>
            <w:r>
              <w:rPr>
                <w:rFonts w:hint="eastAsia" w:ascii="宋体" w:hAnsi="宋体" w:cs="宋体"/>
                <w:color w:val="auto"/>
                <w:kern w:val="0"/>
                <w:szCs w:val="21"/>
                <w:highlight w:val="none"/>
              </w:rPr>
              <w:t>人员相应的证书复印件和2019年10月至2019年12月有效社保证明复印件并加盖投标人公章；未提供相应的证明资料或所提供的证明资料不符合要求的，该人员不予计算得分。</w:t>
            </w:r>
          </w:p>
        </w:tc>
        <w:tc>
          <w:tcPr>
            <w:tcW w:w="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rPr>
            </w:pPr>
            <w:r>
              <w:rPr>
                <w:rFonts w:hint="eastAsia" w:ascii="宋体" w:hAnsi="宋体"/>
                <w:color w:val="auto"/>
                <w:szCs w:val="21"/>
                <w:highlight w:val="none"/>
              </w:rPr>
              <w:t>6</w:t>
            </w:r>
          </w:p>
        </w:tc>
      </w:tr>
      <w:tr>
        <w:tblPrEx>
          <w:tblLayout w:type="fixed"/>
          <w:tblCellMar>
            <w:top w:w="0" w:type="dxa"/>
            <w:left w:w="108" w:type="dxa"/>
            <w:bottom w:w="0" w:type="dxa"/>
            <w:right w:w="108" w:type="dxa"/>
          </w:tblCellMar>
        </w:tblPrEx>
        <w:trPr>
          <w:trHeight w:val="65" w:hRule="atLeast"/>
          <w:jc w:val="center"/>
        </w:trPr>
        <w:tc>
          <w:tcPr>
            <w:tcW w:w="560"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280" w:lineRule="exact"/>
              <w:ind w:left="-50" w:leftChars="-24" w:right="-65" w:rightChars="-31"/>
              <w:jc w:val="center"/>
              <w:rPr>
                <w:rFonts w:ascii="宋体" w:hAnsi="宋体"/>
                <w:color w:val="auto"/>
                <w:szCs w:val="21"/>
                <w:highlight w:val="none"/>
              </w:rPr>
            </w:pPr>
          </w:p>
        </w:tc>
        <w:tc>
          <w:tcPr>
            <w:tcW w:w="1582" w:type="dxa"/>
            <w:vMerge w:val="continue"/>
            <w:tcBorders>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lang w:val="zh-CN"/>
              </w:rPr>
            </w:pPr>
          </w:p>
        </w:tc>
        <w:tc>
          <w:tcPr>
            <w:tcW w:w="11240" w:type="dxa"/>
            <w:tcBorders>
              <w:top w:val="single" w:color="auto" w:sz="6" w:space="0"/>
              <w:left w:val="single" w:color="auto" w:sz="4" w:space="0"/>
              <w:bottom w:val="single" w:color="auto" w:sz="6" w:space="0"/>
              <w:right w:val="single" w:color="auto" w:sz="4" w:space="0"/>
            </w:tcBorders>
            <w:vAlign w:val="center"/>
          </w:tcPr>
          <w:p>
            <w:pPr>
              <w:tabs>
                <w:tab w:val="left" w:pos="360"/>
              </w:tabs>
              <w:snapToGrid w:val="0"/>
              <w:spacing w:beforeLines="25" w:line="240" w:lineRule="exact"/>
              <w:ind w:left="-50" w:leftChars="-24" w:right="-65"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设计团队中配备（设计负责人除外）：</w:t>
            </w:r>
          </w:p>
          <w:p>
            <w:pPr>
              <w:numPr>
                <w:ilvl w:val="0"/>
                <w:numId w:val="4"/>
              </w:numPr>
              <w:snapToGrid w:val="0"/>
              <w:spacing w:line="240" w:lineRule="exact"/>
              <w:ind w:left="580" w:leftChars="-24" w:right="-65" w:rightChars="-31" w:hanging="630" w:hangingChars="300"/>
              <w:jc w:val="left"/>
              <w:rPr>
                <w:rFonts w:ascii="宋体" w:hAnsi="宋体" w:cs="宋体"/>
                <w:color w:val="auto"/>
                <w:kern w:val="0"/>
                <w:szCs w:val="21"/>
                <w:highlight w:val="none"/>
              </w:rPr>
            </w:pPr>
            <w:r>
              <w:rPr>
                <w:rFonts w:hint="eastAsia"/>
                <w:color w:val="auto"/>
                <w:highlight w:val="none"/>
              </w:rPr>
              <w:t>具有</w:t>
            </w:r>
            <w:r>
              <w:rPr>
                <w:rFonts w:hint="eastAsia" w:ascii="宋体" w:hAnsi="宋体" w:cs="Calibri"/>
                <w:color w:val="auto"/>
                <w:szCs w:val="21"/>
                <w:highlight w:val="none"/>
              </w:rPr>
              <w:t>信息系统集成及服务项目管理人员证书的，得6分</w:t>
            </w:r>
            <w:r>
              <w:rPr>
                <w:rFonts w:hint="eastAsia" w:ascii="宋体" w:hAnsi="宋体"/>
                <w:color w:val="auto"/>
                <w:szCs w:val="21"/>
                <w:highlight w:val="none"/>
              </w:rPr>
              <w:t>，最高6分</w:t>
            </w:r>
            <w:r>
              <w:rPr>
                <w:rFonts w:hint="eastAsia" w:ascii="宋体" w:hAnsi="宋体" w:cs="Calibri"/>
                <w:color w:val="auto"/>
                <w:szCs w:val="21"/>
                <w:highlight w:val="none"/>
              </w:rPr>
              <w:t>；</w:t>
            </w:r>
          </w:p>
          <w:p>
            <w:pPr>
              <w:numPr>
                <w:ilvl w:val="0"/>
                <w:numId w:val="4"/>
              </w:numPr>
              <w:snapToGrid w:val="0"/>
              <w:spacing w:line="240" w:lineRule="exact"/>
              <w:ind w:left="580" w:leftChars="-24" w:right="-65" w:rightChars="-31" w:hanging="630" w:hangingChars="300"/>
              <w:jc w:val="left"/>
              <w:rPr>
                <w:rFonts w:ascii="宋体" w:hAnsi="宋体" w:cs="宋体"/>
                <w:color w:val="auto"/>
                <w:kern w:val="0"/>
                <w:szCs w:val="21"/>
                <w:highlight w:val="none"/>
              </w:rPr>
            </w:pPr>
            <w:r>
              <w:rPr>
                <w:rFonts w:hint="eastAsia" w:ascii="宋体" w:hAnsi="宋体" w:cs="Calibri"/>
                <w:color w:val="auto"/>
                <w:szCs w:val="21"/>
                <w:highlight w:val="none"/>
              </w:rPr>
              <w:t>具备电气专业中级工程师职称的，每提供1个得4分，最高8分；</w:t>
            </w:r>
          </w:p>
          <w:p>
            <w:pPr>
              <w:pStyle w:val="6"/>
              <w:ind w:left="370" w:leftChars="-24" w:right="-65" w:rightChars="-31" w:hanging="420" w:hangingChars="200"/>
              <w:rPr>
                <w:rFonts w:ascii="宋体" w:hAnsi="宋体"/>
                <w:color w:val="auto"/>
                <w:szCs w:val="21"/>
                <w:highlight w:val="none"/>
                <w:lang w:val="zh-CN"/>
              </w:rPr>
            </w:pPr>
            <w:r>
              <w:rPr>
                <w:rFonts w:hint="eastAsia" w:ascii="宋体" w:hAnsi="宋体" w:cs="宋体"/>
                <w:color w:val="auto"/>
                <w:kern w:val="0"/>
                <w:szCs w:val="21"/>
                <w:highlight w:val="none"/>
              </w:rPr>
              <w:t>注：须提供上述</w:t>
            </w:r>
            <w:r>
              <w:rPr>
                <w:rFonts w:hint="eastAsia" w:ascii="宋体" w:hAnsi="宋体" w:cs="Calibri"/>
                <w:color w:val="auto"/>
                <w:szCs w:val="21"/>
                <w:highlight w:val="none"/>
              </w:rPr>
              <w:t>所有</w:t>
            </w:r>
            <w:r>
              <w:rPr>
                <w:rFonts w:hint="eastAsia" w:ascii="宋体" w:hAnsi="宋体" w:cs="宋体"/>
                <w:color w:val="auto"/>
                <w:kern w:val="0"/>
                <w:szCs w:val="21"/>
                <w:highlight w:val="none"/>
              </w:rPr>
              <w:t>人员相应的证书复印件和2019年10月至2019年12月有效社保证明复印件并加盖投标人公章；未提供相应的证明资料或所提供的证明资料不符合要求的，该人员不予计算得分。</w:t>
            </w:r>
          </w:p>
        </w:tc>
        <w:tc>
          <w:tcPr>
            <w:tcW w:w="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color w:val="auto"/>
                <w:szCs w:val="21"/>
                <w:highlight w:val="none"/>
              </w:rPr>
            </w:pPr>
            <w:r>
              <w:rPr>
                <w:rFonts w:hint="eastAsia" w:ascii="宋体" w:hAnsi="宋体"/>
                <w:color w:val="auto"/>
                <w:szCs w:val="21"/>
                <w:highlight w:val="none"/>
              </w:rPr>
              <w:t>14</w:t>
            </w:r>
          </w:p>
        </w:tc>
      </w:tr>
      <w:tr>
        <w:tblPrEx>
          <w:tblLayout w:type="fixed"/>
          <w:tblCellMar>
            <w:top w:w="0" w:type="dxa"/>
            <w:left w:w="108" w:type="dxa"/>
            <w:bottom w:w="0" w:type="dxa"/>
            <w:right w:w="108" w:type="dxa"/>
          </w:tblCellMar>
        </w:tblPrEx>
        <w:trPr>
          <w:trHeight w:val="300"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left="-50" w:leftChars="-24" w:right="-65" w:rightChars="-31"/>
              <w:jc w:val="center"/>
              <w:rPr>
                <w:rFonts w:ascii="宋体" w:hAnsi="宋体"/>
                <w:color w:val="auto"/>
                <w:szCs w:val="21"/>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b/>
                <w:bCs/>
                <w:color w:val="auto"/>
                <w:szCs w:val="21"/>
                <w:highlight w:val="none"/>
                <w:lang w:val="zh-CN"/>
              </w:rPr>
            </w:pPr>
            <w:r>
              <w:rPr>
                <w:rFonts w:hint="eastAsia" w:ascii="宋体" w:hAnsi="宋体"/>
                <w:b/>
                <w:bCs/>
                <w:color w:val="auto"/>
                <w:szCs w:val="21"/>
                <w:highlight w:val="none"/>
                <w:lang w:val="zh-CN"/>
              </w:rPr>
              <w:t>合计</w:t>
            </w:r>
          </w:p>
        </w:tc>
        <w:tc>
          <w:tcPr>
            <w:tcW w:w="1124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ind w:left="-50" w:leftChars="-24" w:right="-65" w:rightChars="-31"/>
              <w:rPr>
                <w:rFonts w:ascii="宋体" w:hAnsi="宋体"/>
                <w:b/>
                <w:bCs/>
                <w:color w:val="auto"/>
                <w:szCs w:val="21"/>
                <w:highlight w:val="none"/>
                <w:lang w:val="zh-CN"/>
              </w:rPr>
            </w:pPr>
          </w:p>
        </w:tc>
        <w:tc>
          <w:tcPr>
            <w:tcW w:w="6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50" w:leftChars="-24" w:right="-65" w:rightChars="-31"/>
              <w:jc w:val="center"/>
              <w:rPr>
                <w:rFonts w:ascii="宋体" w:hAnsi="宋体"/>
                <w:b/>
                <w:bCs/>
                <w:color w:val="auto"/>
                <w:szCs w:val="21"/>
                <w:highlight w:val="none"/>
                <w:lang w:val="zh-CN"/>
              </w:rPr>
            </w:pPr>
            <w:r>
              <w:rPr>
                <w:rFonts w:ascii="宋体" w:hAnsi="宋体"/>
                <w:b/>
                <w:bCs/>
                <w:color w:val="auto"/>
                <w:szCs w:val="21"/>
                <w:highlight w:val="none"/>
                <w:lang w:val="zh-CN"/>
              </w:rPr>
              <w:t>30</w:t>
            </w:r>
          </w:p>
        </w:tc>
      </w:tr>
    </w:tbl>
    <w:p>
      <w:pPr>
        <w:snapToGrid w:val="0"/>
        <w:jc w:val="left"/>
        <w:rPr>
          <w:rFonts w:ascii="宋体" w:hAnsi="宋体" w:cs="宋体"/>
          <w:color w:val="auto"/>
          <w:szCs w:val="21"/>
          <w:highlight w:val="none"/>
        </w:rPr>
      </w:pPr>
      <w:r>
        <w:rPr>
          <w:rFonts w:hint="eastAsia" w:ascii="宋体" w:hAnsi="宋体" w:cs="宋体"/>
          <w:color w:val="auto"/>
          <w:szCs w:val="21"/>
          <w:highlight w:val="none"/>
        </w:rPr>
        <w:t>说明：1.投标人如为联合体投标人，本表只对在本项目中</w:t>
      </w:r>
      <w:r>
        <w:rPr>
          <w:rFonts w:hint="eastAsia" w:ascii="宋体" w:hAnsi="宋体"/>
          <w:color w:val="auto"/>
          <w:szCs w:val="21"/>
          <w:highlight w:val="none"/>
        </w:rPr>
        <w:t>承接照明工程设计任务</w:t>
      </w:r>
      <w:r>
        <w:rPr>
          <w:rFonts w:hint="eastAsia" w:ascii="宋体" w:hAnsi="宋体" w:cs="宋体"/>
          <w:color w:val="auto"/>
          <w:szCs w:val="21"/>
          <w:highlight w:val="none"/>
        </w:rPr>
        <w:t>一方进行评审。</w:t>
      </w:r>
    </w:p>
    <w:p>
      <w:pPr>
        <w:snapToGrid w:val="0"/>
        <w:ind w:firstLine="630" w:firstLineChars="300"/>
        <w:rPr>
          <w:rFonts w:ascii="宋体" w:hAnsi="宋体" w:cs="宋体"/>
          <w:color w:val="auto"/>
          <w:szCs w:val="21"/>
          <w:highlight w:val="none"/>
        </w:rPr>
        <w:sectPr>
          <w:pgSz w:w="16838" w:h="11906" w:orient="landscape"/>
          <w:pgMar w:top="1134" w:right="1440" w:bottom="1134" w:left="1440" w:header="851" w:footer="772" w:gutter="0"/>
          <w:cols w:space="720" w:num="1"/>
          <w:docGrid w:type="lines" w:linePitch="312" w:charSpace="0"/>
        </w:sectPr>
      </w:pPr>
      <w:r>
        <w:rPr>
          <w:rFonts w:hint="eastAsia" w:ascii="宋体" w:hAnsi="宋体" w:cs="宋体"/>
          <w:color w:val="auto"/>
          <w:szCs w:val="21"/>
          <w:highlight w:val="none"/>
        </w:rPr>
        <w:t>2.投标人得分为评标委员会各成员对其评分合计的算术平均值（若分数出现小数点时，保留小数点后二位，第三位小数四舍五入</w:t>
      </w:r>
    </w:p>
    <w:p>
      <w:pPr>
        <w:spacing w:line="400" w:lineRule="exact"/>
        <w:rPr>
          <w:rFonts w:ascii="宋体" w:hAnsi="宋体"/>
          <w:b/>
          <w:color w:val="auto"/>
          <w:sz w:val="28"/>
          <w:szCs w:val="28"/>
          <w:highlight w:val="none"/>
        </w:rPr>
        <w:sectPr>
          <w:pgSz w:w="11906" w:h="16838"/>
          <w:pgMar w:top="1440" w:right="1134" w:bottom="1440" w:left="1134" w:header="851" w:footer="992" w:gutter="0"/>
          <w:cols w:space="720" w:num="1"/>
          <w:docGrid w:type="lines" w:linePitch="312" w:charSpace="0"/>
        </w:sectPr>
      </w:pPr>
    </w:p>
    <w:p>
      <w:pPr>
        <w:spacing w:line="360" w:lineRule="auto"/>
        <w:rPr>
          <w:rFonts w:ascii="宋体" w:hAnsi="宋体"/>
          <w:b/>
          <w:color w:val="auto"/>
          <w:sz w:val="28"/>
          <w:szCs w:val="28"/>
          <w:highlight w:val="none"/>
        </w:rPr>
      </w:pPr>
      <w:r>
        <w:rPr>
          <w:rFonts w:hint="eastAsia" w:ascii="宋体" w:hAnsi="宋体"/>
          <w:b/>
          <w:color w:val="auto"/>
          <w:sz w:val="28"/>
          <w:szCs w:val="28"/>
          <w:highlight w:val="none"/>
        </w:rPr>
        <w:t>附表4</w:t>
      </w:r>
      <w:r>
        <w:rPr>
          <w:rFonts w:ascii="宋体" w:hAnsi="宋体"/>
          <w:b/>
          <w:color w:val="auto"/>
          <w:sz w:val="28"/>
          <w:szCs w:val="28"/>
          <w:highlight w:val="none"/>
        </w:rPr>
        <w:t>：</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设计技术文件详细审查评分表</w:t>
      </w:r>
    </w:p>
    <w:tbl>
      <w:tblPr>
        <w:tblStyle w:val="43"/>
        <w:tblW w:w="13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7"/>
        <w:gridCol w:w="8973"/>
        <w:gridCol w:w="1389"/>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691"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457" w:type="dxa"/>
            <w:vAlign w:val="center"/>
          </w:tcPr>
          <w:p>
            <w:pPr>
              <w:jc w:val="center"/>
              <w:rPr>
                <w:rFonts w:ascii="宋体" w:hAnsi="宋体"/>
                <w:color w:val="auto"/>
                <w:szCs w:val="21"/>
                <w:highlight w:val="none"/>
              </w:rPr>
            </w:pPr>
            <w:r>
              <w:rPr>
                <w:rFonts w:hint="eastAsia" w:ascii="宋体" w:hAnsi="宋体"/>
                <w:color w:val="auto"/>
                <w:szCs w:val="21"/>
                <w:highlight w:val="none"/>
              </w:rPr>
              <w:t>评审项目</w:t>
            </w:r>
          </w:p>
        </w:tc>
        <w:tc>
          <w:tcPr>
            <w:tcW w:w="8973" w:type="dxa"/>
            <w:vAlign w:val="center"/>
          </w:tcPr>
          <w:p>
            <w:pPr>
              <w:jc w:val="center"/>
              <w:rPr>
                <w:rFonts w:ascii="宋体" w:hAnsi="宋体"/>
                <w:color w:val="auto"/>
                <w:szCs w:val="21"/>
                <w:highlight w:val="none"/>
              </w:rPr>
            </w:pPr>
            <w:r>
              <w:rPr>
                <w:rFonts w:hint="eastAsia" w:ascii="宋体" w:hAnsi="宋体"/>
                <w:color w:val="auto"/>
                <w:szCs w:val="21"/>
                <w:highlight w:val="none"/>
              </w:rPr>
              <w:t>主要评判因素</w:t>
            </w:r>
          </w:p>
        </w:tc>
        <w:tc>
          <w:tcPr>
            <w:tcW w:w="1389" w:type="dxa"/>
            <w:vAlign w:val="center"/>
          </w:tcPr>
          <w:p>
            <w:pPr>
              <w:jc w:val="center"/>
              <w:rPr>
                <w:rFonts w:ascii="宋体" w:hAnsi="宋体"/>
                <w:color w:val="auto"/>
                <w:szCs w:val="21"/>
                <w:highlight w:val="none"/>
              </w:rPr>
            </w:pPr>
            <w:r>
              <w:rPr>
                <w:rFonts w:hint="eastAsia" w:ascii="宋体" w:hAnsi="宋体"/>
                <w:color w:val="auto"/>
                <w:szCs w:val="21"/>
                <w:highlight w:val="none"/>
              </w:rPr>
              <w:t>评分范围</w:t>
            </w:r>
          </w:p>
        </w:tc>
        <w:tc>
          <w:tcPr>
            <w:tcW w:w="1456" w:type="dxa"/>
            <w:vAlign w:val="center"/>
          </w:tcPr>
          <w:p>
            <w:pPr>
              <w:jc w:val="center"/>
              <w:rPr>
                <w:rFonts w:ascii="宋体" w:hAnsi="宋体"/>
                <w:color w:val="auto"/>
                <w:szCs w:val="21"/>
                <w:highlight w:val="none"/>
              </w:rPr>
            </w:pPr>
            <w:r>
              <w:rPr>
                <w:rFonts w:hint="eastAsia" w:ascii="宋体" w:hAnsi="宋体"/>
                <w:color w:val="auto"/>
                <w:szCs w:val="21"/>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91"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457" w:type="dxa"/>
            <w:vAlign w:val="center"/>
          </w:tcPr>
          <w:p>
            <w:pPr>
              <w:autoSpaceDE w:val="0"/>
              <w:autoSpaceDN w:val="0"/>
              <w:adjustRightInd w:val="0"/>
              <w:spacing w:line="240" w:lineRule="exact"/>
              <w:rPr>
                <w:rFonts w:ascii="宋体" w:hAnsi="宋体"/>
                <w:color w:val="auto"/>
                <w:szCs w:val="21"/>
                <w:highlight w:val="none"/>
              </w:rPr>
            </w:pPr>
            <w:r>
              <w:rPr>
                <w:rFonts w:hint="eastAsia" w:ascii="宋体" w:hAnsi="宋体"/>
                <w:color w:val="auto"/>
                <w:szCs w:val="21"/>
                <w:highlight w:val="none"/>
              </w:rPr>
              <w:t>现状摸查</w:t>
            </w:r>
          </w:p>
        </w:tc>
        <w:tc>
          <w:tcPr>
            <w:tcW w:w="8973" w:type="dxa"/>
            <w:vAlign w:val="center"/>
          </w:tcPr>
          <w:p>
            <w:pPr>
              <w:spacing w:line="240" w:lineRule="exact"/>
              <w:rPr>
                <w:rFonts w:ascii="宋体" w:hAnsi="宋体"/>
                <w:color w:val="auto"/>
                <w:szCs w:val="21"/>
                <w:highlight w:val="none"/>
              </w:rPr>
            </w:pPr>
            <w:r>
              <w:rPr>
                <w:rFonts w:hint="eastAsia" w:ascii="宋体" w:hAnsi="宋体"/>
                <w:color w:val="auto"/>
                <w:szCs w:val="21"/>
                <w:highlight w:val="none"/>
              </w:rPr>
              <w:t>正确理解并执行建设意图，对项目的现状摸查充分，对现状的不足之处作分析。</w:t>
            </w:r>
          </w:p>
          <w:p>
            <w:pPr>
              <w:spacing w:beforeLines="25" w:line="240" w:lineRule="exact"/>
              <w:rPr>
                <w:rFonts w:ascii="宋体" w:hAnsi="宋体"/>
                <w:color w:val="auto"/>
                <w:szCs w:val="21"/>
                <w:highlight w:val="none"/>
              </w:rPr>
            </w:pPr>
            <w:r>
              <w:rPr>
                <w:rFonts w:hint="eastAsia" w:ascii="宋体" w:hAnsi="宋体"/>
                <w:color w:val="auto"/>
                <w:szCs w:val="21"/>
                <w:highlight w:val="none"/>
                <w:lang w:val="zh-CN"/>
              </w:rPr>
              <w:t>优</w:t>
            </w:r>
            <w:r>
              <w:rPr>
                <w:rFonts w:hint="eastAsia" w:ascii="宋体" w:hAnsi="宋体"/>
                <w:color w:val="auto"/>
                <w:szCs w:val="21"/>
                <w:highlight w:val="none"/>
              </w:rPr>
              <w:t>：[30</w:t>
            </w:r>
            <w:r>
              <w:rPr>
                <w:rFonts w:ascii="宋体" w:hAnsi="宋体"/>
                <w:color w:val="auto"/>
                <w:szCs w:val="21"/>
                <w:highlight w:val="none"/>
              </w:rPr>
              <w:t>-</w:t>
            </w:r>
            <w:r>
              <w:rPr>
                <w:rFonts w:hint="eastAsia" w:ascii="宋体" w:hAnsi="宋体"/>
                <w:color w:val="auto"/>
                <w:szCs w:val="21"/>
                <w:highlight w:val="none"/>
              </w:rPr>
              <w:t xml:space="preserve">21]  </w:t>
            </w:r>
            <w:r>
              <w:rPr>
                <w:rFonts w:hint="eastAsia" w:ascii="宋体" w:hAnsi="宋体"/>
                <w:color w:val="auto"/>
                <w:szCs w:val="21"/>
                <w:highlight w:val="none"/>
                <w:lang w:val="zh-CN"/>
              </w:rPr>
              <w:t>良</w:t>
            </w:r>
            <w:r>
              <w:rPr>
                <w:rFonts w:hint="eastAsia" w:ascii="宋体" w:hAnsi="宋体"/>
                <w:color w:val="auto"/>
                <w:szCs w:val="21"/>
                <w:highlight w:val="none"/>
              </w:rPr>
              <w:t>：[20</w:t>
            </w:r>
            <w:r>
              <w:rPr>
                <w:rFonts w:ascii="宋体" w:hAnsi="宋体"/>
                <w:color w:val="auto"/>
                <w:szCs w:val="21"/>
                <w:highlight w:val="none"/>
              </w:rPr>
              <w:t>-</w:t>
            </w:r>
            <w:r>
              <w:rPr>
                <w:rFonts w:hint="eastAsia" w:ascii="宋体" w:hAnsi="宋体"/>
                <w:color w:val="auto"/>
                <w:szCs w:val="21"/>
                <w:highlight w:val="none"/>
              </w:rPr>
              <w:t xml:space="preserve">11]  </w:t>
            </w:r>
            <w:r>
              <w:rPr>
                <w:rFonts w:hint="eastAsia" w:ascii="宋体" w:hAnsi="宋体"/>
                <w:color w:val="auto"/>
                <w:szCs w:val="21"/>
                <w:highlight w:val="none"/>
                <w:lang w:val="zh-CN"/>
              </w:rPr>
              <w:t>差</w:t>
            </w:r>
            <w:r>
              <w:rPr>
                <w:rFonts w:hint="eastAsia" w:ascii="宋体" w:hAnsi="宋体"/>
                <w:color w:val="auto"/>
                <w:szCs w:val="21"/>
                <w:highlight w:val="none"/>
              </w:rPr>
              <w:t>：[10</w:t>
            </w:r>
            <w:r>
              <w:rPr>
                <w:rFonts w:ascii="宋体" w:hAnsi="宋体"/>
                <w:color w:val="auto"/>
                <w:szCs w:val="21"/>
                <w:highlight w:val="none"/>
              </w:rPr>
              <w:t>-0</w:t>
            </w:r>
            <w:r>
              <w:rPr>
                <w:rFonts w:hint="eastAsia" w:ascii="宋体" w:hAnsi="宋体"/>
                <w:color w:val="auto"/>
                <w:szCs w:val="21"/>
                <w:highlight w:val="none"/>
              </w:rPr>
              <w:t>]</w:t>
            </w:r>
          </w:p>
        </w:tc>
        <w:tc>
          <w:tcPr>
            <w:tcW w:w="1389" w:type="dxa"/>
            <w:vAlign w:val="center"/>
          </w:tcPr>
          <w:p>
            <w:pPr>
              <w:jc w:val="center"/>
              <w:rPr>
                <w:rFonts w:ascii="宋体" w:hAnsi="宋体"/>
                <w:color w:val="auto"/>
                <w:szCs w:val="21"/>
                <w:highlight w:val="none"/>
              </w:rPr>
            </w:pPr>
            <w:r>
              <w:rPr>
                <w:rFonts w:hint="eastAsia" w:ascii="宋体" w:hAnsi="宋体"/>
                <w:color w:val="auto"/>
                <w:szCs w:val="21"/>
                <w:highlight w:val="none"/>
              </w:rPr>
              <w:t>0-30</w:t>
            </w:r>
          </w:p>
        </w:tc>
        <w:tc>
          <w:tcPr>
            <w:tcW w:w="1456"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91"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457" w:type="dxa"/>
            <w:vAlign w:val="center"/>
          </w:tcPr>
          <w:p>
            <w:pPr>
              <w:autoSpaceDE w:val="0"/>
              <w:autoSpaceDN w:val="0"/>
              <w:adjustRightInd w:val="0"/>
              <w:spacing w:line="240" w:lineRule="exact"/>
              <w:rPr>
                <w:rFonts w:ascii="宋体" w:hAnsi="宋体"/>
                <w:color w:val="auto"/>
                <w:szCs w:val="21"/>
                <w:highlight w:val="none"/>
              </w:rPr>
            </w:pPr>
            <w:r>
              <w:rPr>
                <w:rFonts w:hint="eastAsia" w:ascii="宋体" w:hAnsi="宋体"/>
                <w:color w:val="auto"/>
                <w:szCs w:val="21"/>
                <w:highlight w:val="none"/>
              </w:rPr>
              <w:t>设计方案理解及说明</w:t>
            </w:r>
          </w:p>
        </w:tc>
        <w:tc>
          <w:tcPr>
            <w:tcW w:w="8973" w:type="dxa"/>
            <w:vAlign w:val="center"/>
          </w:tcPr>
          <w:p>
            <w:pPr>
              <w:spacing w:line="240" w:lineRule="exact"/>
              <w:rPr>
                <w:rFonts w:ascii="宋体" w:hAnsi="宋体"/>
                <w:color w:val="auto"/>
                <w:szCs w:val="21"/>
                <w:highlight w:val="none"/>
              </w:rPr>
            </w:pPr>
            <w:r>
              <w:rPr>
                <w:rFonts w:hint="eastAsia" w:ascii="宋体" w:hAnsi="宋体"/>
                <w:color w:val="auto"/>
                <w:szCs w:val="21"/>
                <w:highlight w:val="none"/>
              </w:rPr>
              <w:t>设计方案理解及说明（包括并不限于设计思路、技术建议、设计服务与配合等）。</w:t>
            </w:r>
          </w:p>
          <w:p>
            <w:pPr>
              <w:spacing w:beforeLines="25" w:line="240" w:lineRule="exact"/>
              <w:rPr>
                <w:rFonts w:ascii="宋体" w:hAnsi="宋体"/>
                <w:color w:val="auto"/>
                <w:szCs w:val="21"/>
                <w:highlight w:val="none"/>
              </w:rPr>
            </w:pPr>
            <w:r>
              <w:rPr>
                <w:rFonts w:hint="eastAsia" w:ascii="宋体" w:hAnsi="宋体"/>
                <w:color w:val="auto"/>
                <w:szCs w:val="21"/>
                <w:highlight w:val="none"/>
                <w:lang w:val="zh-CN"/>
              </w:rPr>
              <w:t>优</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 xml:space="preserve">4]  </w:t>
            </w:r>
            <w:r>
              <w:rPr>
                <w:rFonts w:hint="eastAsia" w:ascii="宋体" w:hAnsi="宋体"/>
                <w:color w:val="auto"/>
                <w:szCs w:val="21"/>
                <w:highlight w:val="none"/>
                <w:lang w:val="zh-CN"/>
              </w:rPr>
              <w:t>良</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2]  </w:t>
            </w:r>
            <w:r>
              <w:rPr>
                <w:rFonts w:hint="eastAsia" w:ascii="宋体" w:hAnsi="宋体"/>
                <w:color w:val="auto"/>
                <w:szCs w:val="21"/>
                <w:highlight w:val="none"/>
                <w:lang w:val="zh-CN"/>
              </w:rPr>
              <w:t>差</w:t>
            </w: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lang w:val="zh-CN"/>
              </w:rPr>
              <w:t>分</w:t>
            </w:r>
            <w:r>
              <w:rPr>
                <w:rFonts w:hint="eastAsia" w:ascii="宋体" w:hAnsi="宋体"/>
                <w:color w:val="auto"/>
                <w:szCs w:val="21"/>
                <w:highlight w:val="none"/>
              </w:rPr>
              <w:t>]</w:t>
            </w:r>
          </w:p>
        </w:tc>
        <w:tc>
          <w:tcPr>
            <w:tcW w:w="1389" w:type="dxa"/>
            <w:vAlign w:val="center"/>
          </w:tcPr>
          <w:p>
            <w:pPr>
              <w:jc w:val="center"/>
              <w:rPr>
                <w:rFonts w:ascii="宋体" w:hAnsi="宋体"/>
                <w:color w:val="auto"/>
                <w:szCs w:val="21"/>
                <w:highlight w:val="none"/>
              </w:rPr>
            </w:pPr>
            <w:r>
              <w:rPr>
                <w:rFonts w:hint="eastAsia" w:ascii="宋体" w:hAnsi="宋体"/>
                <w:color w:val="auto"/>
                <w:szCs w:val="21"/>
                <w:highlight w:val="none"/>
              </w:rPr>
              <w:t>0-5</w:t>
            </w:r>
          </w:p>
        </w:tc>
        <w:tc>
          <w:tcPr>
            <w:tcW w:w="1456"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91"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457" w:type="dxa"/>
            <w:vAlign w:val="center"/>
          </w:tcPr>
          <w:p>
            <w:pPr>
              <w:autoSpaceDE w:val="0"/>
              <w:autoSpaceDN w:val="0"/>
              <w:adjustRightInd w:val="0"/>
              <w:spacing w:line="240" w:lineRule="exact"/>
              <w:rPr>
                <w:rFonts w:ascii="宋体" w:hAnsi="宋体"/>
                <w:color w:val="auto"/>
                <w:szCs w:val="21"/>
                <w:highlight w:val="none"/>
              </w:rPr>
            </w:pPr>
            <w:r>
              <w:rPr>
                <w:rFonts w:hint="eastAsia" w:ascii="宋体" w:hAnsi="宋体"/>
                <w:color w:val="auto"/>
                <w:szCs w:val="21"/>
                <w:highlight w:val="none"/>
              </w:rPr>
              <w:t>设计理念</w:t>
            </w:r>
          </w:p>
        </w:tc>
        <w:tc>
          <w:tcPr>
            <w:tcW w:w="8973" w:type="dxa"/>
            <w:vAlign w:val="center"/>
          </w:tcPr>
          <w:p>
            <w:pPr>
              <w:spacing w:line="240" w:lineRule="exact"/>
              <w:rPr>
                <w:rFonts w:ascii="宋体" w:hAnsi="宋体"/>
                <w:color w:val="auto"/>
                <w:szCs w:val="21"/>
                <w:highlight w:val="none"/>
              </w:rPr>
            </w:pPr>
            <w:r>
              <w:rPr>
                <w:rFonts w:hint="eastAsia" w:ascii="宋体" w:hAnsi="宋体"/>
                <w:color w:val="auto"/>
                <w:szCs w:val="21"/>
                <w:highlight w:val="none"/>
              </w:rPr>
              <w:t>设计理念符合项目定位总体需求</w:t>
            </w:r>
            <w:r>
              <w:rPr>
                <w:rFonts w:hint="eastAsia" w:ascii="宋体" w:hAnsi="宋体" w:cs="宋体"/>
                <w:color w:val="auto"/>
                <w:szCs w:val="21"/>
                <w:highlight w:val="none"/>
              </w:rPr>
              <w:t>和招标人要求，符合适用、实用和美观原则</w:t>
            </w:r>
          </w:p>
          <w:p>
            <w:pPr>
              <w:spacing w:beforeLines="25" w:line="240" w:lineRule="exact"/>
              <w:rPr>
                <w:rFonts w:ascii="宋体" w:hAnsi="宋体"/>
                <w:color w:val="auto"/>
                <w:szCs w:val="21"/>
                <w:highlight w:val="none"/>
              </w:rPr>
            </w:pPr>
            <w:r>
              <w:rPr>
                <w:rFonts w:hint="eastAsia" w:ascii="宋体" w:hAnsi="宋体"/>
                <w:color w:val="auto"/>
                <w:szCs w:val="21"/>
                <w:highlight w:val="none"/>
                <w:lang w:val="zh-CN"/>
              </w:rPr>
              <w:t>优</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 xml:space="preserve">4]  </w:t>
            </w:r>
            <w:r>
              <w:rPr>
                <w:rFonts w:hint="eastAsia" w:ascii="宋体" w:hAnsi="宋体"/>
                <w:color w:val="auto"/>
                <w:szCs w:val="21"/>
                <w:highlight w:val="none"/>
                <w:lang w:val="zh-CN"/>
              </w:rPr>
              <w:t>良</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2]  </w:t>
            </w:r>
            <w:r>
              <w:rPr>
                <w:rFonts w:hint="eastAsia" w:ascii="宋体" w:hAnsi="宋体"/>
                <w:color w:val="auto"/>
                <w:szCs w:val="21"/>
                <w:highlight w:val="none"/>
                <w:lang w:val="zh-CN"/>
              </w:rPr>
              <w:t>差</w:t>
            </w:r>
            <w:r>
              <w:rPr>
                <w:rFonts w:hint="eastAsia" w:ascii="宋体" w:hAnsi="宋体"/>
                <w:color w:val="auto"/>
                <w:szCs w:val="21"/>
                <w:highlight w:val="none"/>
              </w:rPr>
              <w:t>：[</w:t>
            </w:r>
            <w:r>
              <w:rPr>
                <w:rFonts w:ascii="宋体" w:hAnsi="宋体"/>
                <w:color w:val="auto"/>
                <w:szCs w:val="21"/>
                <w:highlight w:val="none"/>
              </w:rPr>
              <w:t>1-0</w:t>
            </w:r>
            <w:r>
              <w:rPr>
                <w:rFonts w:hint="eastAsia" w:ascii="宋体" w:hAnsi="宋体"/>
                <w:color w:val="auto"/>
                <w:szCs w:val="21"/>
                <w:highlight w:val="none"/>
              </w:rPr>
              <w:t>]</w:t>
            </w:r>
          </w:p>
        </w:tc>
        <w:tc>
          <w:tcPr>
            <w:tcW w:w="1389" w:type="dxa"/>
            <w:vAlign w:val="center"/>
          </w:tcPr>
          <w:p>
            <w:pPr>
              <w:jc w:val="center"/>
              <w:rPr>
                <w:rFonts w:ascii="宋体" w:hAnsi="宋体"/>
                <w:color w:val="auto"/>
                <w:szCs w:val="21"/>
                <w:highlight w:val="none"/>
              </w:rPr>
            </w:pPr>
            <w:r>
              <w:rPr>
                <w:rFonts w:hint="eastAsia" w:ascii="宋体" w:hAnsi="宋体"/>
                <w:color w:val="auto"/>
                <w:szCs w:val="21"/>
                <w:highlight w:val="none"/>
              </w:rPr>
              <w:t>0-5</w:t>
            </w:r>
          </w:p>
        </w:tc>
        <w:tc>
          <w:tcPr>
            <w:tcW w:w="1456"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691"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457" w:type="dxa"/>
            <w:vAlign w:val="center"/>
          </w:tcPr>
          <w:p>
            <w:pPr>
              <w:autoSpaceDE w:val="0"/>
              <w:autoSpaceDN w:val="0"/>
              <w:adjustRightInd w:val="0"/>
              <w:spacing w:line="240" w:lineRule="exact"/>
              <w:rPr>
                <w:rFonts w:ascii="宋体" w:hAnsi="宋体"/>
                <w:color w:val="auto"/>
                <w:szCs w:val="21"/>
                <w:highlight w:val="none"/>
              </w:rPr>
            </w:pPr>
            <w:r>
              <w:rPr>
                <w:rFonts w:hint="eastAsia" w:ascii="宋体" w:hAnsi="宋体"/>
                <w:color w:val="auto"/>
                <w:szCs w:val="21"/>
                <w:highlight w:val="none"/>
              </w:rPr>
              <w:t>设计图纸</w:t>
            </w:r>
          </w:p>
        </w:tc>
        <w:tc>
          <w:tcPr>
            <w:tcW w:w="8973" w:type="dxa"/>
            <w:vAlign w:val="center"/>
          </w:tcPr>
          <w:p>
            <w:pPr>
              <w:spacing w:beforeLines="25" w:line="240" w:lineRule="exact"/>
              <w:rPr>
                <w:rFonts w:ascii="宋体" w:hAnsi="宋体"/>
                <w:color w:val="auto"/>
                <w:szCs w:val="21"/>
                <w:highlight w:val="none"/>
                <w:lang w:val="zh-CN"/>
              </w:rPr>
            </w:pPr>
            <w:r>
              <w:rPr>
                <w:rFonts w:hint="eastAsia" w:ascii="宋体" w:hAnsi="宋体"/>
                <w:color w:val="auto"/>
                <w:szCs w:val="21"/>
                <w:highlight w:val="none"/>
                <w:lang w:val="zh-CN"/>
              </w:rPr>
              <w:t>投标人提供的设计图纸的详细程度、系统配置合理情况以及运营管理方便性等方面</w:t>
            </w:r>
          </w:p>
          <w:p>
            <w:pPr>
              <w:spacing w:beforeLines="25" w:line="240" w:lineRule="exact"/>
              <w:rPr>
                <w:rFonts w:ascii="宋体" w:hAnsi="宋体"/>
                <w:color w:val="auto"/>
                <w:szCs w:val="21"/>
                <w:highlight w:val="none"/>
              </w:rPr>
            </w:pPr>
            <w:r>
              <w:rPr>
                <w:rFonts w:hint="eastAsia" w:ascii="宋体" w:hAnsi="宋体"/>
                <w:color w:val="auto"/>
                <w:szCs w:val="21"/>
                <w:highlight w:val="none"/>
                <w:lang w:val="zh-CN"/>
              </w:rPr>
              <w:t>优</w:t>
            </w:r>
            <w:r>
              <w:rPr>
                <w:rFonts w:hint="eastAsia" w:ascii="宋体" w:hAnsi="宋体"/>
                <w:color w:val="auto"/>
                <w:szCs w:val="21"/>
                <w:highlight w:val="none"/>
              </w:rPr>
              <w:t>：[30</w:t>
            </w:r>
            <w:r>
              <w:rPr>
                <w:rFonts w:ascii="宋体" w:hAnsi="宋体"/>
                <w:color w:val="auto"/>
                <w:szCs w:val="21"/>
                <w:highlight w:val="none"/>
              </w:rPr>
              <w:t>-</w:t>
            </w:r>
            <w:r>
              <w:rPr>
                <w:rFonts w:hint="eastAsia" w:ascii="宋体" w:hAnsi="宋体"/>
                <w:color w:val="auto"/>
                <w:szCs w:val="21"/>
                <w:highlight w:val="none"/>
              </w:rPr>
              <w:t xml:space="preserve">21]  </w:t>
            </w:r>
            <w:r>
              <w:rPr>
                <w:rFonts w:hint="eastAsia" w:ascii="宋体" w:hAnsi="宋体"/>
                <w:color w:val="auto"/>
                <w:szCs w:val="21"/>
                <w:highlight w:val="none"/>
                <w:lang w:val="zh-CN"/>
              </w:rPr>
              <w:t>良</w:t>
            </w:r>
            <w:r>
              <w:rPr>
                <w:rFonts w:hint="eastAsia" w:ascii="宋体" w:hAnsi="宋体"/>
                <w:color w:val="auto"/>
                <w:szCs w:val="21"/>
                <w:highlight w:val="none"/>
              </w:rPr>
              <w:t>：[20</w:t>
            </w:r>
            <w:r>
              <w:rPr>
                <w:rFonts w:ascii="宋体" w:hAnsi="宋体"/>
                <w:color w:val="auto"/>
                <w:szCs w:val="21"/>
                <w:highlight w:val="none"/>
              </w:rPr>
              <w:t>-</w:t>
            </w:r>
            <w:r>
              <w:rPr>
                <w:rFonts w:hint="eastAsia" w:ascii="宋体" w:hAnsi="宋体"/>
                <w:color w:val="auto"/>
                <w:szCs w:val="21"/>
                <w:highlight w:val="none"/>
              </w:rPr>
              <w:t xml:space="preserve">11]  </w:t>
            </w:r>
            <w:r>
              <w:rPr>
                <w:rFonts w:hint="eastAsia" w:ascii="宋体" w:hAnsi="宋体"/>
                <w:color w:val="auto"/>
                <w:szCs w:val="21"/>
                <w:highlight w:val="none"/>
                <w:lang w:val="zh-CN"/>
              </w:rPr>
              <w:t>差</w:t>
            </w:r>
            <w:r>
              <w:rPr>
                <w:rFonts w:hint="eastAsia" w:ascii="宋体" w:hAnsi="宋体"/>
                <w:color w:val="auto"/>
                <w:szCs w:val="21"/>
                <w:highlight w:val="none"/>
              </w:rPr>
              <w:t>：[10</w:t>
            </w:r>
            <w:r>
              <w:rPr>
                <w:rFonts w:ascii="宋体" w:hAnsi="宋体"/>
                <w:color w:val="auto"/>
                <w:szCs w:val="21"/>
                <w:highlight w:val="none"/>
              </w:rPr>
              <w:t>-0</w:t>
            </w:r>
            <w:r>
              <w:rPr>
                <w:rFonts w:hint="eastAsia" w:ascii="宋体" w:hAnsi="宋体"/>
                <w:color w:val="auto"/>
                <w:szCs w:val="21"/>
                <w:highlight w:val="none"/>
              </w:rPr>
              <w:t>]</w:t>
            </w:r>
          </w:p>
        </w:tc>
        <w:tc>
          <w:tcPr>
            <w:tcW w:w="1389" w:type="dxa"/>
            <w:vAlign w:val="center"/>
          </w:tcPr>
          <w:p>
            <w:pPr>
              <w:jc w:val="center"/>
              <w:rPr>
                <w:rFonts w:ascii="宋体" w:hAnsi="宋体"/>
                <w:color w:val="auto"/>
                <w:szCs w:val="21"/>
                <w:highlight w:val="none"/>
              </w:rPr>
            </w:pPr>
            <w:r>
              <w:rPr>
                <w:rFonts w:hint="eastAsia" w:ascii="宋体" w:hAnsi="宋体"/>
                <w:color w:val="auto"/>
                <w:szCs w:val="21"/>
                <w:highlight w:val="none"/>
              </w:rPr>
              <w:t>0-30</w:t>
            </w:r>
          </w:p>
        </w:tc>
        <w:tc>
          <w:tcPr>
            <w:tcW w:w="1456" w:type="dxa"/>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691" w:type="dxa"/>
            <w:vAlign w:val="center"/>
          </w:tcPr>
          <w:p>
            <w:pPr>
              <w:jc w:val="center"/>
              <w:rPr>
                <w:rFonts w:ascii="宋体" w:hAnsi="宋体"/>
                <w:color w:val="auto"/>
                <w:szCs w:val="21"/>
                <w:highlight w:val="none"/>
              </w:rPr>
            </w:pPr>
          </w:p>
        </w:tc>
        <w:tc>
          <w:tcPr>
            <w:tcW w:w="10430" w:type="dxa"/>
            <w:gridSpan w:val="2"/>
            <w:vAlign w:val="center"/>
          </w:tcPr>
          <w:p>
            <w:pPr>
              <w:jc w:val="center"/>
              <w:rPr>
                <w:rFonts w:ascii="宋体" w:hAnsi="宋体"/>
                <w:b/>
                <w:bCs/>
                <w:color w:val="auto"/>
                <w:szCs w:val="21"/>
                <w:highlight w:val="none"/>
              </w:rPr>
            </w:pPr>
            <w:r>
              <w:rPr>
                <w:rFonts w:hint="eastAsia" w:ascii="宋体" w:hAnsi="宋体"/>
                <w:b/>
                <w:bCs/>
                <w:color w:val="auto"/>
                <w:szCs w:val="21"/>
                <w:highlight w:val="none"/>
              </w:rPr>
              <w:t>合    计</w:t>
            </w:r>
          </w:p>
        </w:tc>
        <w:tc>
          <w:tcPr>
            <w:tcW w:w="1389"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70</w:t>
            </w:r>
          </w:p>
        </w:tc>
        <w:tc>
          <w:tcPr>
            <w:tcW w:w="1456" w:type="dxa"/>
          </w:tcPr>
          <w:p>
            <w:pPr>
              <w:jc w:val="center"/>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注：1.本评分表评审项目为对项目的总体设计方案的评审。</w:t>
      </w:r>
    </w:p>
    <w:p>
      <w:pPr>
        <w:ind w:firstLine="420" w:firstLineChars="200"/>
        <w:rPr>
          <w:rFonts w:ascii="宋体" w:hAnsi="宋体" w:cs="宋体"/>
          <w:smallCaps/>
          <w:color w:val="auto"/>
          <w:szCs w:val="21"/>
          <w:highlight w:val="none"/>
        </w:rPr>
      </w:pPr>
      <w:r>
        <w:rPr>
          <w:rFonts w:hint="eastAsia" w:ascii="宋体" w:hAnsi="宋体" w:cs="宋体"/>
          <w:color w:val="auto"/>
          <w:szCs w:val="21"/>
          <w:highlight w:val="none"/>
        </w:rPr>
        <w:t>2.投标人得分为评标委员会各成员对其评分合计的算术平均值（若分数出现小数点时，保留小数点后二位，第三位小数四舍五入）。</w:t>
      </w:r>
    </w:p>
    <w:p>
      <w:pPr>
        <w:rPr>
          <w:rFonts w:ascii="宋体" w:hAnsi="宋体" w:cs="宋体"/>
          <w:color w:val="auto"/>
          <w:szCs w:val="21"/>
          <w:highlight w:val="none"/>
        </w:rPr>
      </w:pPr>
    </w:p>
    <w:p>
      <w:pPr>
        <w:pStyle w:val="2"/>
        <w:rPr>
          <w:rFonts w:hAnsi="宋体"/>
          <w:b/>
          <w:color w:val="auto"/>
          <w:sz w:val="21"/>
          <w:szCs w:val="21"/>
          <w:highlight w:val="none"/>
        </w:rPr>
      </w:pPr>
      <w:r>
        <w:rPr>
          <w:rFonts w:hint="eastAsia" w:hAnsi="宋体"/>
          <w:color w:val="auto"/>
          <w:sz w:val="21"/>
          <w:szCs w:val="21"/>
          <w:highlight w:val="none"/>
        </w:rPr>
        <w:t>评委签名：                              日期：</w:t>
      </w:r>
    </w:p>
    <w:p>
      <w:pPr>
        <w:spacing w:line="360" w:lineRule="exact"/>
        <w:jc w:val="left"/>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exact"/>
        <w:jc w:val="left"/>
        <w:rPr>
          <w:rFonts w:ascii="宋体" w:hAnsi="宋体"/>
          <w:b/>
          <w:color w:val="auto"/>
          <w:sz w:val="36"/>
          <w:szCs w:val="36"/>
          <w:highlight w:val="none"/>
        </w:rPr>
      </w:pPr>
      <w:r>
        <w:rPr>
          <w:rFonts w:hint="eastAsia" w:ascii="宋体" w:hAnsi="宋体"/>
          <w:b/>
          <w:color w:val="auto"/>
          <w:sz w:val="28"/>
          <w:szCs w:val="28"/>
          <w:highlight w:val="none"/>
        </w:rPr>
        <w:t>附表5</w:t>
      </w:r>
      <w:r>
        <w:rPr>
          <w:rFonts w:ascii="宋体" w:hAnsi="宋体"/>
          <w:b/>
          <w:color w:val="auto"/>
          <w:sz w:val="28"/>
          <w:szCs w:val="28"/>
          <w:highlight w:val="none"/>
        </w:rPr>
        <w:t>：</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施工技术标投标文件有效性审查表</w:t>
      </w:r>
    </w:p>
    <w:p>
      <w:pPr>
        <w:rPr>
          <w:color w:val="auto"/>
          <w:szCs w:val="21"/>
          <w:highlight w:val="none"/>
        </w:rPr>
      </w:pPr>
      <w:r>
        <w:rPr>
          <w:rFonts w:hint="eastAsia" w:ascii="宋体" w:hAnsi="宋体"/>
          <w:color w:val="auto"/>
          <w:highlight w:val="none"/>
        </w:rPr>
        <w:t>工程名称：</w:t>
      </w:r>
    </w:p>
    <w:tbl>
      <w:tblPr>
        <w:tblStyle w:val="43"/>
        <w:tblW w:w="14427" w:type="dxa"/>
        <w:jc w:val="center"/>
        <w:tblInd w:w="0" w:type="dxa"/>
        <w:tblLayout w:type="fixed"/>
        <w:tblCellMar>
          <w:top w:w="0" w:type="dxa"/>
          <w:left w:w="108" w:type="dxa"/>
          <w:bottom w:w="0" w:type="dxa"/>
          <w:right w:w="108" w:type="dxa"/>
        </w:tblCellMar>
      </w:tblPr>
      <w:tblGrid>
        <w:gridCol w:w="738"/>
        <w:gridCol w:w="7734"/>
        <w:gridCol w:w="992"/>
        <w:gridCol w:w="993"/>
        <w:gridCol w:w="992"/>
        <w:gridCol w:w="993"/>
        <w:gridCol w:w="992"/>
        <w:gridCol w:w="993"/>
      </w:tblGrid>
      <w:tr>
        <w:tblPrEx>
          <w:tblLayout w:type="fixed"/>
          <w:tblCellMar>
            <w:top w:w="0" w:type="dxa"/>
            <w:left w:w="108" w:type="dxa"/>
            <w:bottom w:w="0" w:type="dxa"/>
            <w:right w:w="108" w:type="dxa"/>
          </w:tblCellMar>
        </w:tblPrEx>
        <w:trPr>
          <w:cantSpli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highlight w:val="none"/>
              </w:rPr>
              <w:t>序号</w:t>
            </w:r>
          </w:p>
        </w:tc>
        <w:tc>
          <w:tcPr>
            <w:tcW w:w="7734" w:type="dxa"/>
            <w:tcBorders>
              <w:top w:val="single" w:color="auto" w:sz="4" w:space="0"/>
              <w:left w:val="nil"/>
              <w:bottom w:val="single" w:color="auto" w:sz="4" w:space="0"/>
              <w:right w:val="single" w:color="auto" w:sz="4" w:space="0"/>
              <w:tl2br w:val="single" w:color="auto" w:sz="4" w:space="0"/>
            </w:tcBorders>
          </w:tcPr>
          <w:p>
            <w:pPr>
              <w:adjustRightInd w:val="0"/>
              <w:snapToGrid w:val="0"/>
              <w:jc w:val="right"/>
              <w:rPr>
                <w:rFonts w:ascii="宋体" w:hAnsi="宋体"/>
                <w:color w:val="auto"/>
                <w:highlight w:val="none"/>
              </w:rPr>
            </w:pPr>
            <w:r>
              <w:rPr>
                <w:rFonts w:hint="eastAsia" w:ascii="宋体" w:hAnsi="宋体"/>
                <w:color w:val="auto"/>
                <w:highlight w:val="none"/>
              </w:rPr>
              <w:t>投标单位</w:t>
            </w:r>
          </w:p>
          <w:p>
            <w:pPr>
              <w:adjustRightInd w:val="0"/>
              <w:snapToGrid w:val="0"/>
              <w:rPr>
                <w:rFonts w:ascii="宋体" w:hAnsi="宋体"/>
                <w:color w:val="auto"/>
                <w:highlight w:val="none"/>
              </w:rPr>
            </w:pPr>
          </w:p>
          <w:p>
            <w:pPr>
              <w:adjustRightInd w:val="0"/>
              <w:snapToGrid w:val="0"/>
              <w:rPr>
                <w:rFonts w:ascii="宋体" w:hAnsi="宋体"/>
                <w:color w:val="auto"/>
                <w:szCs w:val="21"/>
                <w:highlight w:val="none"/>
              </w:rPr>
            </w:pPr>
            <w:r>
              <w:rPr>
                <w:rFonts w:hint="eastAsia" w:ascii="宋体" w:hAnsi="宋体"/>
                <w:color w:val="auto"/>
                <w:highlight w:val="none"/>
              </w:rPr>
              <w:t>评审内容</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1</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不能满足完成投标项目工期的；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2</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不符合招标文件及有关技术规格、质量要求、检验标准和方法的；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3</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在技术投标文件中涉及本工程项目投标报价的；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4</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投标文件的封面没有加盖投标单位的法定印章并经法定代表人或投标人代表签署或盖章的；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5</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6</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投标人之间存在串通投标情形（串通投标情形以《中华人民共和国招标投标法实施条例》的规定为准）；</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7</w:t>
            </w:r>
          </w:p>
        </w:tc>
        <w:tc>
          <w:tcPr>
            <w:tcW w:w="7734" w:type="dxa"/>
            <w:tcBorders>
              <w:top w:val="single" w:color="auto" w:sz="4" w:space="0"/>
              <w:left w:val="nil"/>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无《参与编制施工技术标投标文件人员名单》的。</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r>
        <w:tblPrEx>
          <w:tblLayout w:type="fixed"/>
          <w:tblCellMar>
            <w:top w:w="0" w:type="dxa"/>
            <w:left w:w="108" w:type="dxa"/>
            <w:bottom w:w="0" w:type="dxa"/>
            <w:right w:w="108" w:type="dxa"/>
          </w:tblCellMar>
        </w:tblPrEx>
        <w:trPr>
          <w:cantSplit/>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highlight w:val="none"/>
              </w:rPr>
              <w:t>结论</w:t>
            </w:r>
          </w:p>
        </w:tc>
        <w:tc>
          <w:tcPr>
            <w:tcW w:w="7734"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Cs w:val="21"/>
                <w:highlight w:val="none"/>
              </w:rPr>
            </w:pPr>
            <w:r>
              <w:rPr>
                <w:rFonts w:hint="eastAsia" w:ascii="宋体" w:hAnsi="宋体"/>
                <w:color w:val="auto"/>
                <w:highlight w:val="none"/>
              </w:rPr>
              <w:t>是否通过并进入下一阶段评审</w:t>
            </w: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2"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c>
          <w:tcPr>
            <w:tcW w:w="993" w:type="dxa"/>
            <w:tcBorders>
              <w:top w:val="single" w:color="auto" w:sz="4" w:space="0"/>
              <w:left w:val="nil"/>
              <w:bottom w:val="single" w:color="auto" w:sz="4" w:space="0"/>
              <w:right w:val="single" w:color="auto" w:sz="4" w:space="0"/>
            </w:tcBorders>
          </w:tcPr>
          <w:p>
            <w:pPr>
              <w:adjustRightInd w:val="0"/>
              <w:snapToGrid w:val="0"/>
              <w:rPr>
                <w:rFonts w:ascii="宋体" w:hAnsi="宋体"/>
                <w:color w:val="auto"/>
                <w:szCs w:val="21"/>
                <w:highlight w:val="none"/>
              </w:rPr>
            </w:pPr>
          </w:p>
        </w:tc>
      </w:tr>
    </w:tbl>
    <w:p>
      <w:pPr>
        <w:spacing w:line="3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根据本表审查项目，不符合的填“○”，符合的填“×”，评审结论填“通过“或“不通过”。。</w:t>
      </w:r>
    </w:p>
    <w:p>
      <w:pPr>
        <w:spacing w:line="3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本表中出现一个（或以上）“×”，投标人的评审结论为“不通过”，即该投标人不进入下一阶段评审。</w:t>
      </w:r>
    </w:p>
    <w:p>
      <w:pPr>
        <w:spacing w:line="3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本表中评审项目全部为“○”，投标人的评审结论为“通过”，即该投标人进入下一阶段评审。</w:t>
      </w:r>
    </w:p>
    <w:p>
      <w:pPr>
        <w:ind w:firstLine="420" w:firstLineChars="200"/>
        <w:rPr>
          <w:color w:val="auto"/>
          <w:highlight w:val="none"/>
        </w:rPr>
      </w:pPr>
      <w:r>
        <w:rPr>
          <w:rFonts w:ascii="宋体" w:hAnsi="宋体"/>
          <w:color w:val="auto"/>
          <w:szCs w:val="21"/>
          <w:highlight w:val="none"/>
        </w:rPr>
        <w:t>4.</w:t>
      </w:r>
      <w:r>
        <w:rPr>
          <w:rFonts w:hint="eastAsia" w:ascii="宋体" w:hAnsi="宋体"/>
          <w:color w:val="auto"/>
          <w:szCs w:val="21"/>
          <w:highlight w:val="none"/>
        </w:rPr>
        <w:t>如对本表中某种情形的评审意见不一致时，以评审组过半数成员的意见作为评审组对该情形的认定结论。</w:t>
      </w:r>
    </w:p>
    <w:p>
      <w:pPr>
        <w:rPr>
          <w:rFonts w:hAnsi="宋体"/>
          <w:color w:val="auto"/>
          <w:szCs w:val="21"/>
          <w:highlight w:val="none"/>
        </w:rPr>
      </w:pPr>
    </w:p>
    <w:p>
      <w:pPr>
        <w:rPr>
          <w:rFonts w:hAnsi="宋体"/>
          <w:b/>
          <w:color w:val="auto"/>
          <w:szCs w:val="21"/>
          <w:highlight w:val="none"/>
        </w:rPr>
      </w:pPr>
      <w:r>
        <w:rPr>
          <w:rFonts w:hint="eastAsia" w:hAnsi="宋体"/>
          <w:color w:val="auto"/>
          <w:szCs w:val="21"/>
          <w:highlight w:val="none"/>
        </w:rPr>
        <w:t>评委签名：                                           日期：</w:t>
      </w:r>
    </w:p>
    <w:p>
      <w:pPr>
        <w:spacing w:line="360" w:lineRule="auto"/>
        <w:rPr>
          <w:rFonts w:ascii="宋体" w:hAnsi="宋体"/>
          <w:color w:val="auto"/>
          <w:szCs w:val="21"/>
          <w:highlight w:val="none"/>
        </w:rPr>
        <w:sectPr>
          <w:pgSz w:w="16838" w:h="11906" w:orient="landscape"/>
          <w:pgMar w:top="1134" w:right="1440" w:bottom="1134" w:left="1440" w:header="851" w:footer="992" w:gutter="0"/>
          <w:cols w:space="720" w:num="1"/>
          <w:docGrid w:type="lines" w:linePitch="312" w:charSpace="0"/>
        </w:sectPr>
      </w:pP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附表6</w:t>
      </w:r>
      <w:r>
        <w:rPr>
          <w:rFonts w:ascii="宋体" w:hAnsi="宋体"/>
          <w:b/>
          <w:color w:val="auto"/>
          <w:sz w:val="28"/>
          <w:szCs w:val="28"/>
          <w:highlight w:val="none"/>
        </w:rPr>
        <w:t>：</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施工技术标投标文件详细审查评分表</w:t>
      </w:r>
    </w:p>
    <w:tbl>
      <w:tblPr>
        <w:tblStyle w:val="43"/>
        <w:tblW w:w="14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592"/>
        <w:gridCol w:w="633"/>
        <w:gridCol w:w="1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603" w:type="dxa"/>
            <w:vAlign w:val="center"/>
          </w:tcPr>
          <w:p>
            <w:pPr>
              <w:snapToGrid w:val="0"/>
              <w:spacing w:line="240" w:lineRule="exact"/>
              <w:ind w:left="-46" w:leftChars="-22" w:right="-46" w:rightChars="-22"/>
              <w:jc w:val="center"/>
              <w:rPr>
                <w:rFonts w:ascii="宋体" w:hAnsi="宋体" w:cs="宋体"/>
                <w:b/>
                <w:bCs/>
                <w:color w:val="auto"/>
                <w:kern w:val="0"/>
                <w:szCs w:val="21"/>
                <w:highlight w:val="none"/>
              </w:rPr>
            </w:pPr>
            <w:r>
              <w:rPr>
                <w:rFonts w:hint="eastAsia" w:ascii="宋体" w:hAnsi="宋体" w:cs="宋体"/>
                <w:b/>
                <w:color w:val="auto"/>
                <w:kern w:val="0"/>
                <w:szCs w:val="21"/>
                <w:highlight w:val="none"/>
              </w:rPr>
              <w:t>序号</w:t>
            </w:r>
          </w:p>
        </w:tc>
        <w:tc>
          <w:tcPr>
            <w:tcW w:w="1592" w:type="dxa"/>
            <w:vAlign w:val="center"/>
          </w:tcPr>
          <w:p>
            <w:pPr>
              <w:snapToGrid w:val="0"/>
              <w:spacing w:line="240" w:lineRule="exact"/>
              <w:ind w:left="-46" w:leftChars="-22" w:right="-46" w:rightChars="-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评审项目</w:t>
            </w:r>
          </w:p>
        </w:tc>
        <w:tc>
          <w:tcPr>
            <w:tcW w:w="633" w:type="dxa"/>
            <w:vAlign w:val="center"/>
          </w:tcPr>
          <w:p>
            <w:pPr>
              <w:snapToGrid w:val="0"/>
              <w:spacing w:line="240" w:lineRule="exact"/>
              <w:ind w:left="-46" w:leftChars="-22" w:right="-46" w:rightChars="-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c>
          <w:tcPr>
            <w:tcW w:w="11377" w:type="dxa"/>
            <w:vAlign w:val="center"/>
          </w:tcPr>
          <w:p>
            <w:pPr>
              <w:snapToGrid w:val="0"/>
              <w:spacing w:line="240" w:lineRule="exact"/>
              <w:ind w:left="-46" w:leftChars="-22" w:right="-46" w:rightChars="-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3" w:type="dxa"/>
            <w:vAlign w:val="center"/>
          </w:tcPr>
          <w:p>
            <w:pPr>
              <w:tabs>
                <w:tab w:val="left" w:pos="360"/>
              </w:tabs>
              <w:snapToGri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w:t>
            </w:r>
          </w:p>
        </w:tc>
        <w:tc>
          <w:tcPr>
            <w:tcW w:w="1592" w:type="dxa"/>
            <w:vAlign w:val="center"/>
          </w:tcPr>
          <w:p>
            <w:pPr>
              <w:tabs>
                <w:tab w:val="left" w:pos="360"/>
              </w:tabs>
              <w:snapToGrid w:val="0"/>
              <w:spacing w:line="240" w:lineRule="exact"/>
              <w:ind w:right="-42" w:rightChars="-20"/>
              <w:rPr>
                <w:rFonts w:ascii="宋体" w:hAnsi="宋体" w:cs="宋体"/>
                <w:b/>
                <w:color w:val="auto"/>
                <w:kern w:val="0"/>
                <w:szCs w:val="21"/>
                <w:highlight w:val="none"/>
              </w:rPr>
            </w:pPr>
            <w:r>
              <w:rPr>
                <w:rFonts w:hint="eastAsia" w:ascii="宋体" w:hAnsi="宋体" w:cs="宋体"/>
                <w:b/>
                <w:color w:val="auto"/>
                <w:kern w:val="0"/>
                <w:szCs w:val="21"/>
                <w:highlight w:val="none"/>
              </w:rPr>
              <w:t>施工组织设计</w:t>
            </w:r>
          </w:p>
        </w:tc>
        <w:tc>
          <w:tcPr>
            <w:tcW w:w="633" w:type="dxa"/>
            <w:vAlign w:val="center"/>
          </w:tcPr>
          <w:p>
            <w:pPr>
              <w:tabs>
                <w:tab w:val="left" w:pos="360"/>
              </w:tabs>
              <w:snapToGri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10</w:t>
            </w:r>
          </w:p>
        </w:tc>
        <w:tc>
          <w:tcPr>
            <w:tcW w:w="11377" w:type="dxa"/>
            <w:vAlign w:val="center"/>
          </w:tcPr>
          <w:p>
            <w:pPr>
              <w:tabs>
                <w:tab w:val="left" w:pos="360"/>
              </w:tabs>
              <w:snapToGrid w:val="0"/>
              <w:spacing w:line="240" w:lineRule="exact"/>
              <w:jc w:val="center"/>
              <w:rPr>
                <w:rFonts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.1</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ascii="宋体" w:hAnsi="宋体" w:cs="Calibri"/>
                <w:color w:val="auto"/>
                <w:kern w:val="0"/>
                <w:szCs w:val="21"/>
                <w:highlight w:val="none"/>
              </w:rPr>
              <w:t>工程概况及总体施工部署</w:t>
            </w:r>
          </w:p>
        </w:tc>
        <w:tc>
          <w:tcPr>
            <w:tcW w:w="633" w:type="dxa"/>
            <w:vAlign w:val="center"/>
          </w:tcPr>
          <w:p>
            <w:pPr>
              <w:snapToGrid w:val="0"/>
              <w:spacing w:line="240" w:lineRule="exact"/>
              <w:ind w:left="-57" w:leftChars="-27"/>
              <w:jc w:val="center"/>
              <w:rPr>
                <w:rFonts w:ascii="宋体" w:hAnsi="宋体" w:cs="Calibri"/>
                <w:color w:val="auto"/>
                <w:szCs w:val="21"/>
                <w:highlight w:val="none"/>
              </w:rPr>
            </w:pPr>
            <w:r>
              <w:rPr>
                <w:rFonts w:hint="eastAsia" w:ascii="宋体" w:hAnsi="宋体" w:cs="Calibri"/>
                <w:color w:val="auto"/>
                <w:szCs w:val="21"/>
                <w:highlight w:val="none"/>
              </w:rPr>
              <w:t>2</w:t>
            </w:r>
          </w:p>
        </w:tc>
        <w:tc>
          <w:tcPr>
            <w:tcW w:w="11377" w:type="dxa"/>
            <w:vAlign w:val="center"/>
          </w:tcPr>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w:t>
            </w:r>
            <w:r>
              <w:rPr>
                <w:rFonts w:ascii="宋体" w:hAnsi="宋体" w:cs="Calibri"/>
                <w:color w:val="auto"/>
                <w:szCs w:val="21"/>
                <w:highlight w:val="none"/>
              </w:rPr>
              <w:t>优</w:t>
            </w:r>
            <w:r>
              <w:rPr>
                <w:rFonts w:hint="eastAsia" w:ascii="宋体" w:hAnsi="宋体" w:cs="Calibri"/>
                <w:color w:val="auto"/>
                <w:szCs w:val="21"/>
                <w:highlight w:val="none"/>
              </w:rPr>
              <w:t>】</w:t>
            </w:r>
            <w:r>
              <w:rPr>
                <w:rFonts w:ascii="宋体" w:hAnsi="宋体" w:cs="Calibri"/>
                <w:color w:val="auto"/>
                <w:szCs w:val="21"/>
                <w:highlight w:val="none"/>
              </w:rPr>
              <w:t>工程概况描述详细，总体施工部署完全科学可靠、完善，完全可行的，得</w:t>
            </w:r>
            <w:r>
              <w:rPr>
                <w:rFonts w:hint="eastAsia" w:ascii="宋体" w:hAnsi="宋体" w:cs="Calibri"/>
                <w:color w:val="auto"/>
                <w:szCs w:val="21"/>
                <w:highlight w:val="none"/>
              </w:rPr>
              <w:t>2</w:t>
            </w:r>
            <w:r>
              <w:rPr>
                <w:rFonts w:ascii="宋体" w:hAnsi="宋体" w:cs="Calibri"/>
                <w:color w:val="auto"/>
                <w:szCs w:val="21"/>
                <w:highlight w:val="none"/>
              </w:rPr>
              <w:t>分；</w:t>
            </w:r>
          </w:p>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【良】</w:t>
            </w:r>
            <w:r>
              <w:rPr>
                <w:rFonts w:ascii="宋体" w:hAnsi="宋体" w:cs="Calibri"/>
                <w:color w:val="auto"/>
                <w:szCs w:val="21"/>
                <w:highlight w:val="none"/>
              </w:rPr>
              <w:t>工程概况描述</w:t>
            </w:r>
            <w:r>
              <w:rPr>
                <w:rFonts w:hint="eastAsia" w:ascii="宋体" w:hAnsi="宋体" w:cs="Calibri"/>
                <w:color w:val="auto"/>
                <w:szCs w:val="21"/>
                <w:highlight w:val="none"/>
              </w:rPr>
              <w:t>比较详细，</w:t>
            </w:r>
            <w:r>
              <w:rPr>
                <w:rFonts w:ascii="宋体" w:hAnsi="宋体" w:cs="Calibri"/>
                <w:color w:val="auto"/>
                <w:szCs w:val="21"/>
                <w:highlight w:val="none"/>
              </w:rPr>
              <w:t>总体施工部署科学可靠、完善的，得</w:t>
            </w:r>
            <w:r>
              <w:rPr>
                <w:rFonts w:hint="eastAsia" w:ascii="宋体" w:hAnsi="宋体" w:cs="Calibri"/>
                <w:color w:val="auto"/>
                <w:szCs w:val="21"/>
                <w:highlight w:val="none"/>
              </w:rPr>
              <w:t>1</w:t>
            </w:r>
            <w:r>
              <w:rPr>
                <w:rFonts w:ascii="宋体" w:hAnsi="宋体" w:cs="Calibri"/>
                <w:color w:val="auto"/>
                <w:szCs w:val="21"/>
                <w:highlight w:val="none"/>
              </w:rPr>
              <w:t>分；</w:t>
            </w:r>
          </w:p>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【差】工程概况及总体施工部署未提供或概况及部署描述粗糙的</w:t>
            </w:r>
            <w:r>
              <w:rPr>
                <w:rFonts w:ascii="宋体" w:hAnsi="宋体" w:cs="Calibri"/>
                <w:color w:val="auto"/>
                <w:szCs w:val="21"/>
                <w:highlight w:val="none"/>
              </w:rPr>
              <w:t>，得</w:t>
            </w:r>
            <w:r>
              <w:rPr>
                <w:rFonts w:hint="eastAsia" w:ascii="宋体" w:hAnsi="宋体" w:cs="Calibri"/>
                <w:color w:val="auto"/>
                <w:szCs w:val="21"/>
                <w:highlight w:val="none"/>
              </w:rPr>
              <w:t>0</w:t>
            </w:r>
            <w:r>
              <w:rPr>
                <w:rFonts w:ascii="宋体" w:hAnsi="宋体"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.2</w:t>
            </w:r>
          </w:p>
        </w:tc>
        <w:tc>
          <w:tcPr>
            <w:tcW w:w="1592" w:type="dxa"/>
            <w:vAlign w:val="center"/>
          </w:tcPr>
          <w:p>
            <w:pPr>
              <w:adjustRightInd w:val="0"/>
              <w:snapToGrid w:val="0"/>
              <w:spacing w:line="240" w:lineRule="exact"/>
              <w:ind w:right="-42" w:rightChars="-20"/>
              <w:jc w:val="left"/>
              <w:rPr>
                <w:rFonts w:ascii="宋体" w:hAnsi="宋体" w:cs="Calibri"/>
                <w:color w:val="auto"/>
                <w:kern w:val="0"/>
                <w:szCs w:val="21"/>
                <w:highlight w:val="none"/>
              </w:rPr>
            </w:pPr>
            <w:r>
              <w:rPr>
                <w:rFonts w:hint="eastAsia" w:ascii="宋体" w:hAnsi="宋体" w:cs="Calibri"/>
                <w:color w:val="auto"/>
                <w:kern w:val="0"/>
                <w:szCs w:val="21"/>
                <w:highlight w:val="none"/>
              </w:rPr>
              <w:t>工程重点、难点分析及对策</w:t>
            </w:r>
          </w:p>
        </w:tc>
        <w:tc>
          <w:tcPr>
            <w:tcW w:w="633" w:type="dxa"/>
            <w:vAlign w:val="center"/>
          </w:tcPr>
          <w:p>
            <w:pPr>
              <w:snapToGrid w:val="0"/>
              <w:spacing w:line="240" w:lineRule="exact"/>
              <w:ind w:left="-57" w:leftChars="-27"/>
              <w:jc w:val="center"/>
              <w:rPr>
                <w:rFonts w:ascii="宋体" w:hAnsi="宋体" w:cs="Calibri"/>
                <w:color w:val="auto"/>
                <w:szCs w:val="21"/>
                <w:highlight w:val="none"/>
              </w:rPr>
            </w:pPr>
            <w:r>
              <w:rPr>
                <w:rFonts w:hint="eastAsia" w:ascii="宋体" w:hAnsi="宋体" w:cs="Calibri"/>
                <w:color w:val="auto"/>
                <w:szCs w:val="21"/>
                <w:highlight w:val="none"/>
              </w:rPr>
              <w:t>2</w:t>
            </w:r>
          </w:p>
        </w:tc>
        <w:tc>
          <w:tcPr>
            <w:tcW w:w="11377" w:type="dxa"/>
            <w:vAlign w:val="center"/>
          </w:tcPr>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【优】工程重点、难点分析透彻，对策得力可行的，得2分；</w:t>
            </w:r>
          </w:p>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【良】工程重点、难点分析较透彻，对策较得力可行的，得1分；</w:t>
            </w:r>
          </w:p>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【差】工程重点、难点分析及对策未提供或其分析不透彻、对策不得力可行的，得0分。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.3</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ascii="宋体" w:hAnsi="宋体" w:cs="Calibri"/>
                <w:color w:val="auto"/>
                <w:kern w:val="0"/>
                <w:szCs w:val="21"/>
                <w:highlight w:val="none"/>
              </w:rPr>
              <w:t>进度计划安排及工期保证措施</w:t>
            </w:r>
          </w:p>
        </w:tc>
        <w:tc>
          <w:tcPr>
            <w:tcW w:w="633" w:type="dxa"/>
            <w:vAlign w:val="center"/>
          </w:tcPr>
          <w:p>
            <w:pPr>
              <w:snapToGrid w:val="0"/>
              <w:spacing w:line="240" w:lineRule="exact"/>
              <w:ind w:left="-57" w:leftChars="-27"/>
              <w:jc w:val="center"/>
              <w:rPr>
                <w:rFonts w:ascii="宋体" w:hAnsi="宋体" w:cs="Calibri"/>
                <w:color w:val="auto"/>
                <w:szCs w:val="21"/>
                <w:highlight w:val="none"/>
              </w:rPr>
            </w:pPr>
            <w:r>
              <w:rPr>
                <w:rFonts w:hint="eastAsia" w:ascii="宋体" w:hAnsi="宋体" w:cs="Calibri"/>
                <w:color w:val="auto"/>
                <w:szCs w:val="21"/>
                <w:highlight w:val="none"/>
              </w:rPr>
              <w:t>1</w:t>
            </w:r>
          </w:p>
        </w:tc>
        <w:tc>
          <w:tcPr>
            <w:tcW w:w="11377" w:type="dxa"/>
            <w:vAlign w:val="center"/>
          </w:tcPr>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w:t>
            </w:r>
            <w:r>
              <w:rPr>
                <w:rFonts w:ascii="宋体" w:hAnsi="宋体" w:cs="Calibri"/>
                <w:color w:val="auto"/>
                <w:szCs w:val="21"/>
                <w:highlight w:val="none"/>
              </w:rPr>
              <w:t>优</w:t>
            </w:r>
            <w:r>
              <w:rPr>
                <w:rFonts w:hint="eastAsia" w:ascii="宋体" w:hAnsi="宋体" w:cs="Calibri"/>
                <w:color w:val="auto"/>
                <w:szCs w:val="21"/>
                <w:highlight w:val="none"/>
              </w:rPr>
              <w:t>】</w:t>
            </w:r>
            <w:r>
              <w:rPr>
                <w:rFonts w:hint="eastAsia" w:cs="Calibri"/>
                <w:color w:val="auto"/>
                <w:szCs w:val="21"/>
                <w:highlight w:val="none"/>
              </w:rPr>
              <w:t>结合项目实施需要，制定施工节点和进度计划</w:t>
            </w:r>
            <w:r>
              <w:rPr>
                <w:rFonts w:hint="eastAsia" w:ascii="宋体" w:hAnsi="宋体" w:cs="Calibri"/>
                <w:color w:val="auto"/>
                <w:szCs w:val="21"/>
                <w:highlight w:val="none"/>
              </w:rPr>
              <w:t>，工期保证</w:t>
            </w:r>
            <w:r>
              <w:rPr>
                <w:rFonts w:ascii="宋体" w:hAnsi="宋体" w:cs="Calibri"/>
                <w:color w:val="auto"/>
                <w:szCs w:val="21"/>
                <w:highlight w:val="none"/>
              </w:rPr>
              <w:t>措施科学可靠、完善，可行的，得</w:t>
            </w:r>
            <w:r>
              <w:rPr>
                <w:rFonts w:hint="eastAsia" w:ascii="宋体" w:hAnsi="宋体" w:cs="Calibri"/>
                <w:color w:val="auto"/>
                <w:szCs w:val="21"/>
                <w:highlight w:val="none"/>
              </w:rPr>
              <w:t>1</w:t>
            </w:r>
            <w:r>
              <w:rPr>
                <w:rFonts w:ascii="宋体" w:hAnsi="宋体" w:cs="Calibri"/>
                <w:color w:val="auto"/>
                <w:szCs w:val="21"/>
                <w:highlight w:val="none"/>
              </w:rPr>
              <w:t>分；</w:t>
            </w:r>
          </w:p>
          <w:p>
            <w:pPr>
              <w:snapToGrid w:val="0"/>
              <w:spacing w:line="240" w:lineRule="exact"/>
              <w:ind w:left="-57" w:leftChars="-27"/>
              <w:rPr>
                <w:rFonts w:ascii="宋体" w:hAnsi="宋体" w:cs="Calibri"/>
                <w:color w:val="auto"/>
                <w:szCs w:val="21"/>
                <w:highlight w:val="none"/>
              </w:rPr>
            </w:pPr>
            <w:r>
              <w:rPr>
                <w:rFonts w:ascii="宋体" w:hAnsi="宋体" w:cs="Calibri"/>
                <w:color w:val="auto"/>
                <w:szCs w:val="21"/>
                <w:highlight w:val="none"/>
              </w:rPr>
              <w:t>【</w:t>
            </w:r>
            <w:r>
              <w:rPr>
                <w:rFonts w:hint="eastAsia" w:ascii="宋体" w:hAnsi="宋体" w:cs="Calibri"/>
                <w:color w:val="auto"/>
                <w:szCs w:val="21"/>
                <w:highlight w:val="none"/>
              </w:rPr>
              <w:t>良</w:t>
            </w:r>
            <w:r>
              <w:rPr>
                <w:rFonts w:ascii="宋体" w:hAnsi="宋体" w:cs="Calibri"/>
                <w:color w:val="auto"/>
                <w:szCs w:val="21"/>
                <w:highlight w:val="none"/>
              </w:rPr>
              <w:t>】</w:t>
            </w:r>
            <w:r>
              <w:rPr>
                <w:rFonts w:hint="eastAsia" w:ascii="宋体" w:hAnsi="宋体" w:cs="Calibri"/>
                <w:color w:val="auto"/>
                <w:szCs w:val="21"/>
                <w:highlight w:val="none"/>
              </w:rPr>
              <w:t>施工计划安排比较合理，工期保证</w:t>
            </w:r>
            <w:r>
              <w:rPr>
                <w:rFonts w:ascii="宋体" w:hAnsi="宋体" w:cs="Calibri"/>
                <w:color w:val="auto"/>
                <w:szCs w:val="21"/>
                <w:highlight w:val="none"/>
              </w:rPr>
              <w:t>措施科学可靠、完善的，得</w:t>
            </w:r>
            <w:r>
              <w:rPr>
                <w:rFonts w:hint="eastAsia" w:ascii="宋体" w:hAnsi="宋体" w:cs="Calibri"/>
                <w:color w:val="auto"/>
                <w:szCs w:val="21"/>
                <w:highlight w:val="none"/>
              </w:rPr>
              <w:t>0.5</w:t>
            </w:r>
            <w:r>
              <w:rPr>
                <w:rFonts w:ascii="宋体" w:hAnsi="宋体" w:cs="Calibri"/>
                <w:color w:val="auto"/>
                <w:szCs w:val="21"/>
                <w:highlight w:val="none"/>
              </w:rPr>
              <w:t>分</w:t>
            </w:r>
            <w:r>
              <w:rPr>
                <w:rFonts w:hint="eastAsia" w:ascii="宋体" w:hAnsi="宋体" w:cs="Calibri"/>
                <w:color w:val="auto"/>
                <w:szCs w:val="21"/>
                <w:highlight w:val="none"/>
              </w:rPr>
              <w:t>；</w:t>
            </w:r>
          </w:p>
          <w:p>
            <w:pPr>
              <w:snapToGrid w:val="0"/>
              <w:spacing w:line="240" w:lineRule="exact"/>
              <w:ind w:left="-57" w:leftChars="-27"/>
              <w:rPr>
                <w:rFonts w:ascii="宋体" w:hAnsi="宋体" w:cs="Calibri"/>
                <w:color w:val="auto"/>
                <w:szCs w:val="21"/>
                <w:highlight w:val="none"/>
              </w:rPr>
            </w:pPr>
            <w:r>
              <w:rPr>
                <w:rFonts w:ascii="宋体" w:hAnsi="宋体" w:cs="Calibri"/>
                <w:color w:val="auto"/>
                <w:szCs w:val="21"/>
                <w:highlight w:val="none"/>
              </w:rPr>
              <w:t>【差】</w:t>
            </w:r>
            <w:r>
              <w:rPr>
                <w:rFonts w:hint="eastAsia" w:ascii="宋体" w:hAnsi="宋体" w:cs="Calibri"/>
                <w:color w:val="auto"/>
                <w:szCs w:val="21"/>
                <w:highlight w:val="none"/>
              </w:rPr>
              <w:t>进度计划和工期保证措施不完善或没有提供相关计划和</w:t>
            </w:r>
            <w:r>
              <w:rPr>
                <w:rFonts w:ascii="宋体" w:hAnsi="宋体" w:cs="Calibri"/>
                <w:color w:val="auto"/>
                <w:szCs w:val="21"/>
                <w:highlight w:val="none"/>
              </w:rPr>
              <w:t>措施的，得</w:t>
            </w:r>
            <w:r>
              <w:rPr>
                <w:rFonts w:hint="eastAsia" w:ascii="宋体" w:hAnsi="宋体" w:cs="Calibri"/>
                <w:color w:val="auto"/>
                <w:szCs w:val="21"/>
                <w:highlight w:val="none"/>
              </w:rPr>
              <w:t>0</w:t>
            </w:r>
            <w:r>
              <w:rPr>
                <w:rFonts w:ascii="宋体" w:hAnsi="宋体"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w:t>
            </w:r>
            <w:r>
              <w:rPr>
                <w:rFonts w:hint="eastAsia" w:ascii="宋体" w:hAnsi="宋体" w:cs="宋体"/>
                <w:bCs/>
                <w:color w:val="auto"/>
                <w:kern w:val="0"/>
                <w:szCs w:val="21"/>
                <w:highlight w:val="none"/>
              </w:rPr>
              <w:t>4</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ascii="宋体" w:hAnsi="宋体" w:cs="Calibri"/>
                <w:color w:val="auto"/>
                <w:kern w:val="0"/>
                <w:szCs w:val="21"/>
                <w:highlight w:val="none"/>
              </w:rPr>
              <w:t>质量保证措施</w:t>
            </w:r>
          </w:p>
        </w:tc>
        <w:tc>
          <w:tcPr>
            <w:tcW w:w="633" w:type="dxa"/>
            <w:vAlign w:val="center"/>
          </w:tcPr>
          <w:p>
            <w:pPr>
              <w:snapToGrid w:val="0"/>
              <w:spacing w:line="240" w:lineRule="exact"/>
              <w:ind w:left="-57" w:leftChars="-27"/>
              <w:jc w:val="center"/>
              <w:rPr>
                <w:rFonts w:ascii="宋体" w:hAnsi="宋体" w:cs="Calibri"/>
                <w:color w:val="auto"/>
                <w:szCs w:val="21"/>
                <w:highlight w:val="none"/>
              </w:rPr>
            </w:pPr>
            <w:r>
              <w:rPr>
                <w:rFonts w:hint="eastAsia" w:ascii="宋体" w:hAnsi="宋体" w:cs="Calibri"/>
                <w:color w:val="auto"/>
                <w:szCs w:val="21"/>
                <w:highlight w:val="none"/>
              </w:rPr>
              <w:t>2</w:t>
            </w:r>
          </w:p>
        </w:tc>
        <w:tc>
          <w:tcPr>
            <w:tcW w:w="11377" w:type="dxa"/>
            <w:vAlign w:val="center"/>
          </w:tcPr>
          <w:p>
            <w:pPr>
              <w:snapToGrid w:val="0"/>
              <w:spacing w:line="240" w:lineRule="exact"/>
              <w:ind w:left="-57" w:leftChars="-27"/>
              <w:rPr>
                <w:rFonts w:ascii="宋体" w:hAnsi="宋体" w:cs="Calibri"/>
                <w:color w:val="auto"/>
                <w:szCs w:val="21"/>
                <w:highlight w:val="none"/>
              </w:rPr>
            </w:pPr>
            <w:r>
              <w:rPr>
                <w:rFonts w:ascii="宋体" w:hAnsi="宋体" w:cs="Calibri"/>
                <w:color w:val="auto"/>
                <w:szCs w:val="21"/>
                <w:highlight w:val="none"/>
              </w:rPr>
              <w:t>【优】</w:t>
            </w:r>
            <w:r>
              <w:rPr>
                <w:rFonts w:hint="eastAsia" w:ascii="宋体" w:hAnsi="宋体" w:cs="Calibri"/>
                <w:color w:val="auto"/>
                <w:szCs w:val="21"/>
                <w:highlight w:val="none"/>
              </w:rPr>
              <w:t>质量保证</w:t>
            </w:r>
            <w:r>
              <w:rPr>
                <w:rFonts w:ascii="宋体" w:hAnsi="宋体" w:cs="Calibri"/>
                <w:color w:val="auto"/>
                <w:szCs w:val="21"/>
                <w:highlight w:val="none"/>
              </w:rPr>
              <w:t>措施科学可靠、完善，可行的，得</w:t>
            </w:r>
            <w:r>
              <w:rPr>
                <w:rFonts w:hint="eastAsia" w:ascii="宋体" w:hAnsi="宋体" w:cs="Calibri"/>
                <w:color w:val="auto"/>
                <w:szCs w:val="21"/>
                <w:highlight w:val="none"/>
              </w:rPr>
              <w:t>2</w:t>
            </w:r>
            <w:r>
              <w:rPr>
                <w:rFonts w:ascii="宋体" w:hAnsi="宋体" w:cs="Calibri"/>
                <w:color w:val="auto"/>
                <w:szCs w:val="21"/>
                <w:highlight w:val="none"/>
              </w:rPr>
              <w:t>分；</w:t>
            </w:r>
          </w:p>
          <w:p>
            <w:pPr>
              <w:snapToGrid w:val="0"/>
              <w:spacing w:line="240" w:lineRule="exact"/>
              <w:ind w:left="-57" w:leftChars="-27"/>
              <w:rPr>
                <w:rFonts w:ascii="宋体" w:hAnsi="宋体" w:cs="Calibri"/>
                <w:color w:val="auto"/>
                <w:szCs w:val="21"/>
                <w:highlight w:val="none"/>
              </w:rPr>
            </w:pPr>
            <w:r>
              <w:rPr>
                <w:rFonts w:ascii="宋体" w:hAnsi="宋体" w:cs="Calibri"/>
                <w:color w:val="auto"/>
                <w:szCs w:val="21"/>
                <w:highlight w:val="none"/>
              </w:rPr>
              <w:t>【</w:t>
            </w:r>
            <w:r>
              <w:rPr>
                <w:rFonts w:hint="eastAsia" w:ascii="宋体" w:hAnsi="宋体" w:cs="Calibri"/>
                <w:color w:val="auto"/>
                <w:szCs w:val="21"/>
                <w:highlight w:val="none"/>
              </w:rPr>
              <w:t>良</w:t>
            </w:r>
            <w:r>
              <w:rPr>
                <w:rFonts w:ascii="宋体" w:hAnsi="宋体" w:cs="Calibri"/>
                <w:color w:val="auto"/>
                <w:szCs w:val="21"/>
                <w:highlight w:val="none"/>
              </w:rPr>
              <w:t>】</w:t>
            </w:r>
            <w:r>
              <w:rPr>
                <w:rFonts w:hint="eastAsia" w:ascii="宋体" w:hAnsi="宋体" w:cs="Calibri"/>
                <w:color w:val="auto"/>
                <w:szCs w:val="21"/>
                <w:highlight w:val="none"/>
              </w:rPr>
              <w:t>质量保证</w:t>
            </w:r>
            <w:r>
              <w:rPr>
                <w:rFonts w:ascii="宋体" w:hAnsi="宋体" w:cs="Calibri"/>
                <w:color w:val="auto"/>
                <w:szCs w:val="21"/>
                <w:highlight w:val="none"/>
              </w:rPr>
              <w:t>措施</w:t>
            </w:r>
            <w:r>
              <w:rPr>
                <w:rFonts w:hint="eastAsia" w:ascii="宋体" w:hAnsi="宋体" w:cs="Calibri"/>
                <w:color w:val="auto"/>
                <w:szCs w:val="21"/>
                <w:highlight w:val="none"/>
              </w:rPr>
              <w:t>比较</w:t>
            </w:r>
            <w:r>
              <w:rPr>
                <w:rFonts w:ascii="宋体" w:hAnsi="宋体" w:cs="Calibri"/>
                <w:color w:val="auto"/>
                <w:szCs w:val="21"/>
                <w:highlight w:val="none"/>
              </w:rPr>
              <w:t>可靠、</w:t>
            </w:r>
            <w:r>
              <w:rPr>
                <w:rFonts w:hint="eastAsia" w:ascii="宋体" w:hAnsi="宋体" w:cs="Calibri"/>
                <w:color w:val="auto"/>
                <w:szCs w:val="21"/>
                <w:highlight w:val="none"/>
              </w:rPr>
              <w:t>比较</w:t>
            </w:r>
            <w:r>
              <w:rPr>
                <w:rFonts w:ascii="宋体" w:hAnsi="宋体" w:cs="Calibri"/>
                <w:color w:val="auto"/>
                <w:szCs w:val="21"/>
                <w:highlight w:val="none"/>
              </w:rPr>
              <w:t>完善的，得</w:t>
            </w:r>
            <w:r>
              <w:rPr>
                <w:rFonts w:hint="eastAsia" w:ascii="宋体" w:hAnsi="宋体" w:cs="Calibri"/>
                <w:color w:val="auto"/>
                <w:szCs w:val="21"/>
                <w:highlight w:val="none"/>
              </w:rPr>
              <w:t>1</w:t>
            </w:r>
            <w:r>
              <w:rPr>
                <w:rFonts w:ascii="宋体" w:hAnsi="宋体" w:cs="Calibri"/>
                <w:color w:val="auto"/>
                <w:szCs w:val="21"/>
                <w:highlight w:val="none"/>
              </w:rPr>
              <w:t>分；</w:t>
            </w:r>
          </w:p>
          <w:p>
            <w:pPr>
              <w:snapToGrid w:val="0"/>
              <w:spacing w:line="240" w:lineRule="exact"/>
              <w:ind w:left="-57" w:leftChars="-27"/>
              <w:rPr>
                <w:rFonts w:ascii="宋体" w:hAnsi="宋体" w:cs="Calibri"/>
                <w:color w:val="auto"/>
                <w:szCs w:val="21"/>
                <w:highlight w:val="none"/>
              </w:rPr>
            </w:pPr>
            <w:r>
              <w:rPr>
                <w:rFonts w:ascii="宋体" w:hAnsi="宋体" w:cs="Calibri"/>
                <w:color w:val="auto"/>
                <w:szCs w:val="21"/>
                <w:highlight w:val="none"/>
              </w:rPr>
              <w:t>【差】</w:t>
            </w:r>
            <w:r>
              <w:rPr>
                <w:rFonts w:hint="eastAsia" w:ascii="宋体" w:hAnsi="宋体" w:cs="Calibri"/>
                <w:color w:val="auto"/>
                <w:szCs w:val="21"/>
                <w:highlight w:val="none"/>
              </w:rPr>
              <w:t>质量保证措施不不完善或没有提供相关</w:t>
            </w:r>
            <w:r>
              <w:rPr>
                <w:rFonts w:ascii="宋体" w:hAnsi="宋体" w:cs="Calibri"/>
                <w:color w:val="auto"/>
                <w:szCs w:val="21"/>
                <w:highlight w:val="none"/>
              </w:rPr>
              <w:t>措施的，得</w:t>
            </w:r>
            <w:r>
              <w:rPr>
                <w:rFonts w:hint="eastAsia" w:ascii="宋体" w:hAnsi="宋体" w:cs="Calibri"/>
                <w:color w:val="auto"/>
                <w:szCs w:val="21"/>
                <w:highlight w:val="none"/>
              </w:rPr>
              <w:t>0</w:t>
            </w:r>
            <w:r>
              <w:rPr>
                <w:rFonts w:ascii="宋体" w:hAnsi="宋体" w:cs="Calibri"/>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w:t>
            </w:r>
            <w:r>
              <w:rPr>
                <w:rFonts w:hint="eastAsia" w:ascii="宋体" w:hAnsi="宋体" w:cs="宋体"/>
                <w:bCs/>
                <w:color w:val="auto"/>
                <w:kern w:val="0"/>
                <w:szCs w:val="21"/>
                <w:highlight w:val="none"/>
              </w:rPr>
              <w:t>5</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ascii="宋体" w:hAnsi="宋体" w:cs="Calibri"/>
                <w:color w:val="auto"/>
                <w:kern w:val="0"/>
                <w:szCs w:val="21"/>
                <w:highlight w:val="none"/>
              </w:rPr>
              <w:t>安全文明施工措施</w:t>
            </w:r>
          </w:p>
        </w:tc>
        <w:tc>
          <w:tcPr>
            <w:tcW w:w="633" w:type="dxa"/>
            <w:vAlign w:val="center"/>
          </w:tcPr>
          <w:p>
            <w:pPr>
              <w:snapToGrid w:val="0"/>
              <w:spacing w:line="240" w:lineRule="exact"/>
              <w:ind w:left="-57" w:leftChars="-27"/>
              <w:jc w:val="center"/>
              <w:rPr>
                <w:rFonts w:ascii="宋体" w:hAnsi="宋体" w:cs="Calibri"/>
                <w:color w:val="auto"/>
                <w:szCs w:val="21"/>
                <w:highlight w:val="none"/>
              </w:rPr>
            </w:pPr>
            <w:r>
              <w:rPr>
                <w:rFonts w:hint="eastAsia" w:ascii="宋体" w:hAnsi="宋体" w:cs="Calibri"/>
                <w:color w:val="auto"/>
                <w:szCs w:val="21"/>
                <w:highlight w:val="none"/>
              </w:rPr>
              <w:t>2</w:t>
            </w:r>
          </w:p>
        </w:tc>
        <w:tc>
          <w:tcPr>
            <w:tcW w:w="11377" w:type="dxa"/>
            <w:vAlign w:val="center"/>
          </w:tcPr>
          <w:p>
            <w:pPr>
              <w:snapToGrid w:val="0"/>
              <w:spacing w:line="240" w:lineRule="exact"/>
              <w:ind w:left="-57" w:leftChars="-27"/>
              <w:rPr>
                <w:rFonts w:ascii="宋体" w:hAnsi="宋体" w:cs="Calibri"/>
                <w:color w:val="auto"/>
                <w:szCs w:val="21"/>
                <w:highlight w:val="none"/>
              </w:rPr>
            </w:pPr>
            <w:r>
              <w:rPr>
                <w:rFonts w:ascii="宋体" w:hAnsi="宋体" w:cs="Calibri"/>
                <w:color w:val="auto"/>
                <w:szCs w:val="21"/>
                <w:highlight w:val="none"/>
              </w:rPr>
              <w:t>【优】</w:t>
            </w:r>
            <w:r>
              <w:rPr>
                <w:rFonts w:hint="eastAsia" w:ascii="宋体" w:hAnsi="宋体" w:cs="Calibri"/>
                <w:color w:val="auto"/>
                <w:szCs w:val="21"/>
                <w:highlight w:val="none"/>
              </w:rPr>
              <w:t>安全文明施工</w:t>
            </w:r>
            <w:r>
              <w:rPr>
                <w:rFonts w:ascii="宋体" w:hAnsi="宋体" w:cs="Calibri"/>
                <w:color w:val="auto"/>
                <w:szCs w:val="21"/>
                <w:highlight w:val="none"/>
              </w:rPr>
              <w:t>措施科学可靠、完善，可行的，得</w:t>
            </w:r>
            <w:r>
              <w:rPr>
                <w:rFonts w:hint="eastAsia" w:ascii="宋体" w:hAnsi="宋体" w:cs="Calibri"/>
                <w:color w:val="auto"/>
                <w:szCs w:val="21"/>
                <w:highlight w:val="none"/>
              </w:rPr>
              <w:t>2</w:t>
            </w:r>
            <w:r>
              <w:rPr>
                <w:rFonts w:ascii="宋体" w:hAnsi="宋体" w:cs="Calibri"/>
                <w:color w:val="auto"/>
                <w:szCs w:val="21"/>
                <w:highlight w:val="none"/>
              </w:rPr>
              <w:t>分；</w:t>
            </w:r>
          </w:p>
          <w:p>
            <w:pPr>
              <w:snapToGrid w:val="0"/>
              <w:spacing w:line="240" w:lineRule="exact"/>
              <w:ind w:left="-57" w:leftChars="-27"/>
              <w:rPr>
                <w:rFonts w:ascii="宋体" w:hAnsi="宋体" w:cs="Calibri"/>
                <w:color w:val="auto"/>
                <w:szCs w:val="21"/>
                <w:highlight w:val="none"/>
              </w:rPr>
            </w:pPr>
            <w:r>
              <w:rPr>
                <w:rFonts w:ascii="宋体" w:hAnsi="宋体" w:cs="Calibri"/>
                <w:color w:val="auto"/>
                <w:szCs w:val="21"/>
                <w:highlight w:val="none"/>
              </w:rPr>
              <w:t>【</w:t>
            </w:r>
            <w:r>
              <w:rPr>
                <w:rFonts w:hint="eastAsia" w:ascii="宋体" w:hAnsi="宋体" w:cs="Calibri"/>
                <w:color w:val="auto"/>
                <w:szCs w:val="21"/>
                <w:highlight w:val="none"/>
              </w:rPr>
              <w:t>良</w:t>
            </w:r>
            <w:r>
              <w:rPr>
                <w:rFonts w:ascii="宋体" w:hAnsi="宋体" w:cs="Calibri"/>
                <w:color w:val="auto"/>
                <w:szCs w:val="21"/>
                <w:highlight w:val="none"/>
              </w:rPr>
              <w:t>】</w:t>
            </w:r>
            <w:r>
              <w:rPr>
                <w:rFonts w:hint="eastAsia" w:ascii="宋体" w:hAnsi="宋体" w:cs="Calibri"/>
                <w:color w:val="auto"/>
                <w:szCs w:val="21"/>
                <w:highlight w:val="none"/>
              </w:rPr>
              <w:t>安全文明施工</w:t>
            </w:r>
            <w:r>
              <w:rPr>
                <w:rFonts w:ascii="宋体" w:hAnsi="宋体" w:cs="Calibri"/>
                <w:color w:val="auto"/>
                <w:szCs w:val="21"/>
                <w:highlight w:val="none"/>
              </w:rPr>
              <w:t>措施</w:t>
            </w:r>
            <w:r>
              <w:rPr>
                <w:rFonts w:hint="eastAsia" w:ascii="宋体" w:hAnsi="宋体" w:cs="Calibri"/>
                <w:color w:val="auto"/>
                <w:szCs w:val="21"/>
                <w:highlight w:val="none"/>
              </w:rPr>
              <w:t>比较</w:t>
            </w:r>
            <w:r>
              <w:rPr>
                <w:rFonts w:ascii="宋体" w:hAnsi="宋体" w:cs="Calibri"/>
                <w:color w:val="auto"/>
                <w:szCs w:val="21"/>
                <w:highlight w:val="none"/>
              </w:rPr>
              <w:t>可靠、</w:t>
            </w:r>
            <w:r>
              <w:rPr>
                <w:rFonts w:hint="eastAsia" w:ascii="宋体" w:hAnsi="宋体" w:cs="Calibri"/>
                <w:color w:val="auto"/>
                <w:szCs w:val="21"/>
                <w:highlight w:val="none"/>
              </w:rPr>
              <w:t>比较</w:t>
            </w:r>
            <w:r>
              <w:rPr>
                <w:rFonts w:ascii="宋体" w:hAnsi="宋体" w:cs="Calibri"/>
                <w:color w:val="auto"/>
                <w:szCs w:val="21"/>
                <w:highlight w:val="none"/>
              </w:rPr>
              <w:t>完善的，得</w:t>
            </w:r>
            <w:r>
              <w:rPr>
                <w:rFonts w:hint="eastAsia" w:ascii="宋体" w:hAnsi="宋体" w:cs="Calibri"/>
                <w:color w:val="auto"/>
                <w:szCs w:val="21"/>
                <w:highlight w:val="none"/>
              </w:rPr>
              <w:t>1</w:t>
            </w:r>
            <w:r>
              <w:rPr>
                <w:rFonts w:ascii="宋体" w:hAnsi="宋体" w:cs="Calibri"/>
                <w:color w:val="auto"/>
                <w:szCs w:val="21"/>
                <w:highlight w:val="none"/>
              </w:rPr>
              <w:t>分；</w:t>
            </w:r>
          </w:p>
          <w:p>
            <w:pPr>
              <w:snapToGrid w:val="0"/>
              <w:spacing w:line="240" w:lineRule="exact"/>
              <w:ind w:left="-57" w:leftChars="-27"/>
              <w:rPr>
                <w:rFonts w:ascii="宋体" w:hAnsi="宋体" w:cs="Calibri"/>
                <w:color w:val="auto"/>
                <w:szCs w:val="21"/>
                <w:highlight w:val="none"/>
              </w:rPr>
            </w:pPr>
            <w:r>
              <w:rPr>
                <w:rFonts w:ascii="宋体" w:hAnsi="宋体" w:cs="Calibri"/>
                <w:color w:val="auto"/>
                <w:szCs w:val="21"/>
                <w:highlight w:val="none"/>
              </w:rPr>
              <w:t>【差】</w:t>
            </w:r>
            <w:r>
              <w:rPr>
                <w:rFonts w:hint="eastAsia" w:ascii="宋体" w:hAnsi="宋体" w:cs="Calibri"/>
                <w:color w:val="auto"/>
                <w:szCs w:val="21"/>
                <w:highlight w:val="none"/>
              </w:rPr>
              <w:t>安全文明施工措施不不完善或没有提供相关措施的，得0分。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ascii="宋体" w:hAnsi="宋体" w:cs="宋体"/>
                <w:bCs/>
                <w:color w:val="auto"/>
                <w:kern w:val="0"/>
                <w:szCs w:val="21"/>
                <w:highlight w:val="none"/>
              </w:rPr>
              <w:t>.</w:t>
            </w:r>
            <w:r>
              <w:rPr>
                <w:rFonts w:hint="eastAsia" w:ascii="宋体" w:hAnsi="宋体" w:cs="宋体"/>
                <w:bCs/>
                <w:color w:val="auto"/>
                <w:kern w:val="0"/>
                <w:szCs w:val="21"/>
                <w:highlight w:val="none"/>
              </w:rPr>
              <w:t>6</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hint="eastAsia"/>
                <w:color w:val="auto"/>
                <w:highlight w:val="none"/>
              </w:rPr>
              <w:t>售后服务及</w:t>
            </w:r>
            <w:r>
              <w:rPr>
                <w:rFonts w:hint="eastAsia" w:ascii="宋体" w:hAnsi="宋体" w:cs="Calibri"/>
                <w:color w:val="auto"/>
                <w:kern w:val="0"/>
                <w:szCs w:val="21"/>
                <w:highlight w:val="none"/>
              </w:rPr>
              <w:t>服务响应</w:t>
            </w:r>
          </w:p>
          <w:p>
            <w:pPr>
              <w:pStyle w:val="2"/>
              <w:rPr>
                <w:color w:val="auto"/>
                <w:highlight w:val="none"/>
              </w:rPr>
            </w:pPr>
          </w:p>
        </w:tc>
        <w:tc>
          <w:tcPr>
            <w:tcW w:w="633" w:type="dxa"/>
            <w:vAlign w:val="center"/>
          </w:tcPr>
          <w:p>
            <w:pPr>
              <w:snapToGrid w:val="0"/>
              <w:spacing w:line="240" w:lineRule="exact"/>
              <w:ind w:left="-57" w:leftChars="-27"/>
              <w:jc w:val="center"/>
              <w:rPr>
                <w:rFonts w:ascii="宋体" w:hAnsi="宋体" w:cs="Calibri"/>
                <w:color w:val="auto"/>
                <w:szCs w:val="21"/>
                <w:highlight w:val="none"/>
              </w:rPr>
            </w:pPr>
            <w:r>
              <w:rPr>
                <w:rFonts w:hint="eastAsia" w:ascii="宋体" w:hAnsi="宋体" w:cs="Calibri"/>
                <w:color w:val="auto"/>
                <w:szCs w:val="21"/>
                <w:highlight w:val="none"/>
              </w:rPr>
              <w:t>1</w:t>
            </w:r>
          </w:p>
        </w:tc>
        <w:tc>
          <w:tcPr>
            <w:tcW w:w="11377" w:type="dxa"/>
            <w:vAlign w:val="center"/>
          </w:tcPr>
          <w:p>
            <w:pPr>
              <w:pStyle w:val="2"/>
              <w:rPr>
                <w:color w:val="auto"/>
                <w:highlight w:val="none"/>
              </w:rPr>
            </w:pPr>
            <w:r>
              <w:rPr>
                <w:rFonts w:hint="eastAsia"/>
                <w:color w:val="auto"/>
                <w:highlight w:val="none"/>
              </w:rPr>
              <w:t>【优】售后服务方案内容完善、服务响应及时可行，得1分；</w:t>
            </w:r>
          </w:p>
          <w:p>
            <w:pPr>
              <w:pStyle w:val="2"/>
              <w:rPr>
                <w:color w:val="auto"/>
                <w:highlight w:val="none"/>
              </w:rPr>
            </w:pPr>
            <w:r>
              <w:rPr>
                <w:rFonts w:hint="eastAsia"/>
                <w:color w:val="auto"/>
                <w:highlight w:val="none"/>
              </w:rPr>
              <w:t>【良】售后服务方案内容较完善、服务响应较及时可行，得0.5分；</w:t>
            </w:r>
          </w:p>
          <w:p>
            <w:pPr>
              <w:pStyle w:val="2"/>
              <w:rPr>
                <w:color w:val="auto"/>
                <w:highlight w:val="none"/>
              </w:rPr>
            </w:pPr>
            <w:r>
              <w:rPr>
                <w:rFonts w:hint="eastAsia"/>
                <w:color w:val="auto"/>
                <w:highlight w:val="none"/>
              </w:rPr>
              <w:t>【差】售后服务及服务响应不完善、不及时可行或未提供，得0分。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603" w:type="dxa"/>
            <w:vAlign w:val="center"/>
          </w:tcPr>
          <w:p>
            <w:pPr>
              <w:tabs>
                <w:tab w:val="left" w:pos="360"/>
              </w:tabs>
              <w:snapToGri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w:t>
            </w:r>
          </w:p>
        </w:tc>
        <w:tc>
          <w:tcPr>
            <w:tcW w:w="1592" w:type="dxa"/>
            <w:vAlign w:val="center"/>
          </w:tcPr>
          <w:p>
            <w:pPr>
              <w:adjustRightInd w:val="0"/>
              <w:snapToGrid w:val="0"/>
              <w:spacing w:line="240" w:lineRule="exact"/>
              <w:ind w:left="-53" w:leftChars="-25" w:right="-42" w:rightChars="-20"/>
              <w:jc w:val="left"/>
              <w:rPr>
                <w:rFonts w:ascii="宋体" w:hAnsi="宋体" w:cs="Calibri"/>
                <w:b/>
                <w:color w:val="auto"/>
                <w:kern w:val="0"/>
                <w:szCs w:val="21"/>
                <w:highlight w:val="none"/>
              </w:rPr>
            </w:pPr>
            <w:r>
              <w:rPr>
                <w:rFonts w:hint="eastAsia" w:ascii="宋体" w:hAnsi="宋体" w:cs="Calibri"/>
                <w:b/>
                <w:color w:val="auto"/>
                <w:kern w:val="0"/>
                <w:szCs w:val="21"/>
                <w:highlight w:val="none"/>
              </w:rPr>
              <w:t>项目人员配备</w:t>
            </w:r>
          </w:p>
        </w:tc>
        <w:tc>
          <w:tcPr>
            <w:tcW w:w="633" w:type="dxa"/>
            <w:vAlign w:val="center"/>
          </w:tcPr>
          <w:p>
            <w:pPr>
              <w:snapToGrid w:val="0"/>
              <w:spacing w:line="240" w:lineRule="exact"/>
              <w:ind w:left="-57" w:leftChars="-27"/>
              <w:jc w:val="center"/>
              <w:rPr>
                <w:rFonts w:ascii="宋体" w:hAnsi="宋体" w:cs="Calibri"/>
                <w:b/>
                <w:color w:val="auto"/>
                <w:szCs w:val="21"/>
                <w:highlight w:val="none"/>
              </w:rPr>
            </w:pPr>
            <w:r>
              <w:rPr>
                <w:rFonts w:hint="eastAsia" w:ascii="宋体" w:hAnsi="宋体" w:cs="Calibri"/>
                <w:b/>
                <w:color w:val="auto"/>
                <w:szCs w:val="21"/>
                <w:highlight w:val="none"/>
              </w:rPr>
              <w:t>10</w:t>
            </w:r>
          </w:p>
        </w:tc>
        <w:tc>
          <w:tcPr>
            <w:tcW w:w="11377" w:type="dxa"/>
            <w:vAlign w:val="center"/>
          </w:tcPr>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1、项目负责人，具备机电工程专业一级建造师注册证书的得4分，其它不得分；</w:t>
            </w:r>
          </w:p>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2、技术负责人，具备机电工程专业一级建造师注册证书的得4分；具备机电工程专业二级建造师注册证书的得2分；</w:t>
            </w:r>
          </w:p>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3、技术负责人具备安全生产考核合格证（B类）（提供证件复印件或能够提供广东省建筑施工企业管理人员安全生产考核信息系统安全生产管理人员证书信息的打印页）的得1分，没有不得分。</w:t>
            </w:r>
          </w:p>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4、安全员，具有安全生产考核合格证（C类）（提供证件复印件或能够提供广东省建筑施工企业管理人员安全生产考核信息系统安全生产管理人员证书信息的打印页）的，每人0.5分，最高得1分。</w:t>
            </w:r>
          </w:p>
          <w:p>
            <w:pPr>
              <w:snapToGrid w:val="0"/>
              <w:spacing w:line="240" w:lineRule="exact"/>
              <w:ind w:left="-57" w:leftChars="-27"/>
              <w:rPr>
                <w:rFonts w:ascii="宋体" w:hAnsi="宋体" w:cs="Calibri"/>
                <w:color w:val="auto"/>
                <w:szCs w:val="21"/>
                <w:highlight w:val="none"/>
              </w:rPr>
            </w:pPr>
            <w:r>
              <w:rPr>
                <w:rFonts w:hint="eastAsia" w:ascii="宋体" w:hAnsi="宋体" w:cs="Calibri"/>
                <w:color w:val="auto"/>
                <w:szCs w:val="21"/>
                <w:highlight w:val="none"/>
              </w:rPr>
              <w:t>注：1.拟派项目人员需提供相关证明文件复印件并加盖公章，同时提供2019年10月至2019年12月有效社保证明复印件并加盖投标人公章，否则计0分。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603" w:type="dxa"/>
            <w:vAlign w:val="center"/>
          </w:tcPr>
          <w:p>
            <w:pPr>
              <w:tabs>
                <w:tab w:val="left" w:pos="360"/>
              </w:tabs>
              <w:snapToGri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592" w:type="dxa"/>
            <w:vAlign w:val="center"/>
          </w:tcPr>
          <w:p>
            <w:pPr>
              <w:adjustRightInd w:val="0"/>
              <w:snapToGrid w:val="0"/>
              <w:spacing w:line="240" w:lineRule="exact"/>
              <w:ind w:left="-53" w:leftChars="-25" w:right="-42" w:rightChars="-20"/>
              <w:jc w:val="left"/>
              <w:rPr>
                <w:rFonts w:ascii="宋体" w:hAnsi="宋体" w:cs="Calibri"/>
                <w:b/>
                <w:color w:val="auto"/>
                <w:kern w:val="0"/>
                <w:szCs w:val="21"/>
                <w:highlight w:val="none"/>
              </w:rPr>
            </w:pPr>
            <w:r>
              <w:rPr>
                <w:rFonts w:hint="eastAsia" w:ascii="宋体" w:hAnsi="宋体" w:cs="Calibri"/>
                <w:b/>
                <w:color w:val="auto"/>
                <w:kern w:val="0"/>
                <w:szCs w:val="21"/>
                <w:highlight w:val="none"/>
              </w:rPr>
              <w:t>施工企业实力</w:t>
            </w:r>
          </w:p>
        </w:tc>
        <w:tc>
          <w:tcPr>
            <w:tcW w:w="633" w:type="dxa"/>
            <w:vAlign w:val="center"/>
          </w:tcPr>
          <w:p>
            <w:pPr>
              <w:widowControl/>
              <w:adjustRightInd w:val="0"/>
              <w:snapToGri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40</w:t>
            </w:r>
          </w:p>
        </w:tc>
        <w:tc>
          <w:tcPr>
            <w:tcW w:w="11377" w:type="dxa"/>
            <w:vAlign w:val="center"/>
          </w:tcPr>
          <w:p>
            <w:pPr>
              <w:tabs>
                <w:tab w:val="left" w:pos="360"/>
              </w:tabs>
              <w:snapToGrid w:val="0"/>
              <w:spacing w:line="240" w:lineRule="exact"/>
              <w:jc w:val="left"/>
              <w:rPr>
                <w:rFonts w:ascii="宋体" w:hAnsi="宋体" w:cs="宋体"/>
                <w:b/>
                <w:color w:val="auto"/>
                <w:spacing w:val="-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ascii="宋体" w:hAnsi="宋体" w:cs="宋体"/>
                <w:bCs/>
                <w:color w:val="auto"/>
                <w:kern w:val="0"/>
                <w:szCs w:val="21"/>
                <w:highlight w:val="none"/>
              </w:rPr>
              <w:t>.1</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hint="eastAsia" w:ascii="宋体" w:hAnsi="宋体" w:cs="Calibri"/>
                <w:color w:val="auto"/>
                <w:kern w:val="0"/>
                <w:szCs w:val="21"/>
                <w:highlight w:val="none"/>
              </w:rPr>
              <w:t>企业资质</w:t>
            </w:r>
          </w:p>
        </w:tc>
        <w:tc>
          <w:tcPr>
            <w:tcW w:w="633" w:type="dxa"/>
            <w:vAlign w:val="center"/>
          </w:tcPr>
          <w:p>
            <w:pPr>
              <w:widowControl/>
              <w:adjustRightInd w:val="0"/>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18</w:t>
            </w:r>
          </w:p>
        </w:tc>
        <w:tc>
          <w:tcPr>
            <w:tcW w:w="1137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contextualSpacing/>
              <w:rPr>
                <w:rFonts w:ascii="宋体" w:hAnsi="宋体" w:cs="宋体"/>
                <w:color w:val="auto"/>
                <w:spacing w:val="-2"/>
                <w:kern w:val="0"/>
                <w:szCs w:val="21"/>
                <w:highlight w:val="none"/>
              </w:rPr>
            </w:pPr>
            <w:r>
              <w:rPr>
                <w:rFonts w:hint="eastAsia" w:ascii="宋体" w:hAnsi="宋体" w:cs="宋体"/>
                <w:color w:val="auto"/>
                <w:spacing w:val="-2"/>
                <w:kern w:val="0"/>
                <w:szCs w:val="21"/>
                <w:highlight w:val="none"/>
              </w:rPr>
              <w:t>1、投标人具有城市及道路照明工程专业承包壹级得6分，贰级2分，其它不得分。</w:t>
            </w:r>
          </w:p>
          <w:p>
            <w:pPr>
              <w:autoSpaceDE w:val="0"/>
              <w:adjustRightInd w:val="0"/>
              <w:snapToGrid w:val="0"/>
              <w:contextualSpacing/>
              <w:rPr>
                <w:rFonts w:ascii="宋体" w:hAnsi="宋体" w:cs="宋体"/>
                <w:color w:val="auto"/>
                <w:spacing w:val="-2"/>
                <w:kern w:val="0"/>
                <w:szCs w:val="21"/>
                <w:highlight w:val="none"/>
              </w:rPr>
            </w:pPr>
            <w:r>
              <w:rPr>
                <w:rFonts w:hint="eastAsia" w:ascii="宋体" w:hAnsi="宋体" w:cs="宋体"/>
                <w:color w:val="auto"/>
                <w:spacing w:val="-2"/>
                <w:kern w:val="0"/>
                <w:szCs w:val="21"/>
                <w:highlight w:val="none"/>
              </w:rPr>
              <w:t>2、投标人具有工程设计建筑智能化系统专项甲级得6分，乙级得2分，其它不得分。</w:t>
            </w:r>
          </w:p>
          <w:p>
            <w:pPr>
              <w:autoSpaceDE w:val="0"/>
              <w:adjustRightInd w:val="0"/>
              <w:snapToGrid w:val="0"/>
              <w:contextualSpacing/>
              <w:rPr>
                <w:rFonts w:ascii="宋体" w:hAnsi="宋体" w:cs="宋体"/>
                <w:color w:val="auto"/>
                <w:spacing w:val="-2"/>
                <w:kern w:val="0"/>
                <w:szCs w:val="21"/>
                <w:highlight w:val="none"/>
              </w:rPr>
            </w:pPr>
            <w:r>
              <w:rPr>
                <w:rFonts w:hint="eastAsia" w:ascii="宋体" w:hAnsi="宋体" w:cs="宋体"/>
                <w:color w:val="auto"/>
                <w:spacing w:val="-2"/>
                <w:kern w:val="0"/>
                <w:szCs w:val="21"/>
                <w:highlight w:val="none"/>
              </w:rPr>
              <w:t>3、投标人具有电子与智能化工程专业承包一级得6分，二级得2分，其它不得分。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ascii="宋体" w:hAnsi="宋体" w:cs="宋体"/>
                <w:bCs/>
                <w:color w:val="auto"/>
                <w:kern w:val="0"/>
                <w:szCs w:val="21"/>
                <w:highlight w:val="none"/>
              </w:rPr>
              <w:t>.2</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hint="eastAsia" w:ascii="宋体" w:hAnsi="宋体" w:cs="Calibri"/>
                <w:color w:val="auto"/>
                <w:kern w:val="0"/>
                <w:szCs w:val="21"/>
                <w:highlight w:val="none"/>
              </w:rPr>
              <w:t>企业信誉</w:t>
            </w:r>
          </w:p>
        </w:tc>
        <w:tc>
          <w:tcPr>
            <w:tcW w:w="633" w:type="dxa"/>
            <w:vAlign w:val="center"/>
          </w:tcPr>
          <w:p>
            <w:pPr>
              <w:widowControl/>
              <w:adjustRightInd w:val="0"/>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10</w:t>
            </w:r>
          </w:p>
        </w:tc>
        <w:tc>
          <w:tcPr>
            <w:tcW w:w="1137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contextualSpacing/>
              <w:rPr>
                <w:rFonts w:ascii="宋体" w:hAnsi="宋体" w:cs="宋体"/>
                <w:color w:val="auto"/>
                <w:spacing w:val="-2"/>
                <w:kern w:val="0"/>
                <w:szCs w:val="21"/>
                <w:highlight w:val="none"/>
              </w:rPr>
            </w:pPr>
            <w:r>
              <w:rPr>
                <w:rFonts w:hint="eastAsia" w:ascii="宋体" w:hAnsi="宋体" w:cs="宋体"/>
                <w:color w:val="auto"/>
                <w:spacing w:val="-2"/>
                <w:kern w:val="0"/>
                <w:szCs w:val="21"/>
                <w:highlight w:val="none"/>
              </w:rPr>
              <w:t xml:space="preserve">1、投标人获得在有效期内且年检合格的ISO系列质量管理体系认证证书、ISO系列职业健康安全管理体系认证证书、ISO系列环境管理体系认证证书；三项都具备得2分，任缺一项不得分。 </w:t>
            </w:r>
          </w:p>
          <w:p>
            <w:pPr>
              <w:autoSpaceDE w:val="0"/>
              <w:adjustRightInd w:val="0"/>
              <w:snapToGrid w:val="0"/>
              <w:contextualSpacing/>
              <w:rPr>
                <w:rFonts w:ascii="宋体" w:hAnsi="宋体" w:cs="宋体"/>
                <w:color w:val="auto"/>
                <w:spacing w:val="-2"/>
                <w:kern w:val="0"/>
                <w:szCs w:val="21"/>
                <w:highlight w:val="none"/>
              </w:rPr>
            </w:pPr>
            <w:r>
              <w:rPr>
                <w:rFonts w:hint="eastAsia" w:ascii="宋体" w:hAnsi="宋体" w:cs="宋体"/>
                <w:color w:val="auto"/>
                <w:spacing w:val="-2"/>
                <w:kern w:val="0"/>
                <w:szCs w:val="21"/>
                <w:highlight w:val="none"/>
              </w:rPr>
              <w:t>2、投标人被工商部门评为“守合同重信用企业” 至今连续9年或以上得8分；连续5年-8年得4分；其它不得分。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ascii="宋体" w:hAnsi="宋体" w:cs="宋体"/>
                <w:bCs/>
                <w:color w:val="auto"/>
                <w:kern w:val="0"/>
                <w:szCs w:val="21"/>
                <w:highlight w:val="none"/>
              </w:rPr>
              <w:t>.3</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hint="eastAsia" w:ascii="宋体" w:hAnsi="宋体" w:cs="Calibri"/>
                <w:color w:val="auto"/>
                <w:kern w:val="0"/>
                <w:szCs w:val="21"/>
                <w:highlight w:val="none"/>
              </w:rPr>
              <w:t>财务状况及履约能力</w:t>
            </w:r>
          </w:p>
        </w:tc>
        <w:tc>
          <w:tcPr>
            <w:tcW w:w="633" w:type="dxa"/>
            <w:vAlign w:val="center"/>
          </w:tcPr>
          <w:p>
            <w:pPr>
              <w:widowControl/>
              <w:adjustRightInd w:val="0"/>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6</w:t>
            </w:r>
          </w:p>
        </w:tc>
        <w:tc>
          <w:tcPr>
            <w:tcW w:w="1137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contextualSpacing/>
              <w:rPr>
                <w:rFonts w:ascii="宋体" w:hAnsi="宋体" w:cs="宋体"/>
                <w:color w:val="auto"/>
                <w:spacing w:val="-2"/>
                <w:kern w:val="0"/>
                <w:szCs w:val="21"/>
                <w:highlight w:val="none"/>
              </w:rPr>
            </w:pPr>
            <w:r>
              <w:rPr>
                <w:rFonts w:hint="eastAsia" w:ascii="宋体" w:hAnsi="宋体" w:cs="宋体"/>
                <w:color w:val="auto"/>
                <w:spacing w:val="-2"/>
                <w:kern w:val="0"/>
                <w:szCs w:val="21"/>
                <w:highlight w:val="none"/>
              </w:rPr>
              <w:t>1、投标人近三年都盈利的2分，其他不得分。</w:t>
            </w:r>
          </w:p>
          <w:p>
            <w:pPr>
              <w:autoSpaceDE w:val="0"/>
              <w:adjustRightInd w:val="0"/>
              <w:snapToGrid w:val="0"/>
              <w:contextualSpacing/>
              <w:rPr>
                <w:rFonts w:ascii="宋体" w:hAnsi="宋体" w:cs="宋体"/>
                <w:color w:val="auto"/>
                <w:spacing w:val="-2"/>
                <w:kern w:val="0"/>
                <w:szCs w:val="21"/>
                <w:highlight w:val="none"/>
              </w:rPr>
            </w:pPr>
            <w:r>
              <w:rPr>
                <w:rFonts w:hint="eastAsia" w:ascii="宋体" w:hAnsi="宋体" w:cs="宋体"/>
                <w:color w:val="auto"/>
                <w:spacing w:val="-2"/>
                <w:kern w:val="0"/>
                <w:szCs w:val="21"/>
                <w:highlight w:val="none"/>
              </w:rPr>
              <w:t>2、投标人根据近三年的平均负债率进行计算得分，共</w:t>
            </w:r>
            <w:r>
              <w:rPr>
                <w:rFonts w:hint="eastAsia" w:ascii="宋体" w:hAnsi="宋体" w:cs="宋体"/>
                <w:color w:val="auto"/>
                <w:spacing w:val="-2"/>
                <w:kern w:val="0"/>
                <w:szCs w:val="21"/>
                <w:highlight w:val="none"/>
                <w:lang w:val="en-US" w:eastAsia="zh-CN"/>
              </w:rPr>
              <w:t>4</w:t>
            </w:r>
            <w:r>
              <w:rPr>
                <w:rFonts w:hint="eastAsia" w:ascii="宋体" w:hAnsi="宋体" w:cs="宋体"/>
                <w:color w:val="auto"/>
                <w:spacing w:val="-2"/>
                <w:kern w:val="0"/>
                <w:szCs w:val="21"/>
                <w:highlight w:val="none"/>
              </w:rPr>
              <w:t>分：负债率40%以下得4分，负债40%(含)~60%得2分，负债60%(含)~80%得1分，负债80%（含）以上或未提供证明材料的不得分。</w:t>
            </w:r>
          </w:p>
          <w:p>
            <w:pPr>
              <w:pStyle w:val="2"/>
              <w:rPr>
                <w:rFonts w:ascii="宋体" w:hAnsi="宋体" w:cs="宋体"/>
                <w:color w:val="auto"/>
                <w:sz w:val="21"/>
                <w:szCs w:val="21"/>
                <w:highlight w:val="none"/>
              </w:rPr>
            </w:pPr>
            <w:r>
              <w:rPr>
                <w:rFonts w:hint="eastAsia" w:ascii="宋体" w:hAnsi="宋体" w:cs="宋体"/>
                <w:color w:val="auto"/>
                <w:sz w:val="21"/>
                <w:szCs w:val="21"/>
                <w:highlight w:val="none"/>
              </w:rPr>
              <w:t>注：近三年是指2016~2018年度，财务信息、企业盈利情况以投标人提供的经会计师事务所或审计机构审计的财务审计意见（报告）为准，复印件须加盖投标人公章，否则不得分。（资产负债率＝负债总额÷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ascii="宋体" w:hAnsi="宋体" w:cs="宋体"/>
                <w:bCs/>
                <w:color w:val="auto"/>
                <w:kern w:val="0"/>
                <w:szCs w:val="21"/>
                <w:highlight w:val="none"/>
              </w:rPr>
              <w:t>4</w:t>
            </w:r>
          </w:p>
        </w:tc>
        <w:tc>
          <w:tcPr>
            <w:tcW w:w="1592" w:type="dxa"/>
            <w:vAlign w:val="center"/>
          </w:tcPr>
          <w:p>
            <w:pPr>
              <w:adjustRightInd w:val="0"/>
              <w:snapToGrid w:val="0"/>
              <w:spacing w:line="240" w:lineRule="exact"/>
              <w:ind w:left="-53" w:leftChars="-25" w:right="-42" w:rightChars="-20"/>
              <w:jc w:val="left"/>
              <w:rPr>
                <w:rFonts w:ascii="宋体" w:hAnsi="宋体" w:cs="Calibri"/>
                <w:color w:val="auto"/>
                <w:kern w:val="0"/>
                <w:szCs w:val="21"/>
                <w:highlight w:val="none"/>
              </w:rPr>
            </w:pPr>
            <w:r>
              <w:rPr>
                <w:rFonts w:hint="eastAsia" w:ascii="宋体" w:hAnsi="宋体" w:cs="Calibri"/>
                <w:color w:val="auto"/>
                <w:kern w:val="0"/>
                <w:szCs w:val="21"/>
                <w:highlight w:val="none"/>
              </w:rPr>
              <w:t>类似业绩</w:t>
            </w:r>
          </w:p>
        </w:tc>
        <w:tc>
          <w:tcPr>
            <w:tcW w:w="633" w:type="dxa"/>
            <w:vAlign w:val="center"/>
          </w:tcPr>
          <w:p>
            <w:pPr>
              <w:widowControl/>
              <w:adjustRightInd w:val="0"/>
              <w:snapToGrid w:val="0"/>
              <w:spacing w:line="240" w:lineRule="exact"/>
              <w:jc w:val="center"/>
              <w:rPr>
                <w:rFonts w:ascii="宋体" w:hAnsi="宋体" w:cs="宋体"/>
                <w:bCs/>
                <w:color w:val="auto"/>
                <w:kern w:val="0"/>
                <w:szCs w:val="21"/>
                <w:highlight w:val="none"/>
              </w:rPr>
            </w:pPr>
            <w:r>
              <w:rPr>
                <w:rFonts w:ascii="宋体" w:hAnsi="宋体" w:cs="宋体"/>
                <w:bCs/>
                <w:color w:val="auto"/>
                <w:kern w:val="0"/>
                <w:szCs w:val="21"/>
                <w:highlight w:val="none"/>
              </w:rPr>
              <w:t>6</w:t>
            </w:r>
          </w:p>
        </w:tc>
        <w:tc>
          <w:tcPr>
            <w:tcW w:w="11377" w:type="dxa"/>
            <w:vAlign w:val="center"/>
          </w:tcPr>
          <w:p>
            <w:pPr>
              <w:tabs>
                <w:tab w:val="left" w:pos="360"/>
              </w:tabs>
              <w:snapToGrid w:val="0"/>
              <w:spacing w:line="240" w:lineRule="exact"/>
              <w:jc w:val="left"/>
              <w:rPr>
                <w:rFonts w:ascii="宋体" w:hAnsi="宋体" w:cs="宋体"/>
                <w:color w:val="auto"/>
                <w:spacing w:val="-2"/>
                <w:kern w:val="0"/>
                <w:szCs w:val="21"/>
                <w:highlight w:val="none"/>
              </w:rPr>
            </w:pPr>
            <w:r>
              <w:rPr>
                <w:rFonts w:hint="eastAsia" w:ascii="宋体" w:hAnsi="宋体" w:cs="宋体"/>
                <w:color w:val="auto"/>
                <w:spacing w:val="-2"/>
                <w:kern w:val="0"/>
                <w:szCs w:val="21"/>
                <w:highlight w:val="none"/>
              </w:rPr>
              <w:t>投标人2017年1月1日至今，独立完成过合同金额不少于100万元的城市及道路照明工程专业承包施工业绩，须提供中标通知书或合同书或验收证明等证明文件方有效，每提供1份业绩得2分，满分6分。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603" w:type="dxa"/>
            <w:vAlign w:val="center"/>
          </w:tcPr>
          <w:p>
            <w:pPr>
              <w:tabs>
                <w:tab w:val="left" w:pos="360"/>
              </w:tabs>
              <w:snapToGrid w:val="0"/>
              <w:spacing w:line="240" w:lineRule="exact"/>
              <w:jc w:val="center"/>
              <w:rPr>
                <w:rFonts w:ascii="宋体" w:hAnsi="宋体" w:cs="宋体"/>
                <w:bCs/>
                <w:color w:val="auto"/>
                <w:kern w:val="0"/>
                <w:szCs w:val="21"/>
                <w:highlight w:val="none"/>
              </w:rPr>
            </w:pPr>
          </w:p>
        </w:tc>
        <w:tc>
          <w:tcPr>
            <w:tcW w:w="1592" w:type="dxa"/>
            <w:vAlign w:val="center"/>
          </w:tcPr>
          <w:p>
            <w:pPr>
              <w:tabs>
                <w:tab w:val="left" w:pos="360"/>
              </w:tabs>
              <w:snapToGri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w:t>
            </w:r>
          </w:p>
        </w:tc>
        <w:tc>
          <w:tcPr>
            <w:tcW w:w="633" w:type="dxa"/>
            <w:vAlign w:val="center"/>
          </w:tcPr>
          <w:p>
            <w:pPr>
              <w:tabs>
                <w:tab w:val="left" w:pos="360"/>
              </w:tabs>
              <w:snapToGrid w:val="0"/>
              <w:spacing w:line="2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60</w:t>
            </w:r>
          </w:p>
        </w:tc>
        <w:tc>
          <w:tcPr>
            <w:tcW w:w="11377" w:type="dxa"/>
            <w:vAlign w:val="center"/>
          </w:tcPr>
          <w:p>
            <w:pPr>
              <w:tabs>
                <w:tab w:val="left" w:pos="360"/>
              </w:tabs>
              <w:snapToGrid w:val="0"/>
              <w:spacing w:line="240" w:lineRule="exact"/>
              <w:jc w:val="center"/>
              <w:rPr>
                <w:rFonts w:ascii="宋体" w:hAnsi="宋体" w:cs="宋体"/>
                <w:color w:val="auto"/>
                <w:kern w:val="0"/>
                <w:szCs w:val="21"/>
                <w:highlight w:val="none"/>
              </w:rPr>
            </w:pPr>
          </w:p>
        </w:tc>
      </w:tr>
    </w:tbl>
    <w:p>
      <w:pPr>
        <w:jc w:val="left"/>
        <w:rPr>
          <w:rFonts w:ascii="宋体" w:hAnsi="宋体"/>
          <w:color w:val="auto"/>
          <w:szCs w:val="21"/>
          <w:highlight w:val="none"/>
        </w:rPr>
      </w:pPr>
    </w:p>
    <w:p>
      <w:pPr>
        <w:jc w:val="left"/>
        <w:rPr>
          <w:rFonts w:ascii="宋体" w:hAnsi="宋体" w:cs="宋体"/>
          <w:color w:val="auto"/>
          <w:szCs w:val="21"/>
          <w:highlight w:val="none"/>
        </w:rPr>
      </w:pPr>
      <w:r>
        <w:rPr>
          <w:rFonts w:hint="eastAsia" w:ascii="宋体" w:hAnsi="宋体"/>
          <w:color w:val="auto"/>
          <w:szCs w:val="21"/>
          <w:highlight w:val="none"/>
        </w:rPr>
        <w:t>注：1.</w:t>
      </w:r>
      <w:r>
        <w:rPr>
          <w:rFonts w:hint="eastAsia" w:ascii="宋体" w:hAnsi="宋体" w:cs="宋体"/>
          <w:color w:val="auto"/>
          <w:szCs w:val="21"/>
          <w:highlight w:val="none"/>
        </w:rPr>
        <w:t>投标人如为联合体投标人，本表只对在本项目中联合体主办方一方进行评审。</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2.投标人提供的相关证明文件均须加盖投标人公章；未提供证明资料或提供的证明资料不符合要求的不予计算得分。所有人员岗位均不可相互兼任。</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3.投标人得分为评标委员会各成员对其评分合计的算术平均值（若分数出现小数点时，保留小数点后二位，第三位小数四舍五入）。</w:t>
      </w:r>
    </w:p>
    <w:p>
      <w:pPr>
        <w:pStyle w:val="2"/>
        <w:rPr>
          <w:rFonts w:ascii="宋体" w:hAnsi="宋体" w:cs="宋体"/>
          <w:color w:val="auto"/>
          <w:szCs w:val="21"/>
          <w:highlight w:val="none"/>
        </w:rPr>
      </w:pPr>
    </w:p>
    <w:p>
      <w:pPr>
        <w:spacing w:line="360" w:lineRule="exact"/>
        <w:jc w:val="left"/>
        <w:rPr>
          <w:rFonts w:ascii="宋体" w:hAnsi="宋体"/>
          <w:b/>
          <w:color w:val="auto"/>
          <w:sz w:val="28"/>
          <w:szCs w:val="28"/>
          <w:highlight w:val="none"/>
        </w:rPr>
      </w:pPr>
      <w:r>
        <w:rPr>
          <w:rFonts w:hint="eastAsia" w:ascii="宋体" w:hAnsi="宋体"/>
          <w:b/>
          <w:color w:val="auto"/>
          <w:sz w:val="28"/>
          <w:szCs w:val="28"/>
          <w:highlight w:val="none"/>
        </w:rPr>
        <w:t>附表7附件：</w:t>
      </w:r>
    </w:p>
    <w:p>
      <w:pPr>
        <w:jc w:val="center"/>
        <w:rPr>
          <w:rFonts w:ascii="宋体" w:hAnsi="宋体"/>
          <w:b/>
          <w:color w:val="auto"/>
          <w:sz w:val="30"/>
          <w:szCs w:val="30"/>
          <w:highlight w:val="none"/>
        </w:rPr>
      </w:pPr>
      <w:r>
        <w:rPr>
          <w:rFonts w:hint="eastAsia" w:ascii="宋体" w:hAnsi="宋体"/>
          <w:b/>
          <w:color w:val="auto"/>
          <w:sz w:val="30"/>
          <w:szCs w:val="30"/>
          <w:highlight w:val="none"/>
        </w:rPr>
        <w:t>《投标人投入主要人员基本要求表》</w:t>
      </w:r>
    </w:p>
    <w:p>
      <w:pPr>
        <w:spacing w:line="256" w:lineRule="exact"/>
        <w:jc w:val="center"/>
        <w:rPr>
          <w:rFonts w:ascii="宋体" w:hAnsi="宋体"/>
          <w:b/>
          <w:color w:val="auto"/>
          <w:highlight w:val="none"/>
        </w:rPr>
      </w:pPr>
    </w:p>
    <w:tbl>
      <w:tblPr>
        <w:tblStyle w:val="43"/>
        <w:tblW w:w="14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723"/>
        <w:gridCol w:w="6073"/>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823" w:type="dxa"/>
            <w:vAlign w:val="center"/>
          </w:tcPr>
          <w:p>
            <w:pPr>
              <w:widowControl/>
              <w:spacing w:line="256"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项目管理团队</w:t>
            </w:r>
          </w:p>
        </w:tc>
        <w:tc>
          <w:tcPr>
            <w:tcW w:w="723" w:type="dxa"/>
            <w:vAlign w:val="center"/>
          </w:tcPr>
          <w:p>
            <w:pPr>
              <w:widowControl/>
              <w:spacing w:line="256"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6073" w:type="dxa"/>
            <w:vAlign w:val="center"/>
          </w:tcPr>
          <w:p>
            <w:pPr>
              <w:widowControl/>
              <w:spacing w:line="256"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基本要求</w:t>
            </w:r>
          </w:p>
        </w:tc>
        <w:tc>
          <w:tcPr>
            <w:tcW w:w="5647" w:type="dxa"/>
            <w:vAlign w:val="center"/>
          </w:tcPr>
          <w:p>
            <w:pPr>
              <w:widowControl/>
              <w:spacing w:line="256"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723" w:type="dxa"/>
            <w:vAlign w:val="center"/>
          </w:tcPr>
          <w:p>
            <w:pPr>
              <w:widowControl/>
              <w:spacing w:line="256" w:lineRule="exact"/>
              <w:ind w:left="422" w:leftChars="-5" w:hanging="432" w:hangingChars="206"/>
              <w:jc w:val="center"/>
              <w:rPr>
                <w:rFonts w:ascii="宋体" w:hAnsi="宋体" w:cs="宋体"/>
                <w:color w:val="auto"/>
                <w:kern w:val="0"/>
                <w:szCs w:val="21"/>
                <w:highlight w:val="none"/>
              </w:rPr>
            </w:pPr>
            <w:r>
              <w:rPr>
                <w:rFonts w:hint="eastAsia" w:ascii="宋体" w:hAnsi="宋体" w:cs="宋体"/>
                <w:color w:val="auto"/>
                <w:kern w:val="0"/>
                <w:szCs w:val="21"/>
                <w:highlight w:val="none"/>
              </w:rPr>
              <w:t>1人</w:t>
            </w:r>
          </w:p>
        </w:tc>
        <w:tc>
          <w:tcPr>
            <w:tcW w:w="6073" w:type="dxa"/>
            <w:vAlign w:val="center"/>
          </w:tcPr>
          <w:p>
            <w:pPr>
              <w:widowControl/>
              <w:spacing w:line="256" w:lineRule="exact"/>
              <w:ind w:left="-48" w:leftChars="-23"/>
              <w:rPr>
                <w:rFonts w:ascii="宋体" w:hAnsi="宋体" w:cs="宋体"/>
                <w:color w:val="auto"/>
                <w:kern w:val="0"/>
                <w:szCs w:val="21"/>
                <w:highlight w:val="none"/>
              </w:rPr>
            </w:pPr>
            <w:r>
              <w:rPr>
                <w:rFonts w:hint="eastAsia" w:ascii="宋体" w:hAnsi="宋体" w:cs="宋体"/>
                <w:color w:val="auto"/>
                <w:kern w:val="0"/>
                <w:szCs w:val="21"/>
                <w:highlight w:val="none"/>
              </w:rPr>
              <w:t>按招标公告要求</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1人</w:t>
            </w:r>
          </w:p>
        </w:tc>
        <w:tc>
          <w:tcPr>
            <w:tcW w:w="6073" w:type="dxa"/>
            <w:vAlign w:val="center"/>
          </w:tcPr>
          <w:p>
            <w:pPr>
              <w:widowControl/>
              <w:spacing w:line="256" w:lineRule="exact"/>
              <w:ind w:left="-48" w:leftChars="-23"/>
              <w:rPr>
                <w:rFonts w:ascii="宋体" w:hAnsi="宋体" w:cs="宋体"/>
                <w:color w:val="auto"/>
                <w:kern w:val="0"/>
                <w:szCs w:val="21"/>
                <w:highlight w:val="none"/>
              </w:rPr>
            </w:pPr>
            <w:r>
              <w:rPr>
                <w:rFonts w:hint="eastAsia" w:ascii="宋体" w:hAnsi="宋体" w:cs="宋体"/>
                <w:color w:val="auto"/>
                <w:kern w:val="0"/>
                <w:szCs w:val="21"/>
                <w:highlight w:val="none"/>
              </w:rPr>
              <w:t>具有</w:t>
            </w:r>
            <w:r>
              <w:rPr>
                <w:rFonts w:hint="eastAsia" w:ascii="宋体" w:hAnsi="宋体" w:cs="Calibri"/>
                <w:color w:val="auto"/>
                <w:szCs w:val="21"/>
                <w:highlight w:val="none"/>
              </w:rPr>
              <w:t>机电工程专业二级建造师及以上</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施工员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1人</w:t>
            </w:r>
          </w:p>
        </w:tc>
        <w:tc>
          <w:tcPr>
            <w:tcW w:w="6073" w:type="dxa"/>
            <w:vAlign w:val="center"/>
          </w:tcPr>
          <w:p>
            <w:pPr>
              <w:widowControl/>
              <w:spacing w:line="256" w:lineRule="exact"/>
              <w:ind w:left="-48" w:leftChars="-23"/>
              <w:rPr>
                <w:rFonts w:ascii="宋体" w:hAnsi="宋体" w:cs="宋体"/>
                <w:color w:val="auto"/>
                <w:kern w:val="0"/>
                <w:szCs w:val="21"/>
                <w:highlight w:val="none"/>
              </w:rPr>
            </w:pPr>
            <w:r>
              <w:rPr>
                <w:rFonts w:hint="eastAsia" w:ascii="宋体" w:hAnsi="宋体" w:cs="宋体"/>
                <w:color w:val="auto"/>
                <w:kern w:val="0"/>
                <w:szCs w:val="21"/>
                <w:highlight w:val="none"/>
              </w:rPr>
              <w:t>具有岗位证书</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质量员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1人</w:t>
            </w:r>
          </w:p>
        </w:tc>
        <w:tc>
          <w:tcPr>
            <w:tcW w:w="6073" w:type="dxa"/>
            <w:vAlign w:val="center"/>
          </w:tcPr>
          <w:p>
            <w:pPr>
              <w:widowControl/>
              <w:spacing w:line="256" w:lineRule="exact"/>
              <w:ind w:left="-48" w:leftChars="-23"/>
              <w:rPr>
                <w:rFonts w:ascii="宋体" w:hAnsi="宋体" w:cs="宋体"/>
                <w:color w:val="auto"/>
                <w:kern w:val="0"/>
                <w:szCs w:val="21"/>
                <w:highlight w:val="none"/>
              </w:rPr>
            </w:pPr>
            <w:r>
              <w:rPr>
                <w:rFonts w:hint="eastAsia" w:ascii="宋体" w:hAnsi="宋体" w:cs="宋体"/>
                <w:color w:val="auto"/>
                <w:kern w:val="0"/>
                <w:szCs w:val="21"/>
                <w:highlight w:val="none"/>
              </w:rPr>
              <w:t>具有岗位证书</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专职安全员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1人</w:t>
            </w:r>
          </w:p>
        </w:tc>
        <w:tc>
          <w:tcPr>
            <w:tcW w:w="6073" w:type="dxa"/>
            <w:vAlign w:val="center"/>
          </w:tcPr>
          <w:p>
            <w:pPr>
              <w:widowControl/>
              <w:spacing w:line="256" w:lineRule="exact"/>
              <w:ind w:left="-48" w:leftChars="-23"/>
              <w:rPr>
                <w:rFonts w:ascii="宋体" w:hAnsi="宋体" w:cs="宋体"/>
                <w:color w:val="auto"/>
                <w:kern w:val="0"/>
                <w:szCs w:val="21"/>
                <w:highlight w:val="none"/>
              </w:rPr>
            </w:pPr>
            <w:r>
              <w:rPr>
                <w:rFonts w:hint="eastAsia" w:ascii="宋体" w:hAnsi="宋体" w:cs="宋体"/>
                <w:color w:val="auto"/>
                <w:kern w:val="0"/>
                <w:szCs w:val="21"/>
                <w:highlight w:val="none"/>
              </w:rPr>
              <w:t>按招标公告要求</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资料员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1人</w:t>
            </w:r>
          </w:p>
        </w:tc>
        <w:tc>
          <w:tcPr>
            <w:tcW w:w="6073" w:type="dxa"/>
            <w:vAlign w:val="center"/>
          </w:tcPr>
          <w:p>
            <w:pPr>
              <w:widowControl/>
              <w:spacing w:line="256" w:lineRule="exact"/>
              <w:ind w:left="-48" w:leftChars="-23"/>
              <w:rPr>
                <w:rFonts w:ascii="宋体" w:hAnsi="宋体" w:cs="宋体"/>
                <w:color w:val="auto"/>
                <w:kern w:val="0"/>
                <w:szCs w:val="21"/>
                <w:highlight w:val="none"/>
              </w:rPr>
            </w:pPr>
            <w:r>
              <w:rPr>
                <w:rFonts w:hint="eastAsia" w:ascii="宋体" w:hAnsi="宋体" w:cs="宋体"/>
                <w:color w:val="auto"/>
                <w:kern w:val="0"/>
                <w:szCs w:val="21"/>
                <w:highlight w:val="none"/>
              </w:rPr>
              <w:t>具有岗位证书</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材料员</w:t>
            </w: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r>
              <w:rPr>
                <w:rFonts w:hint="eastAsia" w:ascii="宋体" w:hAnsi="宋体" w:cs="宋体"/>
                <w:color w:val="auto"/>
                <w:kern w:val="0"/>
                <w:szCs w:val="21"/>
                <w:highlight w:val="none"/>
              </w:rPr>
              <w:t>1人</w:t>
            </w:r>
          </w:p>
        </w:tc>
        <w:tc>
          <w:tcPr>
            <w:tcW w:w="6073" w:type="dxa"/>
            <w:vAlign w:val="center"/>
          </w:tcPr>
          <w:p>
            <w:pPr>
              <w:widowControl/>
              <w:spacing w:line="256" w:lineRule="exact"/>
              <w:ind w:left="-48" w:leftChars="-23"/>
              <w:rPr>
                <w:rFonts w:ascii="宋体" w:hAnsi="宋体" w:cs="宋体"/>
                <w:color w:val="auto"/>
                <w:kern w:val="0"/>
                <w:szCs w:val="21"/>
                <w:highlight w:val="none"/>
              </w:rPr>
            </w:pPr>
            <w:r>
              <w:rPr>
                <w:rFonts w:hint="eastAsia" w:ascii="宋体" w:hAnsi="宋体" w:cs="宋体"/>
                <w:color w:val="auto"/>
                <w:kern w:val="0"/>
                <w:szCs w:val="21"/>
                <w:highlight w:val="none"/>
              </w:rPr>
              <w:t>具有岗位证书</w:t>
            </w:r>
          </w:p>
        </w:tc>
        <w:tc>
          <w:tcPr>
            <w:tcW w:w="5647" w:type="dxa"/>
            <w:vAlign w:val="center"/>
          </w:tcPr>
          <w:p>
            <w:pPr>
              <w:widowControl/>
              <w:spacing w:line="256" w:lineRule="exac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8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p>
        </w:tc>
        <w:tc>
          <w:tcPr>
            <w:tcW w:w="723" w:type="dxa"/>
            <w:vAlign w:val="center"/>
          </w:tcPr>
          <w:p>
            <w:pPr>
              <w:widowControl/>
              <w:spacing w:line="256" w:lineRule="exact"/>
              <w:ind w:left="406" w:leftChars="35" w:hanging="333" w:hangingChars="159"/>
              <w:jc w:val="center"/>
              <w:rPr>
                <w:rFonts w:ascii="宋体" w:hAnsi="宋体" w:cs="宋体"/>
                <w:color w:val="auto"/>
                <w:kern w:val="0"/>
                <w:szCs w:val="21"/>
                <w:highlight w:val="none"/>
              </w:rPr>
            </w:pPr>
          </w:p>
        </w:tc>
        <w:tc>
          <w:tcPr>
            <w:tcW w:w="6073" w:type="dxa"/>
            <w:vAlign w:val="center"/>
          </w:tcPr>
          <w:p>
            <w:pPr>
              <w:widowControl/>
              <w:spacing w:line="256" w:lineRule="exact"/>
              <w:ind w:left="-48" w:leftChars="-23"/>
              <w:rPr>
                <w:rFonts w:ascii="宋体" w:hAnsi="宋体" w:cs="宋体"/>
                <w:color w:val="auto"/>
                <w:kern w:val="0"/>
                <w:szCs w:val="21"/>
                <w:highlight w:val="none"/>
              </w:rPr>
            </w:pPr>
          </w:p>
        </w:tc>
        <w:tc>
          <w:tcPr>
            <w:tcW w:w="5647" w:type="dxa"/>
            <w:vAlign w:val="center"/>
          </w:tcPr>
          <w:p>
            <w:pPr>
              <w:widowControl/>
              <w:spacing w:line="256" w:lineRule="exact"/>
              <w:rPr>
                <w:rFonts w:ascii="宋体" w:hAnsi="宋体" w:cs="宋体"/>
                <w:color w:val="auto"/>
                <w:kern w:val="0"/>
                <w:szCs w:val="21"/>
                <w:highlight w:val="none"/>
              </w:rPr>
            </w:pPr>
          </w:p>
        </w:tc>
      </w:tr>
    </w:tbl>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注：1、所有人员必须按要求提交相应证书和在本投标单位连续购买的2019年10月至2019年12月的社保缴纳证明材料复印件并加盖投标人公章（未按要求提供完整相关资料的人员，该人员不作为评分依据)。</w:t>
      </w:r>
    </w:p>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2、联合体投标的，本表所述人员均要求为联合体中负责施工任务主办方人员。</w:t>
      </w:r>
    </w:p>
    <w:p>
      <w:pPr>
        <w:spacing w:line="360" w:lineRule="exact"/>
        <w:ind w:firstLine="420" w:firstLineChars="200"/>
        <w:jc w:val="left"/>
        <w:rPr>
          <w:rFonts w:ascii="宋体" w:hAnsi="宋体" w:cs="宋体"/>
          <w:color w:val="auto"/>
          <w:szCs w:val="21"/>
          <w:highlight w:val="none"/>
        </w:rPr>
        <w:sectPr>
          <w:pgSz w:w="16838" w:h="11906" w:orient="landscape"/>
          <w:pgMar w:top="1276" w:right="1440" w:bottom="1797" w:left="1440" w:header="851" w:footer="992" w:gutter="0"/>
          <w:cols w:space="720" w:num="1"/>
          <w:docGrid w:linePitch="312" w:charSpace="0"/>
        </w:sectPr>
      </w:pPr>
    </w:p>
    <w:p>
      <w:pPr>
        <w:spacing w:line="360" w:lineRule="exact"/>
        <w:jc w:val="left"/>
        <w:rPr>
          <w:rFonts w:ascii="宋体" w:hAnsi="宋体"/>
          <w:b/>
          <w:color w:val="auto"/>
          <w:sz w:val="36"/>
          <w:szCs w:val="36"/>
          <w:highlight w:val="none"/>
        </w:rPr>
      </w:pPr>
      <w:r>
        <w:rPr>
          <w:rFonts w:hint="eastAsia" w:ascii="宋体" w:hAnsi="宋体"/>
          <w:b/>
          <w:color w:val="auto"/>
          <w:sz w:val="28"/>
          <w:szCs w:val="28"/>
          <w:highlight w:val="none"/>
        </w:rPr>
        <w:t>附表8</w:t>
      </w:r>
      <w:r>
        <w:rPr>
          <w:rFonts w:ascii="宋体" w:hAnsi="宋体"/>
          <w:b/>
          <w:color w:val="auto"/>
          <w:sz w:val="28"/>
          <w:szCs w:val="28"/>
          <w:highlight w:val="none"/>
        </w:rPr>
        <w:t>：</w:t>
      </w:r>
    </w:p>
    <w:p>
      <w:pPr>
        <w:spacing w:line="360" w:lineRule="auto"/>
        <w:rPr>
          <w:rFonts w:ascii="宋体" w:hAnsi="宋体"/>
          <w:color w:val="auto"/>
          <w:szCs w:val="21"/>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编制技术标书的经济标投标文件有效性审查表</w:t>
      </w:r>
    </w:p>
    <w:p>
      <w:pPr>
        <w:rPr>
          <w:color w:val="auto"/>
          <w:szCs w:val="21"/>
          <w:highlight w:val="none"/>
        </w:rPr>
      </w:pPr>
      <w:r>
        <w:rPr>
          <w:rFonts w:hint="eastAsia" w:ascii="宋体" w:hAnsi="宋体"/>
          <w:color w:val="auto"/>
          <w:highlight w:val="none"/>
        </w:rPr>
        <w:t>工程名称：</w:t>
      </w:r>
    </w:p>
    <w:tbl>
      <w:tblPr>
        <w:tblStyle w:val="43"/>
        <w:tblW w:w="13544" w:type="dxa"/>
        <w:tblInd w:w="0" w:type="dxa"/>
        <w:tblLayout w:type="fixed"/>
        <w:tblCellMar>
          <w:top w:w="0" w:type="dxa"/>
          <w:left w:w="108" w:type="dxa"/>
          <w:bottom w:w="0" w:type="dxa"/>
          <w:right w:w="108" w:type="dxa"/>
        </w:tblCellMar>
      </w:tblPr>
      <w:tblGrid>
        <w:gridCol w:w="817"/>
        <w:gridCol w:w="8789"/>
        <w:gridCol w:w="838"/>
        <w:gridCol w:w="776"/>
        <w:gridCol w:w="776"/>
        <w:gridCol w:w="774"/>
        <w:gridCol w:w="774"/>
      </w:tblGrid>
      <w:tr>
        <w:tblPrEx>
          <w:tblLayout w:type="fixed"/>
          <w:tblCellMar>
            <w:top w:w="0" w:type="dxa"/>
            <w:left w:w="108" w:type="dxa"/>
            <w:bottom w:w="0" w:type="dxa"/>
            <w:right w:w="108" w:type="dxa"/>
          </w:tblCellMar>
        </w:tblPrEx>
        <w:trPr>
          <w:trHeight w:val="735" w:hRule="atLeast"/>
        </w:trPr>
        <w:tc>
          <w:tcPr>
            <w:tcW w:w="817" w:type="dxa"/>
            <w:tcBorders>
              <w:top w:val="single" w:color="auto" w:sz="4" w:space="0"/>
              <w:left w:val="single" w:color="auto" w:sz="4" w:space="0"/>
              <w:bottom w:val="single" w:color="auto" w:sz="6"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highlight w:val="none"/>
              </w:rPr>
              <w:t>序号</w:t>
            </w:r>
          </w:p>
        </w:tc>
        <w:tc>
          <w:tcPr>
            <w:tcW w:w="8789" w:type="dxa"/>
            <w:tcBorders>
              <w:top w:val="single" w:color="auto" w:sz="4" w:space="0"/>
              <w:left w:val="nil"/>
              <w:bottom w:val="single" w:color="auto" w:sz="4" w:space="0"/>
              <w:right w:val="single" w:color="auto" w:sz="4" w:space="0"/>
              <w:tl2br w:val="single" w:color="auto" w:sz="4" w:space="0"/>
            </w:tcBorders>
            <w:vAlign w:val="center"/>
          </w:tcPr>
          <w:p>
            <w:pPr>
              <w:wordWrap w:val="0"/>
              <w:snapToGrid w:val="0"/>
              <w:ind w:left="3702" w:leftChars="228" w:hanging="3223" w:hangingChars="1535"/>
              <w:jc w:val="right"/>
              <w:rPr>
                <w:rFonts w:ascii="宋体" w:hAnsi="宋体"/>
                <w:color w:val="auto"/>
                <w:highlight w:val="none"/>
              </w:rPr>
            </w:pPr>
            <w:r>
              <w:rPr>
                <w:rFonts w:hint="eastAsia" w:ascii="宋体" w:hAnsi="宋体"/>
                <w:color w:val="auto"/>
                <w:highlight w:val="none"/>
              </w:rPr>
              <w:t>投标单位</w:t>
            </w:r>
          </w:p>
          <w:p>
            <w:pPr>
              <w:snapToGrid w:val="0"/>
              <w:ind w:firstLine="210" w:firstLineChars="100"/>
              <w:rPr>
                <w:rFonts w:ascii="宋体" w:hAnsi="宋体"/>
                <w:color w:val="auto"/>
                <w:szCs w:val="21"/>
                <w:highlight w:val="none"/>
              </w:rPr>
            </w:pPr>
            <w:r>
              <w:rPr>
                <w:rFonts w:hint="eastAsia" w:ascii="宋体" w:hAnsi="宋体"/>
                <w:color w:val="auto"/>
                <w:highlight w:val="none"/>
              </w:rPr>
              <w:t>评审内容</w:t>
            </w:r>
          </w:p>
        </w:tc>
        <w:tc>
          <w:tcPr>
            <w:tcW w:w="838" w:type="dxa"/>
            <w:tcBorders>
              <w:top w:val="single" w:color="auto" w:sz="4" w:space="0"/>
              <w:left w:val="nil"/>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rPr>
            </w:pPr>
          </w:p>
        </w:tc>
        <w:tc>
          <w:tcPr>
            <w:tcW w:w="776" w:type="dxa"/>
            <w:tcBorders>
              <w:top w:val="single" w:color="auto" w:sz="4" w:space="0"/>
              <w:left w:val="single" w:color="auto" w:sz="6" w:space="0"/>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rPr>
            </w:pPr>
          </w:p>
        </w:tc>
        <w:tc>
          <w:tcPr>
            <w:tcW w:w="774" w:type="dxa"/>
            <w:tcBorders>
              <w:top w:val="single" w:color="auto" w:sz="4" w:space="0"/>
              <w:left w:val="single" w:color="auto" w:sz="6" w:space="0"/>
              <w:bottom w:val="single" w:color="auto" w:sz="6" w:space="0"/>
              <w:right w:val="single" w:color="auto" w:sz="6" w:space="0"/>
            </w:tcBorders>
          </w:tcPr>
          <w:p>
            <w:pPr>
              <w:spacing w:line="360" w:lineRule="auto"/>
              <w:ind w:left="552" w:leftChars="228" w:hanging="73" w:hangingChars="35"/>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1</w:t>
            </w:r>
          </w:p>
        </w:tc>
        <w:tc>
          <w:tcPr>
            <w:tcW w:w="8789" w:type="dxa"/>
            <w:tcBorders>
              <w:top w:val="single" w:color="auto" w:sz="4"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rPr>
            </w:pPr>
            <w:r>
              <w:rPr>
                <w:rFonts w:hint="eastAsia" w:ascii="宋体" w:hAnsi="宋体"/>
                <w:color w:val="auto"/>
                <w:szCs w:val="21"/>
                <w:highlight w:val="none"/>
              </w:rPr>
              <w:t>投标文件的封面没有加盖投标单位的法定印章并经法定代表人或投标人代表签署或盖章的；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2</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3</w:t>
            </w:r>
          </w:p>
        </w:tc>
        <w:tc>
          <w:tcPr>
            <w:tcW w:w="8789"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b/>
                <w:bCs/>
                <w:color w:val="auto"/>
                <w:sz w:val="32"/>
                <w:szCs w:val="32"/>
                <w:highlight w:val="none"/>
              </w:rPr>
            </w:pPr>
            <w:r>
              <w:rPr>
                <w:rFonts w:hint="eastAsia" w:ascii="宋体" w:hAnsi="宋体"/>
                <w:color w:val="auto"/>
                <w:highlight w:val="none"/>
              </w:rPr>
              <w:t>投标总报价高于招标控制价的，或设计费报价高于设计费最高投标限价的，或建安工程费报价高于建安工程费最高投标限价的；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4</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rPr>
            </w:pPr>
            <w:r>
              <w:rPr>
                <w:rFonts w:hint="eastAsia" w:ascii="宋体" w:hAnsi="宋体"/>
                <w:color w:val="auto"/>
                <w:szCs w:val="21"/>
                <w:highlight w:val="none"/>
              </w:rPr>
              <w:t>投标报价低于企业成本的（投标人的报价明显低于其他投标报价，使得其投标报价可能低于其个别成本，又不能合理说明或者不能提供相关证明材料，评标委员会认定该投标人低于成本报价的）；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5</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rPr>
            </w:pPr>
            <w:r>
              <w:rPr>
                <w:rFonts w:hint="eastAsia" w:ascii="宋体" w:hAnsi="宋体"/>
                <w:color w:val="auto"/>
                <w:szCs w:val="21"/>
                <w:highlight w:val="none"/>
              </w:rPr>
              <w:t>投标文件未按规定的格式填写（指“经济标投标书”），或主要内容（指招标文件第一章第3.1条第3.1.5款投标文件的组成规定的内容，不包括未明确内容的其他辅助说明资料）不全，或关键字迹模糊、无法辨认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6</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rPr>
            </w:pPr>
            <w:r>
              <w:rPr>
                <w:rFonts w:hint="eastAsia" w:ascii="宋体" w:hAnsi="宋体"/>
                <w:color w:val="auto"/>
                <w:szCs w:val="21"/>
                <w:highlight w:val="none"/>
              </w:rPr>
              <w:t>存在串通投标情形（串通投标情形以《中华人民共和国招标投标法实施条例》的规定为准）；</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auto"/>
                <w:szCs w:val="21"/>
                <w:highlight w:val="none"/>
              </w:rPr>
            </w:pPr>
            <w:r>
              <w:rPr>
                <w:rFonts w:ascii="宋体" w:hAnsi="宋体"/>
                <w:color w:val="auto"/>
                <w:highlight w:val="none"/>
              </w:rPr>
              <w:t>7</w:t>
            </w:r>
          </w:p>
        </w:tc>
        <w:tc>
          <w:tcPr>
            <w:tcW w:w="8789" w:type="dxa"/>
            <w:tcBorders>
              <w:top w:val="single" w:color="auto" w:sz="6" w:space="0"/>
              <w:left w:val="single" w:color="auto" w:sz="6" w:space="0"/>
              <w:bottom w:val="single" w:color="auto" w:sz="6" w:space="0"/>
              <w:right w:val="single" w:color="auto" w:sz="6" w:space="0"/>
            </w:tcBorders>
            <w:vAlign w:val="center"/>
          </w:tcPr>
          <w:p>
            <w:pPr>
              <w:spacing w:line="240" w:lineRule="atLeast"/>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838"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6" w:space="0"/>
              <w:right w:val="single" w:color="auto" w:sz="6" w:space="0"/>
            </w:tcBorders>
          </w:tcPr>
          <w:p>
            <w:pPr>
              <w:spacing w:line="240" w:lineRule="atLeast"/>
              <w:ind w:left="552" w:leftChars="228" w:hanging="73" w:hangingChars="35"/>
              <w:rPr>
                <w:rFonts w:ascii="宋体" w:hAnsi="宋体"/>
                <w:color w:val="auto"/>
                <w:szCs w:val="21"/>
                <w:highlight w:val="none"/>
              </w:rPr>
            </w:pPr>
          </w:p>
        </w:tc>
      </w:tr>
      <w:tr>
        <w:tblPrEx>
          <w:tblLayout w:type="fixed"/>
          <w:tblCellMar>
            <w:top w:w="0" w:type="dxa"/>
            <w:left w:w="108" w:type="dxa"/>
            <w:bottom w:w="0" w:type="dxa"/>
            <w:right w:w="108" w:type="dxa"/>
          </w:tblCellMar>
        </w:tblPrEx>
        <w:trPr>
          <w:trHeight w:val="467" w:hRule="atLeast"/>
        </w:trPr>
        <w:tc>
          <w:tcPr>
            <w:tcW w:w="817" w:type="dxa"/>
            <w:tcBorders>
              <w:top w:val="single" w:color="auto" w:sz="6" w:space="0"/>
              <w:left w:val="single" w:color="auto" w:sz="4" w:space="0"/>
              <w:bottom w:val="single" w:color="auto" w:sz="4" w:space="0"/>
              <w:right w:val="single" w:color="auto" w:sz="6" w:space="0"/>
            </w:tcBorders>
            <w:vAlign w:val="center"/>
          </w:tcPr>
          <w:p>
            <w:pPr>
              <w:spacing w:line="240" w:lineRule="atLeast"/>
              <w:jc w:val="center"/>
              <w:rPr>
                <w:rFonts w:ascii="宋体" w:hAnsi="宋体"/>
                <w:color w:val="auto"/>
                <w:szCs w:val="21"/>
                <w:highlight w:val="none"/>
              </w:rPr>
            </w:pPr>
            <w:r>
              <w:rPr>
                <w:rFonts w:hint="eastAsia" w:ascii="宋体" w:hAnsi="宋体"/>
                <w:color w:val="auto"/>
                <w:highlight w:val="none"/>
              </w:rPr>
              <w:t>结论</w:t>
            </w:r>
          </w:p>
        </w:tc>
        <w:tc>
          <w:tcPr>
            <w:tcW w:w="8789" w:type="dxa"/>
            <w:tcBorders>
              <w:top w:val="single" w:color="auto" w:sz="6" w:space="0"/>
              <w:left w:val="single" w:color="auto" w:sz="6" w:space="0"/>
              <w:bottom w:val="single" w:color="auto" w:sz="4" w:space="0"/>
              <w:right w:val="single" w:color="auto" w:sz="6" w:space="0"/>
            </w:tcBorders>
            <w:vAlign w:val="center"/>
          </w:tcPr>
          <w:p>
            <w:pPr>
              <w:spacing w:line="240" w:lineRule="atLeast"/>
              <w:rPr>
                <w:rFonts w:ascii="宋体" w:hAnsi="宋体"/>
                <w:color w:val="auto"/>
                <w:szCs w:val="21"/>
                <w:highlight w:val="none"/>
              </w:rPr>
            </w:pPr>
            <w:r>
              <w:rPr>
                <w:rFonts w:hint="eastAsia" w:ascii="宋体" w:hAnsi="宋体"/>
                <w:color w:val="auto"/>
                <w:highlight w:val="none"/>
              </w:rPr>
              <w:t>是否通过并进入下一阶段。</w:t>
            </w:r>
          </w:p>
        </w:tc>
        <w:tc>
          <w:tcPr>
            <w:tcW w:w="838"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6"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rPr>
            </w:pPr>
          </w:p>
        </w:tc>
        <w:tc>
          <w:tcPr>
            <w:tcW w:w="774" w:type="dxa"/>
            <w:tcBorders>
              <w:top w:val="single" w:color="auto" w:sz="6" w:space="0"/>
              <w:left w:val="single" w:color="auto" w:sz="6" w:space="0"/>
              <w:bottom w:val="single" w:color="auto" w:sz="4" w:space="0"/>
              <w:right w:val="single" w:color="auto" w:sz="6" w:space="0"/>
            </w:tcBorders>
          </w:tcPr>
          <w:p>
            <w:pPr>
              <w:spacing w:line="240" w:lineRule="atLeast"/>
              <w:ind w:left="552" w:leftChars="228" w:hanging="73" w:hangingChars="35"/>
              <w:rPr>
                <w:rFonts w:ascii="宋体" w:hAnsi="宋体"/>
                <w:color w:val="auto"/>
                <w:szCs w:val="21"/>
                <w:highlight w:val="none"/>
              </w:rPr>
            </w:pPr>
          </w:p>
        </w:tc>
      </w:tr>
    </w:tbl>
    <w:p>
      <w:pPr>
        <w:spacing w:line="30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根据本表审查项目，不符合的填“○”，符合的填“×”，评审结论填“通过“或“不通过”。。</w:t>
      </w:r>
    </w:p>
    <w:p>
      <w:pPr>
        <w:spacing w:line="3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本表中出现一个（或以上）“×”，投标人的评审结论为“不通过”，即该投标人不进入下一阶段评审。</w:t>
      </w:r>
    </w:p>
    <w:p>
      <w:pPr>
        <w:spacing w:line="3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本表中评审项目全部为“○”，投标人的评审结论为“通过”，即该投标人进入下一阶段评审。</w:t>
      </w:r>
    </w:p>
    <w:p>
      <w:pPr>
        <w:ind w:firstLine="420" w:firstLineChars="200"/>
        <w:rPr>
          <w:color w:val="auto"/>
          <w:highlight w:val="none"/>
        </w:rPr>
      </w:pPr>
      <w:r>
        <w:rPr>
          <w:rFonts w:ascii="宋体" w:hAnsi="宋体"/>
          <w:color w:val="auto"/>
          <w:szCs w:val="21"/>
          <w:highlight w:val="none"/>
        </w:rPr>
        <w:t>4.</w:t>
      </w:r>
      <w:r>
        <w:rPr>
          <w:rFonts w:hint="eastAsia" w:ascii="宋体" w:hAnsi="宋体"/>
          <w:color w:val="auto"/>
          <w:szCs w:val="21"/>
          <w:highlight w:val="none"/>
        </w:rPr>
        <w:t>如对本表中某种情形的评审意见不一致时，以评审组过半数成员的意见作为评审组对该情形的认定结论。</w:t>
      </w:r>
    </w:p>
    <w:p>
      <w:pPr>
        <w:rPr>
          <w:color w:val="auto"/>
          <w:highlight w:val="none"/>
        </w:rPr>
      </w:pPr>
    </w:p>
    <w:p>
      <w:pPr>
        <w:rPr>
          <w:rFonts w:hAnsi="宋体"/>
          <w:b/>
          <w:color w:val="auto"/>
          <w:szCs w:val="21"/>
          <w:highlight w:val="none"/>
        </w:rPr>
      </w:pPr>
      <w:r>
        <w:rPr>
          <w:rFonts w:hint="eastAsia" w:hAnsi="宋体"/>
          <w:color w:val="auto"/>
          <w:szCs w:val="21"/>
          <w:highlight w:val="none"/>
        </w:rPr>
        <w:t>评委签名：                                               日期：</w:t>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附表</w:t>
      </w:r>
      <w:r>
        <w:rPr>
          <w:rFonts w:ascii="宋体" w:hAnsi="宋体"/>
          <w:b/>
          <w:color w:val="auto"/>
          <w:sz w:val="28"/>
          <w:szCs w:val="28"/>
          <w:highlight w:val="none"/>
        </w:rPr>
        <w:t xml:space="preserve">9： </w:t>
      </w:r>
    </w:p>
    <w:p>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建安工程费投标报价评分表</w:t>
      </w:r>
    </w:p>
    <w:p>
      <w:pPr>
        <w:spacing w:line="360" w:lineRule="auto"/>
        <w:rPr>
          <w:rFonts w:ascii="宋体" w:hAnsi="宋体"/>
          <w:color w:val="auto"/>
          <w:sz w:val="24"/>
          <w:highlight w:val="none"/>
        </w:rPr>
      </w:pPr>
      <w:r>
        <w:rPr>
          <w:rFonts w:hint="eastAsia" w:ascii="宋体" w:hAnsi="宋体"/>
          <w:color w:val="auto"/>
          <w:sz w:val="24"/>
          <w:highlight w:val="none"/>
        </w:rPr>
        <w:t>工程名称：</w:t>
      </w:r>
    </w:p>
    <w:tbl>
      <w:tblPr>
        <w:tblStyle w:val="43"/>
        <w:tblW w:w="13982" w:type="dxa"/>
        <w:jc w:val="center"/>
        <w:tblInd w:w="0" w:type="dxa"/>
        <w:tblLayout w:type="fixed"/>
        <w:tblCellMar>
          <w:top w:w="0" w:type="dxa"/>
          <w:left w:w="108" w:type="dxa"/>
          <w:bottom w:w="0" w:type="dxa"/>
          <w:right w:w="108" w:type="dxa"/>
        </w:tblCellMar>
      </w:tblPr>
      <w:tblGrid>
        <w:gridCol w:w="5718"/>
        <w:gridCol w:w="1294"/>
        <w:gridCol w:w="1296"/>
        <w:gridCol w:w="1295"/>
        <w:gridCol w:w="1296"/>
        <w:gridCol w:w="3083"/>
      </w:tblGrid>
      <w:tr>
        <w:tblPrEx>
          <w:tblLayout w:type="fixed"/>
          <w:tblCellMar>
            <w:top w:w="0" w:type="dxa"/>
            <w:left w:w="108" w:type="dxa"/>
            <w:bottom w:w="0" w:type="dxa"/>
            <w:right w:w="108" w:type="dxa"/>
          </w:tblCellMar>
        </w:tblPrEx>
        <w:trPr>
          <w:trHeight w:val="1158"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投标人名称</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Layout w:type="fixed"/>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建安工程费投标报价</w:t>
            </w:r>
            <w:r>
              <w:rPr>
                <w:rFonts w:ascii="宋体" w:hAnsi="宋体"/>
                <w:color w:val="auto"/>
                <w:sz w:val="24"/>
                <w:highlight w:val="none"/>
              </w:rPr>
              <w:t>PT（元）</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计算参考数据</w:t>
            </w:r>
          </w:p>
        </w:tc>
        <w:tc>
          <w:tcPr>
            <w:tcW w:w="8264" w:type="dxa"/>
            <w:gridSpan w:val="5"/>
            <w:tcBorders>
              <w:top w:val="single" w:color="auto" w:sz="4" w:space="0"/>
              <w:left w:val="nil"/>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highlight w:val="none"/>
              </w:rPr>
              <w:t>评标参考价（</w:t>
            </w:r>
            <w:r>
              <w:rPr>
                <w:rFonts w:ascii="宋体" w:hAnsi="宋体"/>
                <w:color w:val="auto"/>
                <w:highlight w:val="none"/>
              </w:rPr>
              <w:t>PC）：</w:t>
            </w: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pacing w:val="-10"/>
                <w:sz w:val="24"/>
                <w:highlight w:val="none"/>
              </w:rPr>
            </w:pPr>
            <w:r>
              <w:rPr>
                <w:rFonts w:hint="eastAsia" w:ascii="宋体" w:hAnsi="宋体"/>
                <w:color w:val="auto"/>
                <w:spacing w:val="-10"/>
                <w:sz w:val="24"/>
                <w:highlight w:val="none"/>
              </w:rPr>
              <w:t>偏差（（</w:t>
            </w:r>
            <w:r>
              <w:rPr>
                <w:rFonts w:ascii="宋体" w:hAnsi="宋体"/>
                <w:color w:val="auto"/>
                <w:spacing w:val="-10"/>
                <w:sz w:val="24"/>
                <w:highlight w:val="none"/>
              </w:rPr>
              <w:t>PT-PC）/PC）（%）</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Layout w:type="fixed"/>
          <w:tblCellMar>
            <w:top w:w="0" w:type="dxa"/>
            <w:left w:w="108" w:type="dxa"/>
            <w:bottom w:w="0" w:type="dxa"/>
            <w:right w:w="108" w:type="dxa"/>
          </w:tblCellMar>
        </w:tblPrEx>
        <w:trPr>
          <w:trHeight w:val="749"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减分（</w:t>
            </w:r>
            <w:r>
              <w:rPr>
                <w:rFonts w:ascii="宋体" w:hAnsi="宋体"/>
                <w:color w:val="auto"/>
                <w:sz w:val="24"/>
                <w:highlight w:val="none"/>
              </w:rPr>
              <w:t>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r>
        <w:tblPrEx>
          <w:tblLayout w:type="fixed"/>
          <w:tblCellMar>
            <w:top w:w="0" w:type="dxa"/>
            <w:left w:w="108" w:type="dxa"/>
            <w:bottom w:w="0" w:type="dxa"/>
            <w:right w:w="108" w:type="dxa"/>
          </w:tblCellMar>
        </w:tblPrEx>
        <w:trPr>
          <w:trHeight w:val="750" w:hRule="atLeast"/>
          <w:jc w:val="center"/>
        </w:trPr>
        <w:tc>
          <w:tcPr>
            <w:tcW w:w="571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经济标得分</w:t>
            </w:r>
            <w:r>
              <w:rPr>
                <w:rFonts w:ascii="宋体" w:hAnsi="宋体"/>
                <w:color w:val="auto"/>
                <w:sz w:val="24"/>
                <w:highlight w:val="none"/>
              </w:rPr>
              <w:t>(I=100-A)</w:t>
            </w:r>
          </w:p>
        </w:tc>
        <w:tc>
          <w:tcPr>
            <w:tcW w:w="1294"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5"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1296"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c>
          <w:tcPr>
            <w:tcW w:w="3083" w:type="dxa"/>
            <w:tcBorders>
              <w:top w:val="single" w:color="auto" w:sz="4" w:space="0"/>
              <w:left w:val="nil"/>
              <w:bottom w:val="single" w:color="auto" w:sz="4" w:space="0"/>
              <w:right w:val="single" w:color="auto" w:sz="4" w:space="0"/>
            </w:tcBorders>
            <w:vAlign w:val="center"/>
          </w:tcPr>
          <w:p>
            <w:pPr>
              <w:ind w:left="563" w:leftChars="228" w:hanging="84" w:hangingChars="35"/>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评委签名：                   日期：</w:t>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br w:type="page"/>
      </w:r>
    </w:p>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附表</w:t>
      </w:r>
      <w:r>
        <w:rPr>
          <w:rFonts w:ascii="宋体" w:hAnsi="宋体"/>
          <w:b/>
          <w:color w:val="auto"/>
          <w:sz w:val="28"/>
          <w:szCs w:val="28"/>
          <w:highlight w:val="none"/>
        </w:rPr>
        <w:t>10</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建安工程费算术复核表</w:t>
      </w:r>
    </w:p>
    <w:p>
      <w:pPr>
        <w:spacing w:line="360" w:lineRule="auto"/>
        <w:rPr>
          <w:rFonts w:ascii="宋体" w:hAnsi="宋体"/>
          <w:bCs/>
          <w:color w:val="auto"/>
          <w:szCs w:val="21"/>
          <w:highlight w:val="none"/>
        </w:rPr>
      </w:pPr>
      <w:r>
        <w:rPr>
          <w:rFonts w:hint="eastAsia" w:ascii="宋体" w:hAnsi="宋体"/>
          <w:bCs/>
          <w:color w:val="auto"/>
          <w:szCs w:val="21"/>
          <w:highlight w:val="none"/>
        </w:rPr>
        <w:t>工程名称：</w:t>
      </w:r>
    </w:p>
    <w:tbl>
      <w:tblPr>
        <w:tblStyle w:val="4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775"/>
        <w:gridCol w:w="2363"/>
        <w:gridCol w:w="1841"/>
        <w:gridCol w:w="1995"/>
        <w:gridCol w:w="220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3775" w:type="dxa"/>
            <w:vAlign w:val="center"/>
          </w:tcPr>
          <w:p>
            <w:pPr>
              <w:jc w:val="center"/>
              <w:rPr>
                <w:rFonts w:ascii="宋体" w:hAnsi="宋体"/>
                <w:color w:val="auto"/>
                <w:sz w:val="24"/>
                <w:highlight w:val="none"/>
              </w:rPr>
            </w:pPr>
            <w:r>
              <w:rPr>
                <w:rFonts w:hint="eastAsia" w:ascii="宋体" w:hAnsi="宋体"/>
                <w:color w:val="auto"/>
                <w:sz w:val="24"/>
                <w:highlight w:val="none"/>
              </w:rPr>
              <w:t>投标单位</w:t>
            </w:r>
          </w:p>
        </w:tc>
        <w:tc>
          <w:tcPr>
            <w:tcW w:w="2363" w:type="dxa"/>
            <w:vAlign w:val="center"/>
          </w:tcPr>
          <w:p>
            <w:pPr>
              <w:jc w:val="center"/>
              <w:rPr>
                <w:rFonts w:ascii="宋体" w:hAnsi="宋体"/>
                <w:color w:val="auto"/>
                <w:sz w:val="24"/>
                <w:highlight w:val="none"/>
              </w:rPr>
            </w:pPr>
            <w:r>
              <w:rPr>
                <w:rFonts w:hint="eastAsia" w:ascii="宋体" w:hAnsi="宋体"/>
                <w:color w:val="auto"/>
                <w:sz w:val="24"/>
                <w:highlight w:val="none"/>
              </w:rPr>
              <w:t>建安工程费报价（元）</w:t>
            </w:r>
          </w:p>
        </w:tc>
        <w:tc>
          <w:tcPr>
            <w:tcW w:w="1841" w:type="dxa"/>
            <w:vAlign w:val="center"/>
          </w:tcPr>
          <w:p>
            <w:pPr>
              <w:jc w:val="center"/>
              <w:rPr>
                <w:rFonts w:ascii="宋体" w:hAnsi="宋体"/>
                <w:color w:val="auto"/>
                <w:sz w:val="24"/>
                <w:highlight w:val="none"/>
              </w:rPr>
            </w:pPr>
            <w:r>
              <w:rPr>
                <w:rFonts w:hint="eastAsia" w:ascii="宋体" w:hAnsi="宋体"/>
                <w:color w:val="auto"/>
                <w:sz w:val="24"/>
                <w:highlight w:val="none"/>
              </w:rPr>
              <w:t>算术复核后报价（元）</w:t>
            </w:r>
          </w:p>
        </w:tc>
        <w:tc>
          <w:tcPr>
            <w:tcW w:w="1995" w:type="dxa"/>
            <w:vAlign w:val="center"/>
          </w:tcPr>
          <w:p>
            <w:pPr>
              <w:jc w:val="center"/>
              <w:rPr>
                <w:rFonts w:ascii="宋体" w:hAnsi="宋体"/>
                <w:color w:val="auto"/>
                <w:sz w:val="24"/>
                <w:highlight w:val="none"/>
              </w:rPr>
            </w:pPr>
            <w:r>
              <w:rPr>
                <w:rFonts w:hint="eastAsia" w:ascii="宋体" w:hAnsi="宋体"/>
                <w:color w:val="auto"/>
                <w:sz w:val="24"/>
                <w:highlight w:val="none"/>
              </w:rPr>
              <w:t>经评审的最终建安工程费报价（元）</w:t>
            </w:r>
          </w:p>
        </w:tc>
        <w:tc>
          <w:tcPr>
            <w:tcW w:w="2205" w:type="dxa"/>
            <w:vAlign w:val="center"/>
          </w:tcPr>
          <w:p>
            <w:pPr>
              <w:jc w:val="center"/>
              <w:rPr>
                <w:rFonts w:ascii="宋体" w:hAnsi="宋体"/>
                <w:color w:val="auto"/>
                <w:sz w:val="24"/>
                <w:highlight w:val="none"/>
              </w:rPr>
            </w:pPr>
            <w:r>
              <w:rPr>
                <w:rFonts w:hint="eastAsia" w:ascii="宋体" w:hAnsi="宋体"/>
                <w:color w:val="auto"/>
                <w:sz w:val="24"/>
                <w:highlight w:val="none"/>
              </w:rPr>
              <w:t>偏差率</w:t>
            </w:r>
          </w:p>
        </w:tc>
        <w:tc>
          <w:tcPr>
            <w:tcW w:w="1048" w:type="dxa"/>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47" w:type="dxa"/>
          </w:tcPr>
          <w:p>
            <w:pPr>
              <w:spacing w:line="360" w:lineRule="auto"/>
              <w:jc w:val="center"/>
              <w:rPr>
                <w:rFonts w:ascii="宋体" w:hAnsi="宋体"/>
                <w:color w:val="auto"/>
                <w:sz w:val="24"/>
                <w:highlight w:val="none"/>
              </w:rPr>
            </w:pPr>
          </w:p>
        </w:tc>
        <w:tc>
          <w:tcPr>
            <w:tcW w:w="3775" w:type="dxa"/>
          </w:tcPr>
          <w:p>
            <w:pPr>
              <w:spacing w:line="360" w:lineRule="auto"/>
              <w:jc w:val="center"/>
              <w:rPr>
                <w:rFonts w:ascii="宋体" w:hAnsi="宋体"/>
                <w:color w:val="auto"/>
                <w:sz w:val="24"/>
                <w:highlight w:val="none"/>
              </w:rPr>
            </w:pPr>
          </w:p>
        </w:tc>
        <w:tc>
          <w:tcPr>
            <w:tcW w:w="2363" w:type="dxa"/>
          </w:tcPr>
          <w:p>
            <w:pPr>
              <w:spacing w:line="360" w:lineRule="auto"/>
              <w:jc w:val="center"/>
              <w:rPr>
                <w:rFonts w:ascii="宋体" w:hAnsi="宋体"/>
                <w:color w:val="auto"/>
                <w:sz w:val="24"/>
                <w:highlight w:val="none"/>
              </w:rPr>
            </w:pPr>
          </w:p>
        </w:tc>
        <w:tc>
          <w:tcPr>
            <w:tcW w:w="1841" w:type="dxa"/>
          </w:tcPr>
          <w:p>
            <w:pPr>
              <w:spacing w:line="360" w:lineRule="auto"/>
              <w:jc w:val="center"/>
              <w:rPr>
                <w:rFonts w:ascii="宋体" w:hAnsi="宋体"/>
                <w:color w:val="auto"/>
                <w:sz w:val="24"/>
                <w:highlight w:val="none"/>
              </w:rPr>
            </w:pPr>
          </w:p>
        </w:tc>
        <w:tc>
          <w:tcPr>
            <w:tcW w:w="1995" w:type="dxa"/>
          </w:tcPr>
          <w:p>
            <w:pPr>
              <w:spacing w:line="360" w:lineRule="auto"/>
              <w:jc w:val="center"/>
              <w:rPr>
                <w:rFonts w:ascii="宋体" w:hAnsi="宋体"/>
                <w:color w:val="auto"/>
                <w:sz w:val="24"/>
                <w:highlight w:val="none"/>
              </w:rPr>
            </w:pPr>
          </w:p>
        </w:tc>
        <w:tc>
          <w:tcPr>
            <w:tcW w:w="2205" w:type="dxa"/>
          </w:tcPr>
          <w:p>
            <w:pPr>
              <w:spacing w:line="360" w:lineRule="auto"/>
              <w:jc w:val="center"/>
              <w:rPr>
                <w:rFonts w:ascii="宋体" w:hAnsi="宋体"/>
                <w:color w:val="auto"/>
                <w:sz w:val="24"/>
                <w:highlight w:val="none"/>
              </w:rPr>
            </w:pPr>
          </w:p>
        </w:tc>
        <w:tc>
          <w:tcPr>
            <w:tcW w:w="1048" w:type="dxa"/>
          </w:tcPr>
          <w:p>
            <w:pPr>
              <w:spacing w:line="360" w:lineRule="auto"/>
              <w:jc w:val="center"/>
              <w:rPr>
                <w:rFonts w:ascii="宋体" w:hAnsi="宋体"/>
                <w:color w:val="auto"/>
                <w:sz w:val="24"/>
                <w:highlight w:val="none"/>
              </w:rPr>
            </w:pPr>
          </w:p>
        </w:tc>
      </w:tr>
    </w:tbl>
    <w:p>
      <w:pPr>
        <w:spacing w:line="360" w:lineRule="auto"/>
        <w:rPr>
          <w:rFonts w:ascii="宋体" w:hAnsi="宋体"/>
          <w:color w:val="auto"/>
          <w:highlight w:val="none"/>
        </w:rPr>
      </w:pPr>
    </w:p>
    <w:p>
      <w:pPr>
        <w:spacing w:line="360" w:lineRule="auto"/>
        <w:rPr>
          <w:rFonts w:ascii="宋体" w:hAnsi="宋体"/>
          <w:color w:val="auto"/>
          <w:szCs w:val="21"/>
          <w:highlight w:val="none"/>
        </w:rPr>
      </w:pPr>
      <w:r>
        <w:rPr>
          <w:rFonts w:hint="eastAsia" w:ascii="宋体" w:hAnsi="宋体"/>
          <w:color w:val="auto"/>
          <w:highlight w:val="none"/>
        </w:rPr>
        <w:t>评委签名：</w:t>
      </w:r>
      <w:r>
        <w:rPr>
          <w:rFonts w:ascii="宋体" w:hAnsi="宋体"/>
          <w:color w:val="auto"/>
          <w:szCs w:val="21"/>
          <w:highlight w:val="none"/>
        </w:rPr>
        <w:t xml:space="preserve">                     日期：</w:t>
      </w:r>
    </w:p>
    <w:p>
      <w:pPr>
        <w:rPr>
          <w:rFonts w:ascii="宋体" w:hAnsi="宋体"/>
          <w:color w:val="auto"/>
          <w:szCs w:val="21"/>
          <w:highlight w:val="none"/>
        </w:rPr>
        <w:sectPr>
          <w:pgSz w:w="16838" w:h="11906" w:orient="landscape"/>
          <w:pgMar w:top="1276" w:right="1440" w:bottom="1797" w:left="1440" w:header="851" w:footer="992" w:gutter="0"/>
          <w:cols w:space="720" w:num="1"/>
          <w:docGrid w:linePitch="312" w:charSpace="0"/>
        </w:sectPr>
      </w:pPr>
    </w:p>
    <w:p>
      <w:pPr>
        <w:rPr>
          <w:color w:val="auto"/>
          <w:highlight w:val="none"/>
        </w:rPr>
      </w:pPr>
    </w:p>
    <w:p>
      <w:pPr>
        <w:rPr>
          <w:color w:val="auto"/>
          <w:highlight w:val="none"/>
        </w:rPr>
      </w:pPr>
    </w:p>
    <w:p>
      <w:pPr>
        <w:pStyle w:val="3"/>
        <w:rPr>
          <w:color w:val="auto"/>
          <w:highlight w:val="none"/>
        </w:rPr>
      </w:pPr>
      <w:bookmarkStart w:id="1023" w:name="_Toc247527634"/>
      <w:bookmarkStart w:id="1024" w:name="_Toc152045609"/>
      <w:bookmarkStart w:id="1025" w:name="_Toc22634"/>
      <w:bookmarkStart w:id="1026" w:name="_Toc494371582"/>
      <w:bookmarkStart w:id="1027" w:name="_Toc16000"/>
      <w:bookmarkStart w:id="1028" w:name="_Toc152042387"/>
      <w:bookmarkStart w:id="1029" w:name="_Toc2984"/>
      <w:bookmarkStart w:id="1030" w:name="_Toc17385"/>
      <w:bookmarkStart w:id="1031" w:name="_Toc300835030"/>
      <w:bookmarkStart w:id="1032" w:name="_Toc247514033"/>
      <w:bookmarkStart w:id="1033" w:name="_Toc4736"/>
      <w:bookmarkStart w:id="1034" w:name="_Toc144974577"/>
      <w:bookmarkStart w:id="1035" w:name="_Toc29140"/>
      <w:bookmarkStart w:id="1036" w:name="_Toc2492"/>
      <w:bookmarkStart w:id="1037" w:name="_Toc8047"/>
      <w:bookmarkStart w:id="1038" w:name="_Toc29492"/>
      <w:bookmarkStart w:id="1039" w:name="_Toc13994"/>
      <w:bookmarkStart w:id="1040" w:name="_Toc31763"/>
      <w:r>
        <w:rPr>
          <w:rFonts w:hint="eastAsia"/>
          <w:color w:val="auto"/>
          <w:highlight w:val="none"/>
        </w:rPr>
        <w:t>第四章合同条款及格式</w:t>
      </w:r>
      <w:bookmarkEnd w:id="1023"/>
      <w:bookmarkEnd w:id="1024"/>
      <w:bookmarkEnd w:id="1025"/>
      <w:bookmarkEnd w:id="1026"/>
      <w:bookmarkEnd w:id="1027"/>
      <w:bookmarkEnd w:id="1028"/>
      <w:bookmarkEnd w:id="1029"/>
      <w:bookmarkEnd w:id="1030"/>
      <w:bookmarkEnd w:id="1031"/>
      <w:bookmarkEnd w:id="1032"/>
      <w:bookmarkEnd w:id="1033"/>
      <w:bookmarkEnd w:id="1034"/>
      <w:bookmarkStart w:id="1041" w:name="_Toc152045610"/>
      <w:bookmarkStart w:id="1042" w:name="_Toc247527635"/>
      <w:bookmarkStart w:id="1043" w:name="_Toc144974578"/>
      <w:bookmarkStart w:id="1044" w:name="_Toc184635097"/>
      <w:bookmarkStart w:id="1045" w:name="_Toc247514034"/>
      <w:bookmarkStart w:id="1046" w:name="_Toc152042388"/>
      <w:r>
        <w:rPr>
          <w:rFonts w:hint="eastAsia"/>
          <w:color w:val="auto"/>
          <w:highlight w:val="none"/>
        </w:rPr>
        <w:t>（另册）</w:t>
      </w:r>
      <w:bookmarkEnd w:id="1035"/>
      <w:bookmarkEnd w:id="1036"/>
      <w:bookmarkEnd w:id="1037"/>
      <w:bookmarkEnd w:id="1038"/>
      <w:bookmarkEnd w:id="1039"/>
      <w:bookmarkEnd w:id="1040"/>
    </w:p>
    <w:p>
      <w:pPr>
        <w:rPr>
          <w:color w:val="auto"/>
          <w:highlight w:val="none"/>
        </w:rPr>
      </w:pPr>
      <w:r>
        <w:rPr>
          <w:color w:val="auto"/>
          <w:highlight w:val="none"/>
        </w:rPr>
        <w:br w:type="page"/>
      </w:r>
    </w:p>
    <w:p>
      <w:pPr>
        <w:rPr>
          <w:color w:val="auto"/>
          <w:highlight w:val="none"/>
        </w:rPr>
      </w:pPr>
    </w:p>
    <w:bookmarkEnd w:id="1041"/>
    <w:bookmarkEnd w:id="1042"/>
    <w:bookmarkEnd w:id="1043"/>
    <w:bookmarkEnd w:id="1044"/>
    <w:bookmarkEnd w:id="1045"/>
    <w:bookmarkEnd w:id="1046"/>
    <w:p>
      <w:pPr>
        <w:rPr>
          <w:color w:val="auto"/>
          <w:highlight w:val="none"/>
        </w:rPr>
      </w:pPr>
    </w:p>
    <w:p>
      <w:pPr>
        <w:rPr>
          <w:color w:val="auto"/>
          <w:highlight w:val="none"/>
        </w:rPr>
      </w:pPr>
      <w:bookmarkStart w:id="1047" w:name="_Toc152042554"/>
      <w:bookmarkEnd w:id="1047"/>
      <w:bookmarkStart w:id="1048" w:name="_Toc247527803"/>
      <w:bookmarkEnd w:id="1048"/>
      <w:bookmarkStart w:id="1049" w:name="_Toc152045772"/>
      <w:bookmarkEnd w:id="1049"/>
      <w:bookmarkStart w:id="1050" w:name="_Toc144974834"/>
      <w:bookmarkEnd w:id="1050"/>
      <w:bookmarkStart w:id="1051" w:name="_Toc247514202"/>
      <w:bookmarkEnd w:id="1051"/>
    </w:p>
    <w:p>
      <w:pPr>
        <w:spacing w:line="400" w:lineRule="exact"/>
        <w:rPr>
          <w:color w:val="auto"/>
          <w:highlight w:val="none"/>
        </w:rPr>
      </w:pPr>
    </w:p>
    <w:p>
      <w:pPr>
        <w:pStyle w:val="3"/>
        <w:rPr>
          <w:color w:val="auto"/>
          <w:highlight w:val="none"/>
        </w:rPr>
      </w:pPr>
      <w:bookmarkStart w:id="1052" w:name="_Toc247514232"/>
      <w:bookmarkStart w:id="1053" w:name="_Toc300835204"/>
      <w:bookmarkStart w:id="1054" w:name="_Toc247527819"/>
      <w:bookmarkStart w:id="1055" w:name="_Toc28286"/>
      <w:bookmarkStart w:id="1056" w:name="_Toc6632"/>
      <w:bookmarkStart w:id="1057" w:name="_Toc2433"/>
      <w:bookmarkStart w:id="1058" w:name="_Toc8606"/>
      <w:bookmarkStart w:id="1059" w:name="_Toc28468"/>
      <w:bookmarkStart w:id="1060" w:name="_Toc25726"/>
      <w:bookmarkStart w:id="1061" w:name="_Toc7709"/>
      <w:bookmarkStart w:id="1062" w:name="_Toc2710"/>
      <w:bookmarkStart w:id="1063" w:name="_Toc13932"/>
      <w:bookmarkStart w:id="1064" w:name="_Toc30942"/>
      <w:bookmarkStart w:id="1065" w:name="_Toc22"/>
      <w:bookmarkStart w:id="1066" w:name="_Toc494371583"/>
      <w:r>
        <w:rPr>
          <w:rFonts w:hint="eastAsia"/>
          <w:color w:val="auto"/>
          <w:highlight w:val="none"/>
        </w:rPr>
        <w:t>第二卷</w:t>
      </w:r>
      <w:bookmarkEnd w:id="1052"/>
      <w:bookmarkEnd w:id="1053"/>
      <w:bookmarkEnd w:id="1054"/>
      <w:r>
        <w:rPr>
          <w:color w:val="auto"/>
          <w:highlight w:val="none"/>
        </w:rPr>
        <w:br w:type="page"/>
      </w:r>
      <w:bookmarkEnd w:id="1055"/>
      <w:bookmarkEnd w:id="1056"/>
      <w:bookmarkEnd w:id="1057"/>
      <w:bookmarkEnd w:id="1058"/>
      <w:bookmarkEnd w:id="1059"/>
      <w:bookmarkEnd w:id="1060"/>
      <w:bookmarkStart w:id="1067" w:name="_Toc247527820"/>
      <w:bookmarkStart w:id="1068" w:name="_Toc247514233"/>
      <w:bookmarkStart w:id="1069" w:name="_Toc152045782"/>
      <w:bookmarkStart w:id="1070" w:name="_Toc152042571"/>
      <w:bookmarkStart w:id="1071" w:name="_Toc32572"/>
      <w:bookmarkStart w:id="1072" w:name="_Toc144974851"/>
      <w:bookmarkStart w:id="1073" w:name="_Toc24608"/>
      <w:bookmarkStart w:id="1074" w:name="_Toc13696"/>
      <w:bookmarkStart w:id="1075" w:name="_Toc300835205"/>
      <w:bookmarkStart w:id="1076" w:name="_Toc15076"/>
      <w:bookmarkStart w:id="1077" w:name="_Toc29518"/>
      <w:bookmarkStart w:id="1078" w:name="_Toc494371584"/>
    </w:p>
    <w:p>
      <w:pPr>
        <w:pStyle w:val="3"/>
        <w:spacing w:after="120"/>
        <w:rPr>
          <w:color w:val="auto"/>
          <w:highlight w:val="none"/>
        </w:rPr>
      </w:pPr>
      <w:bookmarkStart w:id="1079" w:name="_Toc9082"/>
      <w:r>
        <w:rPr>
          <w:rFonts w:hint="eastAsia"/>
          <w:color w:val="auto"/>
          <w:highlight w:val="none"/>
        </w:rPr>
        <w:t>第五章</w:t>
      </w:r>
      <w:bookmarkEnd w:id="1067"/>
      <w:bookmarkEnd w:id="1068"/>
      <w:bookmarkEnd w:id="1069"/>
      <w:bookmarkEnd w:id="1070"/>
      <w:bookmarkEnd w:id="1071"/>
      <w:bookmarkEnd w:id="1072"/>
      <w:bookmarkEnd w:id="1073"/>
      <w:bookmarkEnd w:id="1074"/>
      <w:bookmarkEnd w:id="1075"/>
      <w:bookmarkEnd w:id="1076"/>
      <w:r>
        <w:rPr>
          <w:rFonts w:hint="eastAsia"/>
          <w:color w:val="auto"/>
          <w:highlight w:val="none"/>
        </w:rPr>
        <w:t>项目方案效果图</w:t>
      </w:r>
      <w:bookmarkEnd w:id="1061"/>
      <w:bookmarkEnd w:id="1062"/>
      <w:bookmarkEnd w:id="1063"/>
      <w:bookmarkEnd w:id="1064"/>
      <w:bookmarkEnd w:id="1065"/>
      <w:bookmarkEnd w:id="1066"/>
      <w:bookmarkEnd w:id="1077"/>
      <w:bookmarkEnd w:id="1078"/>
      <w:bookmarkEnd w:id="1079"/>
    </w:p>
    <w:p>
      <w:pPr>
        <w:spacing w:line="360" w:lineRule="auto"/>
        <w:ind w:firstLine="482" w:firstLineChars="200"/>
        <w:rPr>
          <w:b/>
          <w:color w:val="auto"/>
          <w:sz w:val="24"/>
          <w:highlight w:val="none"/>
        </w:rPr>
      </w:pPr>
      <w:r>
        <w:rPr>
          <w:rFonts w:hint="eastAsia"/>
          <w:b/>
          <w:color w:val="auto"/>
          <w:sz w:val="24"/>
          <w:highlight w:val="none"/>
        </w:rPr>
        <w:t>项目基本情况</w:t>
      </w:r>
    </w:p>
    <w:p>
      <w:pPr>
        <w:numPr>
          <w:ilvl w:val="0"/>
          <w:numId w:val="5"/>
        </w:numPr>
        <w:spacing w:line="360" w:lineRule="auto"/>
        <w:ind w:firstLine="480" w:firstLineChars="200"/>
        <w:rPr>
          <w:color w:val="auto"/>
          <w:sz w:val="24"/>
          <w:highlight w:val="none"/>
        </w:rPr>
      </w:pPr>
      <w:r>
        <w:rPr>
          <w:rFonts w:hint="eastAsia"/>
          <w:color w:val="auto"/>
          <w:sz w:val="24"/>
          <w:highlight w:val="none"/>
        </w:rPr>
        <w:t>项目名称：南沙天后宫景区灯光亮化工程（首期）设计施工总承包</w:t>
      </w:r>
    </w:p>
    <w:p>
      <w:pPr>
        <w:numPr>
          <w:ilvl w:val="0"/>
          <w:numId w:val="5"/>
        </w:numPr>
        <w:spacing w:line="360" w:lineRule="auto"/>
        <w:ind w:firstLine="480" w:firstLineChars="200"/>
        <w:rPr>
          <w:color w:val="auto"/>
          <w:sz w:val="24"/>
          <w:highlight w:val="none"/>
        </w:rPr>
      </w:pPr>
      <w:r>
        <w:rPr>
          <w:rFonts w:hint="eastAsia"/>
          <w:color w:val="auto"/>
          <w:sz w:val="24"/>
          <w:highlight w:val="none"/>
        </w:rPr>
        <w:t>地理位置：南沙天后宫</w:t>
      </w:r>
    </w:p>
    <w:p>
      <w:pPr>
        <w:numPr>
          <w:ilvl w:val="0"/>
          <w:numId w:val="5"/>
        </w:numPr>
        <w:spacing w:line="360" w:lineRule="auto"/>
        <w:ind w:firstLine="480" w:firstLineChars="200"/>
        <w:rPr>
          <w:color w:val="auto"/>
          <w:sz w:val="24"/>
          <w:highlight w:val="none"/>
        </w:rPr>
      </w:pPr>
      <w:r>
        <w:rPr>
          <w:rFonts w:hint="eastAsia"/>
          <w:color w:val="auto"/>
          <w:sz w:val="24"/>
          <w:highlight w:val="none"/>
        </w:rPr>
        <w:t>设计阶段：方案设计、施工图设计、施工过程配合服务、竣工验收服务。</w:t>
      </w:r>
    </w:p>
    <w:p>
      <w:pPr>
        <w:pStyle w:val="2"/>
        <w:spacing w:line="360" w:lineRule="auto"/>
        <w:rPr>
          <w:color w:val="auto"/>
          <w:sz w:val="24"/>
          <w:highlight w:val="none"/>
        </w:rPr>
      </w:pPr>
      <w:r>
        <w:rPr>
          <w:rFonts w:hint="eastAsia"/>
          <w:color w:val="auto"/>
          <w:sz w:val="24"/>
          <w:highlight w:val="none"/>
        </w:rPr>
        <w:drawing>
          <wp:inline distT="0" distB="0" distL="114300" distR="114300">
            <wp:extent cx="5974080" cy="4223385"/>
            <wp:effectExtent l="0" t="0" r="7620" b="5715"/>
            <wp:docPr id="4" name="图片 4" descr="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13"/>
                    <pic:cNvPicPr>
                      <a:picLocks noChangeAspect="1"/>
                    </pic:cNvPicPr>
                  </pic:nvPicPr>
                  <pic:blipFill>
                    <a:blip r:embed="rId9" cstate="print"/>
                    <a:stretch>
                      <a:fillRect/>
                    </a:stretch>
                  </pic:blipFill>
                  <pic:spPr>
                    <a:xfrm>
                      <a:off x="0" y="0"/>
                      <a:ext cx="5974080" cy="4223385"/>
                    </a:xfrm>
                    <a:prstGeom prst="rect">
                      <a:avLst/>
                    </a:prstGeom>
                  </pic:spPr>
                </pic:pic>
              </a:graphicData>
            </a:graphic>
          </wp:inline>
        </w:drawing>
      </w:r>
    </w:p>
    <w:p>
      <w:pPr>
        <w:pStyle w:val="2"/>
        <w:spacing w:line="360" w:lineRule="auto"/>
        <w:rPr>
          <w:rFonts w:hint="eastAsia"/>
          <w:color w:val="auto"/>
          <w:sz w:val="24"/>
          <w:highlight w:val="none"/>
        </w:rPr>
      </w:pPr>
      <w:r>
        <w:rPr>
          <w:rFonts w:hint="eastAsia"/>
          <w:color w:val="auto"/>
          <w:sz w:val="24"/>
          <w:highlight w:val="none"/>
        </w:rPr>
        <w:t xml:space="preserve">                              </w:t>
      </w:r>
    </w:p>
    <w:p>
      <w:pPr>
        <w:pStyle w:val="2"/>
        <w:spacing w:line="360" w:lineRule="auto"/>
        <w:ind w:firstLine="2871" w:firstLineChars="650"/>
        <w:rPr>
          <w:b/>
          <w:color w:val="auto"/>
          <w:sz w:val="44"/>
          <w:szCs w:val="44"/>
          <w:highlight w:val="none"/>
        </w:rPr>
      </w:pPr>
      <w:r>
        <w:rPr>
          <w:rFonts w:hint="eastAsia"/>
          <w:b/>
          <w:color w:val="auto"/>
          <w:sz w:val="44"/>
          <w:szCs w:val="44"/>
          <w:highlight w:val="none"/>
        </w:rPr>
        <w:t>南岭塔效果图</w:t>
      </w: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r>
        <w:rPr>
          <w:rFonts w:hint="eastAsia"/>
          <w:color w:val="auto"/>
          <w:sz w:val="24"/>
          <w:highlight w:val="none"/>
        </w:rPr>
        <w:drawing>
          <wp:inline distT="0" distB="0" distL="114300" distR="114300">
            <wp:extent cx="5974080" cy="4223385"/>
            <wp:effectExtent l="0" t="0" r="7620" b="5715"/>
            <wp:docPr id="5" name="图片 5" descr="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11"/>
                    <pic:cNvPicPr>
                      <a:picLocks noChangeAspect="1"/>
                    </pic:cNvPicPr>
                  </pic:nvPicPr>
                  <pic:blipFill>
                    <a:blip r:embed="rId10" cstate="print"/>
                    <a:stretch>
                      <a:fillRect/>
                    </a:stretch>
                  </pic:blipFill>
                  <pic:spPr>
                    <a:xfrm>
                      <a:off x="0" y="0"/>
                      <a:ext cx="5974080" cy="4223385"/>
                    </a:xfrm>
                    <a:prstGeom prst="rect">
                      <a:avLst/>
                    </a:prstGeom>
                  </pic:spPr>
                </pic:pic>
              </a:graphicData>
            </a:graphic>
          </wp:inline>
        </w:drawing>
      </w:r>
    </w:p>
    <w:p>
      <w:pPr>
        <w:pStyle w:val="2"/>
        <w:spacing w:line="360" w:lineRule="auto"/>
        <w:rPr>
          <w:color w:val="auto"/>
          <w:sz w:val="24"/>
          <w:highlight w:val="none"/>
        </w:rPr>
      </w:pPr>
    </w:p>
    <w:p>
      <w:pPr>
        <w:pStyle w:val="2"/>
        <w:spacing w:line="360" w:lineRule="auto"/>
        <w:rPr>
          <w:b/>
          <w:color w:val="auto"/>
          <w:sz w:val="44"/>
          <w:szCs w:val="44"/>
          <w:highlight w:val="none"/>
        </w:rPr>
      </w:pPr>
      <w:r>
        <w:rPr>
          <w:rFonts w:hint="eastAsia"/>
          <w:color w:val="auto"/>
          <w:sz w:val="24"/>
          <w:highlight w:val="none"/>
        </w:rPr>
        <w:t xml:space="preserve">                         </w:t>
      </w:r>
      <w:r>
        <w:rPr>
          <w:rFonts w:hint="eastAsia"/>
          <w:b/>
          <w:color w:val="auto"/>
          <w:sz w:val="44"/>
          <w:szCs w:val="44"/>
          <w:highlight w:val="none"/>
        </w:rPr>
        <w:t xml:space="preserve"> 天后石像效果图</w:t>
      </w: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r>
        <w:rPr>
          <w:rFonts w:hint="eastAsia"/>
          <w:color w:val="auto"/>
          <w:sz w:val="24"/>
          <w:highlight w:val="none"/>
        </w:rPr>
        <w:drawing>
          <wp:inline distT="0" distB="0" distL="114300" distR="114300">
            <wp:extent cx="5974080" cy="4223385"/>
            <wp:effectExtent l="0" t="0" r="7620" b="5715"/>
            <wp:docPr id="6" name="图片 6" descr="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014"/>
                    <pic:cNvPicPr>
                      <a:picLocks noChangeAspect="1"/>
                    </pic:cNvPicPr>
                  </pic:nvPicPr>
                  <pic:blipFill>
                    <a:blip r:embed="rId11" cstate="print"/>
                    <a:stretch>
                      <a:fillRect/>
                    </a:stretch>
                  </pic:blipFill>
                  <pic:spPr>
                    <a:xfrm>
                      <a:off x="0" y="0"/>
                      <a:ext cx="5974080" cy="4223385"/>
                    </a:xfrm>
                    <a:prstGeom prst="rect">
                      <a:avLst/>
                    </a:prstGeom>
                  </pic:spPr>
                </pic:pic>
              </a:graphicData>
            </a:graphic>
          </wp:inline>
        </w:drawing>
      </w:r>
    </w:p>
    <w:p>
      <w:pPr>
        <w:pStyle w:val="2"/>
        <w:spacing w:line="360" w:lineRule="auto"/>
        <w:rPr>
          <w:color w:val="auto"/>
          <w:sz w:val="24"/>
          <w:highlight w:val="none"/>
        </w:rPr>
      </w:pPr>
    </w:p>
    <w:p>
      <w:pPr>
        <w:pStyle w:val="2"/>
        <w:spacing w:line="360" w:lineRule="auto"/>
        <w:rPr>
          <w:b/>
          <w:color w:val="auto"/>
          <w:sz w:val="44"/>
          <w:szCs w:val="44"/>
          <w:highlight w:val="none"/>
        </w:rPr>
      </w:pPr>
      <w:r>
        <w:rPr>
          <w:rFonts w:hint="eastAsia"/>
          <w:color w:val="auto"/>
          <w:sz w:val="24"/>
          <w:highlight w:val="none"/>
        </w:rPr>
        <w:t xml:space="preserve">                            </w:t>
      </w:r>
      <w:r>
        <w:rPr>
          <w:rFonts w:hint="eastAsia"/>
          <w:b/>
          <w:color w:val="auto"/>
          <w:sz w:val="44"/>
          <w:szCs w:val="44"/>
          <w:highlight w:val="none"/>
        </w:rPr>
        <w:t>正门牌坊效果图</w:t>
      </w: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spacing w:line="360" w:lineRule="auto"/>
        <w:rPr>
          <w:color w:val="auto"/>
          <w:sz w:val="24"/>
          <w:highlight w:val="none"/>
        </w:rPr>
      </w:pPr>
    </w:p>
    <w:p>
      <w:pPr>
        <w:pStyle w:val="2"/>
        <w:rPr>
          <w:color w:val="auto"/>
          <w:sz w:val="24"/>
          <w:highlight w:val="none"/>
        </w:rPr>
      </w:pPr>
    </w:p>
    <w:p>
      <w:pPr>
        <w:pStyle w:val="3"/>
        <w:rPr>
          <w:rFonts w:hint="eastAsia"/>
          <w:color w:val="auto"/>
          <w:highlight w:val="none"/>
        </w:rPr>
      </w:pPr>
      <w:bookmarkStart w:id="1080" w:name="_Toc300835206"/>
      <w:bookmarkStart w:id="1081" w:name="_Toc15946"/>
      <w:bookmarkStart w:id="1082" w:name="_Toc18835"/>
      <w:bookmarkStart w:id="1083" w:name="_Toc8482"/>
      <w:bookmarkStart w:id="1084" w:name="_Toc21889"/>
      <w:bookmarkStart w:id="1085" w:name="_Toc494371585"/>
      <w:bookmarkStart w:id="1086" w:name="_Toc32466"/>
      <w:bookmarkStart w:id="1087" w:name="_Toc11303"/>
      <w:bookmarkStart w:id="1088" w:name="_Toc21618"/>
      <w:bookmarkStart w:id="1089" w:name="_Toc2718"/>
      <w:bookmarkStart w:id="1090" w:name="_Toc25249"/>
      <w:bookmarkStart w:id="1091" w:name="_Toc29491"/>
      <w:bookmarkStart w:id="1092" w:name="_Toc32359"/>
    </w:p>
    <w:p>
      <w:pPr>
        <w:pStyle w:val="3"/>
        <w:rPr>
          <w:rFonts w:hint="eastAsia"/>
          <w:color w:val="auto"/>
          <w:highlight w:val="none"/>
        </w:rPr>
      </w:pPr>
    </w:p>
    <w:p>
      <w:pPr>
        <w:pStyle w:val="3"/>
        <w:rPr>
          <w:rFonts w:hint="eastAsia"/>
          <w:color w:val="auto"/>
          <w:highlight w:val="none"/>
        </w:rPr>
      </w:pPr>
    </w:p>
    <w:p>
      <w:pPr>
        <w:pStyle w:val="3"/>
        <w:rPr>
          <w:color w:val="auto"/>
          <w:highlight w:val="none"/>
        </w:rPr>
      </w:pPr>
      <w:r>
        <w:rPr>
          <w:rFonts w:hint="eastAsia"/>
          <w:color w:val="auto"/>
          <w:highlight w:val="none"/>
        </w:rPr>
        <w:t>第六章发包人提供的资料</w:t>
      </w:r>
      <w:bookmarkEnd w:id="1080"/>
      <w:bookmarkEnd w:id="1081"/>
      <w:bookmarkEnd w:id="1082"/>
      <w:bookmarkEnd w:id="1083"/>
      <w:bookmarkEnd w:id="1084"/>
      <w:r>
        <w:rPr>
          <w:rFonts w:hint="eastAsia"/>
          <w:color w:val="auto"/>
          <w:highlight w:val="none"/>
        </w:rPr>
        <w:t>（另册）</w:t>
      </w:r>
      <w:bookmarkEnd w:id="1085"/>
      <w:bookmarkEnd w:id="1086"/>
      <w:bookmarkEnd w:id="1087"/>
      <w:bookmarkEnd w:id="1088"/>
      <w:bookmarkEnd w:id="1089"/>
      <w:bookmarkEnd w:id="1090"/>
      <w:bookmarkEnd w:id="1091"/>
      <w:bookmarkEnd w:id="1092"/>
    </w:p>
    <w:p>
      <w:pPr>
        <w:spacing w:line="360" w:lineRule="auto"/>
        <w:rPr>
          <w:color w:val="auto"/>
          <w:highlight w:val="none"/>
        </w:rPr>
      </w:pPr>
      <w:r>
        <w:rPr>
          <w:color w:val="auto"/>
          <w:highlight w:val="none"/>
        </w:rPr>
        <w:br w:type="page"/>
      </w:r>
    </w:p>
    <w:p>
      <w:pPr>
        <w:spacing w:line="360" w:lineRule="auto"/>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400" w:lineRule="exact"/>
        <w:rPr>
          <w:color w:val="auto"/>
          <w:highlight w:val="none"/>
        </w:rPr>
      </w:pPr>
    </w:p>
    <w:p>
      <w:pPr>
        <w:pStyle w:val="3"/>
        <w:rPr>
          <w:color w:val="auto"/>
          <w:highlight w:val="none"/>
        </w:rPr>
      </w:pPr>
      <w:bookmarkStart w:id="1093" w:name="_Toc25694"/>
      <w:bookmarkStart w:id="1094" w:name="_Toc247514244"/>
      <w:bookmarkStart w:id="1095" w:name="_Toc7732"/>
      <w:bookmarkStart w:id="1096" w:name="_Toc27414"/>
      <w:bookmarkStart w:id="1097" w:name="_Toc5743"/>
      <w:bookmarkStart w:id="1098" w:name="_Toc24911"/>
      <w:bookmarkStart w:id="1099" w:name="_Toc15680"/>
      <w:bookmarkStart w:id="1100" w:name="_Toc16430"/>
      <w:bookmarkStart w:id="1101" w:name="_Toc247527825"/>
      <w:bookmarkStart w:id="1102" w:name="_Toc1901"/>
      <w:bookmarkStart w:id="1103" w:name="_Toc300835207"/>
      <w:bookmarkStart w:id="1104" w:name="_Toc1451"/>
      <w:bookmarkStart w:id="1105" w:name="_Toc494371586"/>
      <w:bookmarkStart w:id="1106" w:name="_Toc15004"/>
      <w:bookmarkStart w:id="1107" w:name="_Toc20209"/>
      <w:bookmarkStart w:id="1108" w:name="_Toc152042575"/>
      <w:bookmarkStart w:id="1109" w:name="_Toc152045786"/>
      <w:bookmarkStart w:id="1110" w:name="_Toc144974855"/>
      <w:r>
        <w:rPr>
          <w:rFonts w:hint="eastAsia"/>
          <w:color w:val="auto"/>
          <w:highlight w:val="none"/>
        </w:rPr>
        <w:t>第三卷</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pPr>
        <w:spacing w:line="400" w:lineRule="exact"/>
        <w:jc w:val="center"/>
        <w:rPr>
          <w:color w:val="auto"/>
          <w:highlight w:val="none"/>
        </w:rPr>
      </w:pPr>
      <w:r>
        <w:rPr>
          <w:rFonts w:ascii="黑体" w:hAnsi="黑体" w:eastAsia="黑体"/>
          <w:b/>
          <w:bCs/>
          <w:color w:val="auto"/>
          <w:sz w:val="32"/>
          <w:highlight w:val="none"/>
        </w:rPr>
        <w:br w:type="page"/>
      </w: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pStyle w:val="3"/>
        <w:rPr>
          <w:color w:val="auto"/>
          <w:highlight w:val="none"/>
        </w:rPr>
      </w:pPr>
      <w:bookmarkStart w:id="1111" w:name="_Toc15238"/>
      <w:bookmarkStart w:id="1112" w:name="_Toc8886"/>
      <w:bookmarkStart w:id="1113" w:name="_Toc24639"/>
      <w:bookmarkStart w:id="1114" w:name="_Toc8861"/>
      <w:bookmarkStart w:id="1115" w:name="_Toc18331"/>
      <w:bookmarkStart w:id="1116" w:name="_Toc12601"/>
      <w:bookmarkStart w:id="1117" w:name="_Toc300835208"/>
      <w:bookmarkStart w:id="1118" w:name="_Toc10445"/>
      <w:bookmarkStart w:id="1119" w:name="_Toc2828"/>
      <w:bookmarkStart w:id="1120" w:name="_Toc247527826"/>
      <w:bookmarkStart w:id="1121" w:name="_Toc494371587"/>
      <w:bookmarkStart w:id="1122" w:name="_Toc13416"/>
      <w:bookmarkStart w:id="1123" w:name="_Toc5024"/>
      <w:bookmarkStart w:id="1124" w:name="_Toc247514245"/>
      <w:bookmarkStart w:id="1125" w:name="_Toc26681"/>
      <w:r>
        <w:rPr>
          <w:rFonts w:hint="eastAsia"/>
          <w:color w:val="auto"/>
          <w:highlight w:val="none"/>
        </w:rPr>
        <w:t>第七章投标文件格式</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pPr>
        <w:spacing w:line="400" w:lineRule="exact"/>
        <w:rPr>
          <w:color w:val="auto"/>
          <w:highlight w:val="none"/>
        </w:rPr>
      </w:pPr>
    </w:p>
    <w:p>
      <w:pPr>
        <w:autoSpaceDE w:val="0"/>
        <w:autoSpaceDN w:val="0"/>
        <w:adjustRightInd w:val="0"/>
        <w:spacing w:line="360" w:lineRule="auto"/>
        <w:rPr>
          <w:rFonts w:hAnsi="宋体" w:cs="宋体"/>
          <w:bCs/>
          <w:color w:val="auto"/>
          <w:highlight w:val="none"/>
        </w:rPr>
      </w:pPr>
      <w:r>
        <w:rPr>
          <w:color w:val="auto"/>
          <w:highlight w:val="none"/>
        </w:rPr>
        <w:br w:type="page"/>
      </w:r>
      <w:bookmarkStart w:id="1126" w:name="_Toc297120233"/>
      <w:bookmarkStart w:id="1127" w:name="_Toc226209002"/>
      <w:bookmarkStart w:id="1128" w:name="_Toc248650369"/>
      <w:bookmarkStart w:id="1129" w:name="_Toc314129316"/>
      <w:bookmarkStart w:id="1130" w:name="_Toc296593028"/>
      <w:bookmarkStart w:id="1131" w:name="_Toc332183369"/>
      <w:bookmarkStart w:id="1132" w:name="_Toc314127292"/>
      <w:bookmarkStart w:id="1133" w:name="_Toc314128460"/>
      <w:bookmarkStart w:id="1134" w:name="_Toc314127443"/>
      <w:bookmarkStart w:id="1135" w:name="_Toc254961554"/>
      <w:bookmarkStart w:id="1136" w:name="_Toc314127361"/>
      <w:bookmarkStart w:id="1137" w:name="_Toc268935231"/>
      <w:r>
        <w:rPr>
          <w:rFonts w:hint="eastAsia" w:hAnsi="宋体" w:cs="宋体"/>
          <w:bCs/>
          <w:color w:val="auto"/>
          <w:highlight w:val="none"/>
        </w:rPr>
        <w:t>格式</w:t>
      </w:r>
      <w:r>
        <w:rPr>
          <w:rFonts w:hAnsi="宋体" w:cs="宋体"/>
          <w:bCs/>
          <w:color w:val="auto"/>
          <w:highlight w:val="none"/>
        </w:rPr>
        <w:t>1</w:t>
      </w:r>
    </w:p>
    <w:p>
      <w:pPr>
        <w:autoSpaceDE w:val="0"/>
        <w:autoSpaceDN w:val="0"/>
        <w:adjustRightInd w:val="0"/>
        <w:spacing w:line="360" w:lineRule="auto"/>
        <w:jc w:val="center"/>
        <w:rPr>
          <w:rFonts w:hAnsi="宋体" w:cs="宋体"/>
          <w:b/>
          <w:bCs/>
          <w:color w:val="auto"/>
          <w:highlight w:val="none"/>
          <w:lang w:val="zh-CN"/>
        </w:rPr>
      </w:pPr>
      <w:r>
        <w:rPr>
          <w:rFonts w:hint="eastAsia" w:ascii="黑体" w:hAnsi="黑体" w:eastAsia="黑体" w:cs="黑体"/>
          <w:b/>
          <w:bCs/>
          <w:color w:val="auto"/>
          <w:sz w:val="32"/>
          <w:szCs w:val="32"/>
          <w:highlight w:val="none"/>
        </w:rPr>
        <w:t>设计</w:t>
      </w:r>
      <w:r>
        <w:rPr>
          <w:rFonts w:hint="eastAsia" w:ascii="黑体" w:hAnsi="黑体" w:eastAsia="黑体" w:cs="黑体"/>
          <w:b/>
          <w:bCs/>
          <w:color w:val="auto"/>
          <w:sz w:val="32"/>
          <w:szCs w:val="32"/>
          <w:highlight w:val="none"/>
          <w:lang w:val="zh-CN"/>
        </w:rPr>
        <w:t>投标书</w:t>
      </w:r>
    </w:p>
    <w:p>
      <w:pPr>
        <w:pStyle w:val="2"/>
        <w:rPr>
          <w:rFonts w:hAnsi="宋体" w:cs="宋体"/>
          <w:color w:val="auto"/>
          <w:sz w:val="24"/>
          <w:highlight w:val="none"/>
        </w:rPr>
      </w:pPr>
      <w:r>
        <w:rPr>
          <w:rFonts w:hint="eastAsia" w:hAnsi="宋体" w:cs="宋体"/>
          <w:color w:val="auto"/>
          <w:sz w:val="24"/>
          <w:highlight w:val="none"/>
        </w:rPr>
        <w:t>项目名称：南沙天后宫景区灯光亮化工程（首期）设计施工总承包</w:t>
      </w:r>
    </w:p>
    <w:p>
      <w:pPr>
        <w:pStyle w:val="2"/>
        <w:spacing w:line="360" w:lineRule="auto"/>
        <w:rPr>
          <w:rFonts w:hAnsi="宋体" w:cs="宋体"/>
          <w:color w:val="auto"/>
          <w:sz w:val="24"/>
          <w:highlight w:val="none"/>
        </w:rPr>
      </w:pPr>
      <w:r>
        <w:rPr>
          <w:rFonts w:hint="eastAsia" w:hAnsi="宋体" w:cs="宋体"/>
          <w:color w:val="auto"/>
          <w:sz w:val="24"/>
          <w:highlight w:val="none"/>
        </w:rPr>
        <w:t>致：（招标人名称）</w:t>
      </w:r>
    </w:p>
    <w:p>
      <w:pPr>
        <w:spacing w:line="360" w:lineRule="auto"/>
        <w:jc w:val="left"/>
        <w:rPr>
          <w:rFonts w:hAnsi="宋体" w:cs="宋体"/>
          <w:color w:val="auto"/>
          <w:highlight w:val="none"/>
        </w:rPr>
      </w:pPr>
    </w:p>
    <w:p>
      <w:pPr>
        <w:pStyle w:val="2"/>
        <w:spacing w:line="360" w:lineRule="auto"/>
        <w:ind w:firstLine="480" w:firstLineChars="200"/>
        <w:rPr>
          <w:rFonts w:hAnsi="宋体" w:cs="宋体"/>
          <w:color w:val="auto"/>
          <w:sz w:val="24"/>
          <w:highlight w:val="none"/>
        </w:rPr>
      </w:pPr>
      <w:r>
        <w:rPr>
          <w:rFonts w:hint="eastAsia" w:hAnsi="宋体" w:cs="宋体"/>
          <w:color w:val="auto"/>
          <w:sz w:val="24"/>
          <w:highlight w:val="none"/>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pPr>
        <w:pStyle w:val="2"/>
        <w:spacing w:line="360" w:lineRule="auto"/>
        <w:ind w:firstLine="480" w:firstLineChars="200"/>
        <w:rPr>
          <w:rFonts w:hAnsi="宋体" w:cs="宋体"/>
          <w:color w:val="auto"/>
          <w:sz w:val="24"/>
          <w:highlight w:val="none"/>
        </w:rPr>
      </w:pPr>
      <w:r>
        <w:rPr>
          <w:rFonts w:hint="eastAsia" w:hAnsi="宋体" w:cs="宋体"/>
          <w:color w:val="auto"/>
          <w:sz w:val="24"/>
          <w:highlight w:val="none"/>
        </w:rPr>
        <w:t>我方遵守本投标书直至投标有效期满，在投标有效期满前，本投标书对我方一直具有约束力，随时可接受中标。我方承认所附投标文件资料为本投标书的一部分。</w:t>
      </w:r>
    </w:p>
    <w:p>
      <w:pPr>
        <w:pStyle w:val="2"/>
        <w:spacing w:line="360" w:lineRule="auto"/>
        <w:ind w:firstLine="480" w:firstLineChars="200"/>
        <w:rPr>
          <w:rFonts w:hAnsi="宋体" w:cs="宋体"/>
          <w:color w:val="auto"/>
          <w:sz w:val="24"/>
          <w:highlight w:val="none"/>
        </w:rPr>
      </w:pPr>
      <w:r>
        <w:rPr>
          <w:rFonts w:hint="eastAsia" w:hAnsi="宋体" w:cs="宋体"/>
          <w:color w:val="auto"/>
          <w:sz w:val="24"/>
          <w:highlight w:val="none"/>
        </w:rPr>
        <w:t>我方认同招标文件规定的评审规则，遵守评标委员会的裁决结果，并且不会采取妨碍项目进展的行为。</w:t>
      </w:r>
    </w:p>
    <w:p>
      <w:pPr>
        <w:pStyle w:val="2"/>
        <w:spacing w:line="360" w:lineRule="auto"/>
        <w:ind w:firstLine="480" w:firstLineChars="200"/>
        <w:rPr>
          <w:rFonts w:hAnsi="宋体" w:cs="宋体"/>
          <w:color w:val="auto"/>
          <w:sz w:val="24"/>
          <w:highlight w:val="none"/>
        </w:rPr>
      </w:pPr>
      <w:r>
        <w:rPr>
          <w:rFonts w:hint="eastAsia" w:hAnsi="宋体" w:cs="宋体"/>
          <w:color w:val="auto"/>
          <w:sz w:val="24"/>
          <w:highlight w:val="none"/>
        </w:rPr>
        <w:t>如果我方中标，我方将提供规定的履约担保，将在合同规定的日期开工，并在竣工时间内，按照上述文件完成项目。</w:t>
      </w:r>
    </w:p>
    <w:p>
      <w:pPr>
        <w:pStyle w:val="2"/>
        <w:spacing w:line="360" w:lineRule="auto"/>
        <w:ind w:firstLine="480" w:firstLineChars="200"/>
        <w:rPr>
          <w:rFonts w:hAnsi="宋体" w:cs="宋体"/>
          <w:color w:val="auto"/>
          <w:sz w:val="24"/>
          <w:highlight w:val="none"/>
        </w:rPr>
      </w:pPr>
      <w:r>
        <w:rPr>
          <w:rFonts w:hint="eastAsia" w:hAnsi="宋体" w:cs="宋体"/>
          <w:color w:val="auto"/>
          <w:sz w:val="24"/>
          <w:highlight w:val="none"/>
        </w:rPr>
        <w:t>除非制定正式合同协议书并生效，本投标书以及你方中标通知书，应构成你我双方间具有约束力的合同。</w:t>
      </w:r>
    </w:p>
    <w:p>
      <w:pPr>
        <w:pStyle w:val="2"/>
        <w:spacing w:line="360" w:lineRule="auto"/>
        <w:ind w:firstLine="480" w:firstLineChars="200"/>
        <w:rPr>
          <w:rFonts w:hAnsi="宋体" w:cs="宋体"/>
          <w:color w:val="auto"/>
          <w:sz w:val="24"/>
          <w:highlight w:val="none"/>
        </w:rPr>
      </w:pPr>
      <w:r>
        <w:rPr>
          <w:rFonts w:hint="eastAsia" w:hAnsi="宋体" w:cs="宋体"/>
          <w:color w:val="auto"/>
          <w:sz w:val="24"/>
          <w:highlight w:val="none"/>
        </w:rPr>
        <w:t>我方保证投标材料及其后提供的一切材料都是真实的。若与事实不符，经查实，我方愿意接受公开通报，承担由此带来的法律后果，并自愿停止参加广州市行政辖区内的招标投标活动三个月。</w:t>
      </w:r>
    </w:p>
    <w:p>
      <w:pPr>
        <w:spacing w:line="360" w:lineRule="auto"/>
        <w:rPr>
          <w:rFonts w:hAnsi="宋体" w:cs="宋体"/>
          <w:color w:val="auto"/>
          <w:highlight w:val="none"/>
        </w:rPr>
      </w:pPr>
    </w:p>
    <w:p>
      <w:pPr>
        <w:spacing w:line="360" w:lineRule="auto"/>
        <w:ind w:firstLine="3360" w:firstLineChars="1600"/>
        <w:rPr>
          <w:rFonts w:hAnsi="宋体" w:cs="宋体"/>
          <w:color w:val="auto"/>
          <w:highlight w:val="none"/>
        </w:rPr>
      </w:pPr>
      <w:r>
        <w:rPr>
          <w:rFonts w:hint="eastAsia" w:hAnsi="宋体" w:cs="宋体"/>
          <w:color w:val="auto"/>
          <w:highlight w:val="none"/>
        </w:rPr>
        <w:t>投标人（盖章）：</w:t>
      </w:r>
    </w:p>
    <w:p>
      <w:pPr>
        <w:spacing w:line="360" w:lineRule="auto"/>
        <w:ind w:firstLine="3360" w:firstLineChars="1600"/>
        <w:rPr>
          <w:rFonts w:hAnsi="宋体" w:cs="宋体"/>
          <w:color w:val="auto"/>
          <w:highlight w:val="none"/>
        </w:rPr>
      </w:pPr>
      <w:r>
        <w:rPr>
          <w:rFonts w:hint="eastAsia" w:hAnsi="宋体" w:cs="宋体"/>
          <w:color w:val="auto"/>
          <w:highlight w:val="none"/>
        </w:rPr>
        <w:t>法定代表人或其授权代理人（签名或盖章）：</w:t>
      </w:r>
    </w:p>
    <w:p>
      <w:pPr>
        <w:spacing w:line="360" w:lineRule="auto"/>
        <w:ind w:firstLine="3360" w:firstLineChars="1600"/>
        <w:rPr>
          <w:rFonts w:hAnsi="宋体" w:cs="宋体"/>
          <w:color w:val="auto"/>
          <w:highlight w:val="none"/>
        </w:rPr>
      </w:pPr>
      <w:r>
        <w:rPr>
          <w:rFonts w:hint="eastAsia" w:hAnsi="宋体" w:cs="宋体"/>
          <w:color w:val="auto"/>
          <w:highlight w:val="none"/>
        </w:rPr>
        <w:t>日期：    年  月  日</w:t>
      </w:r>
    </w:p>
    <w:p>
      <w:pPr>
        <w:pStyle w:val="2"/>
        <w:spacing w:line="360" w:lineRule="auto"/>
        <w:ind w:firstLine="240" w:firstLineChars="100"/>
        <w:rPr>
          <w:rFonts w:hAnsi="宋体" w:cs="宋体"/>
          <w:color w:val="auto"/>
          <w:sz w:val="24"/>
          <w:highlight w:val="none"/>
        </w:rPr>
      </w:pPr>
    </w:p>
    <w:p>
      <w:pPr>
        <w:pStyle w:val="2"/>
        <w:spacing w:line="360" w:lineRule="auto"/>
        <w:jc w:val="left"/>
        <w:rPr>
          <w:rFonts w:hAnsi="宋体" w:cs="宋体"/>
          <w:b/>
          <w:color w:val="auto"/>
          <w:sz w:val="24"/>
          <w:highlight w:val="none"/>
        </w:rPr>
      </w:pPr>
      <w:r>
        <w:rPr>
          <w:rFonts w:hint="eastAsia" w:hAnsi="宋体" w:cs="宋体"/>
          <w:b/>
          <w:color w:val="auto"/>
          <w:sz w:val="24"/>
          <w:highlight w:val="none"/>
        </w:rPr>
        <w:t>注：联合体投标的，“投标人”一栏需书写所有联合体成员的单位全称，可由主办方签署、盖章。</w:t>
      </w:r>
    </w:p>
    <w:p>
      <w:pPr>
        <w:pStyle w:val="2"/>
        <w:spacing w:line="360" w:lineRule="auto"/>
        <w:jc w:val="left"/>
        <w:rPr>
          <w:rFonts w:hAnsi="宋体" w:cs="宋体"/>
          <w:b/>
          <w:color w:val="auto"/>
          <w:sz w:val="24"/>
          <w:highlight w:val="none"/>
        </w:rPr>
      </w:pPr>
    </w:p>
    <w:p>
      <w:pPr>
        <w:ind w:left="178" w:leftChars="85"/>
        <w:rPr>
          <w:rFonts w:hAnsi="宋体" w:cs="宋体"/>
          <w:bCs/>
          <w:color w:val="auto"/>
          <w:highlight w:val="none"/>
        </w:rPr>
      </w:pPr>
      <w:r>
        <w:rPr>
          <w:rFonts w:hAnsi="宋体" w:cs="宋体"/>
          <w:b/>
          <w:color w:val="auto"/>
          <w:sz w:val="24"/>
          <w:highlight w:val="none"/>
        </w:rPr>
        <w:br w:type="page"/>
      </w:r>
      <w:r>
        <w:rPr>
          <w:rFonts w:hint="eastAsia" w:hAnsi="宋体" w:cs="宋体"/>
          <w:bCs/>
          <w:color w:val="auto"/>
          <w:highlight w:val="none"/>
        </w:rPr>
        <w:t>格式</w:t>
      </w:r>
      <w:r>
        <w:rPr>
          <w:rFonts w:hAnsi="宋体" w:cs="宋体"/>
          <w:bCs/>
          <w:color w:val="auto"/>
          <w:highlight w:val="none"/>
        </w:rPr>
        <w:t>:</w:t>
      </w:r>
      <w:r>
        <w:rPr>
          <w:rFonts w:hint="eastAsia" w:hAnsi="宋体" w:cs="宋体"/>
          <w:bCs/>
          <w:color w:val="auto"/>
          <w:highlight w:val="none"/>
        </w:rPr>
        <w:t>2：</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rPr>
        <w:t>施工</w:t>
      </w:r>
      <w:r>
        <w:rPr>
          <w:rFonts w:hint="eastAsia" w:ascii="黑体" w:hAnsi="黑体" w:eastAsia="黑体" w:cs="黑体"/>
          <w:b/>
          <w:bCs/>
          <w:color w:val="auto"/>
          <w:sz w:val="32"/>
          <w:szCs w:val="32"/>
          <w:highlight w:val="none"/>
          <w:lang w:val="zh-CN"/>
        </w:rPr>
        <w:t>技术</w:t>
      </w:r>
      <w:r>
        <w:rPr>
          <w:rFonts w:hint="eastAsia" w:ascii="黑体" w:hAnsi="黑体" w:eastAsia="黑体" w:cs="黑体"/>
          <w:b/>
          <w:bCs/>
          <w:color w:val="auto"/>
          <w:sz w:val="32"/>
          <w:szCs w:val="32"/>
          <w:highlight w:val="none"/>
        </w:rPr>
        <w:t>标</w:t>
      </w:r>
      <w:r>
        <w:rPr>
          <w:rFonts w:hint="eastAsia" w:ascii="黑体" w:hAnsi="黑体" w:eastAsia="黑体" w:cs="黑体"/>
          <w:b/>
          <w:bCs/>
          <w:color w:val="auto"/>
          <w:sz w:val="32"/>
          <w:szCs w:val="32"/>
          <w:highlight w:val="none"/>
          <w:lang w:val="zh-CN"/>
        </w:rPr>
        <w:t>投标书</w:t>
      </w:r>
    </w:p>
    <w:p>
      <w:pPr>
        <w:autoSpaceDE w:val="0"/>
        <w:autoSpaceDN w:val="0"/>
        <w:adjustRightInd w:val="0"/>
        <w:spacing w:line="360" w:lineRule="auto"/>
        <w:jc w:val="right"/>
        <w:rPr>
          <w:rFonts w:hAnsi="宋体" w:cs="宋体"/>
          <w:bCs/>
          <w:color w:val="auto"/>
          <w:highlight w:val="none"/>
          <w:lang w:val="zh-CN"/>
        </w:rPr>
      </w:pPr>
    </w:p>
    <w:tbl>
      <w:tblPr>
        <w:tblStyle w:val="43"/>
        <w:tblW w:w="9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29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r>
              <w:rPr>
                <w:rFonts w:hint="eastAsia" w:hAnsi="宋体" w:cs="宋体"/>
                <w:bCs/>
                <w:color w:val="auto"/>
                <w:highlight w:val="none"/>
              </w:rPr>
              <w:t>项目</w:t>
            </w:r>
            <w:r>
              <w:rPr>
                <w:rFonts w:hint="eastAsia" w:hAnsi="宋体" w:cs="宋体"/>
                <w:bCs/>
                <w:color w:val="auto"/>
                <w:highlight w:val="none"/>
                <w:lang w:val="zh-CN"/>
              </w:rPr>
              <w:t>名称</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r>
              <w:rPr>
                <w:rFonts w:hint="eastAsia" w:hAnsi="宋体" w:cs="宋体"/>
                <w:color w:val="auto"/>
                <w:sz w:val="24"/>
                <w:highlight w:val="none"/>
              </w:rPr>
              <w:t>南沙天后宫景区灯光亮化工程（首期）设计施工总承包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color w:val="auto"/>
                <w:highlight w:val="none"/>
                <w:lang w:val="zh-CN"/>
              </w:rPr>
            </w:pPr>
            <w:r>
              <w:rPr>
                <w:rFonts w:hint="eastAsia" w:hAnsi="宋体" w:cs="宋体"/>
                <w:bCs/>
                <w:color w:val="auto"/>
                <w:highlight w:val="none"/>
              </w:rPr>
              <w:t>总</w:t>
            </w:r>
            <w:r>
              <w:rPr>
                <w:rFonts w:hint="eastAsia" w:hAnsi="宋体" w:cs="宋体"/>
                <w:bCs/>
                <w:color w:val="auto"/>
                <w:highlight w:val="none"/>
                <w:lang w:val="zh-CN"/>
              </w:rPr>
              <w:t>工期</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szCs w:val="21"/>
                <w:highlight w:val="none"/>
                <w:u w:val="single"/>
              </w:rPr>
            </w:pPr>
            <w:r>
              <w:rPr>
                <w:rFonts w:hint="eastAsia" w:hAnsi="宋体" w:cs="宋体"/>
                <w:bCs/>
                <w:color w:val="auto"/>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tcBorders>
              <w:left w:val="single" w:color="auto" w:sz="4" w:space="0"/>
              <w:bottom w:val="single" w:color="auto" w:sz="4" w:space="0"/>
              <w:right w:val="single" w:color="auto" w:sz="4" w:space="0"/>
            </w:tcBorders>
            <w:vAlign w:val="center"/>
          </w:tcPr>
          <w:p>
            <w:pPr>
              <w:spacing w:line="360" w:lineRule="auto"/>
              <w:jc w:val="center"/>
              <w:rPr>
                <w:rFonts w:hAnsi="宋体" w:cs="宋体"/>
                <w:bCs/>
                <w:color w:val="auto"/>
                <w:highlight w:val="none"/>
                <w:lang w:val="zh-CN"/>
              </w:rPr>
            </w:pPr>
            <w:r>
              <w:rPr>
                <w:rFonts w:hint="eastAsia" w:hAnsi="宋体" w:cs="宋体"/>
                <w:bCs/>
                <w:color w:val="auto"/>
                <w:highlight w:val="none"/>
                <w:lang w:val="zh-CN"/>
              </w:rPr>
              <w:t>质量标准</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rPr>
            </w:pPr>
            <w:r>
              <w:rPr>
                <w:rFonts w:hint="eastAsia" w:hAnsi="宋体" w:cs="宋体"/>
                <w:bCs/>
                <w:color w:val="auto"/>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r>
              <w:rPr>
                <w:rFonts w:hint="eastAsia" w:hAnsi="宋体" w:cs="宋体"/>
                <w:bCs/>
                <w:color w:val="auto"/>
                <w:highlight w:val="none"/>
                <w:lang w:val="zh-CN"/>
              </w:rPr>
              <w:t>保修期限</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r>
              <w:rPr>
                <w:rFonts w:hint="eastAsia" w:hAnsi="宋体" w:cs="宋体"/>
                <w:bCs/>
                <w:color w:val="auto"/>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rPr>
            </w:pPr>
            <w:r>
              <w:rPr>
                <w:rFonts w:hint="eastAsia" w:hAnsi="宋体" w:cs="宋体"/>
                <w:bCs/>
                <w:color w:val="auto"/>
                <w:highlight w:val="none"/>
              </w:rPr>
              <w:t>项目负责人</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Ansi="宋体" w:cs="宋体"/>
                <w:bCs/>
                <w:color w:val="auto"/>
                <w:highlight w:val="none"/>
                <w:lang w:val="zh-CN"/>
              </w:rPr>
            </w:pPr>
            <w:r>
              <w:rPr>
                <w:rFonts w:hint="eastAsia" w:hAnsi="宋体" w:cs="宋体"/>
                <w:bCs/>
                <w:color w:val="auto"/>
                <w:highlight w:val="none"/>
              </w:rPr>
              <w:t>姓名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Ansi="宋体" w:cs="宋体"/>
                <w:bCs/>
                <w:color w:val="auto"/>
                <w:highlight w:val="none"/>
                <w:lang w:val="zh-CN"/>
              </w:rPr>
            </w:pPr>
            <w:r>
              <w:rPr>
                <w:rFonts w:hint="eastAsia" w:hAnsi="宋体" w:cs="宋体"/>
                <w:bCs/>
                <w:color w:val="auto"/>
                <w:highlight w:val="none"/>
              </w:rPr>
              <w:t>注册证号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rPr>
            </w:pPr>
            <w:r>
              <w:rPr>
                <w:rFonts w:hint="eastAsia" w:hAnsi="宋体" w:cs="宋体"/>
                <w:bCs/>
                <w:color w:val="auto"/>
                <w:highlight w:val="none"/>
              </w:rPr>
              <w:t>安全员</w:t>
            </w: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08" w:firstLineChars="147"/>
              <w:jc w:val="center"/>
              <w:rPr>
                <w:rFonts w:hAnsi="宋体" w:cs="宋体"/>
                <w:color w:val="auto"/>
                <w:szCs w:val="21"/>
                <w:highlight w:val="none"/>
              </w:rPr>
            </w:pPr>
            <w:r>
              <w:rPr>
                <w:rFonts w:hint="eastAsia" w:ascii="宋体" w:hAnsi="宋体" w:cs="宋体"/>
                <w:color w:val="auto"/>
                <w:szCs w:val="21"/>
                <w:highlight w:val="none"/>
                <w:lang w:val="zh-CN"/>
              </w:rPr>
              <w:t>姓名</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04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c>
          <w:tcPr>
            <w:tcW w:w="22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安全生产考核</w:t>
            </w:r>
          </w:p>
          <w:p>
            <w:pPr>
              <w:autoSpaceDE w:val="0"/>
              <w:autoSpaceDN w:val="0"/>
              <w:adjustRightInd w:val="0"/>
              <w:jc w:val="center"/>
              <w:rPr>
                <w:rFonts w:hAnsi="宋体" w:cs="宋体"/>
                <w:color w:val="auto"/>
                <w:szCs w:val="21"/>
                <w:highlight w:val="none"/>
              </w:rPr>
            </w:pPr>
            <w:r>
              <w:rPr>
                <w:rFonts w:hint="eastAsia" w:ascii="宋体" w:hAnsi="宋体"/>
                <w:color w:val="auto"/>
                <w:szCs w:val="21"/>
                <w:highlight w:val="none"/>
              </w:rPr>
              <w:t>合格证（</w:t>
            </w:r>
            <w:r>
              <w:rPr>
                <w:rFonts w:ascii="宋体" w:hAnsi="宋体"/>
                <w:color w:val="auto"/>
                <w:szCs w:val="21"/>
                <w:highlight w:val="none"/>
              </w:rPr>
              <w:t>C</w:t>
            </w:r>
            <w:r>
              <w:rPr>
                <w:rFonts w:hint="eastAsia" w:ascii="宋体" w:hAnsi="宋体"/>
                <w:color w:val="auto"/>
                <w:szCs w:val="21"/>
                <w:highlight w:val="none"/>
              </w:rPr>
              <w:t>类）编号</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r>
              <w:rPr>
                <w:rFonts w:hint="eastAsia" w:hAnsi="宋体" w:cs="宋体"/>
                <w:bCs/>
                <w:color w:val="auto"/>
                <w:highlight w:val="none"/>
                <w:lang w:val="zh-CN"/>
              </w:rPr>
              <w:t>法定代表人</w:t>
            </w:r>
          </w:p>
          <w:p>
            <w:pPr>
              <w:autoSpaceDE w:val="0"/>
              <w:autoSpaceDN w:val="0"/>
              <w:adjustRightInd w:val="0"/>
              <w:spacing w:line="360" w:lineRule="auto"/>
              <w:jc w:val="center"/>
              <w:rPr>
                <w:rFonts w:hAnsi="宋体" w:cs="宋体"/>
                <w:bCs/>
                <w:color w:val="auto"/>
                <w:highlight w:val="none"/>
                <w:lang w:val="zh-CN"/>
              </w:rPr>
            </w:pPr>
            <w:r>
              <w:rPr>
                <w:rFonts w:hint="eastAsia" w:hAnsi="宋体" w:cs="宋体"/>
                <w:bCs/>
                <w:color w:val="auto"/>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r>
              <w:rPr>
                <w:rFonts w:hint="eastAsia" w:hAnsi="宋体" w:cs="宋体"/>
                <w:bCs/>
                <w:color w:val="auto"/>
                <w:highlight w:val="none"/>
                <w:lang w:val="zh-CN"/>
              </w:rPr>
              <w:t>授权委托人</w:t>
            </w:r>
          </w:p>
          <w:p>
            <w:pPr>
              <w:autoSpaceDE w:val="0"/>
              <w:autoSpaceDN w:val="0"/>
              <w:adjustRightInd w:val="0"/>
              <w:spacing w:line="360" w:lineRule="auto"/>
              <w:jc w:val="center"/>
              <w:rPr>
                <w:rFonts w:hAnsi="宋体" w:cs="宋体"/>
                <w:bCs/>
                <w:color w:val="auto"/>
                <w:highlight w:val="none"/>
                <w:lang w:val="zh-CN"/>
              </w:rPr>
            </w:pPr>
            <w:r>
              <w:rPr>
                <w:rFonts w:hint="eastAsia" w:hAnsi="宋体" w:cs="宋体"/>
                <w:bCs/>
                <w:color w:val="auto"/>
                <w:highlight w:val="none"/>
                <w:lang w:val="zh-CN"/>
              </w:rPr>
              <w:t>（签名或盖章）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3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r>
              <w:rPr>
                <w:rFonts w:hint="eastAsia" w:hAnsi="宋体" w:cs="宋体"/>
                <w:bCs/>
                <w:color w:val="auto"/>
                <w:highlight w:val="none"/>
                <w:lang w:val="zh-CN"/>
              </w:rPr>
              <w:t>投标单位</w:t>
            </w:r>
          </w:p>
          <w:p>
            <w:pPr>
              <w:autoSpaceDE w:val="0"/>
              <w:autoSpaceDN w:val="0"/>
              <w:adjustRightInd w:val="0"/>
              <w:spacing w:line="360" w:lineRule="auto"/>
              <w:ind w:firstLine="207" w:firstLineChars="99"/>
              <w:jc w:val="center"/>
              <w:rPr>
                <w:rFonts w:hAnsi="宋体" w:cs="宋体"/>
                <w:bCs/>
                <w:color w:val="auto"/>
                <w:highlight w:val="none"/>
                <w:lang w:val="zh-CN"/>
              </w:rPr>
            </w:pPr>
            <w:r>
              <w:rPr>
                <w:rFonts w:hint="eastAsia" w:hAnsi="宋体" w:cs="宋体"/>
                <w:bCs/>
                <w:color w:val="auto"/>
                <w:highlight w:val="none"/>
                <w:lang w:val="zh-CN"/>
              </w:rPr>
              <w:t>（企业公章）</w:t>
            </w:r>
          </w:p>
        </w:tc>
        <w:tc>
          <w:tcPr>
            <w:tcW w:w="66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Ansi="宋体" w:cs="宋体"/>
                <w:bCs/>
                <w:color w:val="auto"/>
                <w:highlight w:val="none"/>
                <w:lang w:val="zh-CN"/>
              </w:rPr>
            </w:pPr>
          </w:p>
        </w:tc>
      </w:tr>
    </w:tbl>
    <w:p>
      <w:pPr>
        <w:pStyle w:val="2"/>
        <w:spacing w:line="360" w:lineRule="auto"/>
        <w:jc w:val="left"/>
        <w:rPr>
          <w:rFonts w:hAnsi="宋体" w:cs="宋体"/>
          <w:b/>
          <w:color w:val="auto"/>
          <w:sz w:val="24"/>
          <w:highlight w:val="none"/>
        </w:rPr>
      </w:pPr>
    </w:p>
    <w:p>
      <w:pPr>
        <w:pStyle w:val="2"/>
        <w:spacing w:line="360" w:lineRule="auto"/>
        <w:jc w:val="left"/>
        <w:rPr>
          <w:rFonts w:hAnsi="宋体" w:cs="宋体"/>
          <w:b/>
          <w:color w:val="auto"/>
          <w:sz w:val="24"/>
          <w:highlight w:val="none"/>
        </w:rPr>
      </w:pPr>
      <w:r>
        <w:rPr>
          <w:rFonts w:hint="eastAsia" w:hAnsi="宋体" w:cs="宋体"/>
          <w:b/>
          <w:color w:val="auto"/>
          <w:sz w:val="24"/>
          <w:highlight w:val="none"/>
        </w:rPr>
        <w:t>注：（</w:t>
      </w:r>
      <w:r>
        <w:rPr>
          <w:rFonts w:hAnsi="宋体" w:cs="宋体"/>
          <w:b/>
          <w:color w:val="auto"/>
          <w:sz w:val="24"/>
          <w:highlight w:val="none"/>
        </w:rPr>
        <w:t>1</w:t>
      </w:r>
      <w:r>
        <w:rPr>
          <w:rFonts w:hint="eastAsia" w:hAnsi="宋体" w:cs="宋体"/>
          <w:b/>
          <w:color w:val="auto"/>
          <w:sz w:val="24"/>
          <w:highlight w:val="none"/>
        </w:rPr>
        <w:t>）联合体投标的，“投标单位”一栏需书写所有联合体成员的单位全称，联合体各方均需签署、盖章。</w:t>
      </w:r>
    </w:p>
    <w:p>
      <w:pPr>
        <w:pStyle w:val="2"/>
        <w:spacing w:line="360" w:lineRule="auto"/>
        <w:jc w:val="left"/>
        <w:rPr>
          <w:rFonts w:hAnsi="宋体"/>
          <w:b/>
          <w:color w:val="auto"/>
          <w:sz w:val="21"/>
          <w:szCs w:val="21"/>
          <w:highlight w:val="none"/>
        </w:rPr>
      </w:pPr>
    </w:p>
    <w:p>
      <w:pPr>
        <w:autoSpaceDE w:val="0"/>
        <w:autoSpaceDN w:val="0"/>
        <w:adjustRightInd w:val="0"/>
        <w:spacing w:line="360" w:lineRule="auto"/>
        <w:jc w:val="center"/>
        <w:rPr>
          <w:rFonts w:hAnsi="宋体" w:cs="宋体"/>
          <w:b/>
          <w:bCs/>
          <w:color w:val="auto"/>
          <w:highlight w:val="none"/>
          <w:lang w:val="zh-CN"/>
        </w:rPr>
        <w:sectPr>
          <w:footerReference r:id="rId7" w:type="default"/>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Ansi="宋体" w:cs="宋体"/>
          <w:bCs/>
          <w:color w:val="auto"/>
          <w:highlight w:val="none"/>
          <w:lang w:val="zh-CN"/>
        </w:rPr>
      </w:pPr>
      <w:r>
        <w:rPr>
          <w:rFonts w:hint="eastAsia" w:hAnsi="宋体" w:cs="宋体"/>
          <w:bCs/>
          <w:color w:val="auto"/>
          <w:highlight w:val="none"/>
        </w:rPr>
        <w:t>格式3</w:t>
      </w:r>
    </w:p>
    <w:p>
      <w:pPr>
        <w:pStyle w:val="69"/>
        <w:spacing w:line="480" w:lineRule="auto"/>
        <w:ind w:firstLine="0"/>
        <w:jc w:val="center"/>
        <w:rPr>
          <w:rFonts w:ascii="宋体" w:hAnsi="宋体" w:eastAsia="宋体"/>
          <w:b/>
          <w:color w:val="auto"/>
          <w:highlight w:val="none"/>
        </w:rPr>
      </w:pPr>
      <w:r>
        <w:rPr>
          <w:rFonts w:hint="eastAsia" w:ascii="宋体" w:hAnsi="宋体" w:eastAsia="宋体"/>
          <w:b/>
          <w:color w:val="auto"/>
          <w:highlight w:val="none"/>
        </w:rPr>
        <w:t>联合体工作协议</w:t>
      </w:r>
    </w:p>
    <w:p>
      <w:pPr>
        <w:pStyle w:val="69"/>
        <w:spacing w:line="480" w:lineRule="auto"/>
        <w:jc w:val="center"/>
        <w:rPr>
          <w:color w:val="auto"/>
          <w:highlight w:val="none"/>
        </w:rPr>
      </w:pPr>
      <w:r>
        <w:rPr>
          <w:rFonts w:hint="eastAsia" w:ascii="宋体" w:hAnsi="宋体" w:eastAsia="宋体" w:cs="宋体"/>
          <w:b/>
          <w:bCs/>
          <w:color w:val="auto"/>
          <w:szCs w:val="32"/>
          <w:highlight w:val="none"/>
        </w:rPr>
        <w:t>（格式详见招标公告附件）</w:t>
      </w:r>
    </w:p>
    <w:p>
      <w:pPr>
        <w:autoSpaceDE w:val="0"/>
        <w:autoSpaceDN w:val="0"/>
        <w:adjustRightInd w:val="0"/>
        <w:spacing w:line="360" w:lineRule="auto"/>
        <w:rPr>
          <w:rFonts w:hAnsi="宋体" w:cs="宋体"/>
          <w:bCs/>
          <w:color w:val="auto"/>
          <w:highlight w:val="none"/>
          <w:lang w:val="zh-CN"/>
        </w:rPr>
        <w:sectPr>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Ansi="宋体" w:cs="宋体"/>
          <w:bCs/>
          <w:color w:val="auto"/>
          <w:highlight w:val="none"/>
          <w:lang w:val="zh-CN"/>
        </w:rPr>
      </w:pPr>
      <w:r>
        <w:rPr>
          <w:rFonts w:hint="eastAsia" w:hAnsi="宋体" w:cs="宋体"/>
          <w:bCs/>
          <w:color w:val="auto"/>
          <w:highlight w:val="none"/>
        </w:rPr>
        <w:t>格式4</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法人代表证明书、授权委托证明书</w:t>
      </w:r>
    </w:p>
    <w:p>
      <w:pPr>
        <w:autoSpaceDE w:val="0"/>
        <w:autoSpaceDN w:val="0"/>
        <w:adjustRightInd w:val="0"/>
        <w:spacing w:line="360" w:lineRule="auto"/>
        <w:jc w:val="center"/>
        <w:rPr>
          <w:rFonts w:hAnsi="宋体" w:cs="宋体"/>
          <w:b/>
          <w:bCs/>
          <w:color w:val="auto"/>
          <w:sz w:val="28"/>
          <w:szCs w:val="28"/>
          <w:highlight w:val="none"/>
          <w:lang w:val="zh-CN"/>
        </w:rPr>
      </w:pPr>
      <w:r>
        <w:rPr>
          <w:rFonts w:hint="eastAsia" w:hAnsi="宋体" w:cs="宋体"/>
          <w:b/>
          <w:bCs/>
          <w:color w:val="auto"/>
          <w:sz w:val="28"/>
          <w:szCs w:val="28"/>
          <w:highlight w:val="none"/>
          <w:lang w:val="zh-CN"/>
        </w:rPr>
        <w:t>法定代表人证明书</w:t>
      </w:r>
    </w:p>
    <w:p>
      <w:pPr>
        <w:spacing w:line="360" w:lineRule="auto"/>
        <w:jc w:val="center"/>
        <w:rPr>
          <w:rFonts w:hAnsi="宋体" w:cs="宋体"/>
          <w:color w:val="auto"/>
          <w:highlight w:val="none"/>
        </w:rPr>
      </w:pPr>
      <w:r>
        <w:rPr>
          <w:rFonts w:hint="eastAsia" w:hAnsi="宋体" w:cs="宋体"/>
          <w:color w:val="auto"/>
          <w:highlight w:val="none"/>
        </w:rPr>
        <w:t xml:space="preserve">                                                                  （  ）第  号</w:t>
      </w:r>
    </w:p>
    <w:tbl>
      <w:tblPr>
        <w:tblStyle w:val="44"/>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7" w:type="dxa"/>
          </w:tcPr>
          <w:p>
            <w:pPr>
              <w:spacing w:line="440" w:lineRule="exact"/>
              <w:rPr>
                <w:rFonts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现任我单位</w:t>
            </w:r>
            <w:r>
              <w:rPr>
                <w:rFonts w:hint="eastAsia" w:ascii="宋体" w:hAnsi="宋体"/>
                <w:color w:val="auto"/>
                <w:szCs w:val="21"/>
                <w:highlight w:val="none"/>
                <w:u w:val="single"/>
              </w:rPr>
              <w:t>　　　　　</w:t>
            </w:r>
            <w:r>
              <w:rPr>
                <w:rFonts w:hint="eastAsia" w:ascii="宋体" w:hAnsi="宋体"/>
                <w:color w:val="auto"/>
                <w:szCs w:val="21"/>
                <w:highlight w:val="none"/>
              </w:rPr>
              <w:t>职务，为法定代表人（负责人），</w:t>
            </w:r>
          </w:p>
          <w:p>
            <w:pPr>
              <w:spacing w:line="440" w:lineRule="exact"/>
              <w:rPr>
                <w:rFonts w:ascii="宋体" w:hAnsi="宋体"/>
                <w:color w:val="auto"/>
                <w:szCs w:val="21"/>
                <w:highlight w:val="none"/>
              </w:rPr>
            </w:pPr>
            <w:r>
              <w:rPr>
                <w:rFonts w:hint="eastAsia" w:ascii="宋体" w:hAnsi="宋体"/>
                <w:color w:val="auto"/>
                <w:szCs w:val="21"/>
                <w:highlight w:val="none"/>
              </w:rPr>
              <w:t>特此证明。</w:t>
            </w:r>
          </w:p>
          <w:p>
            <w:pPr>
              <w:spacing w:line="440" w:lineRule="exact"/>
              <w:rPr>
                <w:rFonts w:ascii="宋体" w:hAnsi="宋体"/>
                <w:color w:val="auto"/>
                <w:szCs w:val="21"/>
                <w:highlight w:val="none"/>
                <w:u w:val="single"/>
              </w:rPr>
            </w:pPr>
            <w:r>
              <w:rPr>
                <w:rFonts w:hint="eastAsia" w:ascii="宋体" w:hAnsi="宋体"/>
                <w:color w:val="auto"/>
                <w:szCs w:val="21"/>
                <w:highlight w:val="none"/>
              </w:rPr>
              <w:t>有效期限：</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rPr>
                <w:rFonts w:ascii="宋体" w:hAnsi="宋体"/>
                <w:color w:val="auto"/>
                <w:szCs w:val="21"/>
                <w:highlight w:val="none"/>
                <w:u w:val="single"/>
              </w:rPr>
            </w:pPr>
            <w:r>
              <w:rPr>
                <w:rFonts w:hint="eastAsia" w:ascii="宋体" w:hAnsi="宋体"/>
                <w:color w:val="auto"/>
                <w:szCs w:val="21"/>
                <w:highlight w:val="none"/>
              </w:rPr>
              <w:t>附：法定代表人（负责人）性别：</w:t>
            </w:r>
            <w:r>
              <w:rPr>
                <w:rFonts w:hint="eastAsia" w:ascii="宋体" w:hAnsi="宋体"/>
                <w:color w:val="auto"/>
                <w:szCs w:val="21"/>
                <w:highlight w:val="none"/>
                <w:u w:val="single"/>
              </w:rPr>
              <w:t>　　</w:t>
            </w:r>
            <w:r>
              <w:rPr>
                <w:rFonts w:hint="eastAsia" w:ascii="宋体" w:hAnsi="宋体"/>
                <w:color w:val="auto"/>
                <w:szCs w:val="21"/>
                <w:highlight w:val="none"/>
              </w:rPr>
              <w:t>年龄：</w:t>
            </w:r>
            <w:r>
              <w:rPr>
                <w:rFonts w:hint="eastAsia" w:ascii="宋体" w:hAnsi="宋体"/>
                <w:color w:val="auto"/>
                <w:szCs w:val="21"/>
                <w:highlight w:val="none"/>
                <w:u w:val="single"/>
              </w:rPr>
              <w:t>　　</w:t>
            </w: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440" w:lineRule="exact"/>
              <w:rPr>
                <w:rFonts w:ascii="宋体" w:hAnsi="宋体"/>
                <w:color w:val="auto"/>
                <w:szCs w:val="21"/>
                <w:highlight w:val="none"/>
                <w:u w:val="single"/>
              </w:rPr>
            </w:pPr>
            <w:r>
              <w:rPr>
                <w:rFonts w:hint="eastAsia" w:ascii="宋体" w:hAnsi="宋体"/>
                <w:color w:val="auto"/>
                <w:szCs w:val="21"/>
                <w:highlight w:val="none"/>
              </w:rPr>
              <w:t>注册号码：</w:t>
            </w:r>
            <w:r>
              <w:rPr>
                <w:rFonts w:hint="eastAsia" w:ascii="宋体" w:hAnsi="宋体"/>
                <w:color w:val="auto"/>
                <w:szCs w:val="21"/>
                <w:highlight w:val="none"/>
                <w:u w:val="single"/>
              </w:rPr>
              <w:t>　　　　　　　　　　</w:t>
            </w:r>
            <w:r>
              <w:rPr>
                <w:rFonts w:hint="eastAsia" w:ascii="宋体" w:hAnsi="宋体"/>
                <w:color w:val="auto"/>
                <w:szCs w:val="21"/>
                <w:highlight w:val="none"/>
              </w:rPr>
              <w:t>企业类型：</w:t>
            </w:r>
            <w:r>
              <w:rPr>
                <w:rFonts w:hint="eastAsia" w:ascii="宋体" w:hAnsi="宋体"/>
                <w:color w:val="auto"/>
                <w:szCs w:val="21"/>
                <w:highlight w:val="none"/>
                <w:u w:val="single"/>
              </w:rPr>
              <w:t xml:space="preserve">                   </w:t>
            </w:r>
          </w:p>
          <w:p>
            <w:pPr>
              <w:spacing w:line="440" w:lineRule="exact"/>
              <w:rPr>
                <w:rFonts w:ascii="宋体" w:hAnsi="宋体"/>
                <w:color w:val="auto"/>
                <w:szCs w:val="21"/>
                <w:highlight w:val="none"/>
                <w:u w:val="single"/>
              </w:rPr>
            </w:pPr>
            <w:r>
              <w:rPr>
                <w:rFonts w:hint="eastAsia" w:ascii="宋体" w:hAnsi="宋体"/>
                <w:color w:val="auto"/>
                <w:szCs w:val="21"/>
                <w:highlight w:val="none"/>
              </w:rPr>
              <w:t>经营范围：</w:t>
            </w:r>
            <w:r>
              <w:rPr>
                <w:rFonts w:hint="eastAsia" w:ascii="宋体" w:hAnsi="宋体"/>
                <w:color w:val="auto"/>
                <w:szCs w:val="21"/>
                <w:highlight w:val="none"/>
                <w:u w:val="single"/>
              </w:rPr>
              <w:t xml:space="preserve">                          </w:t>
            </w:r>
          </w:p>
          <w:p>
            <w:pPr>
              <w:spacing w:line="440" w:lineRule="exact"/>
              <w:rPr>
                <w:rFonts w:ascii="宋体" w:hAnsi="宋体"/>
                <w:color w:val="auto"/>
                <w:szCs w:val="21"/>
                <w:highlight w:val="none"/>
              </w:rPr>
            </w:pPr>
            <w:r>
              <w:rPr>
                <w:rFonts w:hint="eastAsia" w:ascii="宋体" w:hAnsi="宋体"/>
                <w:color w:val="auto"/>
                <w:szCs w:val="21"/>
                <w:highlight w:val="none"/>
              </w:rPr>
              <w:t>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（盖章）</w:t>
            </w:r>
          </w:p>
          <w:p>
            <w:pPr>
              <w:spacing w:line="440" w:lineRule="exact"/>
              <w:rPr>
                <w:rFonts w:ascii="宋体" w:hAnsi="宋体"/>
                <w:color w:val="auto"/>
                <w:szCs w:val="21"/>
                <w:highlight w:val="none"/>
              </w:rPr>
            </w:pPr>
            <w:r>
              <w:rPr>
                <w:rFonts w:hint="eastAsia" w:ascii="宋体" w:hAnsi="宋体"/>
                <w:color w:val="auto"/>
                <w:szCs w:val="21"/>
                <w:highlight w:val="none"/>
              </w:rPr>
              <w:t>　　　　　    年 　月　日</w:t>
            </w:r>
          </w:p>
          <w:p>
            <w:pPr>
              <w:spacing w:line="440" w:lineRule="exact"/>
              <w:rPr>
                <w:rFonts w:ascii="宋体" w:hAnsi="宋体"/>
                <w:color w:val="auto"/>
                <w:sz w:val="30"/>
                <w:szCs w:val="30"/>
                <w:highlight w:val="none"/>
              </w:rPr>
            </w:pPr>
          </w:p>
        </w:tc>
      </w:tr>
    </w:tbl>
    <w:p>
      <w:pPr>
        <w:pStyle w:val="2"/>
        <w:rPr>
          <w:rFonts w:hAnsi="宋体" w:cs="宋体"/>
          <w:color w:val="auto"/>
          <w:highlight w:val="none"/>
        </w:rPr>
      </w:pPr>
    </w:p>
    <w:p>
      <w:pPr>
        <w:spacing w:line="360" w:lineRule="auto"/>
        <w:rPr>
          <w:rFonts w:hAnsi="宋体" w:cs="宋体"/>
          <w:color w:val="auto"/>
          <w:szCs w:val="21"/>
          <w:highlight w:val="none"/>
        </w:rPr>
      </w:pPr>
      <w:r>
        <w:rPr>
          <w:rFonts w:hint="eastAsia" w:hAnsi="宋体" w:cs="宋体"/>
          <w:color w:val="auto"/>
          <w:szCs w:val="21"/>
          <w:highlight w:val="none"/>
        </w:rPr>
        <w:t>注：</w:t>
      </w:r>
      <w:r>
        <w:rPr>
          <w:rFonts w:hAnsi="宋体" w:cs="宋体"/>
          <w:color w:val="auto"/>
          <w:szCs w:val="21"/>
          <w:highlight w:val="none"/>
        </w:rPr>
        <w:t>1</w:t>
      </w:r>
      <w:r>
        <w:rPr>
          <w:rFonts w:hint="eastAsia" w:hAnsi="宋体" w:cs="宋体"/>
          <w:color w:val="auto"/>
          <w:szCs w:val="21"/>
          <w:highlight w:val="none"/>
        </w:rPr>
        <w:t>、法定代表人证明书也可以采用工商行政管理局统一印制的格式。</w:t>
      </w:r>
    </w:p>
    <w:p>
      <w:pPr>
        <w:numPr>
          <w:ilvl w:val="0"/>
          <w:numId w:val="6"/>
        </w:numPr>
        <w:spacing w:line="360" w:lineRule="auto"/>
        <w:rPr>
          <w:rFonts w:hAnsi="宋体" w:cs="宋体"/>
          <w:color w:val="auto"/>
          <w:szCs w:val="21"/>
          <w:highlight w:val="none"/>
        </w:rPr>
      </w:pPr>
      <w:r>
        <w:rPr>
          <w:rFonts w:hint="eastAsia" w:hAnsi="宋体" w:cs="宋体"/>
          <w:color w:val="auto"/>
          <w:szCs w:val="21"/>
          <w:highlight w:val="none"/>
        </w:rPr>
        <w:t>联合体投标的，本证明书由联合体主办方出具。</w:t>
      </w:r>
    </w:p>
    <w:p>
      <w:pPr>
        <w:pStyle w:val="2"/>
        <w:rPr>
          <w:color w:val="auto"/>
          <w:highlight w:val="none"/>
        </w:rPr>
      </w:pPr>
    </w:p>
    <w:p>
      <w:pPr>
        <w:autoSpaceDE w:val="0"/>
        <w:autoSpaceDN w:val="0"/>
        <w:adjustRightInd w:val="0"/>
        <w:spacing w:line="360" w:lineRule="auto"/>
        <w:jc w:val="center"/>
        <w:rPr>
          <w:rFonts w:hAnsi="宋体" w:cs="宋体"/>
          <w:b/>
          <w:bCs/>
          <w:color w:val="auto"/>
          <w:sz w:val="28"/>
          <w:szCs w:val="28"/>
          <w:highlight w:val="none"/>
          <w:lang w:val="zh-CN"/>
        </w:rPr>
      </w:pPr>
      <w:r>
        <w:rPr>
          <w:rFonts w:hint="eastAsia" w:hAnsi="宋体" w:cs="宋体"/>
          <w:b/>
          <w:bCs/>
          <w:color w:val="auto"/>
          <w:sz w:val="28"/>
          <w:szCs w:val="28"/>
          <w:highlight w:val="none"/>
          <w:lang w:val="zh-CN"/>
        </w:rPr>
        <w:t>法定代表人授权委托书</w:t>
      </w:r>
    </w:p>
    <w:p>
      <w:pPr>
        <w:spacing w:line="360" w:lineRule="auto"/>
        <w:jc w:val="center"/>
        <w:rPr>
          <w:rFonts w:hAnsi="宋体" w:cs="宋体"/>
          <w:color w:val="auto"/>
          <w:highlight w:val="none"/>
        </w:rPr>
      </w:pPr>
      <w:r>
        <w:rPr>
          <w:rFonts w:hint="eastAsia" w:hAnsi="宋体" w:cs="宋体"/>
          <w:color w:val="auto"/>
          <w:highlight w:val="none"/>
        </w:rPr>
        <w:t xml:space="preserve">                                                                  （  ）第  号</w:t>
      </w:r>
    </w:p>
    <w:tbl>
      <w:tblPr>
        <w:tblStyle w:val="44"/>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7" w:type="dxa"/>
          </w:tcPr>
          <w:p>
            <w:pPr>
              <w:spacing w:line="440" w:lineRule="exact"/>
              <w:rPr>
                <w:rFonts w:ascii="宋体" w:hAnsi="宋体"/>
                <w:color w:val="auto"/>
                <w:szCs w:val="21"/>
                <w:highlight w:val="none"/>
              </w:rPr>
            </w:pPr>
            <w:r>
              <w:rPr>
                <w:rFonts w:hint="eastAsia" w:ascii="宋体" w:hAnsi="宋体"/>
                <w:color w:val="auto"/>
                <w:szCs w:val="21"/>
                <w:highlight w:val="none"/>
              </w:rPr>
              <w:t>　　兹授权</w:t>
            </w:r>
            <w:r>
              <w:rPr>
                <w:rFonts w:hint="eastAsia" w:ascii="宋体" w:hAnsi="宋体"/>
                <w:color w:val="auto"/>
                <w:szCs w:val="21"/>
                <w:highlight w:val="none"/>
                <w:u w:val="single"/>
              </w:rPr>
              <w:t>　　　　　</w:t>
            </w:r>
            <w:r>
              <w:rPr>
                <w:rFonts w:hint="eastAsia" w:ascii="宋体" w:hAnsi="宋体"/>
                <w:color w:val="auto"/>
                <w:szCs w:val="21"/>
                <w:highlight w:val="none"/>
              </w:rPr>
              <w:t>为我方委托代理人，其权限是：</w:t>
            </w:r>
            <w:r>
              <w:rPr>
                <w:rFonts w:hint="eastAsia" w:ascii="宋体" w:hAnsi="宋体"/>
                <w:color w:val="auto"/>
                <w:szCs w:val="21"/>
                <w:highlight w:val="none"/>
                <w:u w:val="single"/>
              </w:rPr>
              <w:t xml:space="preserve">负责办理投标相关事宜 </w:t>
            </w:r>
            <w:r>
              <w:rPr>
                <w:rFonts w:hint="eastAsia" w:ascii="宋体" w:hAnsi="宋体"/>
                <w:color w:val="auto"/>
                <w:szCs w:val="21"/>
                <w:highlight w:val="none"/>
              </w:rPr>
              <w:t>。</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有效期限：</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440" w:lineRule="exact"/>
              <w:rPr>
                <w:rFonts w:ascii="宋体" w:hAnsi="宋体"/>
                <w:color w:val="auto"/>
                <w:szCs w:val="21"/>
                <w:highlight w:val="none"/>
                <w:u w:val="single"/>
              </w:rPr>
            </w:pPr>
            <w:r>
              <w:rPr>
                <w:rFonts w:hint="eastAsia" w:ascii="宋体" w:hAnsi="宋体"/>
                <w:color w:val="auto"/>
                <w:szCs w:val="21"/>
                <w:highlight w:val="none"/>
              </w:rPr>
              <w:t>附：代理人性别：</w:t>
            </w:r>
            <w:r>
              <w:rPr>
                <w:rFonts w:hint="eastAsia" w:ascii="宋体" w:hAnsi="宋体"/>
                <w:color w:val="auto"/>
                <w:szCs w:val="21"/>
                <w:highlight w:val="none"/>
                <w:u w:val="single"/>
              </w:rPr>
              <w:t>　　</w:t>
            </w:r>
            <w:r>
              <w:rPr>
                <w:rFonts w:hint="eastAsia" w:ascii="宋体" w:hAnsi="宋体"/>
                <w:color w:val="auto"/>
                <w:szCs w:val="21"/>
                <w:highlight w:val="none"/>
              </w:rPr>
              <w:t>年龄：</w:t>
            </w:r>
            <w:r>
              <w:rPr>
                <w:rFonts w:hint="eastAsia" w:ascii="宋体" w:hAnsi="宋体"/>
                <w:color w:val="auto"/>
                <w:szCs w:val="21"/>
                <w:highlight w:val="none"/>
                <w:u w:val="single"/>
              </w:rPr>
              <w:t>　　</w:t>
            </w: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注册号码：</w:t>
            </w:r>
            <w:r>
              <w:rPr>
                <w:rFonts w:hint="eastAsia" w:ascii="宋体" w:hAnsi="宋体"/>
                <w:color w:val="auto"/>
                <w:szCs w:val="21"/>
                <w:highlight w:val="none"/>
                <w:u w:val="single"/>
              </w:rPr>
              <w:t>　　　　　　　　　　</w:t>
            </w:r>
            <w:r>
              <w:rPr>
                <w:rFonts w:hint="eastAsia" w:ascii="宋体" w:hAnsi="宋体"/>
                <w:color w:val="auto"/>
                <w:szCs w:val="21"/>
                <w:highlight w:val="none"/>
              </w:rPr>
              <w:t>企业类型：</w:t>
            </w:r>
            <w:r>
              <w:rPr>
                <w:rFonts w:hint="eastAsia" w:ascii="宋体" w:hAnsi="宋体"/>
                <w:color w:val="auto"/>
                <w:szCs w:val="21"/>
                <w:highlight w:val="none"/>
                <w:u w:val="single"/>
              </w:rPr>
              <w:t xml:space="preserve">                   </w:t>
            </w:r>
          </w:p>
          <w:p>
            <w:pPr>
              <w:spacing w:line="440" w:lineRule="exact"/>
              <w:ind w:firstLine="420" w:firstLineChars="200"/>
              <w:rPr>
                <w:rFonts w:ascii="宋体" w:hAnsi="宋体"/>
                <w:color w:val="auto"/>
                <w:szCs w:val="21"/>
                <w:highlight w:val="none"/>
                <w:u w:val="single"/>
              </w:rPr>
            </w:pPr>
            <w:r>
              <w:rPr>
                <w:rFonts w:hint="eastAsia" w:ascii="宋体" w:hAnsi="宋体"/>
                <w:color w:val="auto"/>
                <w:szCs w:val="21"/>
                <w:highlight w:val="none"/>
              </w:rPr>
              <w:t>经营范围：</w:t>
            </w:r>
            <w:r>
              <w:rPr>
                <w:rFonts w:hint="eastAsia" w:ascii="宋体" w:hAnsi="宋体"/>
                <w:color w:val="auto"/>
                <w:szCs w:val="21"/>
                <w:highlight w:val="none"/>
                <w:u w:val="single"/>
              </w:rPr>
              <w:t xml:space="preserve">                          </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法定代表人（负责人）：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授权单位：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（盖章）</w:t>
            </w:r>
          </w:p>
          <w:p>
            <w:pPr>
              <w:spacing w:line="440" w:lineRule="exact"/>
              <w:rPr>
                <w:rFonts w:ascii="宋体" w:hAnsi="宋体"/>
                <w:color w:val="auto"/>
                <w:szCs w:val="21"/>
                <w:highlight w:val="none"/>
              </w:rPr>
            </w:pPr>
            <w:r>
              <w:rPr>
                <w:rFonts w:hint="eastAsia" w:ascii="宋体" w:hAnsi="宋体"/>
                <w:color w:val="auto"/>
                <w:szCs w:val="21"/>
                <w:highlight w:val="none"/>
              </w:rPr>
              <w:t>　　　　　                                                    年  　月  　日</w:t>
            </w:r>
          </w:p>
          <w:p>
            <w:pPr>
              <w:spacing w:line="440" w:lineRule="exact"/>
              <w:rPr>
                <w:rFonts w:ascii="宋体" w:hAnsi="宋体"/>
                <w:color w:val="auto"/>
                <w:sz w:val="30"/>
                <w:szCs w:val="30"/>
                <w:highlight w:val="none"/>
              </w:rPr>
            </w:pPr>
          </w:p>
        </w:tc>
      </w:tr>
    </w:tbl>
    <w:p>
      <w:pPr>
        <w:pStyle w:val="2"/>
        <w:rPr>
          <w:rFonts w:hAnsi="宋体" w:cs="宋体"/>
          <w:color w:val="auto"/>
          <w:highlight w:val="none"/>
        </w:rPr>
      </w:pPr>
    </w:p>
    <w:p>
      <w:pPr>
        <w:spacing w:line="360" w:lineRule="auto"/>
        <w:rPr>
          <w:rFonts w:hAnsi="宋体" w:cs="宋体"/>
          <w:color w:val="auto"/>
          <w:szCs w:val="21"/>
          <w:highlight w:val="none"/>
        </w:rPr>
      </w:pPr>
      <w:r>
        <w:rPr>
          <w:rFonts w:hint="eastAsia" w:hAnsi="宋体" w:cs="宋体"/>
          <w:color w:val="auto"/>
          <w:szCs w:val="21"/>
          <w:highlight w:val="none"/>
        </w:rPr>
        <w:t>注：</w:t>
      </w:r>
      <w:r>
        <w:rPr>
          <w:rFonts w:hAnsi="宋体" w:cs="宋体"/>
          <w:color w:val="auto"/>
          <w:szCs w:val="21"/>
          <w:highlight w:val="none"/>
        </w:rPr>
        <w:t>1</w:t>
      </w:r>
      <w:r>
        <w:rPr>
          <w:rFonts w:hint="eastAsia" w:hAnsi="宋体" w:cs="宋体"/>
          <w:color w:val="auto"/>
          <w:szCs w:val="21"/>
          <w:highlight w:val="none"/>
        </w:rPr>
        <w:t>、法定代表人授权委托书也可以采用工商行政管理局统一印制的格式。</w:t>
      </w:r>
    </w:p>
    <w:p>
      <w:pPr>
        <w:spacing w:line="360" w:lineRule="auto"/>
        <w:ind w:firstLine="420"/>
        <w:rPr>
          <w:rFonts w:hAnsi="宋体" w:cs="宋体"/>
          <w:color w:val="auto"/>
          <w:szCs w:val="21"/>
          <w:highlight w:val="none"/>
        </w:rPr>
      </w:pPr>
      <w:r>
        <w:rPr>
          <w:rFonts w:hAnsi="宋体" w:cs="宋体"/>
          <w:color w:val="auto"/>
          <w:szCs w:val="21"/>
          <w:highlight w:val="none"/>
        </w:rPr>
        <w:t>2</w:t>
      </w:r>
      <w:r>
        <w:rPr>
          <w:rFonts w:hint="eastAsia" w:hAnsi="宋体" w:cs="宋体"/>
          <w:color w:val="auto"/>
          <w:szCs w:val="21"/>
          <w:highlight w:val="none"/>
        </w:rPr>
        <w:t>、联合体投标的，本授权书由联合体主办方出具，并由联合体主办方签字、盖章即可。</w:t>
      </w:r>
    </w:p>
    <w:p>
      <w:pPr>
        <w:spacing w:line="360" w:lineRule="auto"/>
        <w:ind w:firstLine="420"/>
        <w:rPr>
          <w:rFonts w:hAnsi="宋体" w:cs="宋体"/>
          <w:color w:val="auto"/>
          <w:szCs w:val="21"/>
          <w:highlight w:val="none"/>
        </w:rPr>
      </w:pPr>
    </w:p>
    <w:p>
      <w:pPr>
        <w:spacing w:line="360" w:lineRule="auto"/>
        <w:ind w:firstLine="420"/>
        <w:rPr>
          <w:rFonts w:hAnsi="宋体" w:cs="宋体"/>
          <w:color w:val="auto"/>
          <w:szCs w:val="21"/>
          <w:highlight w:val="none"/>
        </w:rPr>
        <w:sectPr>
          <w:pgSz w:w="11907" w:h="16840"/>
          <w:pgMar w:top="1247" w:right="1134" w:bottom="1247" w:left="1361" w:header="851" w:footer="907" w:gutter="0"/>
          <w:cols w:space="720" w:num="1"/>
          <w:docGrid w:linePitch="312" w:charSpace="0"/>
        </w:sectPr>
      </w:pPr>
    </w:p>
    <w:p>
      <w:pPr>
        <w:autoSpaceDE w:val="0"/>
        <w:autoSpaceDN w:val="0"/>
        <w:adjustRightInd w:val="0"/>
        <w:spacing w:line="360" w:lineRule="auto"/>
        <w:rPr>
          <w:rFonts w:hAnsi="宋体" w:cs="宋体"/>
          <w:bCs/>
          <w:color w:val="auto"/>
          <w:highlight w:val="none"/>
          <w:lang w:val="zh-CN"/>
        </w:rPr>
      </w:pPr>
      <w:bookmarkStart w:id="1138" w:name="_Toc235615834"/>
      <w:bookmarkStart w:id="1139" w:name="_Toc235616116"/>
      <w:bookmarkStart w:id="1140" w:name="_Toc236215897"/>
      <w:r>
        <w:rPr>
          <w:rFonts w:hint="eastAsia" w:hAnsi="宋体" w:cs="宋体"/>
          <w:bCs/>
          <w:color w:val="auto"/>
          <w:highlight w:val="none"/>
        </w:rPr>
        <w:t>格式5</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投标承诺书</w:t>
      </w:r>
    </w:p>
    <w:p>
      <w:pPr>
        <w:spacing w:line="360" w:lineRule="auto"/>
        <w:jc w:val="center"/>
        <w:rPr>
          <w:rFonts w:hAnsi="宋体" w:cs="宋体"/>
          <w:b/>
          <w:color w:val="auto"/>
          <w:highlight w:val="none"/>
        </w:rPr>
      </w:pPr>
    </w:p>
    <w:p>
      <w:pPr>
        <w:spacing w:line="360" w:lineRule="auto"/>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（招标人名称）</w:t>
      </w:r>
    </w:p>
    <w:p>
      <w:pPr>
        <w:spacing w:line="360" w:lineRule="auto"/>
        <w:ind w:firstLine="420" w:firstLineChars="200"/>
        <w:rPr>
          <w:rFonts w:hAnsi="宋体" w:cs="宋体"/>
          <w:color w:val="auto"/>
          <w:highlight w:val="none"/>
        </w:rPr>
      </w:pPr>
      <w:r>
        <w:rPr>
          <w:rFonts w:hint="eastAsia" w:hAnsi="宋体" w:cs="宋体"/>
          <w:color w:val="auto"/>
          <w:highlight w:val="none"/>
        </w:rPr>
        <w:t>我方确认收到贵单位提供的</w:t>
      </w:r>
      <w:r>
        <w:rPr>
          <w:rFonts w:hint="eastAsia" w:hAnsi="宋体" w:cs="宋体"/>
          <w:color w:val="auto"/>
          <w:highlight w:val="none"/>
          <w:u w:val="single"/>
        </w:rPr>
        <w:t xml:space="preserve">      （项目名称）</w:t>
      </w:r>
      <w:r>
        <w:rPr>
          <w:rFonts w:hint="eastAsia" w:hAnsi="宋体" w:cs="宋体"/>
          <w:color w:val="auto"/>
          <w:highlight w:val="none"/>
        </w:rPr>
        <w:t>招标文件的全部内容，我方：</w:t>
      </w:r>
      <w:r>
        <w:rPr>
          <w:rFonts w:hAnsi="宋体" w:cs="宋体"/>
          <w:color w:val="auto"/>
          <w:highlight w:val="none"/>
          <w:u w:val="single"/>
        </w:rPr>
        <w:t xml:space="preserve">    (</w:t>
      </w:r>
      <w:r>
        <w:rPr>
          <w:rFonts w:hint="eastAsia" w:hAnsi="宋体" w:cs="宋体"/>
          <w:color w:val="auto"/>
          <w:highlight w:val="none"/>
          <w:u w:val="single"/>
        </w:rPr>
        <w:t>投标人名称</w:t>
      </w:r>
      <w:r>
        <w:rPr>
          <w:rFonts w:hAnsi="宋体" w:cs="宋体"/>
          <w:color w:val="auto"/>
          <w:highlight w:val="none"/>
          <w:u w:val="single"/>
        </w:rPr>
        <w:t xml:space="preserve">)   </w:t>
      </w:r>
      <w:r>
        <w:rPr>
          <w:rFonts w:hint="eastAsia" w:hAnsi="宋体" w:cs="宋体"/>
          <w:color w:val="auto"/>
          <w:highlight w:val="none"/>
        </w:rPr>
        <w:t>已作为投标人正式授权</w:t>
      </w:r>
      <w:r>
        <w:rPr>
          <w:rFonts w:hAnsi="宋体" w:cs="宋体"/>
          <w:color w:val="auto"/>
          <w:highlight w:val="none"/>
          <w:u w:val="single"/>
        </w:rPr>
        <w:t xml:space="preserve">    (</w:t>
      </w:r>
      <w:r>
        <w:rPr>
          <w:rFonts w:hint="eastAsia" w:hAnsi="宋体" w:cs="宋体"/>
          <w:color w:val="auto"/>
          <w:highlight w:val="none"/>
          <w:u w:val="single"/>
        </w:rPr>
        <w:t>授权代表全名，职务</w:t>
      </w:r>
      <w:r>
        <w:rPr>
          <w:rFonts w:hAnsi="宋体" w:cs="宋体"/>
          <w:color w:val="auto"/>
          <w:highlight w:val="none"/>
          <w:u w:val="single"/>
        </w:rPr>
        <w:t xml:space="preserve">)   </w:t>
      </w:r>
      <w:r>
        <w:rPr>
          <w:rFonts w:hint="eastAsia" w:hAnsi="宋体" w:cs="宋体"/>
          <w:color w:val="auto"/>
          <w:highlight w:val="none"/>
        </w:rPr>
        <w:t>代表我方进行有关本投标的一切事宜。</w:t>
      </w:r>
    </w:p>
    <w:p>
      <w:pPr>
        <w:spacing w:line="360" w:lineRule="auto"/>
        <w:ind w:firstLine="420" w:firstLineChars="200"/>
        <w:rPr>
          <w:rFonts w:hAnsi="宋体" w:cs="宋体"/>
          <w:color w:val="auto"/>
          <w:highlight w:val="none"/>
        </w:rPr>
      </w:pPr>
      <w:r>
        <w:rPr>
          <w:rFonts w:hint="eastAsia" w:hAnsi="宋体" w:cs="宋体"/>
          <w:color w:val="auto"/>
          <w:highlight w:val="none"/>
        </w:rPr>
        <w:t>我方已完全明白和接受招标文件的所有条款要求，并重申以下几点：</w:t>
      </w:r>
    </w:p>
    <w:p>
      <w:pPr>
        <w:spacing w:line="360" w:lineRule="auto"/>
        <w:ind w:firstLine="420" w:firstLineChars="200"/>
        <w:rPr>
          <w:rFonts w:hAnsi="宋体" w:cs="宋体"/>
          <w:color w:val="auto"/>
          <w:highlight w:val="none"/>
        </w:rPr>
      </w:pPr>
      <w:r>
        <w:rPr>
          <w:rFonts w:hAnsi="宋体" w:cs="宋体"/>
          <w:color w:val="auto"/>
          <w:highlight w:val="none"/>
        </w:rPr>
        <w:t>1</w:t>
      </w:r>
      <w:r>
        <w:rPr>
          <w:rFonts w:hint="eastAsia" w:hAnsi="宋体" w:cs="宋体"/>
          <w:color w:val="auto"/>
          <w:highlight w:val="none"/>
        </w:rPr>
        <w:t>．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pPr>
        <w:spacing w:line="360" w:lineRule="auto"/>
        <w:ind w:firstLine="420" w:firstLineChars="200"/>
        <w:rPr>
          <w:rFonts w:hAnsi="宋体" w:cs="宋体"/>
          <w:color w:val="auto"/>
          <w:highlight w:val="none"/>
        </w:rPr>
      </w:pPr>
      <w:r>
        <w:rPr>
          <w:rFonts w:hAnsi="宋体" w:cs="宋体"/>
          <w:color w:val="auto"/>
          <w:highlight w:val="none"/>
        </w:rPr>
        <w:t xml:space="preserve">2. </w:t>
      </w:r>
      <w:r>
        <w:rPr>
          <w:rFonts w:hint="eastAsia" w:hAnsi="宋体" w:cs="宋体"/>
          <w:color w:val="auto"/>
          <w:highlight w:val="none"/>
        </w:rPr>
        <w:t>我方已充分阅读了本项目招标文件并充分了解有关报价方式及变更、结算方式，我方完全响应招标文件的规定。</w:t>
      </w:r>
    </w:p>
    <w:p>
      <w:pPr>
        <w:spacing w:line="360" w:lineRule="auto"/>
        <w:ind w:firstLine="420" w:firstLineChars="200"/>
        <w:rPr>
          <w:rFonts w:hAnsi="宋体" w:cs="宋体"/>
          <w:color w:val="auto"/>
          <w:highlight w:val="none"/>
        </w:rPr>
      </w:pPr>
      <w:r>
        <w:rPr>
          <w:rFonts w:hAnsi="宋体" w:cs="宋体"/>
          <w:color w:val="auto"/>
          <w:highlight w:val="none"/>
        </w:rPr>
        <w:t>3</w:t>
      </w:r>
      <w:r>
        <w:rPr>
          <w:rFonts w:hint="eastAsia" w:hAnsi="宋体" w:cs="宋体"/>
          <w:color w:val="auto"/>
          <w:highlight w:val="none"/>
        </w:rPr>
        <w:t>．本投标文件的有效期为投标截止日后</w:t>
      </w:r>
      <w:r>
        <w:rPr>
          <w:rFonts w:hint="eastAsia" w:hAnsi="宋体" w:cs="宋体"/>
          <w:color w:val="auto"/>
          <w:highlight w:val="none"/>
          <w:u w:val="single"/>
        </w:rPr>
        <w:t>60</w:t>
      </w:r>
      <w:r>
        <w:rPr>
          <w:rFonts w:hint="eastAsia" w:hAnsi="宋体" w:cs="宋体"/>
          <w:color w:val="auto"/>
          <w:highlight w:val="none"/>
        </w:rPr>
        <w:t>天内有效，如出现异议或投诉，则投标有效期自动延长至异议或投诉处理结束，确定中标人并发放中标通知书为止；</w:t>
      </w:r>
    </w:p>
    <w:p>
      <w:pPr>
        <w:spacing w:line="360" w:lineRule="auto"/>
        <w:ind w:firstLine="420" w:firstLineChars="200"/>
        <w:rPr>
          <w:rFonts w:hAnsi="宋体" w:cs="宋体"/>
          <w:color w:val="auto"/>
          <w:highlight w:val="none"/>
        </w:rPr>
      </w:pPr>
      <w:r>
        <w:rPr>
          <w:rFonts w:hAnsi="宋体" w:cs="宋体"/>
          <w:color w:val="auto"/>
          <w:highlight w:val="none"/>
        </w:rPr>
        <w:t>4</w:t>
      </w:r>
      <w:r>
        <w:rPr>
          <w:rFonts w:hint="eastAsia" w:hAnsi="宋体" w:cs="宋体"/>
          <w:color w:val="auto"/>
          <w:highlight w:val="none"/>
        </w:rPr>
        <w:t>．我方承诺投标文件中的一切资料、数据是真实的，并承担由此引起的一切责任。</w:t>
      </w:r>
    </w:p>
    <w:p>
      <w:pPr>
        <w:spacing w:line="360" w:lineRule="auto"/>
        <w:ind w:firstLine="420" w:firstLineChars="200"/>
        <w:rPr>
          <w:rFonts w:hAnsi="宋体" w:cs="宋体"/>
          <w:color w:val="auto"/>
          <w:highlight w:val="none"/>
        </w:rPr>
      </w:pPr>
      <w:r>
        <w:rPr>
          <w:rFonts w:hAnsi="宋体" w:cs="宋体"/>
          <w:color w:val="auto"/>
          <w:highlight w:val="none"/>
        </w:rPr>
        <w:t>5</w:t>
      </w:r>
      <w:r>
        <w:rPr>
          <w:rFonts w:hint="eastAsia" w:hAnsi="宋体" w:cs="宋体"/>
          <w:color w:val="auto"/>
          <w:highlight w:val="none"/>
        </w:rPr>
        <w:t>．我方明白并愿意若在规定的投标截止时间之后至投标有效期之内撤回投标，则投标保证金将被贵司没收。</w:t>
      </w:r>
    </w:p>
    <w:p>
      <w:pPr>
        <w:spacing w:line="360" w:lineRule="auto"/>
        <w:ind w:firstLine="420" w:firstLineChars="200"/>
        <w:rPr>
          <w:rFonts w:hAnsi="宋体" w:cs="宋体"/>
          <w:color w:val="auto"/>
          <w:highlight w:val="none"/>
        </w:rPr>
      </w:pPr>
      <w:r>
        <w:rPr>
          <w:rFonts w:hAnsi="宋体" w:cs="宋体"/>
          <w:color w:val="auto"/>
          <w:highlight w:val="none"/>
        </w:rPr>
        <w:t>6</w:t>
      </w:r>
      <w:r>
        <w:rPr>
          <w:rFonts w:hint="eastAsia" w:hAnsi="宋体" w:cs="宋体"/>
          <w:color w:val="auto"/>
          <w:highlight w:val="none"/>
        </w:rPr>
        <w:t>．我方同意按照贵司可能提出的要求而提供与投标有关的任何其它数据或信息。</w:t>
      </w:r>
    </w:p>
    <w:p>
      <w:pPr>
        <w:spacing w:line="360" w:lineRule="auto"/>
        <w:ind w:firstLine="420" w:firstLineChars="200"/>
        <w:rPr>
          <w:rFonts w:hAnsi="宋体" w:cs="宋体"/>
          <w:color w:val="auto"/>
          <w:highlight w:val="none"/>
        </w:rPr>
      </w:pPr>
      <w:r>
        <w:rPr>
          <w:rFonts w:hAnsi="宋体" w:cs="宋体"/>
          <w:color w:val="auto"/>
          <w:highlight w:val="none"/>
        </w:rPr>
        <w:t>7</w:t>
      </w:r>
      <w:r>
        <w:rPr>
          <w:rFonts w:hint="eastAsia" w:hAnsi="宋体" w:cs="宋体"/>
          <w:color w:val="auto"/>
          <w:highlight w:val="none"/>
        </w:rPr>
        <w:t>．我方如果中标，我方保证：</w:t>
      </w:r>
    </w:p>
    <w:p>
      <w:pPr>
        <w:spacing w:line="360" w:lineRule="auto"/>
        <w:ind w:firstLine="420" w:firstLineChars="200"/>
        <w:rPr>
          <w:rFonts w:hAnsi="宋体" w:cs="宋体"/>
          <w:color w:val="auto"/>
          <w:highlight w:val="none"/>
        </w:rPr>
      </w:pPr>
      <w:r>
        <w:rPr>
          <w:rFonts w:hAnsi="宋体" w:cs="宋体"/>
          <w:color w:val="auto"/>
          <w:highlight w:val="none"/>
        </w:rPr>
        <w:t>7.1</w:t>
      </w:r>
      <w:r>
        <w:rPr>
          <w:rFonts w:hint="eastAsia" w:hAnsi="宋体" w:cs="宋体"/>
          <w:color w:val="auto"/>
          <w:highlight w:val="none"/>
        </w:rPr>
        <w:t>保证履行招标文件以及招标文件修改书</w:t>
      </w:r>
      <w:r>
        <w:rPr>
          <w:rFonts w:hAnsi="宋体" w:cs="宋体"/>
          <w:color w:val="auto"/>
          <w:highlight w:val="none"/>
        </w:rPr>
        <w:t>(</w:t>
      </w:r>
      <w:r>
        <w:rPr>
          <w:rFonts w:hint="eastAsia" w:hAnsi="宋体" w:cs="宋体"/>
          <w:color w:val="auto"/>
          <w:highlight w:val="none"/>
        </w:rPr>
        <w:t>如有</w:t>
      </w:r>
      <w:r>
        <w:rPr>
          <w:rFonts w:hAnsi="宋体" w:cs="宋体"/>
          <w:color w:val="auto"/>
          <w:highlight w:val="none"/>
        </w:rPr>
        <w:t>)</w:t>
      </w:r>
      <w:r>
        <w:rPr>
          <w:rFonts w:hint="eastAsia" w:hAnsi="宋体" w:cs="宋体"/>
          <w:color w:val="auto"/>
          <w:highlight w:val="none"/>
        </w:rPr>
        <w:t>中的全部责任和义务，在招标文件规定的时间内签订合同，并严格按国家有关法规履行我方的全部责任，按质、按量、按期完成合同约定的全部任务。同时，承诺遵守业主提出的限额设计、限额施工相关要求。</w:t>
      </w:r>
    </w:p>
    <w:p>
      <w:pPr>
        <w:spacing w:line="360" w:lineRule="auto"/>
        <w:ind w:firstLine="420" w:firstLineChars="200"/>
        <w:rPr>
          <w:rFonts w:hAnsi="宋体" w:cs="宋体"/>
          <w:color w:val="auto"/>
          <w:highlight w:val="none"/>
        </w:rPr>
      </w:pPr>
      <w:r>
        <w:rPr>
          <w:rFonts w:hAnsi="宋体" w:cs="宋体"/>
          <w:color w:val="auto"/>
          <w:highlight w:val="none"/>
        </w:rPr>
        <w:t>7.2</w:t>
      </w:r>
      <w:r>
        <w:rPr>
          <w:rFonts w:hint="eastAsia" w:hAnsi="宋体" w:cs="宋体"/>
          <w:color w:val="auto"/>
          <w:highlight w:val="none"/>
        </w:rPr>
        <w:t>保证将我方的资质承包范围不能涵盖或不具备相应能力</w:t>
      </w:r>
      <w:r>
        <w:rPr>
          <w:rFonts w:hAnsi="宋体" w:cs="宋体"/>
          <w:color w:val="auto"/>
          <w:highlight w:val="none"/>
        </w:rPr>
        <w:t>(</w:t>
      </w:r>
      <w:r>
        <w:rPr>
          <w:rFonts w:hint="eastAsia" w:hAnsi="宋体" w:cs="宋体"/>
          <w:color w:val="auto"/>
          <w:highlight w:val="none"/>
        </w:rPr>
        <w:t>该能力须保证进度和质量且须获得发包人认可</w:t>
      </w:r>
      <w:r>
        <w:rPr>
          <w:rFonts w:hAnsi="宋体" w:cs="宋体"/>
          <w:color w:val="auto"/>
          <w:highlight w:val="none"/>
        </w:rPr>
        <w:t>)</w:t>
      </w:r>
      <w:r>
        <w:rPr>
          <w:rFonts w:hint="eastAsia" w:hAnsi="宋体" w:cs="宋体"/>
          <w:color w:val="auto"/>
          <w:highlight w:val="none"/>
        </w:rPr>
        <w:t>的部分专业工程（如果有），委托获得发包人批准的具备相应专业资质和能力的单位实施，确保项目质量及进度。</w:t>
      </w:r>
    </w:p>
    <w:p>
      <w:pPr>
        <w:spacing w:line="360" w:lineRule="auto"/>
        <w:ind w:firstLine="420" w:firstLineChars="200"/>
        <w:rPr>
          <w:rFonts w:hAnsi="宋体" w:cs="宋体"/>
          <w:color w:val="auto"/>
          <w:highlight w:val="none"/>
        </w:rPr>
      </w:pPr>
      <w:r>
        <w:rPr>
          <w:rFonts w:hAnsi="宋体" w:cs="宋体"/>
          <w:color w:val="auto"/>
          <w:highlight w:val="none"/>
        </w:rPr>
        <w:t>7.3</w:t>
      </w:r>
      <w:r>
        <w:rPr>
          <w:rFonts w:hint="eastAsia" w:hAnsi="宋体" w:cs="宋体"/>
          <w:color w:val="auto"/>
          <w:highlight w:val="none"/>
        </w:rPr>
        <w:t>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方案及初步设计必须经业主及咨询单位同意。设计过程及成果，必须接受监理单位及咨询单位监督及接收。</w:t>
      </w:r>
    </w:p>
    <w:p>
      <w:pPr>
        <w:spacing w:line="360" w:lineRule="auto"/>
        <w:ind w:firstLine="420" w:firstLineChars="200"/>
        <w:rPr>
          <w:rFonts w:hAnsi="宋体" w:cs="宋体"/>
          <w:color w:val="auto"/>
          <w:highlight w:val="none"/>
        </w:rPr>
      </w:pPr>
      <w:r>
        <w:rPr>
          <w:rFonts w:hAnsi="宋体" w:cs="宋体"/>
          <w:color w:val="auto"/>
          <w:highlight w:val="none"/>
        </w:rPr>
        <w:t>7.4</w:t>
      </w:r>
      <w:r>
        <w:rPr>
          <w:rFonts w:hint="eastAsia" w:hAnsi="宋体" w:cs="宋体"/>
          <w:color w:val="auto"/>
          <w:highlight w:val="none"/>
        </w:rPr>
        <w:t>承诺严格遵守本合同工期，保证尽一切力量确保投标承诺的竣工日期，承担本项目的方案深化及初步设计、施工图设计、施工图审查及施工备案等各项工作。若我方未能按投标承诺的工期完成本项目，除承担合同约定的违约责任外，发包人有权解除合同，我方承担由于违约解除合同退场造成的对发包人的一切损失。</w:t>
      </w:r>
    </w:p>
    <w:p>
      <w:pPr>
        <w:spacing w:line="360" w:lineRule="auto"/>
        <w:ind w:firstLine="420" w:firstLineChars="200"/>
        <w:rPr>
          <w:rFonts w:hAnsi="宋体" w:cs="宋体"/>
          <w:color w:val="auto"/>
          <w:highlight w:val="none"/>
        </w:rPr>
      </w:pPr>
      <w:r>
        <w:rPr>
          <w:rFonts w:hAnsi="宋体" w:cs="宋体"/>
          <w:color w:val="auto"/>
          <w:highlight w:val="none"/>
        </w:rPr>
        <w:t>7.5</w:t>
      </w:r>
      <w:r>
        <w:rPr>
          <w:rFonts w:hint="eastAsia" w:hAnsi="宋体" w:cs="宋体"/>
          <w:color w:val="auto"/>
          <w:highlight w:val="none"/>
        </w:rPr>
        <w:t>接受建设单位为本项目委派的工程监理、造价咨询、工程设计咨询、项目代建等咨询管理单位的管理及监督。接受这些监督并不免除总承包单位作为合同方所应承担的责任。</w:t>
      </w:r>
    </w:p>
    <w:p>
      <w:pPr>
        <w:spacing w:line="360" w:lineRule="auto"/>
        <w:ind w:firstLine="420" w:firstLineChars="200"/>
        <w:rPr>
          <w:rFonts w:hAnsi="宋体" w:cs="宋体"/>
          <w:color w:val="auto"/>
          <w:highlight w:val="none"/>
        </w:rPr>
      </w:pPr>
      <w:r>
        <w:rPr>
          <w:rFonts w:hAnsi="宋体" w:cs="宋体"/>
          <w:color w:val="auto"/>
          <w:highlight w:val="none"/>
        </w:rPr>
        <w:t>7.6</w:t>
      </w:r>
      <w:r>
        <w:rPr>
          <w:rFonts w:hint="eastAsia" w:hAnsi="宋体" w:cs="宋体"/>
          <w:color w:val="auto"/>
          <w:highlight w:val="none"/>
        </w:rPr>
        <w:t>保证投标所报的项目负责人、设计负责人在本项目合同签订后</w:t>
      </w:r>
      <w:r>
        <w:rPr>
          <w:rFonts w:hAnsi="宋体" w:cs="宋体"/>
          <w:color w:val="auto"/>
          <w:highlight w:val="none"/>
        </w:rPr>
        <w:t>7</w:t>
      </w:r>
      <w:r>
        <w:rPr>
          <w:rFonts w:hint="eastAsia" w:hAnsi="宋体" w:cs="宋体"/>
          <w:color w:val="auto"/>
          <w:highlight w:val="none"/>
        </w:rPr>
        <w:t>日内到职，全过程服务于本项目，在过程中非不可抗力或发包人要求不得更换。我方违反以上承诺的，同意按合同条款的规定承担违约责任。</w:t>
      </w:r>
    </w:p>
    <w:p>
      <w:pPr>
        <w:spacing w:line="360" w:lineRule="auto"/>
        <w:ind w:firstLine="420" w:firstLineChars="200"/>
        <w:rPr>
          <w:rFonts w:hAnsi="宋体" w:cs="宋体"/>
          <w:color w:val="auto"/>
          <w:highlight w:val="none"/>
        </w:rPr>
      </w:pPr>
      <w:r>
        <w:rPr>
          <w:rFonts w:hAnsi="宋体" w:cs="宋体"/>
          <w:color w:val="auto"/>
          <w:highlight w:val="none"/>
        </w:rPr>
        <w:t>7.</w:t>
      </w:r>
      <w:r>
        <w:rPr>
          <w:rFonts w:hint="eastAsia" w:hAnsi="宋体" w:cs="宋体"/>
          <w:color w:val="auto"/>
          <w:highlight w:val="none"/>
        </w:rPr>
        <w:t>7保证按照招标文件的要求确保安全生产及文明施工，如有违反，我方愿意按合同约定承担违约责任，并为此负相关的法律责任。</w:t>
      </w:r>
    </w:p>
    <w:p>
      <w:pPr>
        <w:spacing w:line="360" w:lineRule="auto"/>
        <w:ind w:firstLine="420" w:firstLineChars="200"/>
        <w:rPr>
          <w:rFonts w:hAnsi="宋体" w:cs="宋体"/>
          <w:color w:val="auto"/>
          <w:highlight w:val="none"/>
        </w:rPr>
      </w:pPr>
      <w:r>
        <w:rPr>
          <w:rFonts w:hAnsi="宋体" w:cs="宋体"/>
          <w:color w:val="auto"/>
          <w:highlight w:val="none"/>
        </w:rPr>
        <w:t>7.</w:t>
      </w:r>
      <w:r>
        <w:rPr>
          <w:rFonts w:hint="eastAsia" w:hAnsi="宋体" w:cs="宋体"/>
          <w:color w:val="auto"/>
          <w:highlight w:val="none"/>
        </w:rPr>
        <w:t>8保证按国家的有关规定制订保证民工工资支付的方案及保证措施，否则，我方愿按合同条款规定承担违约责任并赔偿发包人的全部损失。</w:t>
      </w:r>
    </w:p>
    <w:p>
      <w:pPr>
        <w:spacing w:line="360" w:lineRule="auto"/>
        <w:ind w:firstLine="3360" w:firstLineChars="1600"/>
        <w:rPr>
          <w:rFonts w:hAnsi="宋体" w:cs="宋体"/>
          <w:color w:val="auto"/>
          <w:highlight w:val="none"/>
        </w:rPr>
      </w:pPr>
    </w:p>
    <w:p>
      <w:pPr>
        <w:spacing w:line="360" w:lineRule="auto"/>
        <w:ind w:firstLine="3360" w:firstLineChars="1600"/>
        <w:rPr>
          <w:rFonts w:hAnsi="宋体" w:cs="宋体"/>
          <w:color w:val="auto"/>
          <w:highlight w:val="none"/>
        </w:rPr>
      </w:pPr>
    </w:p>
    <w:p>
      <w:pPr>
        <w:spacing w:line="360" w:lineRule="auto"/>
        <w:ind w:firstLine="3360" w:firstLineChars="1600"/>
        <w:rPr>
          <w:rFonts w:hAnsi="宋体" w:cs="宋体"/>
          <w:color w:val="auto"/>
          <w:highlight w:val="none"/>
        </w:rPr>
      </w:pPr>
      <w:r>
        <w:rPr>
          <w:rFonts w:hint="eastAsia" w:hAnsi="宋体" w:cs="宋体"/>
          <w:color w:val="auto"/>
          <w:highlight w:val="none"/>
        </w:rPr>
        <w:t>投标人（盖章）：</w:t>
      </w:r>
    </w:p>
    <w:p>
      <w:pPr>
        <w:spacing w:line="360" w:lineRule="auto"/>
        <w:ind w:firstLine="3360" w:firstLineChars="1600"/>
        <w:rPr>
          <w:rFonts w:hAnsi="宋体" w:cs="宋体"/>
          <w:color w:val="auto"/>
          <w:highlight w:val="none"/>
        </w:rPr>
      </w:pPr>
      <w:r>
        <w:rPr>
          <w:rFonts w:hint="eastAsia" w:hAnsi="宋体" w:cs="宋体"/>
          <w:color w:val="auto"/>
          <w:highlight w:val="none"/>
        </w:rPr>
        <w:t>法定代表人或其授权代理人（签名或盖章）：</w:t>
      </w:r>
    </w:p>
    <w:p>
      <w:pPr>
        <w:spacing w:line="360" w:lineRule="auto"/>
        <w:ind w:firstLine="3360" w:firstLineChars="1600"/>
        <w:rPr>
          <w:rFonts w:hAnsi="宋体" w:cs="宋体"/>
          <w:color w:val="auto"/>
          <w:highlight w:val="none"/>
        </w:rPr>
      </w:pPr>
      <w:r>
        <w:rPr>
          <w:rFonts w:hint="eastAsia" w:hAnsi="宋体" w:cs="宋体"/>
          <w:color w:val="auto"/>
          <w:highlight w:val="none"/>
        </w:rPr>
        <w:t>日期：    年  月  日</w:t>
      </w:r>
    </w:p>
    <w:p>
      <w:pPr>
        <w:pStyle w:val="2"/>
        <w:spacing w:line="360" w:lineRule="auto"/>
        <w:ind w:firstLine="240" w:firstLineChars="100"/>
        <w:rPr>
          <w:rFonts w:hAnsi="宋体" w:cs="宋体"/>
          <w:color w:val="auto"/>
          <w:sz w:val="24"/>
          <w:highlight w:val="none"/>
        </w:rPr>
      </w:pPr>
    </w:p>
    <w:p>
      <w:pPr>
        <w:pStyle w:val="2"/>
        <w:spacing w:line="360" w:lineRule="auto"/>
        <w:jc w:val="left"/>
        <w:rPr>
          <w:rFonts w:hAnsi="宋体" w:cs="宋体"/>
          <w:b/>
          <w:color w:val="auto"/>
          <w:sz w:val="24"/>
          <w:highlight w:val="none"/>
        </w:rPr>
      </w:pPr>
      <w:r>
        <w:rPr>
          <w:rFonts w:hint="eastAsia" w:hAnsi="宋体" w:cs="宋体"/>
          <w:b/>
          <w:color w:val="auto"/>
          <w:sz w:val="24"/>
          <w:highlight w:val="none"/>
        </w:rPr>
        <w:t>注：联合体投标的，“投标人”一栏需书写所有联合体成员的单位全称，可由主办方签署、盖章。</w:t>
      </w:r>
    </w:p>
    <w:bookmarkEnd w:id="1138"/>
    <w:bookmarkEnd w:id="1139"/>
    <w:bookmarkEnd w:id="1140"/>
    <w:p>
      <w:pPr>
        <w:spacing w:line="360" w:lineRule="auto"/>
        <w:rPr>
          <w:rFonts w:hAnsi="宋体"/>
          <w:color w:val="auto"/>
          <w:szCs w:val="21"/>
          <w:highlight w:val="none"/>
        </w:rPr>
        <w:sectPr>
          <w:pgSz w:w="11907" w:h="16840"/>
          <w:pgMar w:top="1247" w:right="1134" w:bottom="1247" w:left="1361" w:header="851" w:footer="907" w:gutter="0"/>
          <w:cols w:space="720" w:num="1"/>
          <w:docGrid w:linePitch="312" w:charSpace="0"/>
        </w:sectPr>
      </w:pPr>
    </w:p>
    <w:p>
      <w:pPr>
        <w:spacing w:line="360" w:lineRule="auto"/>
        <w:rPr>
          <w:rFonts w:hAnsi="宋体" w:cs="宋体"/>
          <w:bCs/>
          <w:color w:val="auto"/>
          <w:highlight w:val="none"/>
        </w:rPr>
      </w:pPr>
      <w:r>
        <w:rPr>
          <w:rFonts w:hint="eastAsia" w:hAnsi="宋体" w:cs="宋体"/>
          <w:bCs/>
          <w:color w:val="auto"/>
          <w:highlight w:val="none"/>
        </w:rPr>
        <w:t>格式6</w:t>
      </w:r>
    </w:p>
    <w:p>
      <w:pPr>
        <w:autoSpaceDE w:val="0"/>
        <w:autoSpaceDN w:val="0"/>
        <w:adjustRightInd w:val="0"/>
        <w:spacing w:line="360" w:lineRule="auto"/>
        <w:jc w:val="center"/>
        <w:rPr>
          <w:rFonts w:hAnsi="宋体" w:cs="宋体"/>
          <w:b/>
          <w:bCs/>
          <w:color w:val="auto"/>
          <w:sz w:val="36"/>
          <w:szCs w:val="36"/>
          <w:highlight w:val="none"/>
          <w:lang w:val="zh-CN"/>
        </w:rPr>
      </w:pPr>
      <w:r>
        <w:rPr>
          <w:rFonts w:hint="eastAsia" w:ascii="黑体" w:hAnsi="黑体" w:eastAsia="黑体" w:cs="黑体"/>
          <w:b/>
          <w:bCs/>
          <w:color w:val="auto"/>
          <w:sz w:val="32"/>
          <w:szCs w:val="32"/>
          <w:highlight w:val="none"/>
          <w:lang w:val="zh-CN"/>
        </w:rPr>
        <w:t>参与编制</w:t>
      </w:r>
      <w:r>
        <w:rPr>
          <w:rFonts w:hint="eastAsia" w:ascii="黑体" w:hAnsi="黑体" w:eastAsia="黑体" w:cs="黑体"/>
          <w:b/>
          <w:bCs/>
          <w:color w:val="auto"/>
          <w:sz w:val="32"/>
          <w:szCs w:val="32"/>
          <w:highlight w:val="none"/>
        </w:rPr>
        <w:t>施工</w:t>
      </w:r>
      <w:r>
        <w:rPr>
          <w:rFonts w:hint="eastAsia" w:ascii="黑体" w:hAnsi="黑体" w:eastAsia="黑体" w:cs="黑体"/>
          <w:b/>
          <w:bCs/>
          <w:color w:val="auto"/>
          <w:sz w:val="32"/>
          <w:szCs w:val="32"/>
          <w:highlight w:val="none"/>
          <w:lang w:val="zh-CN"/>
        </w:rPr>
        <w:t>技术标投标文件人员名单</w:t>
      </w:r>
    </w:p>
    <w:tbl>
      <w:tblPr>
        <w:tblStyle w:val="43"/>
        <w:tblW w:w="9786"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24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281"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r>
              <w:rPr>
                <w:rFonts w:hint="eastAsia" w:hAnsi="宋体"/>
                <w:color w:val="auto"/>
                <w:highlight w:val="none"/>
              </w:rPr>
              <w:t>姓名</w:t>
            </w:r>
          </w:p>
        </w:tc>
        <w:tc>
          <w:tcPr>
            <w:tcW w:w="1311"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r>
              <w:rPr>
                <w:rFonts w:hint="eastAsia" w:hAnsi="宋体"/>
                <w:color w:val="auto"/>
                <w:highlight w:val="none"/>
              </w:rPr>
              <w:t>职务</w:t>
            </w:r>
          </w:p>
        </w:tc>
        <w:tc>
          <w:tcPr>
            <w:tcW w:w="2320"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r>
              <w:rPr>
                <w:rFonts w:hint="eastAsia" w:hAnsi="宋体"/>
                <w:color w:val="auto"/>
                <w:highlight w:val="none"/>
              </w:rPr>
              <w:t>所承担工作</w:t>
            </w:r>
          </w:p>
        </w:tc>
        <w:tc>
          <w:tcPr>
            <w:tcW w:w="2449"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r>
              <w:rPr>
                <w:rFonts w:hint="eastAsia" w:hAnsi="宋体"/>
                <w:color w:val="auto"/>
                <w:highlight w:val="none"/>
              </w:rPr>
              <w:t>身份证号码</w:t>
            </w:r>
          </w:p>
        </w:tc>
        <w:tc>
          <w:tcPr>
            <w:tcW w:w="2425" w:type="dxa"/>
            <w:tcBorders>
              <w:top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r>
              <w:rPr>
                <w:rFonts w:hint="eastAsia" w:hAnsi="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vAlign w:val="center"/>
          </w:tcPr>
          <w:p>
            <w:pPr>
              <w:tabs>
                <w:tab w:val="left" w:pos="0"/>
                <w:tab w:val="left" w:pos="720"/>
              </w:tabs>
              <w:adjustRightInd w:val="0"/>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1281"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p>
        </w:tc>
        <w:tc>
          <w:tcPr>
            <w:tcW w:w="1311"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p>
        </w:tc>
        <w:tc>
          <w:tcPr>
            <w:tcW w:w="2320"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p>
        </w:tc>
        <w:tc>
          <w:tcPr>
            <w:tcW w:w="2449"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p>
        </w:tc>
        <w:tc>
          <w:tcPr>
            <w:tcW w:w="2425" w:type="dxa"/>
            <w:tcBorders>
              <w:bottom w:val="single" w:color="auto" w:sz="4" w:space="0"/>
            </w:tcBorders>
            <w:vAlign w:val="center"/>
          </w:tcPr>
          <w:p>
            <w:pPr>
              <w:tabs>
                <w:tab w:val="left" w:pos="0"/>
                <w:tab w:val="left" w:pos="720"/>
              </w:tabs>
              <w:adjustRightInd w:val="0"/>
              <w:snapToGrid w:val="0"/>
              <w:spacing w:line="360" w:lineRule="auto"/>
              <w:jc w:val="center"/>
              <w:rPr>
                <w:rFonts w:hAnsi="宋体"/>
                <w:color w:val="auto"/>
                <w:highlight w:val="none"/>
              </w:rPr>
            </w:pPr>
          </w:p>
        </w:tc>
      </w:tr>
    </w:tbl>
    <w:p>
      <w:pPr>
        <w:spacing w:line="360" w:lineRule="auto"/>
        <w:rPr>
          <w:rFonts w:hAnsi="宋体" w:cs="宋体"/>
          <w:bCs/>
          <w:color w:val="auto"/>
          <w:highlight w:val="none"/>
        </w:rPr>
      </w:pPr>
      <w:r>
        <w:rPr>
          <w:rFonts w:hint="eastAsia" w:hAnsi="宋体"/>
          <w:color w:val="auto"/>
          <w:szCs w:val="21"/>
          <w:highlight w:val="none"/>
        </w:rPr>
        <w:t>注：参与编制标书所有人员名单应包括如编制施工技术标、负责清样校对、负责打印及复印等所有人员在内的人员名单。</w:t>
      </w:r>
      <w:r>
        <w:rPr>
          <w:rFonts w:hint="eastAsia" w:hAnsi="宋体" w:cs="宋体"/>
          <w:bCs/>
          <w:color w:val="auto"/>
          <w:highlight w:val="none"/>
        </w:rPr>
        <w:br w:type="page"/>
      </w:r>
    </w:p>
    <w:p>
      <w:pPr>
        <w:spacing w:line="360" w:lineRule="auto"/>
        <w:rPr>
          <w:rFonts w:hAnsi="宋体" w:cs="宋体"/>
          <w:b/>
          <w:bCs/>
          <w:color w:val="auto"/>
          <w:sz w:val="30"/>
          <w:szCs w:val="30"/>
          <w:highlight w:val="none"/>
          <w:lang w:val="zh-CN"/>
        </w:rPr>
      </w:pPr>
      <w:r>
        <w:rPr>
          <w:rFonts w:hint="eastAsia" w:hAnsi="宋体" w:cs="宋体"/>
          <w:bCs/>
          <w:color w:val="auto"/>
          <w:highlight w:val="none"/>
        </w:rPr>
        <w:t>格式7</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经济标投标书</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43"/>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投标总报价（元）</w:t>
            </w: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其中设计费（元）</w:t>
            </w:r>
          </w:p>
        </w:tc>
        <w:tc>
          <w:tcPr>
            <w:tcW w:w="6699" w:type="dxa"/>
            <w:vAlign w:val="center"/>
          </w:tcPr>
          <w:p>
            <w:pPr>
              <w:autoSpaceDE w:val="0"/>
              <w:autoSpaceDN w:val="0"/>
              <w:adjustRightInd w:val="0"/>
              <w:snapToGrid w:val="0"/>
              <w:spacing w:line="360" w:lineRule="auto"/>
              <w:ind w:firstLine="1260" w:firstLineChars="600"/>
              <w:rPr>
                <w:rFonts w:ascii="宋体" w:hAnsi="宋体" w:cs="宋体"/>
                <w:bCs/>
                <w:color w:val="auto"/>
                <w:szCs w:val="21"/>
                <w:highlight w:val="none"/>
                <w:lang w:val="zh-CN"/>
              </w:rPr>
            </w:pPr>
            <w:r>
              <w:rPr>
                <w:rFonts w:hint="eastAsia" w:ascii="宋体" w:hAnsi="宋体" w:cs="宋体"/>
                <w:bCs/>
                <w:color w:val="auto"/>
                <w:szCs w:val="21"/>
                <w:highlight w:val="none"/>
                <w:lang w:val="zh-CN"/>
              </w:rPr>
              <w:t>元，下浮率</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 xml:space="preserve"> %</w:t>
            </w:r>
          </w:p>
          <w:p>
            <w:pPr>
              <w:autoSpaceDE w:val="0"/>
              <w:autoSpaceDN w:val="0"/>
              <w:adjustRightInd w:val="0"/>
              <w:snapToGrid w:val="0"/>
              <w:spacing w:line="360" w:lineRule="auto"/>
              <w:rPr>
                <w:rFonts w:ascii="宋体" w:hAnsi="宋体" w:cs="宋体"/>
                <w:bCs/>
                <w:color w:val="auto"/>
                <w:szCs w:val="21"/>
                <w:highlight w:val="none"/>
                <w:u w:val="single"/>
                <w:lang w:val="zh-CN"/>
              </w:rPr>
            </w:pPr>
            <w:r>
              <w:rPr>
                <w:rFonts w:hint="eastAsia" w:ascii="宋体" w:hAnsi="宋体" w:cs="宋体"/>
                <w:bCs/>
                <w:color w:val="auto"/>
                <w:szCs w:val="21"/>
                <w:highlight w:val="none"/>
                <w:lang w:val="zh-CN"/>
              </w:rPr>
              <w:t>注：设计费报价=设计费最高投标限价×（1-下浮率），保留2位小数。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11" w:type="dxa"/>
            <w:vAlign w:val="center"/>
          </w:tcPr>
          <w:p>
            <w:pPr>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其中建安工程费（元）</w:t>
            </w:r>
          </w:p>
        </w:tc>
        <w:tc>
          <w:tcPr>
            <w:tcW w:w="6699" w:type="dxa"/>
            <w:vAlign w:val="center"/>
          </w:tcPr>
          <w:p>
            <w:pPr>
              <w:autoSpaceDE w:val="0"/>
              <w:autoSpaceDN w:val="0"/>
              <w:adjustRightInd w:val="0"/>
              <w:snapToGrid w:val="0"/>
              <w:spacing w:line="360" w:lineRule="auto"/>
              <w:ind w:firstLine="1260" w:firstLineChars="600"/>
              <w:rPr>
                <w:rFonts w:ascii="宋体" w:hAnsi="宋体" w:cs="宋体"/>
                <w:bCs/>
                <w:color w:val="auto"/>
                <w:szCs w:val="21"/>
                <w:highlight w:val="none"/>
                <w:lang w:val="zh-CN"/>
              </w:rPr>
            </w:pPr>
            <w:r>
              <w:rPr>
                <w:rFonts w:hint="eastAsia" w:ascii="宋体" w:hAnsi="宋体" w:cs="宋体"/>
                <w:bCs/>
                <w:color w:val="auto"/>
                <w:szCs w:val="21"/>
                <w:highlight w:val="none"/>
                <w:lang w:val="zh-CN"/>
              </w:rPr>
              <w:t>元，下浮率</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w:t>
            </w:r>
          </w:p>
          <w:p>
            <w:pPr>
              <w:autoSpaceDE w:val="0"/>
              <w:autoSpaceDN w:val="0"/>
              <w:adjustRightInd w:val="0"/>
              <w:snapToGrid w:val="0"/>
              <w:spacing w:line="360" w:lineRule="auto"/>
              <w:rPr>
                <w:rFonts w:ascii="宋体" w:hAnsi="宋体" w:cs="宋体"/>
                <w:bCs/>
                <w:color w:val="auto"/>
                <w:szCs w:val="21"/>
                <w:highlight w:val="none"/>
                <w:lang w:val="zh-CN"/>
              </w:rPr>
            </w:pPr>
            <w:r>
              <w:rPr>
                <w:rFonts w:hint="eastAsia" w:ascii="宋体" w:hAnsi="宋体" w:cs="宋体"/>
                <w:bCs/>
                <w:color w:val="auto"/>
                <w:szCs w:val="21"/>
                <w:highlight w:val="none"/>
                <w:lang w:val="zh-CN"/>
              </w:rPr>
              <w:t>注：建安工程费报价=建安工程费最高投标限价×（1-下浮率），保留2位小数。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2"/>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注：（1）联合体投标的，“投标单位”一栏需书写所有联合体成员的单位全称，联合体各方均需签署、盖章。</w:t>
      </w:r>
    </w:p>
    <w:p>
      <w:pPr>
        <w:pStyle w:val="2"/>
        <w:spacing w:line="360" w:lineRule="auto"/>
        <w:ind w:firstLine="210" w:firstLineChars="100"/>
        <w:rPr>
          <w:rFonts w:ascii="宋体" w:hAnsi="宋体" w:cs="宋体"/>
          <w:bCs/>
          <w:color w:val="auto"/>
          <w:sz w:val="21"/>
          <w:szCs w:val="21"/>
          <w:highlight w:val="none"/>
        </w:rPr>
      </w:pPr>
      <w:r>
        <w:rPr>
          <w:rFonts w:hint="eastAsia" w:ascii="宋体" w:hAnsi="宋体" w:cs="宋体"/>
          <w:bCs/>
          <w:color w:val="auto"/>
          <w:sz w:val="21"/>
          <w:szCs w:val="21"/>
          <w:highlight w:val="none"/>
        </w:rPr>
        <w:t>（2）投标总报价的大写金额和小写金额不一致的，以大写金额为准，投标报价精确到小数点后两位。</w:t>
      </w:r>
    </w:p>
    <w:p>
      <w:pPr>
        <w:autoSpaceDE w:val="0"/>
        <w:autoSpaceDN w:val="0"/>
        <w:adjustRightInd w:val="0"/>
        <w:spacing w:line="360" w:lineRule="auto"/>
        <w:ind w:firstLine="210" w:firstLineChars="100"/>
        <w:rPr>
          <w:rFonts w:hAnsi="宋体"/>
          <w:b/>
          <w:color w:val="auto"/>
          <w:highlight w:val="none"/>
        </w:rPr>
      </w:pPr>
      <w:r>
        <w:rPr>
          <w:rFonts w:hint="eastAsia" w:ascii="宋体" w:hAnsi="宋体" w:cs="宋体"/>
          <w:bCs/>
          <w:color w:val="auto"/>
          <w:szCs w:val="21"/>
          <w:highlight w:val="none"/>
        </w:rPr>
        <w:t>（3）建安工程费、设计费为相应最高投标限价×（1-下浮率）。</w:t>
      </w:r>
      <w:bookmarkEnd w:id="1126"/>
      <w:bookmarkEnd w:id="1127"/>
      <w:bookmarkEnd w:id="1128"/>
      <w:bookmarkEnd w:id="1129"/>
      <w:bookmarkEnd w:id="1130"/>
      <w:bookmarkEnd w:id="1131"/>
      <w:bookmarkEnd w:id="1132"/>
      <w:bookmarkEnd w:id="1133"/>
      <w:bookmarkEnd w:id="1134"/>
      <w:bookmarkEnd w:id="1135"/>
      <w:bookmarkEnd w:id="1136"/>
      <w:bookmarkEnd w:id="1137"/>
      <w:r>
        <w:rPr>
          <w:rFonts w:hAnsi="宋体"/>
          <w:b/>
          <w:color w:val="auto"/>
          <w:highlight w:val="none"/>
        </w:rPr>
        <w:br w:type="page"/>
      </w:r>
      <w:r>
        <w:rPr>
          <w:rFonts w:hint="eastAsia" w:hAnsi="宋体" w:cs="宋体"/>
          <w:bCs/>
          <w:color w:val="auto"/>
          <w:highlight w:val="none"/>
        </w:rPr>
        <w:t>格式8</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参与编制经济标投标文件人员名单</w:t>
      </w:r>
    </w:p>
    <w:tbl>
      <w:tblPr>
        <w:tblStyle w:val="43"/>
        <w:tblW w:w="948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7"/>
        <w:gridCol w:w="1183"/>
        <w:gridCol w:w="2770"/>
        <w:gridCol w:w="2258"/>
        <w:gridCol w:w="22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017"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r>
              <w:rPr>
                <w:rFonts w:hint="eastAsia" w:hAnsi="宋体" w:cs="宋体"/>
                <w:color w:val="auto"/>
                <w:highlight w:val="none"/>
              </w:rPr>
              <w:t>姓名</w:t>
            </w:r>
          </w:p>
        </w:tc>
        <w:tc>
          <w:tcPr>
            <w:tcW w:w="1183"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r>
              <w:rPr>
                <w:rFonts w:hint="eastAsia" w:hAnsi="宋体" w:cs="宋体"/>
                <w:color w:val="auto"/>
                <w:highlight w:val="none"/>
              </w:rPr>
              <w:t>职务</w:t>
            </w:r>
          </w:p>
        </w:tc>
        <w:tc>
          <w:tcPr>
            <w:tcW w:w="2770"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r>
              <w:rPr>
                <w:rFonts w:hint="eastAsia" w:hAnsi="宋体" w:cs="宋体"/>
                <w:color w:val="auto"/>
                <w:highlight w:val="none"/>
              </w:rPr>
              <w:t>所承担工作</w:t>
            </w:r>
          </w:p>
        </w:tc>
        <w:tc>
          <w:tcPr>
            <w:tcW w:w="2258"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r>
              <w:rPr>
                <w:rFonts w:hint="eastAsia" w:hAnsi="宋体" w:cs="宋体"/>
                <w:color w:val="auto"/>
                <w:highlight w:val="none"/>
              </w:rPr>
              <w:t>身份证号码</w:t>
            </w:r>
          </w:p>
        </w:tc>
        <w:tc>
          <w:tcPr>
            <w:tcW w:w="2254" w:type="dxa"/>
            <w:tcBorders>
              <w:top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r>
              <w:rPr>
                <w:rFonts w:hint="eastAsia" w:hAnsi="宋体" w:cs="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trPr>
        <w:tc>
          <w:tcPr>
            <w:tcW w:w="1017"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1183"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770"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8" w:type="dxa"/>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4" w:type="dxa"/>
            <w:vAlign w:val="center"/>
          </w:tcPr>
          <w:p>
            <w:pPr>
              <w:tabs>
                <w:tab w:val="left" w:pos="0"/>
                <w:tab w:val="left" w:pos="720"/>
              </w:tabs>
              <w:adjustRightInd w:val="0"/>
              <w:snapToGrid w:val="0"/>
              <w:spacing w:line="360" w:lineRule="auto"/>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trPr>
        <w:tc>
          <w:tcPr>
            <w:tcW w:w="1017"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1183"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770"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8"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p>
        </w:tc>
        <w:tc>
          <w:tcPr>
            <w:tcW w:w="2254" w:type="dxa"/>
            <w:tcBorders>
              <w:bottom w:val="single" w:color="auto" w:sz="4" w:space="0"/>
            </w:tcBorders>
            <w:vAlign w:val="center"/>
          </w:tcPr>
          <w:p>
            <w:pPr>
              <w:tabs>
                <w:tab w:val="left" w:pos="0"/>
                <w:tab w:val="left" w:pos="720"/>
              </w:tabs>
              <w:adjustRightInd w:val="0"/>
              <w:snapToGrid w:val="0"/>
              <w:spacing w:line="360" w:lineRule="auto"/>
              <w:jc w:val="center"/>
              <w:rPr>
                <w:rFonts w:hAnsi="宋体" w:cs="宋体"/>
                <w:color w:val="auto"/>
                <w:highlight w:val="none"/>
              </w:rPr>
            </w:pPr>
          </w:p>
        </w:tc>
      </w:tr>
    </w:tbl>
    <w:p>
      <w:pPr>
        <w:tabs>
          <w:tab w:val="left" w:pos="720"/>
        </w:tabs>
        <w:snapToGrid w:val="0"/>
        <w:spacing w:line="360" w:lineRule="auto"/>
        <w:rPr>
          <w:rFonts w:hAnsi="宋体" w:cs="宋体"/>
          <w:color w:val="auto"/>
          <w:szCs w:val="21"/>
          <w:highlight w:val="none"/>
          <w:lang w:val="zh-CN"/>
        </w:rPr>
      </w:pPr>
      <w:r>
        <w:rPr>
          <w:rFonts w:hint="eastAsia" w:hAnsi="宋体" w:cs="宋体"/>
          <w:color w:val="auto"/>
          <w:szCs w:val="21"/>
          <w:highlight w:val="none"/>
        </w:rPr>
        <w:t>注：参与编制标书所有人员名单应包括编制投标报价、负责清样校对、负责打印及复印等所有人员在内的人员名单。</w:t>
      </w:r>
    </w:p>
    <w:p>
      <w:pPr>
        <w:autoSpaceDE w:val="0"/>
        <w:autoSpaceDN w:val="0"/>
        <w:adjustRightInd w:val="0"/>
        <w:spacing w:line="360" w:lineRule="auto"/>
        <w:rPr>
          <w:rFonts w:hAnsi="宋体"/>
          <w:b/>
          <w:color w:val="auto"/>
          <w:highlight w:val="none"/>
        </w:rPr>
      </w:pPr>
    </w:p>
    <w:p>
      <w:pPr>
        <w:autoSpaceDE w:val="0"/>
        <w:autoSpaceDN w:val="0"/>
        <w:adjustRightInd w:val="0"/>
        <w:spacing w:line="360" w:lineRule="auto"/>
        <w:rPr>
          <w:rFonts w:hAnsi="宋体"/>
          <w:b/>
          <w:color w:val="auto"/>
          <w:highlight w:val="none"/>
        </w:rPr>
        <w:sectPr>
          <w:pgSz w:w="11906" w:h="16838"/>
          <w:pgMar w:top="1247" w:right="1134" w:bottom="1247" w:left="1361" w:header="851" w:footer="992" w:gutter="0"/>
          <w:cols w:space="720" w:num="1"/>
          <w:docGrid w:type="lines" w:linePitch="319" w:charSpace="0"/>
        </w:sectPr>
      </w:pPr>
    </w:p>
    <w:p>
      <w:pPr>
        <w:rPr>
          <w:color w:val="auto"/>
          <w:highlight w:val="none"/>
        </w:rPr>
      </w:pPr>
    </w:p>
    <w:p>
      <w:pPr>
        <w:rPr>
          <w:color w:val="auto"/>
          <w:highlight w:val="none"/>
        </w:rPr>
      </w:pPr>
      <w:bookmarkStart w:id="1141" w:name="_Toc8355"/>
      <w:bookmarkStart w:id="1142" w:name="_Toc494371589"/>
      <w:bookmarkStart w:id="1143" w:name="_Toc2218"/>
      <w:bookmarkStart w:id="1144" w:name="_Toc271821942"/>
      <w:bookmarkStart w:id="1145" w:name="_Toc10741"/>
      <w:bookmarkStart w:id="1146" w:name="_Toc194"/>
      <w:bookmarkStart w:id="1147" w:name="_Toc300835233"/>
      <w:bookmarkStart w:id="1148" w:name="_Toc8323"/>
      <w:bookmarkStart w:id="1149" w:name="_Toc14611"/>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ascii="宋体" w:hAnsi="宋体"/>
          <w:b/>
          <w:color w:val="auto"/>
          <w:sz w:val="24"/>
          <w:highlight w:val="none"/>
        </w:rPr>
        <w:t>1</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资格审查文件</w:t>
      </w:r>
    </w:p>
    <w:p>
      <w:pPr>
        <w:jc w:val="center"/>
        <w:rPr>
          <w:rFonts w:eastAsia="黑体"/>
          <w:color w:val="auto"/>
          <w:sz w:val="44"/>
          <w:szCs w:val="44"/>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ascii="宋体" w:hAnsi="宋体"/>
          <w:b/>
          <w:color w:val="auto"/>
          <w:sz w:val="24"/>
          <w:highlight w:val="none"/>
        </w:rPr>
        <w:t>2</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设计商务文件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ascii="宋体" w:hAnsi="宋体"/>
          <w:b/>
          <w:color w:val="auto"/>
          <w:sz w:val="24"/>
          <w:highlight w:val="none"/>
        </w:rPr>
        <w:t>3</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设计技术文件</w:t>
      </w:r>
    </w:p>
    <w:p>
      <w:pPr>
        <w:autoSpaceDE w:val="0"/>
        <w:autoSpaceDN w:val="0"/>
        <w:adjustRightInd w:val="0"/>
        <w:spacing w:line="480" w:lineRule="auto"/>
        <w:rPr>
          <w:rFonts w:eastAsia="黑体"/>
          <w:color w:val="auto"/>
          <w:sz w:val="28"/>
          <w:szCs w:val="28"/>
          <w:highlight w:val="none"/>
        </w:rPr>
      </w:pPr>
    </w:p>
    <w:p>
      <w:pPr>
        <w:jc w:val="left"/>
        <w:rPr>
          <w:b/>
          <w:color w:val="auto"/>
          <w:sz w:val="24"/>
          <w:highlight w:val="none"/>
        </w:rPr>
      </w:pPr>
      <w:r>
        <w:rPr>
          <w:color w:val="auto"/>
          <w:highlight w:val="none"/>
        </w:rPr>
        <w:br w:type="page"/>
      </w:r>
      <w:r>
        <w:rPr>
          <w:rFonts w:hint="eastAsia"/>
          <w:b/>
          <w:color w:val="auto"/>
          <w:sz w:val="24"/>
          <w:highlight w:val="none"/>
        </w:rPr>
        <w:t>封面</w:t>
      </w:r>
      <w:r>
        <w:rPr>
          <w:rFonts w:hint="eastAsia" w:ascii="宋体" w:hAnsi="宋体"/>
          <w:b/>
          <w:color w:val="auto"/>
          <w:sz w:val="24"/>
          <w:highlight w:val="none"/>
        </w:rPr>
        <w:t>格式</w:t>
      </w:r>
      <w:r>
        <w:rPr>
          <w:rFonts w:ascii="宋体" w:hAnsi="宋体"/>
          <w:b/>
          <w:color w:val="auto"/>
          <w:sz w:val="24"/>
          <w:highlight w:val="none"/>
        </w:rPr>
        <w:t>4</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施工技术标投标文件</w:t>
      </w:r>
    </w:p>
    <w:p>
      <w:pPr>
        <w:jc w:val="center"/>
        <w:rPr>
          <w:rFonts w:eastAsia="黑体"/>
          <w:color w:val="auto"/>
          <w:sz w:val="44"/>
          <w:szCs w:val="44"/>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color w:val="auto"/>
          <w:highlight w:val="none"/>
        </w:rPr>
      </w:pPr>
      <w:r>
        <w:rPr>
          <w:color w:val="auto"/>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ascii="宋体" w:hAnsi="宋体"/>
          <w:b/>
          <w:color w:val="auto"/>
          <w:sz w:val="24"/>
          <w:highlight w:val="none"/>
        </w:rPr>
        <w:t>5</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经济标投标文件</w:t>
      </w:r>
    </w:p>
    <w:p>
      <w:pPr>
        <w:jc w:val="center"/>
        <w:rPr>
          <w:rFonts w:eastAsia="黑体"/>
          <w:color w:val="auto"/>
          <w:sz w:val="44"/>
          <w:szCs w:val="44"/>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color w:val="auto"/>
          <w:kern w:val="44"/>
          <w:sz w:val="44"/>
          <w:szCs w:val="44"/>
          <w:highlight w:val="none"/>
        </w:rPr>
      </w:pPr>
      <w:r>
        <w:rPr>
          <w:rFonts w:hint="eastAsia"/>
          <w:color w:val="auto"/>
          <w:kern w:val="44"/>
          <w:sz w:val="44"/>
          <w:szCs w:val="44"/>
          <w:highlight w:val="none"/>
        </w:rPr>
        <w:br w:type="page"/>
      </w:r>
    </w:p>
    <w:p>
      <w:pPr>
        <w:pStyle w:val="3"/>
        <w:adjustRightInd/>
        <w:spacing w:line="416" w:lineRule="auto"/>
        <w:textAlignment w:val="auto"/>
        <w:rPr>
          <w:color w:val="auto"/>
          <w:highlight w:val="none"/>
        </w:rPr>
      </w:pPr>
      <w:bookmarkStart w:id="1150" w:name="_Toc6761"/>
      <w:bookmarkStart w:id="1151" w:name="_Toc22154"/>
      <w:bookmarkStart w:id="1152" w:name="_Toc762"/>
      <w:bookmarkStart w:id="1153" w:name="_Toc9461"/>
      <w:bookmarkStart w:id="1154" w:name="_Toc20647"/>
      <w:r>
        <w:rPr>
          <w:rFonts w:hint="eastAsia"/>
          <w:color w:val="auto"/>
          <w:highlight w:val="none"/>
        </w:rPr>
        <w:t>第八章其他资料</w:t>
      </w:r>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pPr>
        <w:pStyle w:val="15"/>
        <w:rPr>
          <w:color w:val="auto"/>
          <w:highlight w:val="none"/>
        </w:rPr>
      </w:pPr>
    </w:p>
    <w:sectPr>
      <w:pgSz w:w="11906" w:h="16838"/>
      <w:pgMar w:top="1247" w:right="1134"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8"/>
      </w:rPr>
    </w:pPr>
    <w:r>
      <w:fldChar w:fldCharType="begin"/>
    </w:r>
    <w:r>
      <w:rPr>
        <w:rStyle w:val="38"/>
      </w:rPr>
      <w:instrText xml:space="preserve">PAGE  </w:instrTex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270"/>
        <w:tab w:val="clear" w:pos="4153"/>
      </w:tabs>
    </w:pPr>
    <w:r>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26"/>
                  <w:rPr>
                    <w:rStyle w:val="38"/>
                  </w:rPr>
                </w:pPr>
                <w:r>
                  <w:fldChar w:fldCharType="begin"/>
                </w:r>
                <w:r>
                  <w:rPr>
                    <w:rStyle w:val="38"/>
                  </w:rPr>
                  <w:instrText xml:space="preserve">PAGE  </w:instrText>
                </w:r>
                <w:r>
                  <w:fldChar w:fldCharType="separate"/>
                </w:r>
                <w:r>
                  <w:rPr>
                    <w:rStyle w:val="38"/>
                  </w:rPr>
                  <w:t>I</w:t>
                </w:r>
                <w:r>
                  <w:fldChar w:fldCharType="end"/>
                </w:r>
              </w:p>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270"/>
        <w:tab w:val="clear" w:pos="4153"/>
      </w:tabs>
    </w:pPr>
    <w:r>
      <w:pict>
        <v:shape id="文本框 1026" o:spid="_x0000_s1028"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6IOksQEA&#10;AE4DAAAOAAAAAAAAAAEAIAAAAB4BAABkcnMvZTJvRG9jLnhtbFBLBQYAAAAABgAGAFkBAABBBQAA&#10;AAA=&#10;">
          <v:path/>
          <v:fill on="f" focussize="0,0"/>
          <v:stroke on="f" joinstyle="miter"/>
          <v:imagedata o:title=""/>
          <o:lock v:ext="edit"/>
          <v:textbox inset="0mm,0mm,0mm,0mm" style="mso-fit-shape-to-text:t;">
            <w:txbxContent>
              <w:p>
                <w:pPr>
                  <w:pStyle w:val="26"/>
                  <w:rPr>
                    <w:rStyle w:val="38"/>
                  </w:rPr>
                </w:pPr>
                <w:r>
                  <w:fldChar w:fldCharType="begin"/>
                </w:r>
                <w:r>
                  <w:rPr>
                    <w:rStyle w:val="38"/>
                  </w:rPr>
                  <w:instrText xml:space="preserve">PAGE  </w:instrText>
                </w:r>
                <w:r>
                  <w:fldChar w:fldCharType="separate"/>
                </w:r>
                <w:r>
                  <w:rPr>
                    <w:rStyle w:val="38"/>
                  </w:rPr>
                  <w:t>2</w:t>
                </w:r>
                <w:r>
                  <w:fldChar w:fldCharType="end"/>
                </w:r>
              </w:p>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文本框 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UYErIBAABOAwAADgAAAGRycy9lMm9Eb2MueG1srVNLbtswEN0XyB0I&#10;7mPKLpA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eUYErIB&#10;AABOAwAADgAAAAAAAAABACAAAAAeAQAAZHJzL2Uyb0RvYy54bWxQSwUGAAAAAAYABgBZAQAAQgUA&#10;AAAA&#10;">
          <v:path/>
          <v:fill on="f" focussize="0,0"/>
          <v:stroke on="f" joinstyle="miter"/>
          <v:imagedata o:title=""/>
          <o:lock v:ext="edit"/>
          <v:textbox inset="0mm,0mm,0mm,0mm" style="mso-fit-shape-to-text:t;">
            <w:txbxContent>
              <w:p>
                <w:pPr>
                  <w:pStyle w:val="26"/>
                  <w:jc w:val="center"/>
                </w:pPr>
                <w:r>
                  <w:fldChar w:fldCharType="begin"/>
                </w:r>
                <w:r>
                  <w:instrText xml:space="preserve">PAGE   \* MERGEFORMAT</w:instrText>
                </w:r>
                <w:r>
                  <w:fldChar w:fldCharType="separate"/>
                </w:r>
                <w:r>
                  <w:rPr>
                    <w:lang w:val="zh-CN"/>
                  </w:rPr>
                  <w:t>38</w:t>
                </w:r>
                <w:r>
                  <w:rPr>
                    <w:lang w:val="zh-CN"/>
                  </w:rPr>
                  <w:fldChar w:fldCharType="end"/>
                </w:r>
              </w:p>
            </w:txbxContent>
          </v:textbox>
        </v:shape>
      </w:pic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F5374"/>
    <w:multiLevelType w:val="singleLevel"/>
    <w:tmpl w:val="BC5F5374"/>
    <w:lvl w:ilvl="0" w:tentative="0">
      <w:start w:val="1"/>
      <w:numFmt w:val="decimal"/>
      <w:suff w:val="nothing"/>
      <w:lvlText w:val="%1）"/>
      <w:lvlJc w:val="left"/>
    </w:lvl>
  </w:abstractNum>
  <w:abstractNum w:abstractNumId="1">
    <w:nsid w:val="CB8718C6"/>
    <w:multiLevelType w:val="singleLevel"/>
    <w:tmpl w:val="CB8718C6"/>
    <w:lvl w:ilvl="0" w:tentative="0">
      <w:start w:val="3"/>
      <w:numFmt w:val="decimal"/>
      <w:suff w:val="nothing"/>
      <w:lvlText w:val="%1、"/>
      <w:lvlJc w:val="left"/>
    </w:lvl>
  </w:abstractNum>
  <w:abstractNum w:abstractNumId="2">
    <w:nsid w:val="DDD9C9C6"/>
    <w:multiLevelType w:val="singleLevel"/>
    <w:tmpl w:val="DDD9C9C6"/>
    <w:lvl w:ilvl="0" w:tentative="0">
      <w:start w:val="2"/>
      <w:numFmt w:val="decimal"/>
      <w:suff w:val="nothing"/>
      <w:lvlText w:val="%1、"/>
      <w:lvlJc w:val="left"/>
      <w:pPr>
        <w:ind w:left="420" w:firstLine="0"/>
      </w:pPr>
    </w:lvl>
  </w:abstractNum>
  <w:abstractNum w:abstractNumId="3">
    <w:nsid w:val="25AE9542"/>
    <w:multiLevelType w:val="singleLevel"/>
    <w:tmpl w:val="25AE9542"/>
    <w:lvl w:ilvl="0" w:tentative="0">
      <w:start w:val="1"/>
      <w:numFmt w:val="decimal"/>
      <w:lvlText w:val="%1."/>
      <w:lvlJc w:val="left"/>
      <w:pPr>
        <w:tabs>
          <w:tab w:val="left" w:pos="0"/>
        </w:tabs>
        <w:ind w:left="0" w:firstLine="40"/>
      </w:pPr>
      <w:rPr>
        <w:rFonts w:hint="default"/>
      </w:rPr>
    </w:lvl>
  </w:abstractNum>
  <w:abstractNum w:abstractNumId="4">
    <w:nsid w:val="58D4006A"/>
    <w:multiLevelType w:val="singleLevel"/>
    <w:tmpl w:val="58D4006A"/>
    <w:lvl w:ilvl="0" w:tentative="0">
      <w:start w:val="1"/>
      <w:numFmt w:val="lowerLetter"/>
      <w:suff w:val="nothing"/>
      <w:lvlText w:val="（%1）"/>
      <w:lvlJc w:val="left"/>
    </w:lvl>
  </w:abstractNum>
  <w:abstractNum w:abstractNumId="5">
    <w:nsid w:val="58D403EC"/>
    <w:multiLevelType w:val="singleLevel"/>
    <w:tmpl w:val="58D403EC"/>
    <w:lvl w:ilvl="0" w:tentative="0">
      <w:start w:val="1"/>
      <w:numFmt w:val="lowerLetter"/>
      <w:suff w:val="nothing"/>
      <w:lvlText w:val="（%1）"/>
      <w:lvlJc w:val="left"/>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230"/>
    <w:rsid w:val="00007188"/>
    <w:rsid w:val="000113DF"/>
    <w:rsid w:val="000117B8"/>
    <w:rsid w:val="00012AC2"/>
    <w:rsid w:val="00015068"/>
    <w:rsid w:val="00023E15"/>
    <w:rsid w:val="0002575D"/>
    <w:rsid w:val="0002681D"/>
    <w:rsid w:val="00027581"/>
    <w:rsid w:val="00031634"/>
    <w:rsid w:val="000417B5"/>
    <w:rsid w:val="00042361"/>
    <w:rsid w:val="0004358C"/>
    <w:rsid w:val="000452D4"/>
    <w:rsid w:val="000468D8"/>
    <w:rsid w:val="00046EC8"/>
    <w:rsid w:val="00051D5E"/>
    <w:rsid w:val="0005348B"/>
    <w:rsid w:val="00057EF8"/>
    <w:rsid w:val="0006240A"/>
    <w:rsid w:val="000630D0"/>
    <w:rsid w:val="00065BBB"/>
    <w:rsid w:val="00067B9C"/>
    <w:rsid w:val="00070695"/>
    <w:rsid w:val="00071CA8"/>
    <w:rsid w:val="00075215"/>
    <w:rsid w:val="00076AA7"/>
    <w:rsid w:val="00081EDE"/>
    <w:rsid w:val="0008300A"/>
    <w:rsid w:val="00084F7C"/>
    <w:rsid w:val="000962E6"/>
    <w:rsid w:val="00096B88"/>
    <w:rsid w:val="000A0965"/>
    <w:rsid w:val="000A0A2B"/>
    <w:rsid w:val="000A598F"/>
    <w:rsid w:val="000B1384"/>
    <w:rsid w:val="000B64EC"/>
    <w:rsid w:val="000C05B3"/>
    <w:rsid w:val="000C0C24"/>
    <w:rsid w:val="000C4A6B"/>
    <w:rsid w:val="000D3682"/>
    <w:rsid w:val="000D4775"/>
    <w:rsid w:val="000D5442"/>
    <w:rsid w:val="000D62FF"/>
    <w:rsid w:val="000E0895"/>
    <w:rsid w:val="000E29C0"/>
    <w:rsid w:val="000E2D7E"/>
    <w:rsid w:val="000E481A"/>
    <w:rsid w:val="000E6C51"/>
    <w:rsid w:val="000E782D"/>
    <w:rsid w:val="000F0A0A"/>
    <w:rsid w:val="000F0E34"/>
    <w:rsid w:val="000F2299"/>
    <w:rsid w:val="000F296A"/>
    <w:rsid w:val="000F339D"/>
    <w:rsid w:val="000F3E9A"/>
    <w:rsid w:val="000F5B26"/>
    <w:rsid w:val="000F7192"/>
    <w:rsid w:val="00102E96"/>
    <w:rsid w:val="00103F59"/>
    <w:rsid w:val="00106A1C"/>
    <w:rsid w:val="00107450"/>
    <w:rsid w:val="001077F6"/>
    <w:rsid w:val="001116F9"/>
    <w:rsid w:val="00115F66"/>
    <w:rsid w:val="0012198A"/>
    <w:rsid w:val="00122C81"/>
    <w:rsid w:val="00123751"/>
    <w:rsid w:val="00125A68"/>
    <w:rsid w:val="001306DD"/>
    <w:rsid w:val="001318DB"/>
    <w:rsid w:val="001319FB"/>
    <w:rsid w:val="00132349"/>
    <w:rsid w:val="00132926"/>
    <w:rsid w:val="00133784"/>
    <w:rsid w:val="001366F6"/>
    <w:rsid w:val="00137F8B"/>
    <w:rsid w:val="00140E29"/>
    <w:rsid w:val="00140F9F"/>
    <w:rsid w:val="001458C2"/>
    <w:rsid w:val="0015134D"/>
    <w:rsid w:val="00152107"/>
    <w:rsid w:val="001611C6"/>
    <w:rsid w:val="0016177A"/>
    <w:rsid w:val="001617FA"/>
    <w:rsid w:val="00165FAD"/>
    <w:rsid w:val="00172A27"/>
    <w:rsid w:val="00174E7B"/>
    <w:rsid w:val="00180812"/>
    <w:rsid w:val="001829A7"/>
    <w:rsid w:val="001909E2"/>
    <w:rsid w:val="001913E5"/>
    <w:rsid w:val="0019337B"/>
    <w:rsid w:val="00195EB4"/>
    <w:rsid w:val="001963AA"/>
    <w:rsid w:val="00196C50"/>
    <w:rsid w:val="001A17E0"/>
    <w:rsid w:val="001A2E3B"/>
    <w:rsid w:val="001A4C34"/>
    <w:rsid w:val="001A6A2B"/>
    <w:rsid w:val="001B1192"/>
    <w:rsid w:val="001B1764"/>
    <w:rsid w:val="001B2C9E"/>
    <w:rsid w:val="001B6A2F"/>
    <w:rsid w:val="001C23C6"/>
    <w:rsid w:val="001C7E56"/>
    <w:rsid w:val="001D5EF9"/>
    <w:rsid w:val="001E1B1A"/>
    <w:rsid w:val="001E4701"/>
    <w:rsid w:val="001E646A"/>
    <w:rsid w:val="001E7266"/>
    <w:rsid w:val="001F6658"/>
    <w:rsid w:val="00212460"/>
    <w:rsid w:val="00213A1D"/>
    <w:rsid w:val="002179E9"/>
    <w:rsid w:val="0022061E"/>
    <w:rsid w:val="00220BF2"/>
    <w:rsid w:val="00226D25"/>
    <w:rsid w:val="00226D67"/>
    <w:rsid w:val="00227956"/>
    <w:rsid w:val="002339E9"/>
    <w:rsid w:val="00233C38"/>
    <w:rsid w:val="00234435"/>
    <w:rsid w:val="00237140"/>
    <w:rsid w:val="00240F35"/>
    <w:rsid w:val="00242449"/>
    <w:rsid w:val="00242D77"/>
    <w:rsid w:val="00245470"/>
    <w:rsid w:val="00246C87"/>
    <w:rsid w:val="00247D97"/>
    <w:rsid w:val="00252161"/>
    <w:rsid w:val="00252E9D"/>
    <w:rsid w:val="00257989"/>
    <w:rsid w:val="00263DCA"/>
    <w:rsid w:val="00264259"/>
    <w:rsid w:val="00265988"/>
    <w:rsid w:val="00273152"/>
    <w:rsid w:val="0027506B"/>
    <w:rsid w:val="00280853"/>
    <w:rsid w:val="00282687"/>
    <w:rsid w:val="00283153"/>
    <w:rsid w:val="0028390B"/>
    <w:rsid w:val="002854BF"/>
    <w:rsid w:val="0028793A"/>
    <w:rsid w:val="002A083E"/>
    <w:rsid w:val="002A2D1E"/>
    <w:rsid w:val="002A4A00"/>
    <w:rsid w:val="002A72E8"/>
    <w:rsid w:val="002B1995"/>
    <w:rsid w:val="002B2253"/>
    <w:rsid w:val="002B3F10"/>
    <w:rsid w:val="002B6D7A"/>
    <w:rsid w:val="002C67FA"/>
    <w:rsid w:val="002D3AFB"/>
    <w:rsid w:val="002D3B4A"/>
    <w:rsid w:val="002E0CB9"/>
    <w:rsid w:val="002E4EA0"/>
    <w:rsid w:val="002E5C78"/>
    <w:rsid w:val="002E7D9E"/>
    <w:rsid w:val="002F0FF2"/>
    <w:rsid w:val="002F2775"/>
    <w:rsid w:val="002F38DB"/>
    <w:rsid w:val="00300677"/>
    <w:rsid w:val="00300F4A"/>
    <w:rsid w:val="00305E76"/>
    <w:rsid w:val="003060B9"/>
    <w:rsid w:val="003109D1"/>
    <w:rsid w:val="00310BE5"/>
    <w:rsid w:val="003131B0"/>
    <w:rsid w:val="00316641"/>
    <w:rsid w:val="00327297"/>
    <w:rsid w:val="003310DB"/>
    <w:rsid w:val="00331328"/>
    <w:rsid w:val="0033193F"/>
    <w:rsid w:val="00331B60"/>
    <w:rsid w:val="003343C3"/>
    <w:rsid w:val="0033631D"/>
    <w:rsid w:val="00337C47"/>
    <w:rsid w:val="00340F11"/>
    <w:rsid w:val="00341413"/>
    <w:rsid w:val="0034235F"/>
    <w:rsid w:val="00343096"/>
    <w:rsid w:val="00343E4D"/>
    <w:rsid w:val="00344A1D"/>
    <w:rsid w:val="0035270C"/>
    <w:rsid w:val="00352D41"/>
    <w:rsid w:val="00354253"/>
    <w:rsid w:val="00355029"/>
    <w:rsid w:val="003550AB"/>
    <w:rsid w:val="00357E24"/>
    <w:rsid w:val="00360675"/>
    <w:rsid w:val="00363049"/>
    <w:rsid w:val="00363B59"/>
    <w:rsid w:val="00366FC9"/>
    <w:rsid w:val="00372266"/>
    <w:rsid w:val="0037227B"/>
    <w:rsid w:val="00375F64"/>
    <w:rsid w:val="00381A89"/>
    <w:rsid w:val="0038478C"/>
    <w:rsid w:val="00390457"/>
    <w:rsid w:val="00391AC9"/>
    <w:rsid w:val="00392815"/>
    <w:rsid w:val="003961A6"/>
    <w:rsid w:val="003A2B32"/>
    <w:rsid w:val="003A6AEF"/>
    <w:rsid w:val="003B180D"/>
    <w:rsid w:val="003B1EA1"/>
    <w:rsid w:val="003B4876"/>
    <w:rsid w:val="003C0159"/>
    <w:rsid w:val="003C2C42"/>
    <w:rsid w:val="003C382C"/>
    <w:rsid w:val="003C51C7"/>
    <w:rsid w:val="003D2DC9"/>
    <w:rsid w:val="003D3C44"/>
    <w:rsid w:val="003D4E4E"/>
    <w:rsid w:val="003D6897"/>
    <w:rsid w:val="003D7678"/>
    <w:rsid w:val="003E25D3"/>
    <w:rsid w:val="003E33EC"/>
    <w:rsid w:val="003E3687"/>
    <w:rsid w:val="003E3B8A"/>
    <w:rsid w:val="003E7EDA"/>
    <w:rsid w:val="003F2299"/>
    <w:rsid w:val="003F34B9"/>
    <w:rsid w:val="003F38DA"/>
    <w:rsid w:val="003F4F1C"/>
    <w:rsid w:val="00401E95"/>
    <w:rsid w:val="0040727B"/>
    <w:rsid w:val="00407EA8"/>
    <w:rsid w:val="004105F1"/>
    <w:rsid w:val="00410628"/>
    <w:rsid w:val="00415D40"/>
    <w:rsid w:val="00416F68"/>
    <w:rsid w:val="00417E61"/>
    <w:rsid w:val="004209B6"/>
    <w:rsid w:val="00424088"/>
    <w:rsid w:val="00427828"/>
    <w:rsid w:val="00431FFF"/>
    <w:rsid w:val="00436281"/>
    <w:rsid w:val="00437774"/>
    <w:rsid w:val="00443072"/>
    <w:rsid w:val="00447656"/>
    <w:rsid w:val="0045122F"/>
    <w:rsid w:val="00454684"/>
    <w:rsid w:val="004555E3"/>
    <w:rsid w:val="00457AB6"/>
    <w:rsid w:val="00460BC8"/>
    <w:rsid w:val="00467902"/>
    <w:rsid w:val="00467949"/>
    <w:rsid w:val="00470CA4"/>
    <w:rsid w:val="004759D1"/>
    <w:rsid w:val="00476DF0"/>
    <w:rsid w:val="00476FB2"/>
    <w:rsid w:val="004804C0"/>
    <w:rsid w:val="00481CA5"/>
    <w:rsid w:val="00482866"/>
    <w:rsid w:val="00484002"/>
    <w:rsid w:val="00484EB2"/>
    <w:rsid w:val="004905C3"/>
    <w:rsid w:val="0049208D"/>
    <w:rsid w:val="0049701D"/>
    <w:rsid w:val="004A0D63"/>
    <w:rsid w:val="004A6ADB"/>
    <w:rsid w:val="004B0BA1"/>
    <w:rsid w:val="004B1DC2"/>
    <w:rsid w:val="004B3889"/>
    <w:rsid w:val="004B6875"/>
    <w:rsid w:val="004B72C2"/>
    <w:rsid w:val="004B7395"/>
    <w:rsid w:val="004B7B5A"/>
    <w:rsid w:val="004C25EB"/>
    <w:rsid w:val="004C2C30"/>
    <w:rsid w:val="004C3176"/>
    <w:rsid w:val="004C4B98"/>
    <w:rsid w:val="004D249D"/>
    <w:rsid w:val="004D3406"/>
    <w:rsid w:val="004D475F"/>
    <w:rsid w:val="004D692C"/>
    <w:rsid w:val="004D7BBA"/>
    <w:rsid w:val="004E34EA"/>
    <w:rsid w:val="004E59CF"/>
    <w:rsid w:val="004F7FEA"/>
    <w:rsid w:val="00502EDB"/>
    <w:rsid w:val="005057F6"/>
    <w:rsid w:val="00511238"/>
    <w:rsid w:val="00511BF2"/>
    <w:rsid w:val="00512AE7"/>
    <w:rsid w:val="005246AF"/>
    <w:rsid w:val="00524A7A"/>
    <w:rsid w:val="00525070"/>
    <w:rsid w:val="005256C4"/>
    <w:rsid w:val="00527108"/>
    <w:rsid w:val="005351BD"/>
    <w:rsid w:val="0053559E"/>
    <w:rsid w:val="0053595F"/>
    <w:rsid w:val="005414CA"/>
    <w:rsid w:val="0054505B"/>
    <w:rsid w:val="00551E54"/>
    <w:rsid w:val="005520FF"/>
    <w:rsid w:val="00557D6C"/>
    <w:rsid w:val="00560714"/>
    <w:rsid w:val="00561674"/>
    <w:rsid w:val="00565A62"/>
    <w:rsid w:val="0056651E"/>
    <w:rsid w:val="005670C4"/>
    <w:rsid w:val="00567F96"/>
    <w:rsid w:val="0057228C"/>
    <w:rsid w:val="00572D98"/>
    <w:rsid w:val="00575618"/>
    <w:rsid w:val="00577799"/>
    <w:rsid w:val="005811BF"/>
    <w:rsid w:val="0058247A"/>
    <w:rsid w:val="00583B3F"/>
    <w:rsid w:val="005840C0"/>
    <w:rsid w:val="00584D50"/>
    <w:rsid w:val="00584F55"/>
    <w:rsid w:val="00585D52"/>
    <w:rsid w:val="00585FBB"/>
    <w:rsid w:val="00591C86"/>
    <w:rsid w:val="00591F57"/>
    <w:rsid w:val="00594035"/>
    <w:rsid w:val="005A2D60"/>
    <w:rsid w:val="005A34A9"/>
    <w:rsid w:val="005A3D4A"/>
    <w:rsid w:val="005A75B2"/>
    <w:rsid w:val="005B00D5"/>
    <w:rsid w:val="005B27F9"/>
    <w:rsid w:val="005C04E9"/>
    <w:rsid w:val="005C0574"/>
    <w:rsid w:val="005C0F2A"/>
    <w:rsid w:val="005C2242"/>
    <w:rsid w:val="005C224C"/>
    <w:rsid w:val="005C64ED"/>
    <w:rsid w:val="005C7694"/>
    <w:rsid w:val="005C793A"/>
    <w:rsid w:val="005D0DC7"/>
    <w:rsid w:val="005D2195"/>
    <w:rsid w:val="005D2353"/>
    <w:rsid w:val="005D2376"/>
    <w:rsid w:val="005D304B"/>
    <w:rsid w:val="005D3F84"/>
    <w:rsid w:val="005D50E5"/>
    <w:rsid w:val="005D7063"/>
    <w:rsid w:val="005E0F52"/>
    <w:rsid w:val="005E1503"/>
    <w:rsid w:val="005E46F7"/>
    <w:rsid w:val="005E4D7A"/>
    <w:rsid w:val="005E5BC6"/>
    <w:rsid w:val="005E690F"/>
    <w:rsid w:val="005F035D"/>
    <w:rsid w:val="005F07A7"/>
    <w:rsid w:val="005F15BB"/>
    <w:rsid w:val="005F2383"/>
    <w:rsid w:val="005F5EAB"/>
    <w:rsid w:val="0060108E"/>
    <w:rsid w:val="006030C6"/>
    <w:rsid w:val="00604A39"/>
    <w:rsid w:val="00605AB4"/>
    <w:rsid w:val="006117C5"/>
    <w:rsid w:val="0061377D"/>
    <w:rsid w:val="006145E8"/>
    <w:rsid w:val="00615A5D"/>
    <w:rsid w:val="00615C56"/>
    <w:rsid w:val="006161D9"/>
    <w:rsid w:val="0062026D"/>
    <w:rsid w:val="00620DE6"/>
    <w:rsid w:val="00622770"/>
    <w:rsid w:val="006229B7"/>
    <w:rsid w:val="0062392B"/>
    <w:rsid w:val="00625CAF"/>
    <w:rsid w:val="00630B8A"/>
    <w:rsid w:val="00637342"/>
    <w:rsid w:val="00637968"/>
    <w:rsid w:val="0064148A"/>
    <w:rsid w:val="006421AB"/>
    <w:rsid w:val="00642FB0"/>
    <w:rsid w:val="006512D7"/>
    <w:rsid w:val="006529D7"/>
    <w:rsid w:val="00652C22"/>
    <w:rsid w:val="006534FE"/>
    <w:rsid w:val="00655B4F"/>
    <w:rsid w:val="006565E6"/>
    <w:rsid w:val="00656650"/>
    <w:rsid w:val="0066276E"/>
    <w:rsid w:val="00663694"/>
    <w:rsid w:val="00670A87"/>
    <w:rsid w:val="00673BA9"/>
    <w:rsid w:val="00674FFE"/>
    <w:rsid w:val="006762B0"/>
    <w:rsid w:val="00676F1B"/>
    <w:rsid w:val="006778E0"/>
    <w:rsid w:val="00681609"/>
    <w:rsid w:val="006825F0"/>
    <w:rsid w:val="00686CDA"/>
    <w:rsid w:val="00691C81"/>
    <w:rsid w:val="00693AE7"/>
    <w:rsid w:val="006943F0"/>
    <w:rsid w:val="006A0389"/>
    <w:rsid w:val="006A056B"/>
    <w:rsid w:val="006A2919"/>
    <w:rsid w:val="006A5A4E"/>
    <w:rsid w:val="006B5A75"/>
    <w:rsid w:val="006B62D5"/>
    <w:rsid w:val="006C0A86"/>
    <w:rsid w:val="006C5902"/>
    <w:rsid w:val="006D10F7"/>
    <w:rsid w:val="006D3182"/>
    <w:rsid w:val="006D3448"/>
    <w:rsid w:val="006D46AD"/>
    <w:rsid w:val="006D4CDC"/>
    <w:rsid w:val="006E29FB"/>
    <w:rsid w:val="006E41D4"/>
    <w:rsid w:val="006E6F10"/>
    <w:rsid w:val="006F0268"/>
    <w:rsid w:val="006F1AE4"/>
    <w:rsid w:val="006F42F3"/>
    <w:rsid w:val="006F4C7A"/>
    <w:rsid w:val="006F669A"/>
    <w:rsid w:val="006F6942"/>
    <w:rsid w:val="006F6DA8"/>
    <w:rsid w:val="006F7C52"/>
    <w:rsid w:val="0070077A"/>
    <w:rsid w:val="00700C14"/>
    <w:rsid w:val="007029FF"/>
    <w:rsid w:val="0070319B"/>
    <w:rsid w:val="00711267"/>
    <w:rsid w:val="00713515"/>
    <w:rsid w:val="00713DA6"/>
    <w:rsid w:val="0072125B"/>
    <w:rsid w:val="00725C1E"/>
    <w:rsid w:val="007310FC"/>
    <w:rsid w:val="007358ED"/>
    <w:rsid w:val="007411CE"/>
    <w:rsid w:val="00747474"/>
    <w:rsid w:val="007474F4"/>
    <w:rsid w:val="00750C55"/>
    <w:rsid w:val="00750CCE"/>
    <w:rsid w:val="00751345"/>
    <w:rsid w:val="00753713"/>
    <w:rsid w:val="00756A43"/>
    <w:rsid w:val="00761DA3"/>
    <w:rsid w:val="007643C5"/>
    <w:rsid w:val="00774A6D"/>
    <w:rsid w:val="007755BB"/>
    <w:rsid w:val="00783621"/>
    <w:rsid w:val="00785A93"/>
    <w:rsid w:val="00791AD8"/>
    <w:rsid w:val="00793574"/>
    <w:rsid w:val="00795F1D"/>
    <w:rsid w:val="00797AA2"/>
    <w:rsid w:val="007A0927"/>
    <w:rsid w:val="007A2961"/>
    <w:rsid w:val="007A2D9C"/>
    <w:rsid w:val="007A319E"/>
    <w:rsid w:val="007B4241"/>
    <w:rsid w:val="007B4BFF"/>
    <w:rsid w:val="007B5238"/>
    <w:rsid w:val="007C122D"/>
    <w:rsid w:val="007C3CD4"/>
    <w:rsid w:val="007C5957"/>
    <w:rsid w:val="007C7D65"/>
    <w:rsid w:val="007D254C"/>
    <w:rsid w:val="007D2CA7"/>
    <w:rsid w:val="007D6D25"/>
    <w:rsid w:val="007E17B2"/>
    <w:rsid w:val="007F60BA"/>
    <w:rsid w:val="007F6569"/>
    <w:rsid w:val="007F6CD6"/>
    <w:rsid w:val="007F7097"/>
    <w:rsid w:val="007F7804"/>
    <w:rsid w:val="008003A6"/>
    <w:rsid w:val="00800A59"/>
    <w:rsid w:val="00801B1D"/>
    <w:rsid w:val="00801B51"/>
    <w:rsid w:val="00812575"/>
    <w:rsid w:val="008227AE"/>
    <w:rsid w:val="00822BB2"/>
    <w:rsid w:val="008245DF"/>
    <w:rsid w:val="0082645F"/>
    <w:rsid w:val="008304BB"/>
    <w:rsid w:val="00830812"/>
    <w:rsid w:val="00844A78"/>
    <w:rsid w:val="00845B28"/>
    <w:rsid w:val="0085052E"/>
    <w:rsid w:val="008518E3"/>
    <w:rsid w:val="00851983"/>
    <w:rsid w:val="0085411E"/>
    <w:rsid w:val="008543AA"/>
    <w:rsid w:val="0085583D"/>
    <w:rsid w:val="00864B3F"/>
    <w:rsid w:val="00864E9C"/>
    <w:rsid w:val="00865CB4"/>
    <w:rsid w:val="00866624"/>
    <w:rsid w:val="00870AC3"/>
    <w:rsid w:val="00872A26"/>
    <w:rsid w:val="00874402"/>
    <w:rsid w:val="00874A07"/>
    <w:rsid w:val="00875E2E"/>
    <w:rsid w:val="00880985"/>
    <w:rsid w:val="0088205F"/>
    <w:rsid w:val="00883E07"/>
    <w:rsid w:val="00887F29"/>
    <w:rsid w:val="008902AA"/>
    <w:rsid w:val="00897BFF"/>
    <w:rsid w:val="008A0E9B"/>
    <w:rsid w:val="008A0FBD"/>
    <w:rsid w:val="008A15BC"/>
    <w:rsid w:val="008A48E5"/>
    <w:rsid w:val="008B06BA"/>
    <w:rsid w:val="008B415D"/>
    <w:rsid w:val="008B41E3"/>
    <w:rsid w:val="008B5A88"/>
    <w:rsid w:val="008B5E9F"/>
    <w:rsid w:val="008B7C7D"/>
    <w:rsid w:val="008C0BB7"/>
    <w:rsid w:val="008C58AC"/>
    <w:rsid w:val="008C6DCD"/>
    <w:rsid w:val="008D083B"/>
    <w:rsid w:val="008D26EC"/>
    <w:rsid w:val="008D29BD"/>
    <w:rsid w:val="008D659C"/>
    <w:rsid w:val="008E1588"/>
    <w:rsid w:val="008E4374"/>
    <w:rsid w:val="008E58E9"/>
    <w:rsid w:val="008F1919"/>
    <w:rsid w:val="008F4D9C"/>
    <w:rsid w:val="008F7D64"/>
    <w:rsid w:val="009008E3"/>
    <w:rsid w:val="0090125D"/>
    <w:rsid w:val="00905FF1"/>
    <w:rsid w:val="0090768D"/>
    <w:rsid w:val="009114EA"/>
    <w:rsid w:val="009115DB"/>
    <w:rsid w:val="0091183D"/>
    <w:rsid w:val="009138E1"/>
    <w:rsid w:val="009141F6"/>
    <w:rsid w:val="00916FB2"/>
    <w:rsid w:val="00917615"/>
    <w:rsid w:val="00917D4C"/>
    <w:rsid w:val="00920D50"/>
    <w:rsid w:val="00923203"/>
    <w:rsid w:val="00927BBB"/>
    <w:rsid w:val="00930601"/>
    <w:rsid w:val="0093074C"/>
    <w:rsid w:val="00934F2C"/>
    <w:rsid w:val="009434E9"/>
    <w:rsid w:val="00945CF0"/>
    <w:rsid w:val="00946637"/>
    <w:rsid w:val="00952CC6"/>
    <w:rsid w:val="00954147"/>
    <w:rsid w:val="00960385"/>
    <w:rsid w:val="00960F2C"/>
    <w:rsid w:val="00961D87"/>
    <w:rsid w:val="009628E2"/>
    <w:rsid w:val="0096540B"/>
    <w:rsid w:val="00966644"/>
    <w:rsid w:val="00967137"/>
    <w:rsid w:val="00970B7B"/>
    <w:rsid w:val="00971F7D"/>
    <w:rsid w:val="009777BD"/>
    <w:rsid w:val="00977945"/>
    <w:rsid w:val="00984967"/>
    <w:rsid w:val="0099010E"/>
    <w:rsid w:val="00991163"/>
    <w:rsid w:val="009921F5"/>
    <w:rsid w:val="00994512"/>
    <w:rsid w:val="0099466B"/>
    <w:rsid w:val="00994EDE"/>
    <w:rsid w:val="00995ACF"/>
    <w:rsid w:val="00997F03"/>
    <w:rsid w:val="009A0062"/>
    <w:rsid w:val="009A1C2D"/>
    <w:rsid w:val="009A4B82"/>
    <w:rsid w:val="009A5D25"/>
    <w:rsid w:val="009A5EEA"/>
    <w:rsid w:val="009B54F4"/>
    <w:rsid w:val="009B5511"/>
    <w:rsid w:val="009B6193"/>
    <w:rsid w:val="009B6A13"/>
    <w:rsid w:val="009B7D28"/>
    <w:rsid w:val="009C2B93"/>
    <w:rsid w:val="009C4801"/>
    <w:rsid w:val="009C6CB9"/>
    <w:rsid w:val="009D60FA"/>
    <w:rsid w:val="009D7DEA"/>
    <w:rsid w:val="009E0751"/>
    <w:rsid w:val="009E36B2"/>
    <w:rsid w:val="009E659C"/>
    <w:rsid w:val="009E7E53"/>
    <w:rsid w:val="009F594B"/>
    <w:rsid w:val="009F68BC"/>
    <w:rsid w:val="009F6E0C"/>
    <w:rsid w:val="00A06454"/>
    <w:rsid w:val="00A07628"/>
    <w:rsid w:val="00A1430D"/>
    <w:rsid w:val="00A16AE6"/>
    <w:rsid w:val="00A2213F"/>
    <w:rsid w:val="00A24E3F"/>
    <w:rsid w:val="00A2645E"/>
    <w:rsid w:val="00A26914"/>
    <w:rsid w:val="00A30041"/>
    <w:rsid w:val="00A30A27"/>
    <w:rsid w:val="00A3166E"/>
    <w:rsid w:val="00A333D2"/>
    <w:rsid w:val="00A361C5"/>
    <w:rsid w:val="00A3662B"/>
    <w:rsid w:val="00A41C27"/>
    <w:rsid w:val="00A45C4A"/>
    <w:rsid w:val="00A50701"/>
    <w:rsid w:val="00A529DF"/>
    <w:rsid w:val="00A53DF0"/>
    <w:rsid w:val="00A53E44"/>
    <w:rsid w:val="00A55149"/>
    <w:rsid w:val="00A5595A"/>
    <w:rsid w:val="00A62EEC"/>
    <w:rsid w:val="00A63C4A"/>
    <w:rsid w:val="00A64610"/>
    <w:rsid w:val="00A66684"/>
    <w:rsid w:val="00A677C7"/>
    <w:rsid w:val="00A71A59"/>
    <w:rsid w:val="00A75297"/>
    <w:rsid w:val="00A7644D"/>
    <w:rsid w:val="00A76C70"/>
    <w:rsid w:val="00A76D08"/>
    <w:rsid w:val="00A81AC2"/>
    <w:rsid w:val="00A82324"/>
    <w:rsid w:val="00A8279D"/>
    <w:rsid w:val="00A837AD"/>
    <w:rsid w:val="00A843C6"/>
    <w:rsid w:val="00A86A54"/>
    <w:rsid w:val="00A90746"/>
    <w:rsid w:val="00A90F8F"/>
    <w:rsid w:val="00A92BFD"/>
    <w:rsid w:val="00A95D6A"/>
    <w:rsid w:val="00A969BA"/>
    <w:rsid w:val="00A974D8"/>
    <w:rsid w:val="00A97C94"/>
    <w:rsid w:val="00AA17D4"/>
    <w:rsid w:val="00AA2B29"/>
    <w:rsid w:val="00AA6A1D"/>
    <w:rsid w:val="00AB12DF"/>
    <w:rsid w:val="00AB202C"/>
    <w:rsid w:val="00AB2630"/>
    <w:rsid w:val="00AB49B2"/>
    <w:rsid w:val="00AB4CB6"/>
    <w:rsid w:val="00AC2F54"/>
    <w:rsid w:val="00AC5F49"/>
    <w:rsid w:val="00AC6548"/>
    <w:rsid w:val="00AC6E95"/>
    <w:rsid w:val="00AC7AFD"/>
    <w:rsid w:val="00AD14B7"/>
    <w:rsid w:val="00AD1CB8"/>
    <w:rsid w:val="00AD1D29"/>
    <w:rsid w:val="00AD313C"/>
    <w:rsid w:val="00AD351C"/>
    <w:rsid w:val="00AD356B"/>
    <w:rsid w:val="00AD3E69"/>
    <w:rsid w:val="00AD448D"/>
    <w:rsid w:val="00AD79FF"/>
    <w:rsid w:val="00AE14BB"/>
    <w:rsid w:val="00AE1589"/>
    <w:rsid w:val="00AE331E"/>
    <w:rsid w:val="00AF18C3"/>
    <w:rsid w:val="00AF3232"/>
    <w:rsid w:val="00AF4A01"/>
    <w:rsid w:val="00AF5B2D"/>
    <w:rsid w:val="00AF5D05"/>
    <w:rsid w:val="00B06E6E"/>
    <w:rsid w:val="00B07FC5"/>
    <w:rsid w:val="00B10C4A"/>
    <w:rsid w:val="00B11643"/>
    <w:rsid w:val="00B13F83"/>
    <w:rsid w:val="00B1674F"/>
    <w:rsid w:val="00B22DAD"/>
    <w:rsid w:val="00B2569E"/>
    <w:rsid w:val="00B268CF"/>
    <w:rsid w:val="00B26917"/>
    <w:rsid w:val="00B302C1"/>
    <w:rsid w:val="00B35C59"/>
    <w:rsid w:val="00B35F6F"/>
    <w:rsid w:val="00B36990"/>
    <w:rsid w:val="00B4070B"/>
    <w:rsid w:val="00B43A3F"/>
    <w:rsid w:val="00B4437C"/>
    <w:rsid w:val="00B44BE2"/>
    <w:rsid w:val="00B512B7"/>
    <w:rsid w:val="00B52A2F"/>
    <w:rsid w:val="00B5775D"/>
    <w:rsid w:val="00B612A8"/>
    <w:rsid w:val="00B62AA7"/>
    <w:rsid w:val="00B6389C"/>
    <w:rsid w:val="00B6469F"/>
    <w:rsid w:val="00B65C4B"/>
    <w:rsid w:val="00B67BC6"/>
    <w:rsid w:val="00B733E7"/>
    <w:rsid w:val="00B73F33"/>
    <w:rsid w:val="00B765EB"/>
    <w:rsid w:val="00B76CE6"/>
    <w:rsid w:val="00B77907"/>
    <w:rsid w:val="00B82FBD"/>
    <w:rsid w:val="00B845D3"/>
    <w:rsid w:val="00B86FF2"/>
    <w:rsid w:val="00B94291"/>
    <w:rsid w:val="00B94493"/>
    <w:rsid w:val="00B96C0C"/>
    <w:rsid w:val="00BA2497"/>
    <w:rsid w:val="00BA29AB"/>
    <w:rsid w:val="00BA2B5E"/>
    <w:rsid w:val="00BA6ED4"/>
    <w:rsid w:val="00BA7F79"/>
    <w:rsid w:val="00BB0341"/>
    <w:rsid w:val="00BB2E00"/>
    <w:rsid w:val="00BB3888"/>
    <w:rsid w:val="00BB3A8E"/>
    <w:rsid w:val="00BB4867"/>
    <w:rsid w:val="00BB61D6"/>
    <w:rsid w:val="00BB63A3"/>
    <w:rsid w:val="00BB70F3"/>
    <w:rsid w:val="00BB7597"/>
    <w:rsid w:val="00BC0A1A"/>
    <w:rsid w:val="00BC11CB"/>
    <w:rsid w:val="00BC26D4"/>
    <w:rsid w:val="00BC4B47"/>
    <w:rsid w:val="00BC4CDB"/>
    <w:rsid w:val="00BD0A0C"/>
    <w:rsid w:val="00BD64E0"/>
    <w:rsid w:val="00BD667A"/>
    <w:rsid w:val="00BD683A"/>
    <w:rsid w:val="00BE0661"/>
    <w:rsid w:val="00BE34AB"/>
    <w:rsid w:val="00BE391B"/>
    <w:rsid w:val="00BF13F5"/>
    <w:rsid w:val="00BF21A8"/>
    <w:rsid w:val="00BF3C4F"/>
    <w:rsid w:val="00C02A44"/>
    <w:rsid w:val="00C03D0C"/>
    <w:rsid w:val="00C118E4"/>
    <w:rsid w:val="00C11A87"/>
    <w:rsid w:val="00C13A95"/>
    <w:rsid w:val="00C1545E"/>
    <w:rsid w:val="00C15E14"/>
    <w:rsid w:val="00C21D5E"/>
    <w:rsid w:val="00C31284"/>
    <w:rsid w:val="00C315DA"/>
    <w:rsid w:val="00C32E11"/>
    <w:rsid w:val="00C34CA2"/>
    <w:rsid w:val="00C368B0"/>
    <w:rsid w:val="00C5394D"/>
    <w:rsid w:val="00C56A31"/>
    <w:rsid w:val="00C61A7F"/>
    <w:rsid w:val="00C62DA4"/>
    <w:rsid w:val="00C631ED"/>
    <w:rsid w:val="00C63260"/>
    <w:rsid w:val="00C63D46"/>
    <w:rsid w:val="00C6754B"/>
    <w:rsid w:val="00C7047C"/>
    <w:rsid w:val="00C70DAB"/>
    <w:rsid w:val="00C72E7F"/>
    <w:rsid w:val="00C75C52"/>
    <w:rsid w:val="00C76D86"/>
    <w:rsid w:val="00C77FF9"/>
    <w:rsid w:val="00C800F3"/>
    <w:rsid w:val="00C802E0"/>
    <w:rsid w:val="00C845DE"/>
    <w:rsid w:val="00C84BC4"/>
    <w:rsid w:val="00C91154"/>
    <w:rsid w:val="00C96474"/>
    <w:rsid w:val="00CA1FDC"/>
    <w:rsid w:val="00CA27E1"/>
    <w:rsid w:val="00CA2FF1"/>
    <w:rsid w:val="00CA31B1"/>
    <w:rsid w:val="00CA4166"/>
    <w:rsid w:val="00CA6B78"/>
    <w:rsid w:val="00CA771C"/>
    <w:rsid w:val="00CA7F18"/>
    <w:rsid w:val="00CB1064"/>
    <w:rsid w:val="00CB1AB4"/>
    <w:rsid w:val="00CB4C9C"/>
    <w:rsid w:val="00CB6B76"/>
    <w:rsid w:val="00CC13C3"/>
    <w:rsid w:val="00CC1FC3"/>
    <w:rsid w:val="00CC3197"/>
    <w:rsid w:val="00CC3864"/>
    <w:rsid w:val="00CC4FC7"/>
    <w:rsid w:val="00CD012B"/>
    <w:rsid w:val="00CD696D"/>
    <w:rsid w:val="00CE1A6C"/>
    <w:rsid w:val="00CE4DAF"/>
    <w:rsid w:val="00CE5EC3"/>
    <w:rsid w:val="00CF41DA"/>
    <w:rsid w:val="00CF66AD"/>
    <w:rsid w:val="00D06E23"/>
    <w:rsid w:val="00D07EB6"/>
    <w:rsid w:val="00D10320"/>
    <w:rsid w:val="00D15BCB"/>
    <w:rsid w:val="00D16A58"/>
    <w:rsid w:val="00D1775B"/>
    <w:rsid w:val="00D22430"/>
    <w:rsid w:val="00D24EC5"/>
    <w:rsid w:val="00D25B7D"/>
    <w:rsid w:val="00D2789B"/>
    <w:rsid w:val="00D27B4B"/>
    <w:rsid w:val="00D3180A"/>
    <w:rsid w:val="00D319BC"/>
    <w:rsid w:val="00D33438"/>
    <w:rsid w:val="00D35805"/>
    <w:rsid w:val="00D41CF3"/>
    <w:rsid w:val="00D43A89"/>
    <w:rsid w:val="00D440E7"/>
    <w:rsid w:val="00D44328"/>
    <w:rsid w:val="00D4550B"/>
    <w:rsid w:val="00D46095"/>
    <w:rsid w:val="00D46B1C"/>
    <w:rsid w:val="00D510BC"/>
    <w:rsid w:val="00D55723"/>
    <w:rsid w:val="00D60997"/>
    <w:rsid w:val="00D61486"/>
    <w:rsid w:val="00D61491"/>
    <w:rsid w:val="00D653D3"/>
    <w:rsid w:val="00D6626D"/>
    <w:rsid w:val="00D67545"/>
    <w:rsid w:val="00D71ADA"/>
    <w:rsid w:val="00D803C4"/>
    <w:rsid w:val="00D82B2D"/>
    <w:rsid w:val="00D902E0"/>
    <w:rsid w:val="00D9075D"/>
    <w:rsid w:val="00D91748"/>
    <w:rsid w:val="00D9479B"/>
    <w:rsid w:val="00D95D0F"/>
    <w:rsid w:val="00D96FB1"/>
    <w:rsid w:val="00D97A94"/>
    <w:rsid w:val="00DB06B4"/>
    <w:rsid w:val="00DB1662"/>
    <w:rsid w:val="00DB17FE"/>
    <w:rsid w:val="00DB3070"/>
    <w:rsid w:val="00DB5035"/>
    <w:rsid w:val="00DB5119"/>
    <w:rsid w:val="00DB5FCA"/>
    <w:rsid w:val="00DC0DE2"/>
    <w:rsid w:val="00DC12B7"/>
    <w:rsid w:val="00DC1853"/>
    <w:rsid w:val="00DC1DC7"/>
    <w:rsid w:val="00DC24CD"/>
    <w:rsid w:val="00DC7CF1"/>
    <w:rsid w:val="00DD0306"/>
    <w:rsid w:val="00DD57E3"/>
    <w:rsid w:val="00DE1F36"/>
    <w:rsid w:val="00DE4A8A"/>
    <w:rsid w:val="00DE559C"/>
    <w:rsid w:val="00DE5DF1"/>
    <w:rsid w:val="00DF35D9"/>
    <w:rsid w:val="00DF490B"/>
    <w:rsid w:val="00DF5209"/>
    <w:rsid w:val="00E00F54"/>
    <w:rsid w:val="00E03603"/>
    <w:rsid w:val="00E045C4"/>
    <w:rsid w:val="00E12E76"/>
    <w:rsid w:val="00E15074"/>
    <w:rsid w:val="00E1511B"/>
    <w:rsid w:val="00E16004"/>
    <w:rsid w:val="00E222E5"/>
    <w:rsid w:val="00E22EAD"/>
    <w:rsid w:val="00E26C12"/>
    <w:rsid w:val="00E26FDD"/>
    <w:rsid w:val="00E33A7F"/>
    <w:rsid w:val="00E34476"/>
    <w:rsid w:val="00E34C0C"/>
    <w:rsid w:val="00E4128B"/>
    <w:rsid w:val="00E4506C"/>
    <w:rsid w:val="00E46C3A"/>
    <w:rsid w:val="00E4718C"/>
    <w:rsid w:val="00E5153D"/>
    <w:rsid w:val="00E52717"/>
    <w:rsid w:val="00E54270"/>
    <w:rsid w:val="00E60068"/>
    <w:rsid w:val="00E6235E"/>
    <w:rsid w:val="00E65F50"/>
    <w:rsid w:val="00E701E7"/>
    <w:rsid w:val="00E74251"/>
    <w:rsid w:val="00E77EEA"/>
    <w:rsid w:val="00E77F41"/>
    <w:rsid w:val="00E82C89"/>
    <w:rsid w:val="00E83FCE"/>
    <w:rsid w:val="00E84AE9"/>
    <w:rsid w:val="00E86C9E"/>
    <w:rsid w:val="00E91698"/>
    <w:rsid w:val="00E93926"/>
    <w:rsid w:val="00E956EE"/>
    <w:rsid w:val="00EA2630"/>
    <w:rsid w:val="00EA7B8A"/>
    <w:rsid w:val="00EB24A1"/>
    <w:rsid w:val="00EB6D08"/>
    <w:rsid w:val="00EC0E08"/>
    <w:rsid w:val="00EC358D"/>
    <w:rsid w:val="00EC66CB"/>
    <w:rsid w:val="00EC7456"/>
    <w:rsid w:val="00ED195F"/>
    <w:rsid w:val="00ED2631"/>
    <w:rsid w:val="00ED29B1"/>
    <w:rsid w:val="00ED41BD"/>
    <w:rsid w:val="00ED61BF"/>
    <w:rsid w:val="00ED689D"/>
    <w:rsid w:val="00ED6C17"/>
    <w:rsid w:val="00EE6228"/>
    <w:rsid w:val="00EE6E97"/>
    <w:rsid w:val="00EF40A4"/>
    <w:rsid w:val="00F00BF2"/>
    <w:rsid w:val="00F03024"/>
    <w:rsid w:val="00F05781"/>
    <w:rsid w:val="00F05BD6"/>
    <w:rsid w:val="00F07766"/>
    <w:rsid w:val="00F07CCC"/>
    <w:rsid w:val="00F10EF5"/>
    <w:rsid w:val="00F17344"/>
    <w:rsid w:val="00F17BCE"/>
    <w:rsid w:val="00F25568"/>
    <w:rsid w:val="00F26312"/>
    <w:rsid w:val="00F267DC"/>
    <w:rsid w:val="00F269C5"/>
    <w:rsid w:val="00F3028C"/>
    <w:rsid w:val="00F30CEA"/>
    <w:rsid w:val="00F30F39"/>
    <w:rsid w:val="00F32F03"/>
    <w:rsid w:val="00F34197"/>
    <w:rsid w:val="00F34BB6"/>
    <w:rsid w:val="00F37559"/>
    <w:rsid w:val="00F37A96"/>
    <w:rsid w:val="00F45B2C"/>
    <w:rsid w:val="00F461B3"/>
    <w:rsid w:val="00F511B3"/>
    <w:rsid w:val="00F51B49"/>
    <w:rsid w:val="00F54306"/>
    <w:rsid w:val="00F5433C"/>
    <w:rsid w:val="00F604D6"/>
    <w:rsid w:val="00F613D2"/>
    <w:rsid w:val="00F66821"/>
    <w:rsid w:val="00F66B2A"/>
    <w:rsid w:val="00F722A3"/>
    <w:rsid w:val="00F75CB6"/>
    <w:rsid w:val="00F8047B"/>
    <w:rsid w:val="00F80F0E"/>
    <w:rsid w:val="00F81057"/>
    <w:rsid w:val="00F81F05"/>
    <w:rsid w:val="00F83E85"/>
    <w:rsid w:val="00F863C6"/>
    <w:rsid w:val="00F86DCE"/>
    <w:rsid w:val="00F916DE"/>
    <w:rsid w:val="00F92BAE"/>
    <w:rsid w:val="00F942D6"/>
    <w:rsid w:val="00F967D0"/>
    <w:rsid w:val="00FA0FD2"/>
    <w:rsid w:val="00FA15EB"/>
    <w:rsid w:val="00FA1680"/>
    <w:rsid w:val="00FA4FF7"/>
    <w:rsid w:val="00FA5789"/>
    <w:rsid w:val="00FB5988"/>
    <w:rsid w:val="00FB7894"/>
    <w:rsid w:val="00FC52E5"/>
    <w:rsid w:val="00FC5C28"/>
    <w:rsid w:val="00FC602E"/>
    <w:rsid w:val="00FC6429"/>
    <w:rsid w:val="00FC77B6"/>
    <w:rsid w:val="00FD2790"/>
    <w:rsid w:val="00FD6AD5"/>
    <w:rsid w:val="00FD7C7F"/>
    <w:rsid w:val="00FE05C2"/>
    <w:rsid w:val="00FF19AD"/>
    <w:rsid w:val="00FF7B92"/>
    <w:rsid w:val="010C528E"/>
    <w:rsid w:val="01334788"/>
    <w:rsid w:val="01A66FB4"/>
    <w:rsid w:val="01B4367D"/>
    <w:rsid w:val="01C20632"/>
    <w:rsid w:val="01F84FD7"/>
    <w:rsid w:val="02346138"/>
    <w:rsid w:val="0242733A"/>
    <w:rsid w:val="026736B8"/>
    <w:rsid w:val="0269377A"/>
    <w:rsid w:val="028E4DDB"/>
    <w:rsid w:val="02C52150"/>
    <w:rsid w:val="02DB6548"/>
    <w:rsid w:val="02F27EAE"/>
    <w:rsid w:val="02FA119A"/>
    <w:rsid w:val="030502E0"/>
    <w:rsid w:val="032F22E2"/>
    <w:rsid w:val="0331353B"/>
    <w:rsid w:val="034372F4"/>
    <w:rsid w:val="036D7EE4"/>
    <w:rsid w:val="03C21F10"/>
    <w:rsid w:val="03EA07D9"/>
    <w:rsid w:val="046E6F3C"/>
    <w:rsid w:val="04762458"/>
    <w:rsid w:val="04942A4D"/>
    <w:rsid w:val="04AB667F"/>
    <w:rsid w:val="04B276B1"/>
    <w:rsid w:val="04D764F5"/>
    <w:rsid w:val="04F77729"/>
    <w:rsid w:val="052B5C4D"/>
    <w:rsid w:val="0547174E"/>
    <w:rsid w:val="057476A3"/>
    <w:rsid w:val="05802F9C"/>
    <w:rsid w:val="05A207AE"/>
    <w:rsid w:val="05C66AF7"/>
    <w:rsid w:val="05E56E6E"/>
    <w:rsid w:val="06216546"/>
    <w:rsid w:val="06257654"/>
    <w:rsid w:val="06330903"/>
    <w:rsid w:val="064A7DDF"/>
    <w:rsid w:val="067558A7"/>
    <w:rsid w:val="068C1967"/>
    <w:rsid w:val="06947230"/>
    <w:rsid w:val="06AB5199"/>
    <w:rsid w:val="06EA07A8"/>
    <w:rsid w:val="07244B6B"/>
    <w:rsid w:val="076E6BAF"/>
    <w:rsid w:val="0788707B"/>
    <w:rsid w:val="07A0671C"/>
    <w:rsid w:val="07C5321A"/>
    <w:rsid w:val="07C85D0D"/>
    <w:rsid w:val="07E06088"/>
    <w:rsid w:val="07EA1975"/>
    <w:rsid w:val="07F5090D"/>
    <w:rsid w:val="081E5C8D"/>
    <w:rsid w:val="086D635E"/>
    <w:rsid w:val="087113E5"/>
    <w:rsid w:val="087930B4"/>
    <w:rsid w:val="089A5DBD"/>
    <w:rsid w:val="08A32603"/>
    <w:rsid w:val="08EA7A02"/>
    <w:rsid w:val="090A081B"/>
    <w:rsid w:val="090A7312"/>
    <w:rsid w:val="094A14CB"/>
    <w:rsid w:val="0997692D"/>
    <w:rsid w:val="09CB7DBA"/>
    <w:rsid w:val="09E85792"/>
    <w:rsid w:val="09EF7D98"/>
    <w:rsid w:val="0A1870FD"/>
    <w:rsid w:val="0A576C98"/>
    <w:rsid w:val="0A5B31A0"/>
    <w:rsid w:val="0AB51B04"/>
    <w:rsid w:val="0AE2394F"/>
    <w:rsid w:val="0AF669C7"/>
    <w:rsid w:val="0B1B0ED2"/>
    <w:rsid w:val="0B261B7D"/>
    <w:rsid w:val="0B2A1901"/>
    <w:rsid w:val="0B4C33E8"/>
    <w:rsid w:val="0B5F6424"/>
    <w:rsid w:val="0B9C5CFE"/>
    <w:rsid w:val="0BA57E29"/>
    <w:rsid w:val="0C444B52"/>
    <w:rsid w:val="0C833461"/>
    <w:rsid w:val="0C930B8B"/>
    <w:rsid w:val="0CBA5558"/>
    <w:rsid w:val="0CC6479D"/>
    <w:rsid w:val="0CD361AE"/>
    <w:rsid w:val="0CEF1DD4"/>
    <w:rsid w:val="0D193E25"/>
    <w:rsid w:val="0D1D2641"/>
    <w:rsid w:val="0D2D41AC"/>
    <w:rsid w:val="0D364901"/>
    <w:rsid w:val="0D4E6308"/>
    <w:rsid w:val="0D511930"/>
    <w:rsid w:val="0D6E463D"/>
    <w:rsid w:val="0D93638B"/>
    <w:rsid w:val="0DAF5AF8"/>
    <w:rsid w:val="0DB83735"/>
    <w:rsid w:val="0DE46919"/>
    <w:rsid w:val="0DF65E24"/>
    <w:rsid w:val="0E165C5A"/>
    <w:rsid w:val="0E215250"/>
    <w:rsid w:val="0E415CE8"/>
    <w:rsid w:val="0E4D2492"/>
    <w:rsid w:val="0E650431"/>
    <w:rsid w:val="0ECC55BC"/>
    <w:rsid w:val="0ECD68A1"/>
    <w:rsid w:val="0F0710E1"/>
    <w:rsid w:val="0F120D4E"/>
    <w:rsid w:val="0F1D5312"/>
    <w:rsid w:val="0F587BBB"/>
    <w:rsid w:val="0F6018A7"/>
    <w:rsid w:val="0F97156B"/>
    <w:rsid w:val="0FA978A5"/>
    <w:rsid w:val="0FB5357C"/>
    <w:rsid w:val="1001579B"/>
    <w:rsid w:val="10141CD8"/>
    <w:rsid w:val="101A7974"/>
    <w:rsid w:val="103D6844"/>
    <w:rsid w:val="1056152C"/>
    <w:rsid w:val="108D6BDC"/>
    <w:rsid w:val="10B04615"/>
    <w:rsid w:val="10B564AE"/>
    <w:rsid w:val="10F17346"/>
    <w:rsid w:val="10F60360"/>
    <w:rsid w:val="110D108E"/>
    <w:rsid w:val="1117092B"/>
    <w:rsid w:val="112809FB"/>
    <w:rsid w:val="113E11D1"/>
    <w:rsid w:val="114602AE"/>
    <w:rsid w:val="11512BB8"/>
    <w:rsid w:val="11685B05"/>
    <w:rsid w:val="11AF6357"/>
    <w:rsid w:val="11B91958"/>
    <w:rsid w:val="11CA59B9"/>
    <w:rsid w:val="11F77ECD"/>
    <w:rsid w:val="12042FE4"/>
    <w:rsid w:val="1205136C"/>
    <w:rsid w:val="125F6DBC"/>
    <w:rsid w:val="12656274"/>
    <w:rsid w:val="12934512"/>
    <w:rsid w:val="12D32F6F"/>
    <w:rsid w:val="12FF3426"/>
    <w:rsid w:val="132F24EA"/>
    <w:rsid w:val="139D1AD6"/>
    <w:rsid w:val="13AF75FF"/>
    <w:rsid w:val="13B401F1"/>
    <w:rsid w:val="13ED394E"/>
    <w:rsid w:val="1407788E"/>
    <w:rsid w:val="14157B94"/>
    <w:rsid w:val="141D110B"/>
    <w:rsid w:val="142D74CC"/>
    <w:rsid w:val="14AA1960"/>
    <w:rsid w:val="14FA6CA3"/>
    <w:rsid w:val="14FB6263"/>
    <w:rsid w:val="15035722"/>
    <w:rsid w:val="153D2BE9"/>
    <w:rsid w:val="154B5DAC"/>
    <w:rsid w:val="156B2FF9"/>
    <w:rsid w:val="15D31466"/>
    <w:rsid w:val="15FC0905"/>
    <w:rsid w:val="160944AB"/>
    <w:rsid w:val="163B6F9E"/>
    <w:rsid w:val="16421D82"/>
    <w:rsid w:val="168960C6"/>
    <w:rsid w:val="16931DB3"/>
    <w:rsid w:val="169D6502"/>
    <w:rsid w:val="16A47360"/>
    <w:rsid w:val="16C06660"/>
    <w:rsid w:val="16E87689"/>
    <w:rsid w:val="17150BFB"/>
    <w:rsid w:val="173F6C31"/>
    <w:rsid w:val="17501932"/>
    <w:rsid w:val="177213C1"/>
    <w:rsid w:val="17B61944"/>
    <w:rsid w:val="17C5378A"/>
    <w:rsid w:val="17C67E95"/>
    <w:rsid w:val="17DD1B3D"/>
    <w:rsid w:val="17E157A6"/>
    <w:rsid w:val="180A5717"/>
    <w:rsid w:val="18276000"/>
    <w:rsid w:val="18313FA8"/>
    <w:rsid w:val="185233F5"/>
    <w:rsid w:val="18611D26"/>
    <w:rsid w:val="186231B5"/>
    <w:rsid w:val="1862413D"/>
    <w:rsid w:val="18933137"/>
    <w:rsid w:val="189E0B68"/>
    <w:rsid w:val="18BF44DB"/>
    <w:rsid w:val="18D04E9E"/>
    <w:rsid w:val="18D33550"/>
    <w:rsid w:val="19827BA3"/>
    <w:rsid w:val="19852BDB"/>
    <w:rsid w:val="198A18F4"/>
    <w:rsid w:val="19982894"/>
    <w:rsid w:val="199D17B2"/>
    <w:rsid w:val="1A0772AB"/>
    <w:rsid w:val="1A150751"/>
    <w:rsid w:val="1A1D7568"/>
    <w:rsid w:val="1A3C6101"/>
    <w:rsid w:val="1A5F13D5"/>
    <w:rsid w:val="1AB13457"/>
    <w:rsid w:val="1AC71E4A"/>
    <w:rsid w:val="1AD87795"/>
    <w:rsid w:val="1ADD291A"/>
    <w:rsid w:val="1AE91AD2"/>
    <w:rsid w:val="1AEF4F2F"/>
    <w:rsid w:val="1B072721"/>
    <w:rsid w:val="1B282499"/>
    <w:rsid w:val="1B317F33"/>
    <w:rsid w:val="1B3B029F"/>
    <w:rsid w:val="1B3B13F5"/>
    <w:rsid w:val="1B3D7BDF"/>
    <w:rsid w:val="1B473410"/>
    <w:rsid w:val="1B53692C"/>
    <w:rsid w:val="1BA8495C"/>
    <w:rsid w:val="1BB61DD9"/>
    <w:rsid w:val="1BE01F16"/>
    <w:rsid w:val="1C0E648D"/>
    <w:rsid w:val="1C1E1DC1"/>
    <w:rsid w:val="1C314A29"/>
    <w:rsid w:val="1C317C7E"/>
    <w:rsid w:val="1C5356EF"/>
    <w:rsid w:val="1C8B7974"/>
    <w:rsid w:val="1CB36944"/>
    <w:rsid w:val="1D16412B"/>
    <w:rsid w:val="1D1A0DBF"/>
    <w:rsid w:val="1D1E7745"/>
    <w:rsid w:val="1D2B0216"/>
    <w:rsid w:val="1D2D53EC"/>
    <w:rsid w:val="1D350C0D"/>
    <w:rsid w:val="1D3A7C22"/>
    <w:rsid w:val="1D5B61E6"/>
    <w:rsid w:val="1D5F6F9E"/>
    <w:rsid w:val="1D7B5F47"/>
    <w:rsid w:val="1D917F0B"/>
    <w:rsid w:val="1D9259F6"/>
    <w:rsid w:val="1DA046A6"/>
    <w:rsid w:val="1DA85311"/>
    <w:rsid w:val="1DB774C0"/>
    <w:rsid w:val="1E431CAF"/>
    <w:rsid w:val="1E557791"/>
    <w:rsid w:val="1E64188F"/>
    <w:rsid w:val="1E666DE3"/>
    <w:rsid w:val="1E6F7F18"/>
    <w:rsid w:val="1E7148AD"/>
    <w:rsid w:val="1EA556AE"/>
    <w:rsid w:val="1EC60F40"/>
    <w:rsid w:val="1EEE706A"/>
    <w:rsid w:val="1EF56774"/>
    <w:rsid w:val="1F445432"/>
    <w:rsid w:val="1F4A3B9F"/>
    <w:rsid w:val="1F9048FC"/>
    <w:rsid w:val="1FA56D3B"/>
    <w:rsid w:val="1FF32162"/>
    <w:rsid w:val="2018173E"/>
    <w:rsid w:val="203B7048"/>
    <w:rsid w:val="204775B2"/>
    <w:rsid w:val="206A4C40"/>
    <w:rsid w:val="20A522BB"/>
    <w:rsid w:val="20B0162F"/>
    <w:rsid w:val="20E27E60"/>
    <w:rsid w:val="20F62E33"/>
    <w:rsid w:val="21304699"/>
    <w:rsid w:val="214E7870"/>
    <w:rsid w:val="215E4FAB"/>
    <w:rsid w:val="216D5541"/>
    <w:rsid w:val="222258EE"/>
    <w:rsid w:val="223C36D7"/>
    <w:rsid w:val="223F1EE9"/>
    <w:rsid w:val="22976AE8"/>
    <w:rsid w:val="22B86265"/>
    <w:rsid w:val="22BE3CB0"/>
    <w:rsid w:val="22D91F81"/>
    <w:rsid w:val="232E269F"/>
    <w:rsid w:val="23736E8D"/>
    <w:rsid w:val="2385319A"/>
    <w:rsid w:val="23856B46"/>
    <w:rsid w:val="239973DA"/>
    <w:rsid w:val="23A8156D"/>
    <w:rsid w:val="23C37A6E"/>
    <w:rsid w:val="23CE57AE"/>
    <w:rsid w:val="23EB789A"/>
    <w:rsid w:val="242B5917"/>
    <w:rsid w:val="243741D6"/>
    <w:rsid w:val="243B00FC"/>
    <w:rsid w:val="247D5AA8"/>
    <w:rsid w:val="24A417BB"/>
    <w:rsid w:val="24AE3B6A"/>
    <w:rsid w:val="24B40631"/>
    <w:rsid w:val="24CC07A8"/>
    <w:rsid w:val="24E56989"/>
    <w:rsid w:val="250066FE"/>
    <w:rsid w:val="25373087"/>
    <w:rsid w:val="25A94438"/>
    <w:rsid w:val="25DD42B4"/>
    <w:rsid w:val="25ED42A4"/>
    <w:rsid w:val="260332E1"/>
    <w:rsid w:val="2604237F"/>
    <w:rsid w:val="26123EE1"/>
    <w:rsid w:val="261E4108"/>
    <w:rsid w:val="2621768A"/>
    <w:rsid w:val="26257636"/>
    <w:rsid w:val="26292A28"/>
    <w:rsid w:val="262E2431"/>
    <w:rsid w:val="26427C13"/>
    <w:rsid w:val="265A438E"/>
    <w:rsid w:val="26BC38BA"/>
    <w:rsid w:val="26D174E0"/>
    <w:rsid w:val="2718248E"/>
    <w:rsid w:val="271A44C8"/>
    <w:rsid w:val="27215E65"/>
    <w:rsid w:val="272D1A5A"/>
    <w:rsid w:val="2742136D"/>
    <w:rsid w:val="276D4EBD"/>
    <w:rsid w:val="276D624A"/>
    <w:rsid w:val="277527C9"/>
    <w:rsid w:val="279B0BE0"/>
    <w:rsid w:val="27AC55ED"/>
    <w:rsid w:val="27B65134"/>
    <w:rsid w:val="27BD7CB3"/>
    <w:rsid w:val="27F81F2C"/>
    <w:rsid w:val="282A2FBF"/>
    <w:rsid w:val="284D4CE1"/>
    <w:rsid w:val="28884F3F"/>
    <w:rsid w:val="288A3A6E"/>
    <w:rsid w:val="289B53DE"/>
    <w:rsid w:val="28EA36A0"/>
    <w:rsid w:val="29230D98"/>
    <w:rsid w:val="29734AA2"/>
    <w:rsid w:val="29975184"/>
    <w:rsid w:val="29B27D0E"/>
    <w:rsid w:val="29B96DA4"/>
    <w:rsid w:val="29EB44B2"/>
    <w:rsid w:val="2A560798"/>
    <w:rsid w:val="2A6B032A"/>
    <w:rsid w:val="2A7864C1"/>
    <w:rsid w:val="2A8D307C"/>
    <w:rsid w:val="2A9F612F"/>
    <w:rsid w:val="2AAF2EFC"/>
    <w:rsid w:val="2AF66151"/>
    <w:rsid w:val="2AF9698D"/>
    <w:rsid w:val="2B09048E"/>
    <w:rsid w:val="2B1400CF"/>
    <w:rsid w:val="2B1701F4"/>
    <w:rsid w:val="2B4138A5"/>
    <w:rsid w:val="2B843AC4"/>
    <w:rsid w:val="2B8A15BC"/>
    <w:rsid w:val="2B947C37"/>
    <w:rsid w:val="2B960392"/>
    <w:rsid w:val="2BAC24A6"/>
    <w:rsid w:val="2BAC6B19"/>
    <w:rsid w:val="2BC75583"/>
    <w:rsid w:val="2BEB29E9"/>
    <w:rsid w:val="2C336D31"/>
    <w:rsid w:val="2C461694"/>
    <w:rsid w:val="2C4E6FBB"/>
    <w:rsid w:val="2C623D16"/>
    <w:rsid w:val="2C875270"/>
    <w:rsid w:val="2CB23F2C"/>
    <w:rsid w:val="2CD813D3"/>
    <w:rsid w:val="2CE74F46"/>
    <w:rsid w:val="2D084BDC"/>
    <w:rsid w:val="2D266300"/>
    <w:rsid w:val="2D430728"/>
    <w:rsid w:val="2D470279"/>
    <w:rsid w:val="2D67146E"/>
    <w:rsid w:val="2D786683"/>
    <w:rsid w:val="2D962B7E"/>
    <w:rsid w:val="2DED5358"/>
    <w:rsid w:val="2DF410A0"/>
    <w:rsid w:val="2DF64E15"/>
    <w:rsid w:val="2DF802B3"/>
    <w:rsid w:val="2E1F33B7"/>
    <w:rsid w:val="2E2B674B"/>
    <w:rsid w:val="2E3B4D8F"/>
    <w:rsid w:val="2E690389"/>
    <w:rsid w:val="2E705D56"/>
    <w:rsid w:val="2E93460F"/>
    <w:rsid w:val="2EF354FE"/>
    <w:rsid w:val="2F0371B0"/>
    <w:rsid w:val="2F495D35"/>
    <w:rsid w:val="2F6273BF"/>
    <w:rsid w:val="2F7560D1"/>
    <w:rsid w:val="2F822E24"/>
    <w:rsid w:val="2F90501C"/>
    <w:rsid w:val="2FE95C27"/>
    <w:rsid w:val="302B23F0"/>
    <w:rsid w:val="302D1C95"/>
    <w:rsid w:val="303F1F52"/>
    <w:rsid w:val="30600FDD"/>
    <w:rsid w:val="30656F02"/>
    <w:rsid w:val="30A51AD1"/>
    <w:rsid w:val="30FD6FF5"/>
    <w:rsid w:val="3131082A"/>
    <w:rsid w:val="313425ED"/>
    <w:rsid w:val="31A937D0"/>
    <w:rsid w:val="31B52536"/>
    <w:rsid w:val="31CC7FFB"/>
    <w:rsid w:val="31D04654"/>
    <w:rsid w:val="31E63009"/>
    <w:rsid w:val="31E92B10"/>
    <w:rsid w:val="31F26519"/>
    <w:rsid w:val="322D122B"/>
    <w:rsid w:val="322E4F53"/>
    <w:rsid w:val="326D247F"/>
    <w:rsid w:val="32D71E4A"/>
    <w:rsid w:val="330E4AA6"/>
    <w:rsid w:val="3327108A"/>
    <w:rsid w:val="33370807"/>
    <w:rsid w:val="3347396E"/>
    <w:rsid w:val="334808EA"/>
    <w:rsid w:val="337803D8"/>
    <w:rsid w:val="3425303A"/>
    <w:rsid w:val="343C3638"/>
    <w:rsid w:val="347B3F37"/>
    <w:rsid w:val="34F84A14"/>
    <w:rsid w:val="34FD55E0"/>
    <w:rsid w:val="350C652A"/>
    <w:rsid w:val="355A1802"/>
    <w:rsid w:val="35842B40"/>
    <w:rsid w:val="35B25B7D"/>
    <w:rsid w:val="35C0722D"/>
    <w:rsid w:val="35C91C5E"/>
    <w:rsid w:val="3642530D"/>
    <w:rsid w:val="36436038"/>
    <w:rsid w:val="36546FA8"/>
    <w:rsid w:val="367C374B"/>
    <w:rsid w:val="36876A24"/>
    <w:rsid w:val="36A106FF"/>
    <w:rsid w:val="36A91052"/>
    <w:rsid w:val="37074A11"/>
    <w:rsid w:val="3772755D"/>
    <w:rsid w:val="37941B92"/>
    <w:rsid w:val="379C15D3"/>
    <w:rsid w:val="37AF2962"/>
    <w:rsid w:val="37C026C0"/>
    <w:rsid w:val="37D0665A"/>
    <w:rsid w:val="38054D85"/>
    <w:rsid w:val="38146F9B"/>
    <w:rsid w:val="38436ADE"/>
    <w:rsid w:val="38AC1CC4"/>
    <w:rsid w:val="390455C8"/>
    <w:rsid w:val="392711B7"/>
    <w:rsid w:val="394043E4"/>
    <w:rsid w:val="394A00C4"/>
    <w:rsid w:val="39704603"/>
    <w:rsid w:val="399A2295"/>
    <w:rsid w:val="39D73083"/>
    <w:rsid w:val="3A076BBA"/>
    <w:rsid w:val="3A0D1C58"/>
    <w:rsid w:val="3A136626"/>
    <w:rsid w:val="3A2E4CC2"/>
    <w:rsid w:val="3A486CF8"/>
    <w:rsid w:val="3A66264B"/>
    <w:rsid w:val="3AD136DE"/>
    <w:rsid w:val="3B456C6F"/>
    <w:rsid w:val="3B494BA9"/>
    <w:rsid w:val="3B6A0C9F"/>
    <w:rsid w:val="3B8D4D19"/>
    <w:rsid w:val="3BA03824"/>
    <w:rsid w:val="3BD020C5"/>
    <w:rsid w:val="3C0071B8"/>
    <w:rsid w:val="3C4533E3"/>
    <w:rsid w:val="3C604625"/>
    <w:rsid w:val="3CA05622"/>
    <w:rsid w:val="3CB27731"/>
    <w:rsid w:val="3CB55E96"/>
    <w:rsid w:val="3CE443F3"/>
    <w:rsid w:val="3D00259E"/>
    <w:rsid w:val="3D0C105D"/>
    <w:rsid w:val="3D80093F"/>
    <w:rsid w:val="3D9520B5"/>
    <w:rsid w:val="3D9C10B4"/>
    <w:rsid w:val="3DA9522F"/>
    <w:rsid w:val="3E5102CA"/>
    <w:rsid w:val="3ED43F1F"/>
    <w:rsid w:val="3F0F69F4"/>
    <w:rsid w:val="3F1009E8"/>
    <w:rsid w:val="3F3B517E"/>
    <w:rsid w:val="3F9D1749"/>
    <w:rsid w:val="3F9E5C9A"/>
    <w:rsid w:val="3FA0335B"/>
    <w:rsid w:val="3FF06B46"/>
    <w:rsid w:val="3FFC1470"/>
    <w:rsid w:val="3FFF0F4C"/>
    <w:rsid w:val="401459E2"/>
    <w:rsid w:val="401A097A"/>
    <w:rsid w:val="402B188B"/>
    <w:rsid w:val="403E1E5B"/>
    <w:rsid w:val="408D38DE"/>
    <w:rsid w:val="40A1023E"/>
    <w:rsid w:val="40B64517"/>
    <w:rsid w:val="40BA4DAE"/>
    <w:rsid w:val="40FE1E1B"/>
    <w:rsid w:val="41006500"/>
    <w:rsid w:val="413C236F"/>
    <w:rsid w:val="4171143D"/>
    <w:rsid w:val="417B61D8"/>
    <w:rsid w:val="41973131"/>
    <w:rsid w:val="41C74FFE"/>
    <w:rsid w:val="421B2ECC"/>
    <w:rsid w:val="42624102"/>
    <w:rsid w:val="426376A0"/>
    <w:rsid w:val="426E55B3"/>
    <w:rsid w:val="4280555E"/>
    <w:rsid w:val="42A87727"/>
    <w:rsid w:val="42B100E1"/>
    <w:rsid w:val="42CD1A7E"/>
    <w:rsid w:val="42D515B0"/>
    <w:rsid w:val="42E01C7B"/>
    <w:rsid w:val="430D6BDD"/>
    <w:rsid w:val="430F35F3"/>
    <w:rsid w:val="431D7965"/>
    <w:rsid w:val="43581E5B"/>
    <w:rsid w:val="436718F8"/>
    <w:rsid w:val="439523B0"/>
    <w:rsid w:val="43953AB7"/>
    <w:rsid w:val="4395585E"/>
    <w:rsid w:val="43A507CE"/>
    <w:rsid w:val="43F90F3B"/>
    <w:rsid w:val="43FF7BD1"/>
    <w:rsid w:val="440230F8"/>
    <w:rsid w:val="44655966"/>
    <w:rsid w:val="44732E22"/>
    <w:rsid w:val="456D6971"/>
    <w:rsid w:val="457134D6"/>
    <w:rsid w:val="45AF3BB4"/>
    <w:rsid w:val="45C707CE"/>
    <w:rsid w:val="45FA1099"/>
    <w:rsid w:val="46050A63"/>
    <w:rsid w:val="460D747C"/>
    <w:rsid w:val="462A6BF3"/>
    <w:rsid w:val="4641173A"/>
    <w:rsid w:val="466035F5"/>
    <w:rsid w:val="467A6960"/>
    <w:rsid w:val="46CB25FB"/>
    <w:rsid w:val="46E73A9D"/>
    <w:rsid w:val="47187E9A"/>
    <w:rsid w:val="473E40AB"/>
    <w:rsid w:val="4744627B"/>
    <w:rsid w:val="47456547"/>
    <w:rsid w:val="47B81E47"/>
    <w:rsid w:val="47C20D98"/>
    <w:rsid w:val="48483F7F"/>
    <w:rsid w:val="4853644C"/>
    <w:rsid w:val="48697D37"/>
    <w:rsid w:val="486D0579"/>
    <w:rsid w:val="488F3F8D"/>
    <w:rsid w:val="489E4331"/>
    <w:rsid w:val="48A77428"/>
    <w:rsid w:val="48F701F3"/>
    <w:rsid w:val="490546FB"/>
    <w:rsid w:val="490D4385"/>
    <w:rsid w:val="492F0336"/>
    <w:rsid w:val="496B053C"/>
    <w:rsid w:val="498A6BB7"/>
    <w:rsid w:val="499758D7"/>
    <w:rsid w:val="499A1FBF"/>
    <w:rsid w:val="49AE1E44"/>
    <w:rsid w:val="49B465E4"/>
    <w:rsid w:val="49D36B22"/>
    <w:rsid w:val="4A2D795D"/>
    <w:rsid w:val="4A5339DF"/>
    <w:rsid w:val="4A786F8C"/>
    <w:rsid w:val="4ABD1827"/>
    <w:rsid w:val="4AD51900"/>
    <w:rsid w:val="4AE75E3F"/>
    <w:rsid w:val="4B1F151D"/>
    <w:rsid w:val="4B4E43C2"/>
    <w:rsid w:val="4B9E1622"/>
    <w:rsid w:val="4B9E5499"/>
    <w:rsid w:val="4BAA7DA5"/>
    <w:rsid w:val="4BD73E5B"/>
    <w:rsid w:val="4BDC61D3"/>
    <w:rsid w:val="4C30340E"/>
    <w:rsid w:val="4C3F09F6"/>
    <w:rsid w:val="4C577947"/>
    <w:rsid w:val="4CAA56B2"/>
    <w:rsid w:val="4CAA5EE5"/>
    <w:rsid w:val="4CB40769"/>
    <w:rsid w:val="4CB81C26"/>
    <w:rsid w:val="4CD66B95"/>
    <w:rsid w:val="4D1B13DF"/>
    <w:rsid w:val="4D345AFC"/>
    <w:rsid w:val="4D66747F"/>
    <w:rsid w:val="4D8957DD"/>
    <w:rsid w:val="4D98627E"/>
    <w:rsid w:val="4DB57276"/>
    <w:rsid w:val="4DB608B0"/>
    <w:rsid w:val="4DC2344C"/>
    <w:rsid w:val="4DCC5302"/>
    <w:rsid w:val="4DD27F78"/>
    <w:rsid w:val="4DD95517"/>
    <w:rsid w:val="4E265F35"/>
    <w:rsid w:val="4E2C43E6"/>
    <w:rsid w:val="4E4F07F9"/>
    <w:rsid w:val="4E581AB8"/>
    <w:rsid w:val="4E7960B8"/>
    <w:rsid w:val="4E80380F"/>
    <w:rsid w:val="4E883291"/>
    <w:rsid w:val="4E8B2172"/>
    <w:rsid w:val="4E8B7D73"/>
    <w:rsid w:val="4E944E04"/>
    <w:rsid w:val="4E9D3F55"/>
    <w:rsid w:val="4ED34C95"/>
    <w:rsid w:val="4EF0430E"/>
    <w:rsid w:val="4F0066A1"/>
    <w:rsid w:val="4F460EAC"/>
    <w:rsid w:val="4F6039D5"/>
    <w:rsid w:val="4F6A65DF"/>
    <w:rsid w:val="4FA55E13"/>
    <w:rsid w:val="4FA92537"/>
    <w:rsid w:val="4FB6225D"/>
    <w:rsid w:val="4FD16883"/>
    <w:rsid w:val="4FE71F4D"/>
    <w:rsid w:val="4FEE547C"/>
    <w:rsid w:val="500451B4"/>
    <w:rsid w:val="50513DBE"/>
    <w:rsid w:val="50634346"/>
    <w:rsid w:val="506E0E2C"/>
    <w:rsid w:val="50A12BDE"/>
    <w:rsid w:val="512831A6"/>
    <w:rsid w:val="51287539"/>
    <w:rsid w:val="513349FD"/>
    <w:rsid w:val="513A07B6"/>
    <w:rsid w:val="513A2D43"/>
    <w:rsid w:val="51505520"/>
    <w:rsid w:val="51530094"/>
    <w:rsid w:val="51545314"/>
    <w:rsid w:val="515C0C04"/>
    <w:rsid w:val="51646D1A"/>
    <w:rsid w:val="51BD1681"/>
    <w:rsid w:val="51BE54FC"/>
    <w:rsid w:val="51C50C88"/>
    <w:rsid w:val="51C57BB6"/>
    <w:rsid w:val="51CF3A07"/>
    <w:rsid w:val="51D171E5"/>
    <w:rsid w:val="51D25FE1"/>
    <w:rsid w:val="51E33E74"/>
    <w:rsid w:val="520B7B24"/>
    <w:rsid w:val="521C0BB6"/>
    <w:rsid w:val="521C3A78"/>
    <w:rsid w:val="52363A6E"/>
    <w:rsid w:val="523A133F"/>
    <w:rsid w:val="52736C91"/>
    <w:rsid w:val="5293771F"/>
    <w:rsid w:val="529B64F9"/>
    <w:rsid w:val="52AB57B0"/>
    <w:rsid w:val="52D16BF7"/>
    <w:rsid w:val="53072F3F"/>
    <w:rsid w:val="53301796"/>
    <w:rsid w:val="535378DE"/>
    <w:rsid w:val="53A25C1A"/>
    <w:rsid w:val="53C26E85"/>
    <w:rsid w:val="542E491F"/>
    <w:rsid w:val="543B6AE0"/>
    <w:rsid w:val="546062BA"/>
    <w:rsid w:val="546C4910"/>
    <w:rsid w:val="547D3B66"/>
    <w:rsid w:val="54922220"/>
    <w:rsid w:val="549B7165"/>
    <w:rsid w:val="54D53B92"/>
    <w:rsid w:val="54E925B3"/>
    <w:rsid w:val="55002B5A"/>
    <w:rsid w:val="556C3448"/>
    <w:rsid w:val="559A60A0"/>
    <w:rsid w:val="56426652"/>
    <w:rsid w:val="56535110"/>
    <w:rsid w:val="566057C7"/>
    <w:rsid w:val="566A15A8"/>
    <w:rsid w:val="569354B1"/>
    <w:rsid w:val="569F2C55"/>
    <w:rsid w:val="56B471B4"/>
    <w:rsid w:val="56BC5B54"/>
    <w:rsid w:val="56C13B29"/>
    <w:rsid w:val="57064EA9"/>
    <w:rsid w:val="57305B52"/>
    <w:rsid w:val="575631D2"/>
    <w:rsid w:val="5762594A"/>
    <w:rsid w:val="576D7290"/>
    <w:rsid w:val="57C33473"/>
    <w:rsid w:val="57EB4109"/>
    <w:rsid w:val="58471CAD"/>
    <w:rsid w:val="58582053"/>
    <w:rsid w:val="58680E1B"/>
    <w:rsid w:val="58745084"/>
    <w:rsid w:val="587D1CE7"/>
    <w:rsid w:val="59076E25"/>
    <w:rsid w:val="592E4D8C"/>
    <w:rsid w:val="59321703"/>
    <w:rsid w:val="594930E9"/>
    <w:rsid w:val="5959534D"/>
    <w:rsid w:val="596B460B"/>
    <w:rsid w:val="59A66247"/>
    <w:rsid w:val="59AD0976"/>
    <w:rsid w:val="59BA7A63"/>
    <w:rsid w:val="59EE166C"/>
    <w:rsid w:val="59EF00DD"/>
    <w:rsid w:val="59FA3DCB"/>
    <w:rsid w:val="5A4A011A"/>
    <w:rsid w:val="5A9B5664"/>
    <w:rsid w:val="5AAF1D42"/>
    <w:rsid w:val="5AB56805"/>
    <w:rsid w:val="5AC926ED"/>
    <w:rsid w:val="5AD672EA"/>
    <w:rsid w:val="5AE62910"/>
    <w:rsid w:val="5B2E25C1"/>
    <w:rsid w:val="5B526DEA"/>
    <w:rsid w:val="5B93240F"/>
    <w:rsid w:val="5BA814CE"/>
    <w:rsid w:val="5BAD3376"/>
    <w:rsid w:val="5BC648F3"/>
    <w:rsid w:val="5C321CD1"/>
    <w:rsid w:val="5C431A93"/>
    <w:rsid w:val="5C806A3E"/>
    <w:rsid w:val="5C8A3E79"/>
    <w:rsid w:val="5CC905AC"/>
    <w:rsid w:val="5CDA3CA1"/>
    <w:rsid w:val="5CE65D3B"/>
    <w:rsid w:val="5CEA2F22"/>
    <w:rsid w:val="5D301B5E"/>
    <w:rsid w:val="5D537D35"/>
    <w:rsid w:val="5D6338BC"/>
    <w:rsid w:val="5D737B74"/>
    <w:rsid w:val="5D851D93"/>
    <w:rsid w:val="5DB52ED4"/>
    <w:rsid w:val="5DC3245D"/>
    <w:rsid w:val="5DFB2052"/>
    <w:rsid w:val="5E2249E7"/>
    <w:rsid w:val="5E2A0012"/>
    <w:rsid w:val="5E3407B3"/>
    <w:rsid w:val="5E424B36"/>
    <w:rsid w:val="5E575074"/>
    <w:rsid w:val="5E6B289C"/>
    <w:rsid w:val="5E706ACF"/>
    <w:rsid w:val="5E771697"/>
    <w:rsid w:val="5E9C653C"/>
    <w:rsid w:val="5EA3001C"/>
    <w:rsid w:val="5ECB712B"/>
    <w:rsid w:val="5EE13914"/>
    <w:rsid w:val="5EFA66AB"/>
    <w:rsid w:val="5F0251E8"/>
    <w:rsid w:val="5F095D8A"/>
    <w:rsid w:val="5F0B2DAF"/>
    <w:rsid w:val="5F135C40"/>
    <w:rsid w:val="5F3563C3"/>
    <w:rsid w:val="5F4D5468"/>
    <w:rsid w:val="5FC25AB6"/>
    <w:rsid w:val="5FC363A7"/>
    <w:rsid w:val="5FD96164"/>
    <w:rsid w:val="600C03BB"/>
    <w:rsid w:val="60212DA9"/>
    <w:rsid w:val="60215989"/>
    <w:rsid w:val="602C59C3"/>
    <w:rsid w:val="60506531"/>
    <w:rsid w:val="607118EE"/>
    <w:rsid w:val="60C277F5"/>
    <w:rsid w:val="60E73EB1"/>
    <w:rsid w:val="60FF253F"/>
    <w:rsid w:val="610B655F"/>
    <w:rsid w:val="611067EB"/>
    <w:rsid w:val="616552B2"/>
    <w:rsid w:val="618417B4"/>
    <w:rsid w:val="61931EF3"/>
    <w:rsid w:val="619839DD"/>
    <w:rsid w:val="61AE3AC8"/>
    <w:rsid w:val="61C13BFA"/>
    <w:rsid w:val="61CA2071"/>
    <w:rsid w:val="61D01336"/>
    <w:rsid w:val="61F544E2"/>
    <w:rsid w:val="6201592A"/>
    <w:rsid w:val="62084976"/>
    <w:rsid w:val="621363A6"/>
    <w:rsid w:val="622760E3"/>
    <w:rsid w:val="622D2C02"/>
    <w:rsid w:val="6233790A"/>
    <w:rsid w:val="62523F0C"/>
    <w:rsid w:val="62687D5B"/>
    <w:rsid w:val="62701383"/>
    <w:rsid w:val="62752629"/>
    <w:rsid w:val="627D4BC8"/>
    <w:rsid w:val="62871E0E"/>
    <w:rsid w:val="629501CE"/>
    <w:rsid w:val="62D17084"/>
    <w:rsid w:val="62E223F2"/>
    <w:rsid w:val="62FC405D"/>
    <w:rsid w:val="63175D3F"/>
    <w:rsid w:val="632F59FF"/>
    <w:rsid w:val="634B337E"/>
    <w:rsid w:val="636C0CDB"/>
    <w:rsid w:val="63772071"/>
    <w:rsid w:val="63B72EE5"/>
    <w:rsid w:val="63ED50B6"/>
    <w:rsid w:val="640763BE"/>
    <w:rsid w:val="64416D9B"/>
    <w:rsid w:val="64761778"/>
    <w:rsid w:val="647A3012"/>
    <w:rsid w:val="64873E0F"/>
    <w:rsid w:val="64C70A52"/>
    <w:rsid w:val="64F14070"/>
    <w:rsid w:val="6540192B"/>
    <w:rsid w:val="661659C4"/>
    <w:rsid w:val="66457067"/>
    <w:rsid w:val="666D35AE"/>
    <w:rsid w:val="6673247C"/>
    <w:rsid w:val="669C0C38"/>
    <w:rsid w:val="66F7206B"/>
    <w:rsid w:val="66FB6A7C"/>
    <w:rsid w:val="674404A6"/>
    <w:rsid w:val="674D23CD"/>
    <w:rsid w:val="67520465"/>
    <w:rsid w:val="67526E31"/>
    <w:rsid w:val="67897AF0"/>
    <w:rsid w:val="67D16432"/>
    <w:rsid w:val="67EB1D0F"/>
    <w:rsid w:val="67ED5E98"/>
    <w:rsid w:val="67F93045"/>
    <w:rsid w:val="68030C59"/>
    <w:rsid w:val="68053CDC"/>
    <w:rsid w:val="683315F2"/>
    <w:rsid w:val="68384F8F"/>
    <w:rsid w:val="685346F8"/>
    <w:rsid w:val="685A600A"/>
    <w:rsid w:val="685E7E08"/>
    <w:rsid w:val="68732318"/>
    <w:rsid w:val="68825E19"/>
    <w:rsid w:val="68DC128B"/>
    <w:rsid w:val="68F24AF6"/>
    <w:rsid w:val="691A62C6"/>
    <w:rsid w:val="691C603D"/>
    <w:rsid w:val="69705AF8"/>
    <w:rsid w:val="697344C0"/>
    <w:rsid w:val="699F4416"/>
    <w:rsid w:val="69D7212A"/>
    <w:rsid w:val="69FD776F"/>
    <w:rsid w:val="6A4643CF"/>
    <w:rsid w:val="6A4928BD"/>
    <w:rsid w:val="6A6B044D"/>
    <w:rsid w:val="6A8C371C"/>
    <w:rsid w:val="6A9034D2"/>
    <w:rsid w:val="6AA84FFB"/>
    <w:rsid w:val="6AF771C8"/>
    <w:rsid w:val="6AFA6964"/>
    <w:rsid w:val="6B001842"/>
    <w:rsid w:val="6B01423D"/>
    <w:rsid w:val="6B0A2AF3"/>
    <w:rsid w:val="6B565AA8"/>
    <w:rsid w:val="6B5748FF"/>
    <w:rsid w:val="6B7B2B55"/>
    <w:rsid w:val="6B9F0C46"/>
    <w:rsid w:val="6BC321EF"/>
    <w:rsid w:val="6BD41082"/>
    <w:rsid w:val="6BE43EF7"/>
    <w:rsid w:val="6C1C58EB"/>
    <w:rsid w:val="6C2B64B6"/>
    <w:rsid w:val="6C4B06A2"/>
    <w:rsid w:val="6C6555E3"/>
    <w:rsid w:val="6C6F1CAD"/>
    <w:rsid w:val="6C8501AE"/>
    <w:rsid w:val="6CA060FB"/>
    <w:rsid w:val="6D2263C3"/>
    <w:rsid w:val="6D357968"/>
    <w:rsid w:val="6D7A6056"/>
    <w:rsid w:val="6D8212B7"/>
    <w:rsid w:val="6D830E12"/>
    <w:rsid w:val="6DB91241"/>
    <w:rsid w:val="6DE366CA"/>
    <w:rsid w:val="6DEF1072"/>
    <w:rsid w:val="6DF66873"/>
    <w:rsid w:val="6DF87BD4"/>
    <w:rsid w:val="6DFE5E41"/>
    <w:rsid w:val="6E027CA2"/>
    <w:rsid w:val="6E115D2C"/>
    <w:rsid w:val="6E3423AA"/>
    <w:rsid w:val="6E9A5546"/>
    <w:rsid w:val="6EE27C76"/>
    <w:rsid w:val="6EE946BF"/>
    <w:rsid w:val="6EF13F81"/>
    <w:rsid w:val="6F0F3454"/>
    <w:rsid w:val="6F3F4000"/>
    <w:rsid w:val="6F4469B9"/>
    <w:rsid w:val="6F5B58A9"/>
    <w:rsid w:val="6F7870DC"/>
    <w:rsid w:val="7014078E"/>
    <w:rsid w:val="703062F3"/>
    <w:rsid w:val="706E1F45"/>
    <w:rsid w:val="706F49DA"/>
    <w:rsid w:val="7071160C"/>
    <w:rsid w:val="709F2080"/>
    <w:rsid w:val="70A2025E"/>
    <w:rsid w:val="70A30984"/>
    <w:rsid w:val="70D41C98"/>
    <w:rsid w:val="70F02008"/>
    <w:rsid w:val="70F14C5F"/>
    <w:rsid w:val="7132631C"/>
    <w:rsid w:val="717E1969"/>
    <w:rsid w:val="7184468B"/>
    <w:rsid w:val="71BB560F"/>
    <w:rsid w:val="71DA1C38"/>
    <w:rsid w:val="71E05DC1"/>
    <w:rsid w:val="721026A7"/>
    <w:rsid w:val="721C3518"/>
    <w:rsid w:val="721E66BD"/>
    <w:rsid w:val="723104CD"/>
    <w:rsid w:val="72536B56"/>
    <w:rsid w:val="72C3452E"/>
    <w:rsid w:val="72F70913"/>
    <w:rsid w:val="73AA2F3F"/>
    <w:rsid w:val="73DC55C9"/>
    <w:rsid w:val="73E412FE"/>
    <w:rsid w:val="73EF726A"/>
    <w:rsid w:val="74115BC8"/>
    <w:rsid w:val="741268A9"/>
    <w:rsid w:val="741369A5"/>
    <w:rsid w:val="74435A34"/>
    <w:rsid w:val="74657F16"/>
    <w:rsid w:val="74675EF3"/>
    <w:rsid w:val="74A1707C"/>
    <w:rsid w:val="74BD16B9"/>
    <w:rsid w:val="750521E8"/>
    <w:rsid w:val="75364955"/>
    <w:rsid w:val="75396C52"/>
    <w:rsid w:val="757A4188"/>
    <w:rsid w:val="757F3C79"/>
    <w:rsid w:val="759444D0"/>
    <w:rsid w:val="75B207EF"/>
    <w:rsid w:val="75DC6E28"/>
    <w:rsid w:val="75E05530"/>
    <w:rsid w:val="762A5C5B"/>
    <w:rsid w:val="76557DF7"/>
    <w:rsid w:val="767D12A6"/>
    <w:rsid w:val="76987D42"/>
    <w:rsid w:val="76992F80"/>
    <w:rsid w:val="76D35374"/>
    <w:rsid w:val="76DB7DBB"/>
    <w:rsid w:val="76F740F6"/>
    <w:rsid w:val="76FC652B"/>
    <w:rsid w:val="7729054A"/>
    <w:rsid w:val="772F2752"/>
    <w:rsid w:val="77C667E4"/>
    <w:rsid w:val="77FA1E94"/>
    <w:rsid w:val="7835260B"/>
    <w:rsid w:val="78572C09"/>
    <w:rsid w:val="78AC2E84"/>
    <w:rsid w:val="78B26C4E"/>
    <w:rsid w:val="79292F6F"/>
    <w:rsid w:val="792B19AA"/>
    <w:rsid w:val="793F37F2"/>
    <w:rsid w:val="79AE1496"/>
    <w:rsid w:val="79F67585"/>
    <w:rsid w:val="7A032C19"/>
    <w:rsid w:val="7A1507E2"/>
    <w:rsid w:val="7A193607"/>
    <w:rsid w:val="7A343E7F"/>
    <w:rsid w:val="7A3451CC"/>
    <w:rsid w:val="7A436A2A"/>
    <w:rsid w:val="7A52047C"/>
    <w:rsid w:val="7A6355C1"/>
    <w:rsid w:val="7A784B83"/>
    <w:rsid w:val="7A8F545A"/>
    <w:rsid w:val="7AB74CE8"/>
    <w:rsid w:val="7AC2517E"/>
    <w:rsid w:val="7AF449DF"/>
    <w:rsid w:val="7AF828C6"/>
    <w:rsid w:val="7B1468FA"/>
    <w:rsid w:val="7B284CE0"/>
    <w:rsid w:val="7B53662E"/>
    <w:rsid w:val="7B6A615D"/>
    <w:rsid w:val="7B7E5148"/>
    <w:rsid w:val="7B9D72A8"/>
    <w:rsid w:val="7BF90168"/>
    <w:rsid w:val="7C0E27F5"/>
    <w:rsid w:val="7C1B2050"/>
    <w:rsid w:val="7C3009AD"/>
    <w:rsid w:val="7C3837D0"/>
    <w:rsid w:val="7C553194"/>
    <w:rsid w:val="7C6B7CF2"/>
    <w:rsid w:val="7C6C2208"/>
    <w:rsid w:val="7C6F7FDF"/>
    <w:rsid w:val="7C7472F4"/>
    <w:rsid w:val="7C8829AF"/>
    <w:rsid w:val="7C9062CD"/>
    <w:rsid w:val="7C926EDE"/>
    <w:rsid w:val="7CD16BE7"/>
    <w:rsid w:val="7CD27EE2"/>
    <w:rsid w:val="7CDB2690"/>
    <w:rsid w:val="7CE60296"/>
    <w:rsid w:val="7CFA35EF"/>
    <w:rsid w:val="7D0470A8"/>
    <w:rsid w:val="7D356BBC"/>
    <w:rsid w:val="7D45427D"/>
    <w:rsid w:val="7D8F6910"/>
    <w:rsid w:val="7D970AD2"/>
    <w:rsid w:val="7DF75E96"/>
    <w:rsid w:val="7E2D6D82"/>
    <w:rsid w:val="7E3A5658"/>
    <w:rsid w:val="7E704ED7"/>
    <w:rsid w:val="7E83284D"/>
    <w:rsid w:val="7EC10DC2"/>
    <w:rsid w:val="7EE709A7"/>
    <w:rsid w:val="7F227DCD"/>
    <w:rsid w:val="7F3A1A7A"/>
    <w:rsid w:val="7F3B0416"/>
    <w:rsid w:val="7F4209F2"/>
    <w:rsid w:val="7F50673F"/>
    <w:rsid w:val="7F9937B2"/>
    <w:rsid w:val="7F9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5"/>
    <w:link w:val="45"/>
    <w:qFormat/>
    <w:uiPriority w:val="0"/>
    <w:pPr>
      <w:keepNext/>
      <w:keepLines/>
      <w:spacing w:before="340" w:after="330" w:line="576" w:lineRule="auto"/>
    </w:pPr>
    <w:rPr>
      <w:rFonts w:ascii="Times New Roman" w:hAnsi="Times New Roman"/>
      <w:bCs/>
      <w:kern w:val="44"/>
      <w:sz w:val="44"/>
      <w:szCs w:val="44"/>
    </w:rPr>
  </w:style>
  <w:style w:type="paragraph" w:styleId="7">
    <w:name w:val="heading 2"/>
    <w:basedOn w:val="1"/>
    <w:next w:val="1"/>
    <w:link w:val="51"/>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56"/>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9">
    <w:name w:val="heading 4"/>
    <w:basedOn w:val="1"/>
    <w:next w:val="1"/>
    <w:link w:val="61"/>
    <w:qFormat/>
    <w:uiPriority w:val="0"/>
    <w:pPr>
      <w:keepNext/>
      <w:keepLines/>
      <w:spacing w:before="280" w:after="290" w:line="374" w:lineRule="auto"/>
      <w:outlineLvl w:val="3"/>
    </w:pPr>
    <w:rPr>
      <w:rFonts w:ascii="Arial" w:hAnsi="Arial" w:eastAsia="黑体"/>
      <w:b/>
      <w:bCs/>
      <w:sz w:val="28"/>
      <w:szCs w:val="28"/>
    </w:rPr>
  </w:style>
  <w:style w:type="paragraph" w:styleId="10">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1">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2">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3">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7">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52"/>
    <w:qFormat/>
    <w:uiPriority w:val="0"/>
    <w:rPr>
      <w:rFonts w:hAnsi="Courier New"/>
      <w:sz w:val="20"/>
    </w:rPr>
  </w:style>
  <w:style w:type="paragraph" w:styleId="4">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
    <w:name w:val="Body Text First Indent"/>
    <w:basedOn w:val="6"/>
    <w:link w:val="55"/>
    <w:qFormat/>
    <w:uiPriority w:val="0"/>
    <w:pPr>
      <w:spacing w:line="312" w:lineRule="auto"/>
      <w:ind w:firstLine="420"/>
    </w:pPr>
  </w:style>
  <w:style w:type="paragraph" w:styleId="6">
    <w:name w:val="Body Text"/>
    <w:basedOn w:val="1"/>
    <w:link w:val="57"/>
    <w:qFormat/>
    <w:uiPriority w:val="0"/>
    <w:pPr>
      <w:spacing w:after="120"/>
    </w:pPr>
    <w:rPr>
      <w:rFonts w:ascii="Times New Roman" w:hAnsi="Times New Roman"/>
    </w:rPr>
  </w:style>
  <w:style w:type="paragraph" w:styleId="14">
    <w:name w:val="annotation subject"/>
    <w:basedOn w:val="15"/>
    <w:next w:val="15"/>
    <w:link w:val="49"/>
    <w:qFormat/>
    <w:uiPriority w:val="0"/>
    <w:pPr>
      <w:jc w:val="both"/>
    </w:pPr>
    <w:rPr>
      <w:b/>
      <w:bCs/>
    </w:rPr>
  </w:style>
  <w:style w:type="paragraph" w:styleId="15">
    <w:name w:val="annotation text"/>
    <w:basedOn w:val="1"/>
    <w:link w:val="59"/>
    <w:qFormat/>
    <w:uiPriority w:val="0"/>
    <w:pPr>
      <w:jc w:val="left"/>
    </w:pPr>
    <w:rPr>
      <w:rFonts w:ascii="Times New Roman" w:hAnsi="Times New Roman"/>
    </w:rPr>
  </w:style>
  <w:style w:type="paragraph" w:styleId="16">
    <w:name w:val="toc 7"/>
    <w:basedOn w:val="1"/>
    <w:next w:val="1"/>
    <w:qFormat/>
    <w:uiPriority w:val="0"/>
    <w:pPr>
      <w:ind w:left="1260"/>
      <w:jc w:val="left"/>
    </w:pPr>
    <w:rPr>
      <w:sz w:val="18"/>
      <w:szCs w:val="18"/>
    </w:rPr>
  </w:style>
  <w:style w:type="paragraph" w:styleId="17">
    <w:name w:val="Normal Indent"/>
    <w:basedOn w:val="1"/>
    <w:qFormat/>
    <w:uiPriority w:val="0"/>
    <w:pPr>
      <w:ind w:firstLine="420" w:firstLineChars="200"/>
    </w:pPr>
  </w:style>
  <w:style w:type="paragraph" w:styleId="18">
    <w:name w:val="Document Map"/>
    <w:basedOn w:val="1"/>
    <w:link w:val="50"/>
    <w:qFormat/>
    <w:uiPriority w:val="0"/>
    <w:pPr>
      <w:shd w:val="clear" w:color="auto" w:fill="000080"/>
    </w:pPr>
    <w:rPr>
      <w:rFonts w:ascii="Times New Roman" w:hAnsi="Times New Roman"/>
    </w:rPr>
  </w:style>
  <w:style w:type="paragraph" w:styleId="19">
    <w:name w:val="Body Text 3"/>
    <w:basedOn w:val="1"/>
    <w:qFormat/>
    <w:uiPriority w:val="0"/>
    <w:rPr>
      <w:rFonts w:ascii="宋体"/>
      <w:sz w:val="24"/>
      <w:szCs w:val="20"/>
    </w:rPr>
  </w:style>
  <w:style w:type="paragraph" w:styleId="20">
    <w:name w:val="Body Text Indent"/>
    <w:basedOn w:val="1"/>
    <w:qFormat/>
    <w:uiPriority w:val="0"/>
    <w:pPr>
      <w:spacing w:after="120"/>
      <w:ind w:left="420" w:leftChars="200"/>
    </w:p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ind w:left="420"/>
      <w:jc w:val="left"/>
    </w:pPr>
    <w:rPr>
      <w:iCs/>
      <w:sz w:val="20"/>
      <w:szCs w:val="20"/>
    </w:rPr>
  </w:style>
  <w:style w:type="paragraph" w:styleId="23">
    <w:name w:val="toc 8"/>
    <w:basedOn w:val="1"/>
    <w:next w:val="1"/>
    <w:qFormat/>
    <w:uiPriority w:val="0"/>
    <w:pPr>
      <w:ind w:left="1470"/>
      <w:jc w:val="left"/>
    </w:pPr>
    <w:rPr>
      <w:sz w:val="18"/>
      <w:szCs w:val="18"/>
    </w:rPr>
  </w:style>
  <w:style w:type="paragraph" w:styleId="24">
    <w:name w:val="Date"/>
    <w:basedOn w:val="1"/>
    <w:next w:val="1"/>
    <w:qFormat/>
    <w:uiPriority w:val="0"/>
    <w:rPr>
      <w:sz w:val="24"/>
      <w:szCs w:val="20"/>
    </w:rPr>
  </w:style>
  <w:style w:type="paragraph" w:styleId="25">
    <w:name w:val="Balloon Text"/>
    <w:basedOn w:val="1"/>
    <w:qFormat/>
    <w:uiPriority w:val="0"/>
    <w:rPr>
      <w:sz w:val="18"/>
      <w:szCs w:val="18"/>
    </w:rPr>
  </w:style>
  <w:style w:type="paragraph" w:styleId="26">
    <w:name w:val="footer"/>
    <w:basedOn w:val="1"/>
    <w:link w:val="47"/>
    <w:qFormat/>
    <w:uiPriority w:val="99"/>
    <w:pPr>
      <w:tabs>
        <w:tab w:val="center" w:pos="4153"/>
        <w:tab w:val="right" w:pos="8306"/>
      </w:tabs>
      <w:snapToGrid w:val="0"/>
      <w:jc w:val="left"/>
    </w:pPr>
    <w:rPr>
      <w:rFonts w:ascii="Times New Roman" w:hAnsi="Times New Roman"/>
      <w:sz w:val="18"/>
      <w:szCs w:val="18"/>
    </w:rPr>
  </w:style>
  <w:style w:type="paragraph" w:styleId="27">
    <w:name w:val="header"/>
    <w:basedOn w:val="1"/>
    <w:link w:val="5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8">
    <w:name w:val="toc 1"/>
    <w:basedOn w:val="1"/>
    <w:next w:val="1"/>
    <w:qFormat/>
    <w:uiPriority w:val="0"/>
    <w:pPr>
      <w:spacing w:before="120" w:after="120"/>
      <w:jc w:val="left"/>
    </w:pPr>
    <w:rPr>
      <w:b/>
      <w:bCs/>
      <w:caps/>
      <w:sz w:val="20"/>
      <w:szCs w:val="20"/>
    </w:rPr>
  </w:style>
  <w:style w:type="paragraph" w:styleId="29">
    <w:name w:val="toc 4"/>
    <w:basedOn w:val="1"/>
    <w:next w:val="1"/>
    <w:qFormat/>
    <w:uiPriority w:val="0"/>
    <w:pPr>
      <w:ind w:left="630"/>
      <w:jc w:val="left"/>
    </w:pPr>
    <w:rPr>
      <w:sz w:val="18"/>
      <w:szCs w:val="18"/>
    </w:rPr>
  </w:style>
  <w:style w:type="paragraph" w:styleId="30">
    <w:name w:val="toc 6"/>
    <w:basedOn w:val="1"/>
    <w:next w:val="1"/>
    <w:qFormat/>
    <w:uiPriority w:val="0"/>
    <w:pPr>
      <w:ind w:left="1050"/>
      <w:jc w:val="left"/>
    </w:pPr>
    <w:rPr>
      <w:sz w:val="18"/>
      <w:szCs w:val="1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0"/>
    <w:pPr>
      <w:ind w:left="210"/>
      <w:jc w:val="left"/>
    </w:pPr>
    <w:rPr>
      <w:smallCaps/>
      <w:sz w:val="20"/>
      <w:szCs w:val="20"/>
    </w:rPr>
  </w:style>
  <w:style w:type="paragraph" w:styleId="33">
    <w:name w:val="toc 9"/>
    <w:basedOn w:val="1"/>
    <w:next w:val="1"/>
    <w:qFormat/>
    <w:uiPriority w:val="0"/>
    <w:pPr>
      <w:ind w:left="1680"/>
      <w:jc w:val="left"/>
    </w:pPr>
    <w:rPr>
      <w:sz w:val="18"/>
      <w:szCs w:val="18"/>
    </w:rPr>
  </w:style>
  <w:style w:type="paragraph" w:styleId="34">
    <w:name w:val="Body Text 2"/>
    <w:basedOn w:val="1"/>
    <w:qFormat/>
    <w:uiPriority w:val="0"/>
    <w:rPr>
      <w:rFonts w:ascii="宋体" w:hAnsi="宋体"/>
      <w:kern w:val="0"/>
      <w:sz w:val="20"/>
      <w:u w:val="single"/>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index 1"/>
    <w:basedOn w:val="1"/>
    <w:next w:val="1"/>
    <w:qFormat/>
    <w:uiPriority w:val="0"/>
    <w:pPr>
      <w:spacing w:line="220" w:lineRule="exact"/>
      <w:jc w:val="center"/>
    </w:pPr>
    <w:rPr>
      <w:rFonts w:ascii="仿宋_GB2312" w:eastAsia="仿宋_GB2312"/>
      <w:szCs w:val="21"/>
    </w:rPr>
  </w:style>
  <w:style w:type="character" w:styleId="38">
    <w:name w:val="page number"/>
    <w:basedOn w:val="37"/>
    <w:qFormat/>
    <w:uiPriority w:val="0"/>
  </w:style>
  <w:style w:type="character" w:styleId="39">
    <w:name w:val="FollowedHyperlink"/>
    <w:qFormat/>
    <w:uiPriority w:val="0"/>
    <w:rPr>
      <w:color w:val="000000"/>
      <w:u w:val="none"/>
    </w:rPr>
  </w:style>
  <w:style w:type="character" w:styleId="40">
    <w:name w:val="Hyperlink"/>
    <w:qFormat/>
    <w:uiPriority w:val="0"/>
    <w:rPr>
      <w:color w:val="000000"/>
      <w:u w:val="non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标题 1 Char"/>
    <w:link w:val="3"/>
    <w:qFormat/>
    <w:uiPriority w:val="0"/>
    <w:rPr>
      <w:rFonts w:eastAsia="宋体"/>
      <w:b/>
      <w:bCs/>
      <w:kern w:val="44"/>
      <w:sz w:val="44"/>
      <w:szCs w:val="44"/>
      <w:lang w:val="en-US" w:eastAsia="zh-CN" w:bidi="ar-SA"/>
    </w:rPr>
  </w:style>
  <w:style w:type="character" w:customStyle="1" w:styleId="46">
    <w:name w:val="times1"/>
    <w:qFormat/>
    <w:uiPriority w:val="0"/>
    <w:rPr>
      <w:color w:val="CDCDCD"/>
      <w:bdr w:val="single" w:color="CDCDCD" w:sz="6" w:space="0"/>
      <w:shd w:val="clear" w:color="auto" w:fill="EFEFEF"/>
    </w:rPr>
  </w:style>
  <w:style w:type="character" w:customStyle="1" w:styleId="47">
    <w:name w:val="页脚 Char"/>
    <w:link w:val="26"/>
    <w:qFormat/>
    <w:uiPriority w:val="99"/>
    <w:rPr>
      <w:rFonts w:eastAsia="宋体"/>
      <w:kern w:val="2"/>
      <w:sz w:val="18"/>
      <w:szCs w:val="18"/>
      <w:lang w:val="en-US" w:eastAsia="zh-CN" w:bidi="ar-SA"/>
    </w:rPr>
  </w:style>
  <w:style w:type="character" w:customStyle="1" w:styleId="48">
    <w:name w:val="font161"/>
    <w:qFormat/>
    <w:uiPriority w:val="0"/>
    <w:rPr>
      <w:b/>
      <w:bCs/>
      <w:sz w:val="32"/>
      <w:szCs w:val="32"/>
    </w:rPr>
  </w:style>
  <w:style w:type="character" w:customStyle="1" w:styleId="49">
    <w:name w:val="批注主题 Char"/>
    <w:link w:val="14"/>
    <w:qFormat/>
    <w:uiPriority w:val="0"/>
    <w:rPr>
      <w:rFonts w:eastAsia="宋体"/>
      <w:b/>
      <w:bCs/>
      <w:kern w:val="2"/>
      <w:sz w:val="21"/>
      <w:szCs w:val="24"/>
      <w:lang w:val="en-US" w:eastAsia="zh-CN" w:bidi="ar-SA"/>
    </w:rPr>
  </w:style>
  <w:style w:type="character" w:customStyle="1" w:styleId="50">
    <w:name w:val="文档结构图 Char"/>
    <w:link w:val="18"/>
    <w:qFormat/>
    <w:uiPriority w:val="0"/>
    <w:rPr>
      <w:rFonts w:eastAsia="宋体"/>
      <w:kern w:val="2"/>
      <w:sz w:val="21"/>
      <w:szCs w:val="24"/>
      <w:lang w:val="en-US" w:eastAsia="zh-CN" w:bidi="ar-SA"/>
    </w:rPr>
  </w:style>
  <w:style w:type="character" w:customStyle="1" w:styleId="51">
    <w:name w:val="标题 2 Char"/>
    <w:link w:val="7"/>
    <w:qFormat/>
    <w:uiPriority w:val="0"/>
    <w:rPr>
      <w:rFonts w:ascii="Arial" w:hAnsi="Arial" w:eastAsia="黑体"/>
      <w:b/>
      <w:bCs/>
      <w:kern w:val="2"/>
      <w:sz w:val="32"/>
      <w:szCs w:val="32"/>
      <w:lang w:val="en-US" w:eastAsia="zh-CN" w:bidi="ar-SA"/>
    </w:rPr>
  </w:style>
  <w:style w:type="character" w:customStyle="1" w:styleId="52">
    <w:name w:val="纯文本 Char"/>
    <w:basedOn w:val="37"/>
    <w:link w:val="2"/>
    <w:qFormat/>
    <w:uiPriority w:val="0"/>
    <w:rPr>
      <w:rFonts w:hint="eastAsia" w:ascii="宋体" w:hAnsi="Courier New" w:eastAsia="宋体" w:cs="Courier New"/>
      <w:kern w:val="2"/>
      <w:sz w:val="21"/>
      <w:szCs w:val="21"/>
    </w:rPr>
  </w:style>
  <w:style w:type="character" w:customStyle="1" w:styleId="53">
    <w:name w:val="hover41"/>
    <w:basedOn w:val="37"/>
    <w:qFormat/>
    <w:uiPriority w:val="0"/>
  </w:style>
  <w:style w:type="character" w:customStyle="1" w:styleId="54">
    <w:name w:val="页眉 Char"/>
    <w:link w:val="27"/>
    <w:qFormat/>
    <w:uiPriority w:val="99"/>
    <w:rPr>
      <w:rFonts w:eastAsia="宋体"/>
      <w:kern w:val="2"/>
      <w:sz w:val="18"/>
      <w:szCs w:val="18"/>
      <w:lang w:val="en-US" w:eastAsia="zh-CN" w:bidi="ar-SA"/>
    </w:rPr>
  </w:style>
  <w:style w:type="character" w:customStyle="1" w:styleId="55">
    <w:name w:val="正文首行缩进 Char"/>
    <w:link w:val="5"/>
    <w:qFormat/>
    <w:uiPriority w:val="0"/>
    <w:rPr>
      <w:rFonts w:eastAsia="宋体"/>
      <w:kern w:val="2"/>
      <w:sz w:val="21"/>
      <w:szCs w:val="24"/>
      <w:lang w:val="en-US" w:eastAsia="zh-CN" w:bidi="ar-SA"/>
    </w:rPr>
  </w:style>
  <w:style w:type="character" w:customStyle="1" w:styleId="56">
    <w:name w:val="标题 3 Char"/>
    <w:link w:val="8"/>
    <w:qFormat/>
    <w:uiPriority w:val="0"/>
    <w:rPr>
      <w:rFonts w:ascii="黑体" w:hAnsi="宋体" w:eastAsia="黑体"/>
      <w:bCs/>
      <w:kern w:val="2"/>
      <w:sz w:val="28"/>
      <w:szCs w:val="28"/>
      <w:lang w:val="en-US" w:eastAsia="zh-CN" w:bidi="ar-SA"/>
    </w:rPr>
  </w:style>
  <w:style w:type="character" w:customStyle="1" w:styleId="57">
    <w:name w:val="正文文本 Char"/>
    <w:link w:val="6"/>
    <w:qFormat/>
    <w:uiPriority w:val="0"/>
    <w:rPr>
      <w:rFonts w:eastAsia="宋体"/>
      <w:kern w:val="2"/>
      <w:sz w:val="21"/>
      <w:szCs w:val="24"/>
      <w:lang w:val="en-US" w:eastAsia="zh-CN" w:bidi="ar-SA"/>
    </w:rPr>
  </w:style>
  <w:style w:type="character" w:customStyle="1" w:styleId="58">
    <w:name w:val="times"/>
    <w:qFormat/>
    <w:uiPriority w:val="0"/>
    <w:rPr>
      <w:color w:val="3399FF"/>
      <w:bdr w:val="single" w:color="D1EDF8" w:sz="6" w:space="0"/>
      <w:shd w:val="clear" w:color="auto" w:fill="EAF9FF"/>
    </w:rPr>
  </w:style>
  <w:style w:type="character" w:customStyle="1" w:styleId="59">
    <w:name w:val="批注文字 Char"/>
    <w:link w:val="15"/>
    <w:qFormat/>
    <w:uiPriority w:val="0"/>
    <w:rPr>
      <w:rFonts w:eastAsia="宋体"/>
      <w:kern w:val="2"/>
      <w:sz w:val="21"/>
      <w:szCs w:val="24"/>
      <w:lang w:val="en-US" w:eastAsia="zh-CN" w:bidi="ar-SA"/>
    </w:rPr>
  </w:style>
  <w:style w:type="character" w:customStyle="1" w:styleId="60">
    <w:name w:val="p12"/>
    <w:basedOn w:val="37"/>
    <w:qFormat/>
    <w:uiPriority w:val="0"/>
  </w:style>
  <w:style w:type="character" w:customStyle="1" w:styleId="61">
    <w:name w:val="标题 4 Char"/>
    <w:link w:val="9"/>
    <w:qFormat/>
    <w:uiPriority w:val="0"/>
    <w:rPr>
      <w:rFonts w:ascii="Arial" w:hAnsi="Arial" w:eastAsia="黑体"/>
      <w:b/>
      <w:bCs/>
      <w:kern w:val="2"/>
      <w:sz w:val="28"/>
      <w:szCs w:val="28"/>
      <w:lang w:val="en-US" w:eastAsia="zh-CN" w:bidi="ar-SA"/>
    </w:rPr>
  </w:style>
  <w:style w:type="paragraph" w:customStyle="1" w:styleId="62">
    <w:name w:val="修订1"/>
    <w:qFormat/>
    <w:uiPriority w:val="0"/>
    <w:rPr>
      <w:rFonts w:ascii="Calibri" w:hAnsi="Calibri" w:eastAsia="宋体" w:cs="Times New Roman"/>
      <w:kern w:val="2"/>
      <w:sz w:val="21"/>
      <w:szCs w:val="24"/>
      <w:lang w:val="en-US" w:eastAsia="zh-CN" w:bidi="ar-SA"/>
    </w:rPr>
  </w:style>
  <w:style w:type="paragraph" w:customStyle="1" w:styleId="63">
    <w:name w:val="Char Char Char Char"/>
    <w:basedOn w:val="1"/>
    <w:qFormat/>
    <w:uiPriority w:val="0"/>
    <w:rPr>
      <w:rFonts w:eastAsia="楷体_GB2312"/>
      <w:szCs w:val="20"/>
    </w:rPr>
  </w:style>
  <w:style w:type="paragraph" w:customStyle="1" w:styleId="64">
    <w:name w:val="样式1"/>
    <w:basedOn w:val="1"/>
    <w:next w:val="9"/>
    <w:qFormat/>
    <w:uiPriority w:val="0"/>
    <w:pPr>
      <w:spacing w:line="360" w:lineRule="auto"/>
      <w:ind w:firstLine="420" w:firstLineChars="200"/>
    </w:pPr>
    <w:rPr>
      <w:rFonts w:ascii="宋体" w:hAnsi="宋体"/>
      <w:szCs w:val="21"/>
    </w:rPr>
  </w:style>
  <w:style w:type="paragraph" w:customStyle="1" w:styleId="65">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66">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8">
    <w:name w:val="样式2"/>
    <w:basedOn w:val="8"/>
    <w:qFormat/>
    <w:uiPriority w:val="0"/>
    <w:rPr>
      <w:i/>
    </w:rPr>
  </w:style>
  <w:style w:type="paragraph" w:customStyle="1" w:styleId="69">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styleId="70">
    <w:name w:val="List Paragraph"/>
    <w:basedOn w:val="1"/>
    <w:qFormat/>
    <w:uiPriority w:val="34"/>
    <w:pPr>
      <w:ind w:firstLine="420" w:firstLineChars="200"/>
    </w:pPr>
    <w:rPr>
      <w:szCs w:val="22"/>
    </w:rPr>
  </w:style>
  <w:style w:type="paragraph" w:customStyle="1" w:styleId="71">
    <w:name w:val="表格"/>
    <w:basedOn w:val="1"/>
    <w:qFormat/>
    <w:uiPriority w:val="0"/>
    <w:pPr>
      <w:jc w:val="center"/>
      <w:textAlignment w:val="center"/>
    </w:pPr>
    <w:rPr>
      <w:rFonts w:ascii="华文细黑" w:hAnsi="华文细黑"/>
      <w:kern w:val="0"/>
      <w:szCs w:val="20"/>
    </w:rPr>
  </w:style>
  <w:style w:type="paragraph" w:customStyle="1" w:styleId="72">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73">
    <w:name w:val="1"/>
    <w:basedOn w:val="1"/>
    <w:qFormat/>
    <w:uiPriority w:val="0"/>
  </w:style>
  <w:style w:type="paragraph" w:customStyle="1" w:styleId="7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Char"/>
    <w:basedOn w:val="1"/>
    <w:qFormat/>
    <w:uiPriority w:val="0"/>
    <w:pPr>
      <w:tabs>
        <w:tab w:val="left" w:pos="360"/>
      </w:tabs>
    </w:pPr>
    <w:rPr>
      <w:sz w:val="24"/>
    </w:rPr>
  </w:style>
  <w:style w:type="paragraph" w:customStyle="1" w:styleId="76">
    <w:name w:val="表格文字"/>
    <w:basedOn w:val="1"/>
    <w:qFormat/>
    <w:uiPriority w:val="0"/>
    <w:pPr>
      <w:adjustRightInd w:val="0"/>
      <w:spacing w:line="420" w:lineRule="atLeast"/>
      <w:jc w:val="left"/>
      <w:textAlignment w:val="baseline"/>
    </w:pPr>
    <w:rPr>
      <w:kern w:val="0"/>
      <w:szCs w:val="20"/>
    </w:rPr>
  </w:style>
  <w:style w:type="paragraph" w:customStyle="1" w:styleId="77">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列出段落1"/>
    <w:basedOn w:val="1"/>
    <w:qFormat/>
    <w:uiPriority w:val="34"/>
    <w:pPr>
      <w:ind w:firstLine="420" w:firstLineChars="200"/>
    </w:pPr>
    <w:rPr>
      <w:szCs w:val="20"/>
    </w:rPr>
  </w:style>
  <w:style w:type="paragraph" w:customStyle="1" w:styleId="79">
    <w:name w:val="文二"/>
    <w:basedOn w:val="1"/>
    <w:qFormat/>
    <w:uiPriority w:val="0"/>
    <w:pPr>
      <w:jc w:val="left"/>
    </w:pPr>
    <w:rPr>
      <w:rFonts w:ascii="宋体" w:hAnsi="宋体"/>
      <w:szCs w:val="21"/>
    </w:rPr>
  </w:style>
  <w:style w:type="paragraph" w:customStyle="1" w:styleId="80">
    <w:name w:val="样式 标题 3 + 首行缩进:  1.06 厘米"/>
    <w:basedOn w:val="8"/>
    <w:qFormat/>
    <w:uiPriority w:val="0"/>
    <w:pPr>
      <w:spacing w:before="120" w:after="0" w:line="240" w:lineRule="auto"/>
      <w:jc w:val="center"/>
    </w:pPr>
    <w:rPr>
      <w:rFonts w:ascii="宋体" w:cs="宋体"/>
      <w:color w:val="000000"/>
    </w:rPr>
  </w:style>
  <w:style w:type="paragraph" w:customStyle="1" w:styleId="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2">
    <w:name w:val="表头"/>
    <w:basedOn w:val="1"/>
    <w:qFormat/>
    <w:uiPriority w:val="0"/>
    <w:pPr>
      <w:spacing w:line="360" w:lineRule="auto"/>
      <w:jc w:val="center"/>
    </w:pPr>
    <w:rPr>
      <w:rFonts w:ascii="黑体" w:eastAsia="黑体"/>
      <w:kern w:val="0"/>
      <w:sz w:val="24"/>
      <w:szCs w:val="20"/>
    </w:rPr>
  </w:style>
  <w:style w:type="paragraph" w:customStyle="1" w:styleId="83">
    <w:name w:val="样式 标题 3 + (中文) 黑体 小四 非加粗 段前: 7.8 磅 段后: 0 磅 行距: 固定值 20 磅"/>
    <w:basedOn w:val="8"/>
    <w:qFormat/>
    <w:uiPriority w:val="0"/>
    <w:pPr>
      <w:spacing w:before="0" w:after="0" w:line="400" w:lineRule="exact"/>
    </w:pPr>
    <w:rPr>
      <w:rFonts w:cs="宋体"/>
      <w:bCs w:val="0"/>
      <w:sz w:val="24"/>
      <w:szCs w:val="20"/>
    </w:rPr>
  </w:style>
  <w:style w:type="paragraph" w:customStyle="1" w:styleId="84">
    <w:name w:val="正题"/>
    <w:basedOn w:val="72"/>
    <w:next w:val="72"/>
    <w:qFormat/>
    <w:uiPriority w:val="0"/>
    <w:pPr>
      <w:ind w:firstLine="0" w:firstLineChars="0"/>
      <w:jc w:val="center"/>
    </w:pPr>
    <w:rPr>
      <w:rFonts w:eastAsia="黑体"/>
      <w:b/>
      <w:sz w:val="36"/>
      <w:szCs w:val="36"/>
    </w:rPr>
  </w:style>
  <w:style w:type="paragraph" w:customStyle="1" w:styleId="85">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86">
    <w:name w:val="Char1"/>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E75D2-4C43-4C6A-8FF7-CC21A089C345}">
  <ds:schemaRefs/>
</ds:datastoreItem>
</file>

<file path=docProps/app.xml><?xml version="1.0" encoding="utf-8"?>
<Properties xmlns="http://schemas.openxmlformats.org/officeDocument/2006/extended-properties" xmlns:vt="http://schemas.openxmlformats.org/officeDocument/2006/docPropsVTypes">
  <Template>Normal.dotm</Template>
  <Pages>59</Pages>
  <Words>3958</Words>
  <Characters>22562</Characters>
  <Lines>188</Lines>
  <Paragraphs>52</Paragraphs>
  <TotalTime>0</TotalTime>
  <ScaleCrop>false</ScaleCrop>
  <LinksUpToDate>false</LinksUpToDate>
  <CharactersWithSpaces>26468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2020-02-17T08:45:00Z</dcterms:created>
  <cp:lastPrinted>2020-03-18T04:32:00Z</cp:lastPrinted>
  <dcterms:modified xsi:type="dcterms:W3CDTF">2020-04-01T05:38:42Z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