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color w:val="auto"/>
          <w:szCs w:val="21"/>
          <w:highlight w:val="none"/>
        </w:rPr>
      </w:pPr>
    </w:p>
    <w:p>
      <w:pPr>
        <w:spacing w:before="855" w:beforeLines="300"/>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lang w:val="en-US" w:eastAsia="zh-CN"/>
        </w:rPr>
        <w:t>南沙</w:t>
      </w:r>
      <w:r>
        <w:rPr>
          <w:rFonts w:hint="eastAsia" w:ascii="宋体" w:hAnsi="宋体" w:eastAsia="宋体" w:cs="宋体"/>
          <w:b/>
          <w:color w:val="auto"/>
          <w:sz w:val="44"/>
          <w:szCs w:val="44"/>
          <w:highlight w:val="none"/>
        </w:rPr>
        <w:t>资产经营集团年度项目</w:t>
      </w:r>
      <w:r>
        <w:rPr>
          <w:rFonts w:hint="eastAsia" w:ascii="宋体" w:hAnsi="宋体" w:eastAsia="宋体" w:cs="宋体"/>
          <w:b/>
          <w:color w:val="auto"/>
          <w:sz w:val="44"/>
          <w:szCs w:val="44"/>
          <w:highlight w:val="none"/>
          <w:lang w:val="en-US" w:eastAsia="zh-CN"/>
        </w:rPr>
        <w:t>造价</w:t>
      </w:r>
      <w:r>
        <w:rPr>
          <w:rFonts w:hint="eastAsia" w:ascii="宋体" w:hAnsi="宋体" w:eastAsia="宋体" w:cs="宋体"/>
          <w:b/>
          <w:color w:val="auto"/>
          <w:sz w:val="44"/>
          <w:szCs w:val="44"/>
          <w:highlight w:val="none"/>
        </w:rPr>
        <w:t>咨询服务</w:t>
      </w:r>
    </w:p>
    <w:p>
      <w:pPr>
        <w:jc w:val="center"/>
        <w:rPr>
          <w:rFonts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 </w:t>
      </w:r>
    </w:p>
    <w:p>
      <w:pPr>
        <w:rPr>
          <w:rFonts w:ascii="宋体" w:hAnsi="宋体" w:eastAsia="宋体" w:cs="宋体"/>
          <w:color w:val="auto"/>
          <w:sz w:val="72"/>
          <w:szCs w:val="72"/>
          <w:highlight w:val="none"/>
        </w:rPr>
      </w:pPr>
    </w:p>
    <w:p>
      <w:pP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spacing w:line="360" w:lineRule="auto"/>
        <w:ind w:firstLine="1805" w:firstLineChars="562"/>
        <w:rPr>
          <w:rFonts w:ascii="宋体" w:hAnsi="宋体" w:eastAsia="宋体" w:cs="宋体"/>
          <w:b/>
          <w:color w:val="auto"/>
          <w:sz w:val="32"/>
          <w:szCs w:val="32"/>
          <w:highlight w:val="none"/>
        </w:rPr>
      </w:pPr>
      <w:bookmarkStart w:id="0" w:name="OLE_LINK4"/>
      <w:bookmarkEnd w:id="0"/>
      <w:r>
        <w:rPr>
          <w:rFonts w:hint="eastAsia" w:ascii="宋体" w:hAnsi="宋体" w:eastAsia="宋体" w:cs="宋体"/>
          <w:b/>
          <w:color w:val="auto"/>
          <w:sz w:val="32"/>
          <w:szCs w:val="32"/>
          <w:highlight w:val="none"/>
        </w:rPr>
        <w:t>招标人：广州南沙</w:t>
      </w:r>
      <w:r>
        <w:rPr>
          <w:rFonts w:hint="eastAsia" w:ascii="宋体" w:hAnsi="宋体" w:eastAsia="宋体" w:cs="宋体"/>
          <w:b/>
          <w:color w:val="auto"/>
          <w:sz w:val="32"/>
          <w:szCs w:val="32"/>
          <w:highlight w:val="none"/>
          <w:lang w:val="en-US" w:eastAsia="zh-CN"/>
        </w:rPr>
        <w:t>建设维护管理</w:t>
      </w:r>
      <w:r>
        <w:rPr>
          <w:rFonts w:hint="eastAsia" w:ascii="宋体" w:hAnsi="宋体" w:eastAsia="宋体" w:cs="宋体"/>
          <w:b/>
          <w:color w:val="auto"/>
          <w:sz w:val="32"/>
          <w:szCs w:val="32"/>
          <w:highlight w:val="none"/>
        </w:rPr>
        <w:t>有限公司</w:t>
      </w:r>
    </w:p>
    <w:p>
      <w:pPr>
        <w:spacing w:line="520" w:lineRule="exact"/>
        <w:ind w:right="-101" w:rightChars="-48" w:firstLine="1751" w:firstLineChars="545"/>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    期：2020年</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月</w:t>
      </w:r>
    </w:p>
    <w:p>
      <w:pPr>
        <w:rPr>
          <w:rFonts w:hint="eastAsia" w:ascii="黑体" w:hAnsi="宋体" w:eastAsia="黑体" w:cs="黑体"/>
          <w:color w:val="auto"/>
          <w:sz w:val="36"/>
          <w:szCs w:val="36"/>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bookmarkStart w:id="1" w:name="_Toc29976"/>
    </w:p>
    <w:p>
      <w:pPr>
        <w:rPr>
          <w:rFonts w:hint="eastAsia" w:ascii="黑体" w:hAnsi="宋体" w:eastAsia="黑体" w:cs="黑体"/>
          <w:color w:val="auto"/>
          <w:sz w:val="36"/>
          <w:szCs w:val="36"/>
          <w:highlight w:val="none"/>
        </w:rPr>
      </w:pPr>
    </w:p>
    <w:bookmarkEnd w:id="1"/>
    <w:sdt>
      <w:sdtPr>
        <w:rPr>
          <w:rFonts w:ascii="宋体" w:hAnsi="宋体" w:eastAsia="宋体" w:cstheme="minorBidi"/>
          <w:color w:val="auto"/>
          <w:kern w:val="2"/>
          <w:sz w:val="21"/>
          <w:szCs w:val="24"/>
          <w:highlight w:val="none"/>
          <w:lang w:val="en-US" w:eastAsia="zh-CN" w:bidi="ar-SA"/>
        </w:rPr>
        <w:id w:val="14748120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lang w:val="en-US" w:eastAsia="zh-CN"/>
            </w:rPr>
            <w:t xml:space="preserve"> </w:t>
          </w:r>
          <w:r>
            <w:rPr>
              <w:rFonts w:ascii="宋体" w:hAnsi="宋体" w:eastAsia="宋体"/>
              <w:b/>
              <w:bCs/>
              <w:color w:val="auto"/>
              <w:sz w:val="36"/>
              <w:szCs w:val="36"/>
              <w:highlight w:val="none"/>
            </w:rPr>
            <w:t>录</w:t>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pacing w:val="34"/>
              <w:w w:val="100"/>
              <w:kern w:val="44"/>
              <w:sz w:val="24"/>
              <w:szCs w:val="24"/>
              <w:highlight w:val="none"/>
            </w:rPr>
            <w:t>投标邀请函</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_Toc14617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投标邀请书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_Toc3704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30</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kern w:val="44"/>
              <w:sz w:val="24"/>
              <w:szCs w:val="24"/>
              <w:highlight w:val="none"/>
            </w:rPr>
            <w:t>第5章</w:t>
          </w:r>
          <w:r>
            <w:rPr>
              <w:rFonts w:hint="eastAsia" w:asciiTheme="minorEastAsia" w:hAnsiTheme="minorEastAsia" w:eastAsiaTheme="minorEastAsia" w:cstheme="minorEastAsia"/>
              <w:color w:val="auto"/>
              <w:kern w:val="44"/>
              <w:sz w:val="24"/>
              <w:szCs w:val="24"/>
              <w:highlight w:val="none"/>
              <w:lang w:val="en-US" w:eastAsia="zh-CN"/>
            </w:rPr>
            <w:t xml:space="preserve"> </w:t>
          </w:r>
          <w:r>
            <w:rPr>
              <w:rFonts w:hint="eastAsia" w:asciiTheme="minorEastAsia" w:hAnsiTheme="minorEastAsia" w:eastAsiaTheme="minorEastAsia" w:cstheme="minorEastAsia"/>
              <w:color w:val="auto"/>
              <w:kern w:val="44"/>
              <w:sz w:val="24"/>
              <w:szCs w:val="24"/>
              <w:highlight w:val="none"/>
            </w:rPr>
            <w:t>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附件1：有效性审查表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_Toc12170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附件2综合评分表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_Toc18783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0"/>
            <w:tabs>
              <w:tab w:val="right" w:leader="dot" w:pos="9419"/>
            </w:tabs>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附件：合同</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_Toc22949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41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rPr>
              <w:color w:val="auto"/>
              <w:highlight w:val="none"/>
            </w:rPr>
          </w:pPr>
          <w:r>
            <w:rPr>
              <w:rFonts w:hint="eastAsia" w:asciiTheme="minorEastAsia" w:hAnsiTheme="minorEastAsia" w:eastAsiaTheme="minorEastAsia" w:cstheme="minorEastAsia"/>
              <w:color w:val="auto"/>
              <w:sz w:val="24"/>
              <w:szCs w:val="24"/>
              <w:highlight w:val="none"/>
            </w:rPr>
            <w:fldChar w:fldCharType="end"/>
          </w:r>
        </w:p>
      </w:sdtContent>
    </w:sdt>
    <w:p>
      <w:pPr>
        <w:pStyle w:val="4"/>
        <w:widowControl/>
        <w:spacing w:after="0"/>
        <w:ind w:firstLine="0"/>
        <w:rPr>
          <w:rFonts w:ascii="宋体" w:hAnsi="宋体" w:cs="宋体"/>
          <w:color w:val="auto"/>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type="lines" w:linePitch="285" w:charSpace="0"/>
        </w:sectPr>
      </w:pPr>
    </w:p>
    <w:p>
      <w:pPr>
        <w:pStyle w:val="4"/>
        <w:widowControl/>
        <w:spacing w:after="0"/>
        <w:ind w:firstLine="0"/>
        <w:rPr>
          <w:rFonts w:ascii="宋体" w:hAnsi="宋体" w:cs="宋体"/>
          <w:color w:val="auto"/>
          <w:highlight w:val="none"/>
        </w:rPr>
      </w:pPr>
    </w:p>
    <w:p>
      <w:pPr>
        <w:pStyle w:val="3"/>
        <w:keepNext/>
        <w:keepLines/>
        <w:pageBreakBefore w:val="0"/>
        <w:widowControl/>
        <w:kinsoku/>
        <w:wordWrap/>
        <w:overflowPunct/>
        <w:topLinePunct w:val="0"/>
        <w:autoSpaceDE/>
        <w:autoSpaceDN/>
        <w:bidi w:val="0"/>
        <w:adjustRightInd w:val="0"/>
        <w:snapToGrid/>
        <w:spacing w:before="0" w:after="0" w:line="240" w:lineRule="auto"/>
        <w:jc w:val="center"/>
        <w:textAlignment w:val="auto"/>
        <w:outlineLvl w:val="1"/>
        <w:rPr>
          <w:rFonts w:asciiTheme="minorEastAsia" w:hAnsiTheme="minorEastAsia" w:eastAsiaTheme="minorEastAsia" w:cstheme="minorEastAsia"/>
          <w:b/>
          <w:bCs/>
          <w:color w:val="auto"/>
          <w:sz w:val="36"/>
          <w:szCs w:val="36"/>
          <w:highlight w:val="none"/>
        </w:rPr>
      </w:pPr>
      <w:bookmarkStart w:id="2" w:name="_Toc25515"/>
      <w:bookmarkStart w:id="3" w:name="_Toc7584"/>
      <w:bookmarkStart w:id="4" w:name="_Toc29576"/>
      <w:bookmarkStart w:id="5" w:name="_Toc3769"/>
      <w:bookmarkStart w:id="6" w:name="_Toc3704"/>
      <w:r>
        <w:rPr>
          <w:rFonts w:hint="eastAsia" w:asciiTheme="minorEastAsia" w:hAnsiTheme="minorEastAsia" w:eastAsiaTheme="minorEastAsia" w:cstheme="minorEastAsia"/>
          <w:b/>
          <w:bCs/>
          <w:color w:val="auto"/>
          <w:sz w:val="36"/>
          <w:szCs w:val="36"/>
          <w:highlight w:val="none"/>
        </w:rPr>
        <w:t>投标邀请函</w:t>
      </w:r>
      <w:bookmarkEnd w:id="2"/>
      <w:bookmarkEnd w:id="3"/>
      <w:bookmarkEnd w:id="4"/>
      <w:bookmarkEnd w:id="5"/>
    </w:p>
    <w:p>
      <w:pPr>
        <w:snapToGrid w:val="0"/>
        <w:spacing w:line="420" w:lineRule="exact"/>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广州南沙建设维护管理有限公司（以下简称“招标人”）</w:t>
      </w:r>
      <w:r>
        <w:rPr>
          <w:rFonts w:hint="eastAsia" w:ascii="宋体" w:hAnsi="宋体" w:eastAsia="宋体" w:cs="宋体"/>
          <w:color w:val="auto"/>
          <w:szCs w:val="21"/>
          <w:highlight w:val="none"/>
          <w:lang w:val="en-US" w:eastAsia="zh-CN"/>
        </w:rPr>
        <w:t>受</w:t>
      </w:r>
      <w:r>
        <w:rPr>
          <w:rFonts w:hint="eastAsia" w:ascii="宋体" w:hAnsi="宋体" w:eastAsia="宋体" w:cs="宋体"/>
          <w:color w:val="auto"/>
          <w:szCs w:val="21"/>
          <w:highlight w:val="none"/>
        </w:rPr>
        <w:t>广州南沙资产经营集团有限公司</w:t>
      </w:r>
      <w:r>
        <w:rPr>
          <w:rFonts w:hint="eastAsia" w:ascii="宋体" w:hAnsi="宋体" w:eastAsia="宋体" w:cs="宋体"/>
          <w:color w:val="auto"/>
          <w:szCs w:val="21"/>
          <w:highlight w:val="none"/>
          <w:lang w:val="en-US" w:eastAsia="zh-CN"/>
        </w:rPr>
        <w:t>委托</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val="en-US" w:eastAsia="zh-CN"/>
        </w:rPr>
        <w:t>广州南沙</w:t>
      </w:r>
      <w:r>
        <w:rPr>
          <w:rFonts w:hint="eastAsia" w:ascii="宋体" w:hAnsi="宋体" w:eastAsia="宋体" w:cs="宋体"/>
          <w:color w:val="auto"/>
          <w:szCs w:val="21"/>
          <w:highlight w:val="none"/>
        </w:rPr>
        <w:t>资产经营集团</w:t>
      </w:r>
      <w:r>
        <w:rPr>
          <w:rFonts w:hint="eastAsia" w:ascii="宋体" w:hAnsi="宋体" w:eastAsia="宋体" w:cs="宋体"/>
          <w:color w:val="auto"/>
          <w:szCs w:val="21"/>
          <w:highlight w:val="none"/>
          <w:lang w:val="en-US" w:eastAsia="zh-CN"/>
        </w:rPr>
        <w:t>有限公司（含下属公司）</w:t>
      </w:r>
      <w:r>
        <w:rPr>
          <w:rFonts w:hint="eastAsia" w:ascii="宋体" w:hAnsi="宋体" w:eastAsia="宋体" w:cs="宋体"/>
          <w:color w:val="auto"/>
          <w:szCs w:val="21"/>
          <w:highlight w:val="none"/>
        </w:rPr>
        <w:t>年度项目</w:t>
      </w:r>
      <w:r>
        <w:rPr>
          <w:rFonts w:hint="eastAsia" w:ascii="宋体" w:hAnsi="宋体" w:eastAsia="宋体" w:cs="宋体"/>
          <w:color w:val="auto"/>
          <w:szCs w:val="21"/>
          <w:highlight w:val="none"/>
          <w:lang w:val="en-US" w:eastAsia="zh-CN"/>
        </w:rPr>
        <w:t>造价</w:t>
      </w:r>
      <w:r>
        <w:rPr>
          <w:rFonts w:hint="eastAsia" w:ascii="宋体" w:hAnsi="宋体" w:eastAsia="宋体" w:cs="宋体"/>
          <w:color w:val="auto"/>
          <w:szCs w:val="21"/>
          <w:highlight w:val="none"/>
        </w:rPr>
        <w:t>咨询服务单位进行邀请招标，选定承包人。有关事项如下：</w:t>
      </w:r>
    </w:p>
    <w:p>
      <w:pPr>
        <w:snapToGrid w:val="0"/>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一、项目名称：</w:t>
      </w:r>
      <w:r>
        <w:rPr>
          <w:rFonts w:hint="eastAsia" w:ascii="宋体" w:hAnsi="宋体" w:eastAsia="宋体" w:cs="宋体"/>
          <w:color w:val="auto"/>
          <w:szCs w:val="21"/>
          <w:highlight w:val="none"/>
          <w:lang w:val="en-US" w:eastAsia="zh-CN"/>
        </w:rPr>
        <w:t>广州</w:t>
      </w:r>
      <w:r>
        <w:rPr>
          <w:rFonts w:hint="eastAsia" w:ascii="宋体" w:hAnsi="宋体" w:eastAsia="宋体" w:cs="宋体"/>
          <w:color w:val="auto"/>
          <w:szCs w:val="21"/>
          <w:highlight w:val="none"/>
          <w:u w:val="single"/>
          <w:lang w:val="en-US" w:eastAsia="zh-CN"/>
        </w:rPr>
        <w:t>南沙</w:t>
      </w:r>
      <w:r>
        <w:rPr>
          <w:rFonts w:hint="eastAsia" w:ascii="宋体" w:hAnsi="宋体" w:eastAsia="宋体" w:cs="宋体"/>
          <w:color w:val="auto"/>
          <w:szCs w:val="21"/>
          <w:highlight w:val="none"/>
          <w:u w:val="single"/>
        </w:rPr>
        <w:t>资产经营集团</w:t>
      </w:r>
      <w:r>
        <w:rPr>
          <w:rFonts w:hint="eastAsia" w:ascii="宋体" w:hAnsi="宋体" w:eastAsia="宋体" w:cs="宋体"/>
          <w:color w:val="auto"/>
          <w:szCs w:val="21"/>
          <w:highlight w:val="none"/>
          <w:u w:val="single"/>
          <w:lang w:eastAsia="zh-CN"/>
        </w:rPr>
        <w:t>有限公司</w:t>
      </w:r>
      <w:r>
        <w:rPr>
          <w:rFonts w:hint="eastAsia" w:ascii="宋体" w:hAnsi="宋体" w:eastAsia="宋体" w:cs="宋体"/>
          <w:color w:val="auto"/>
          <w:szCs w:val="21"/>
          <w:highlight w:val="none"/>
          <w:u w:val="single"/>
        </w:rPr>
        <w:t>年度项目</w:t>
      </w:r>
      <w:r>
        <w:rPr>
          <w:rFonts w:hint="eastAsia" w:ascii="宋体" w:hAnsi="宋体" w:eastAsia="宋体" w:cs="宋体"/>
          <w:color w:val="auto"/>
          <w:szCs w:val="21"/>
          <w:highlight w:val="none"/>
          <w:u w:val="single"/>
          <w:lang w:val="en-US" w:eastAsia="zh-CN"/>
        </w:rPr>
        <w:t>造价</w:t>
      </w:r>
      <w:r>
        <w:rPr>
          <w:rFonts w:hint="eastAsia" w:ascii="宋体" w:hAnsi="宋体" w:eastAsia="宋体" w:cs="宋体"/>
          <w:color w:val="auto"/>
          <w:szCs w:val="21"/>
          <w:highlight w:val="none"/>
          <w:u w:val="single"/>
        </w:rPr>
        <w:t>咨询服务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 xml:space="preserve"> </w:t>
      </w:r>
    </w:p>
    <w:p>
      <w:pPr>
        <w:spacing w:line="360" w:lineRule="exact"/>
        <w:ind w:left="1890" w:leftChars="200" w:hanging="1470" w:hangingChars="700"/>
        <w:rPr>
          <w:rFonts w:ascii="宋体" w:hAnsi="宋体" w:eastAsia="宋体" w:cs="宋体"/>
          <w:color w:val="auto"/>
          <w:highlight w:val="none"/>
        </w:rPr>
      </w:pPr>
      <w:r>
        <w:rPr>
          <w:rFonts w:hint="eastAsia" w:ascii="宋体" w:hAnsi="宋体" w:eastAsia="宋体" w:cs="宋体"/>
          <w:color w:val="auto"/>
          <w:szCs w:val="21"/>
          <w:highlight w:val="none"/>
        </w:rPr>
        <w:t>二、项目概况：</w:t>
      </w:r>
      <w:r>
        <w:rPr>
          <w:rFonts w:hint="eastAsia" w:ascii="宋体" w:hAnsi="宋体" w:eastAsia="宋体" w:cs="宋体"/>
          <w:color w:val="auto"/>
          <w:szCs w:val="21"/>
          <w:highlight w:val="none"/>
          <w:u w:val="single"/>
        </w:rPr>
        <w:t>本项目年度计划费用总额为100万元以下，项目数为若干，单个项目</w:t>
      </w:r>
      <w:r>
        <w:rPr>
          <w:rFonts w:hint="eastAsia" w:ascii="宋体" w:hAnsi="宋体" w:eastAsia="宋体" w:cs="宋体"/>
          <w:color w:val="auto"/>
          <w:szCs w:val="21"/>
          <w:highlight w:val="none"/>
          <w:u w:val="single"/>
          <w:lang w:val="en-US" w:eastAsia="zh-CN"/>
        </w:rPr>
        <w:t>不超过50万元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以</w:t>
      </w:r>
      <w:r>
        <w:rPr>
          <w:rFonts w:hint="eastAsia" w:ascii="宋体" w:hAnsi="宋体" w:eastAsia="宋体" w:cs="宋体"/>
          <w:color w:val="auto"/>
          <w:szCs w:val="21"/>
          <w:highlight w:val="none"/>
          <w:u w:val="single"/>
        </w:rPr>
        <w:t>最终投标人报价</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下浮率</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为准，</w:t>
      </w:r>
      <w:r>
        <w:rPr>
          <w:rFonts w:hint="eastAsia" w:ascii="宋体" w:hAnsi="宋体" w:eastAsia="宋体" w:cs="宋体"/>
          <w:color w:val="auto"/>
          <w:szCs w:val="21"/>
          <w:highlight w:val="none"/>
          <w:u w:val="single"/>
          <w:lang w:val="en-US" w:eastAsia="zh-CN"/>
        </w:rPr>
        <w:t>计算单个项目的服务费。</w:t>
      </w:r>
      <w:r>
        <w:rPr>
          <w:rFonts w:hint="eastAsia" w:ascii="宋体" w:hAnsi="宋体" w:eastAsia="宋体" w:cs="宋体"/>
          <w:color w:val="auto"/>
          <w:szCs w:val="21"/>
          <w:highlight w:val="none"/>
          <w:u w:val="single"/>
        </w:rPr>
        <w:t>本次招标具体为</w:t>
      </w:r>
      <w:r>
        <w:rPr>
          <w:rFonts w:hint="eastAsia" w:ascii="宋体" w:hAnsi="宋体" w:eastAsia="宋体" w:cs="宋体"/>
          <w:color w:val="auto"/>
          <w:szCs w:val="21"/>
          <w:highlight w:val="none"/>
          <w:u w:val="single"/>
          <w:lang w:val="en-US" w:eastAsia="zh-CN"/>
        </w:rPr>
        <w:t>造价</w:t>
      </w:r>
      <w:r>
        <w:rPr>
          <w:rFonts w:hint="eastAsia" w:ascii="宋体" w:hAnsi="宋体" w:eastAsia="宋体" w:cs="宋体"/>
          <w:color w:val="auto"/>
          <w:szCs w:val="21"/>
          <w:highlight w:val="none"/>
          <w:u w:val="single"/>
        </w:rPr>
        <w:t>咨询年度服务外包，要求中标单位有一定的服务质量保证，且态度良好，信誉可靠。</w:t>
      </w:r>
    </w:p>
    <w:p>
      <w:pPr>
        <w:pStyle w:val="6"/>
        <w:widowControl/>
        <w:spacing w:line="360" w:lineRule="exact"/>
        <w:ind w:firstLine="420" w:firstLineChars="200"/>
        <w:rPr>
          <w:rFonts w:hint="default" w:hAnsi="宋体"/>
          <w:color w:val="auto"/>
          <w:highlight w:val="none"/>
          <w:u w:val="single"/>
        </w:rPr>
      </w:pPr>
      <w:r>
        <w:rPr>
          <w:rFonts w:hAnsi="宋体"/>
          <w:color w:val="auto"/>
          <w:kern w:val="0"/>
          <w:highlight w:val="none"/>
        </w:rPr>
        <w:t>三、招标内容：</w:t>
      </w:r>
      <w:r>
        <w:rPr>
          <w:rFonts w:hAnsi="宋体"/>
          <w:color w:val="auto"/>
          <w:kern w:val="0"/>
          <w:highlight w:val="none"/>
          <w:u w:val="single"/>
        </w:rPr>
        <w:t>本项目为</w:t>
      </w:r>
      <w:r>
        <w:rPr>
          <w:rFonts w:hint="eastAsia" w:hAnsi="宋体"/>
          <w:color w:val="auto"/>
          <w:kern w:val="0"/>
          <w:highlight w:val="none"/>
          <w:u w:val="single"/>
          <w:lang w:val="en-US" w:eastAsia="zh-CN"/>
        </w:rPr>
        <w:t>造价</w:t>
      </w:r>
      <w:r>
        <w:rPr>
          <w:rFonts w:hAnsi="宋体"/>
          <w:color w:val="auto"/>
          <w:kern w:val="0"/>
          <w:highlight w:val="none"/>
          <w:u w:val="single"/>
        </w:rPr>
        <w:t>咨询年度服务外包，具体内容包括</w:t>
      </w:r>
      <w:r>
        <w:rPr>
          <w:rFonts w:hAnsi="宋体"/>
          <w:color w:val="auto"/>
          <w:highlight w:val="none"/>
          <w:u w:val="single"/>
        </w:rPr>
        <w:t>项目</w:t>
      </w:r>
      <w:r>
        <w:rPr>
          <w:rFonts w:hint="eastAsia" w:hAnsi="宋体"/>
          <w:color w:val="auto"/>
          <w:highlight w:val="none"/>
          <w:u w:val="single"/>
          <w:lang w:val="en-US" w:eastAsia="zh-CN"/>
        </w:rPr>
        <w:t>造价</w:t>
      </w:r>
      <w:r>
        <w:rPr>
          <w:rFonts w:hAnsi="宋体"/>
          <w:color w:val="auto"/>
          <w:highlight w:val="none"/>
          <w:u w:val="single"/>
        </w:rPr>
        <w:t>咨询服务。</w:t>
      </w:r>
    </w:p>
    <w:p>
      <w:pPr>
        <w:pStyle w:val="6"/>
        <w:widowControl/>
        <w:spacing w:line="360" w:lineRule="exact"/>
        <w:ind w:firstLine="420" w:firstLineChars="200"/>
        <w:rPr>
          <w:rFonts w:hint="default" w:hAnsi="宋体"/>
          <w:color w:val="auto"/>
          <w:highlight w:val="none"/>
        </w:rPr>
      </w:pPr>
      <w:r>
        <w:rPr>
          <w:rFonts w:hAnsi="宋体"/>
          <w:color w:val="auto"/>
          <w:highlight w:val="none"/>
        </w:rPr>
        <w:t>四、服务任务期限：</w:t>
      </w:r>
      <w:r>
        <w:rPr>
          <w:rFonts w:hint="eastAsia" w:hAnsi="宋体"/>
          <w:color w:val="auto"/>
          <w:highlight w:val="none"/>
          <w:u w:val="single"/>
        </w:rPr>
        <w:t>2020年</w:t>
      </w:r>
      <w:r>
        <w:rPr>
          <w:rFonts w:hint="eastAsia" w:hAnsi="宋体"/>
          <w:color w:val="auto"/>
          <w:highlight w:val="none"/>
          <w:u w:val="single"/>
          <w:lang w:val="en-US" w:eastAsia="zh-CN"/>
        </w:rPr>
        <w:t>4</w:t>
      </w:r>
      <w:r>
        <w:rPr>
          <w:rFonts w:hint="eastAsia" w:hAnsi="宋体"/>
          <w:color w:val="auto"/>
          <w:highlight w:val="none"/>
          <w:u w:val="single"/>
        </w:rPr>
        <w:t>月</w:t>
      </w:r>
      <w:r>
        <w:rPr>
          <w:rFonts w:hint="eastAsia" w:hAnsi="宋体"/>
          <w:color w:val="auto"/>
          <w:highlight w:val="none"/>
          <w:u w:val="single"/>
          <w:lang w:val="en-US" w:eastAsia="zh-CN"/>
        </w:rPr>
        <w:t>至</w:t>
      </w:r>
      <w:r>
        <w:rPr>
          <w:rFonts w:hint="eastAsia" w:hAnsi="宋体"/>
          <w:color w:val="auto"/>
          <w:highlight w:val="none"/>
          <w:u w:val="single"/>
        </w:rPr>
        <w:t>2021年</w:t>
      </w:r>
      <w:r>
        <w:rPr>
          <w:rFonts w:hint="eastAsia" w:hAnsi="宋体"/>
          <w:color w:val="auto"/>
          <w:highlight w:val="none"/>
          <w:u w:val="single"/>
          <w:lang w:val="en-US" w:eastAsia="zh-CN"/>
        </w:rPr>
        <w:t>4</w:t>
      </w:r>
      <w:r>
        <w:rPr>
          <w:rFonts w:hint="eastAsia" w:hAnsi="宋体"/>
          <w:color w:val="auto"/>
          <w:highlight w:val="none"/>
          <w:u w:val="single"/>
        </w:rPr>
        <w:t>月或者累计服务费接近100万</w:t>
      </w:r>
      <w:r>
        <w:rPr>
          <w:rFonts w:hAnsi="宋体"/>
          <w:color w:val="auto"/>
          <w:highlight w:val="none"/>
          <w:u w:val="single"/>
        </w:rPr>
        <w:t>为止。</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五、建设地点：</w:t>
      </w:r>
      <w:r>
        <w:rPr>
          <w:rFonts w:hint="eastAsia" w:ascii="宋体" w:hAnsi="宋体" w:eastAsia="宋体" w:cs="宋体"/>
          <w:color w:val="auto"/>
          <w:szCs w:val="21"/>
          <w:highlight w:val="none"/>
          <w:u w:val="single"/>
        </w:rPr>
        <w:t>广州市南沙区</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六、投标人要求：</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1、投标人均具有独立法人资格，持有工商行政管理部门核发的法人营业执照或各级登记管理机关颁发的事业单位法定代表人证，按国家法律经营。</w:t>
      </w:r>
    </w:p>
    <w:p>
      <w:pPr>
        <w:spacing w:line="360" w:lineRule="exact"/>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2、投标人均具有有效的工程造价咨询甲级资质证书。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七、递交</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资料时间及地点：</w:t>
      </w:r>
    </w:p>
    <w:p>
      <w:pPr>
        <w:spacing w:line="3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广州南沙区金融大厦18</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lang w:eastAsia="zh-CN"/>
        </w:rPr>
        <w:t>蒋小姐，</w:t>
      </w:r>
      <w:r>
        <w:rPr>
          <w:rFonts w:hint="eastAsia" w:ascii="宋体" w:hAnsi="宋体" w:eastAsia="宋体" w:cs="宋体"/>
          <w:color w:val="auto"/>
          <w:szCs w:val="21"/>
          <w:highlight w:val="none"/>
          <w:lang w:val="en-US" w:eastAsia="zh-CN"/>
        </w:rPr>
        <w:t>66813692。</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投标截止时间为：2020年4月16日14时30分前。</w:t>
      </w:r>
    </w:p>
    <w:p>
      <w:pPr>
        <w:spacing w:line="360" w:lineRule="exact"/>
        <w:ind w:firstLine="420" w:firstLineChars="200"/>
        <w:rPr>
          <w:color w:val="auto"/>
          <w:highlight w:val="none"/>
        </w:rPr>
      </w:pPr>
      <w:r>
        <w:rPr>
          <w:rFonts w:hint="eastAsia" w:ascii="宋体" w:hAnsi="宋体" w:eastAsia="宋体" w:cs="宋体"/>
          <w:color w:val="auto"/>
          <w:szCs w:val="21"/>
          <w:highlight w:val="none"/>
        </w:rPr>
        <w:t>八、有关此次招标之事宜，可按下列地址以书面形式向</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 xml:space="preserve">查询： </w:t>
      </w:r>
    </w:p>
    <w:p>
      <w:pPr>
        <w:spacing w:line="36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地址：广州市南沙区环市大道中富汇街3号404室</w:t>
      </w:r>
    </w:p>
    <w:p>
      <w:pPr>
        <w:spacing w:line="360" w:lineRule="exact"/>
        <w:ind w:left="237" w:leftChars="113" w:firstLine="682" w:firstLineChars="325"/>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lang w:val="en-US" w:eastAsia="zh-CN"/>
        </w:rPr>
        <w:t>66806279</w:t>
      </w:r>
      <w:r>
        <w:rPr>
          <w:rFonts w:hint="eastAsia" w:ascii="宋体" w:hAnsi="宋体" w:eastAsia="宋体" w:cs="宋体"/>
          <w:color w:val="auto"/>
          <w:szCs w:val="21"/>
          <w:highlight w:val="none"/>
        </w:rPr>
        <w:t xml:space="preserve">    联系人：</w:t>
      </w:r>
      <w:r>
        <w:rPr>
          <w:rFonts w:hint="eastAsia" w:ascii="宋体" w:hAnsi="宋体" w:eastAsia="宋体" w:cs="宋体"/>
          <w:color w:val="auto"/>
          <w:szCs w:val="21"/>
          <w:highlight w:val="none"/>
          <w:lang w:eastAsia="zh-CN"/>
        </w:rPr>
        <w:t>李先生</w:t>
      </w:r>
      <w:r>
        <w:rPr>
          <w:rFonts w:hint="eastAsia" w:ascii="宋体" w:hAnsi="宋体" w:eastAsia="宋体" w:cs="宋体"/>
          <w:color w:val="auto"/>
          <w:szCs w:val="21"/>
          <w:highlight w:val="none"/>
        </w:rPr>
        <w:t xml:space="preserve">   </w:t>
      </w:r>
    </w:p>
    <w:p>
      <w:pPr>
        <w:spacing w:line="360" w:lineRule="exact"/>
        <w:jc w:val="both"/>
        <w:rPr>
          <w:rFonts w:hint="eastAsia" w:ascii="宋体" w:hAnsi="宋体" w:eastAsia="宋体" w:cs="宋体"/>
          <w:color w:val="auto"/>
          <w:szCs w:val="21"/>
          <w:highlight w:val="none"/>
        </w:rPr>
      </w:pPr>
    </w:p>
    <w:p>
      <w:pPr>
        <w:spacing w:line="360" w:lineRule="exact"/>
        <w:ind w:firstLine="420" w:firstLineChars="200"/>
        <w:jc w:val="right"/>
        <w:rPr>
          <w:rFonts w:ascii="宋体" w:hAnsi="宋体" w:eastAsia="宋体" w:cs="宋体"/>
          <w:color w:val="auto"/>
          <w:highlight w:val="none"/>
        </w:rPr>
      </w:pPr>
      <w:r>
        <w:rPr>
          <w:rFonts w:hint="eastAsia" w:ascii="宋体" w:hAnsi="宋体" w:eastAsia="宋体" w:cs="宋体"/>
          <w:color w:val="auto"/>
          <w:szCs w:val="21"/>
          <w:highlight w:val="none"/>
        </w:rPr>
        <w:t>广州南沙</w:t>
      </w:r>
      <w:r>
        <w:rPr>
          <w:rFonts w:hint="eastAsia" w:ascii="宋体" w:hAnsi="宋体" w:eastAsia="宋体" w:cs="宋体"/>
          <w:color w:val="auto"/>
          <w:szCs w:val="21"/>
          <w:highlight w:val="none"/>
          <w:lang w:val="en-US" w:eastAsia="zh-CN"/>
        </w:rPr>
        <w:t>建设维护管理</w:t>
      </w:r>
      <w:r>
        <w:rPr>
          <w:rFonts w:hint="eastAsia" w:ascii="宋体" w:hAnsi="宋体" w:eastAsia="宋体" w:cs="宋体"/>
          <w:color w:val="auto"/>
          <w:szCs w:val="21"/>
          <w:highlight w:val="none"/>
        </w:rPr>
        <w:t>有限公司</w:t>
      </w:r>
    </w:p>
    <w:p>
      <w:pPr>
        <w:spacing w:line="360" w:lineRule="exact"/>
        <w:ind w:firstLine="420" w:firstLineChars="200"/>
        <w:jc w:val="right"/>
        <w:rPr>
          <w:rFonts w:ascii="宋体" w:hAnsi="宋体" w:eastAsia="宋体" w:cs="宋体"/>
          <w:color w:val="auto"/>
          <w:szCs w:val="21"/>
          <w:highlight w:val="none"/>
        </w:rPr>
      </w:pP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 xml:space="preserve"> 日</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outlineLvl w:val="0"/>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投标邀请书</w:t>
      </w:r>
      <w:bookmarkEnd w:id="6"/>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[投标人名称]  </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如</w:t>
      </w:r>
      <w:r>
        <w:rPr>
          <w:rFonts w:hint="eastAsia" w:ascii="宋体" w:hAnsi="宋体" w:eastAsia="宋体" w:cs="宋体"/>
          <w:color w:val="auto"/>
          <w:sz w:val="24"/>
          <w:highlight w:val="none"/>
        </w:rPr>
        <w:t>贵公司对我</w:t>
      </w:r>
      <w:r>
        <w:rPr>
          <w:rFonts w:hint="eastAsia" w:ascii="宋体" w:hAnsi="宋体" w:eastAsia="宋体" w:cs="宋体"/>
          <w:color w:val="auto"/>
          <w:sz w:val="24"/>
          <w:highlight w:val="none"/>
          <w:lang w:val="en-US" w:eastAsia="zh-CN"/>
        </w:rPr>
        <w:t>司</w:t>
      </w:r>
      <w:r>
        <w:rPr>
          <w:rFonts w:hint="eastAsia" w:ascii="宋体" w:hAnsi="宋体" w:eastAsia="宋体" w:cs="宋体"/>
          <w:color w:val="auto"/>
          <w:sz w:val="24"/>
          <w:highlight w:val="none"/>
          <w:u w:val="single"/>
          <w:lang w:val="en-US" w:eastAsia="zh-CN"/>
        </w:rPr>
        <w:t>南沙</w:t>
      </w:r>
      <w:r>
        <w:rPr>
          <w:rFonts w:hint="eastAsia" w:ascii="宋体" w:hAnsi="宋体" w:eastAsia="宋体" w:cs="宋体"/>
          <w:color w:val="auto"/>
          <w:sz w:val="24"/>
          <w:highlight w:val="none"/>
          <w:u w:val="single"/>
        </w:rPr>
        <w:t>资产经营集团公司年度项目</w:t>
      </w:r>
      <w:r>
        <w:rPr>
          <w:rFonts w:hint="eastAsia" w:ascii="宋体" w:hAnsi="宋体" w:eastAsia="宋体" w:cs="宋体"/>
          <w:color w:val="auto"/>
          <w:sz w:val="24"/>
          <w:highlight w:val="none"/>
          <w:u w:val="single"/>
          <w:lang w:eastAsia="zh-CN"/>
        </w:rPr>
        <w:t>造价咨询</w:t>
      </w:r>
      <w:r>
        <w:rPr>
          <w:rFonts w:hint="eastAsia" w:ascii="宋体" w:hAnsi="宋体" w:eastAsia="宋体" w:cs="宋体"/>
          <w:color w:val="auto"/>
          <w:sz w:val="24"/>
          <w:highlight w:val="none"/>
          <w:u w:val="single"/>
        </w:rPr>
        <w:t>服务</w:t>
      </w:r>
      <w:r>
        <w:rPr>
          <w:rFonts w:hint="eastAsia" w:ascii="宋体" w:hAnsi="宋体" w:eastAsia="宋体" w:cs="宋体"/>
          <w:color w:val="auto"/>
          <w:sz w:val="24"/>
          <w:highlight w:val="none"/>
        </w:rPr>
        <w:t>招标工程项目</w:t>
      </w:r>
      <w:r>
        <w:rPr>
          <w:rFonts w:hint="eastAsia" w:ascii="宋体" w:hAnsi="宋体" w:eastAsia="宋体" w:cs="宋体"/>
          <w:color w:val="auto"/>
          <w:sz w:val="24"/>
          <w:highlight w:val="none"/>
          <w:lang w:eastAsia="zh-CN"/>
        </w:rPr>
        <w:t>感兴趣</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拟参加该项目投标，请参照以下投标和开标要求执行：</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．贵公司在投标文件中，应按照有关规定提交</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的投标担保。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．投标文件提交的截止时间为</w:t>
      </w:r>
      <w:r>
        <w:rPr>
          <w:rFonts w:hint="eastAsia" w:ascii="宋体" w:hAnsi="宋体" w:eastAsia="宋体" w:cs="宋体"/>
          <w:color w:val="auto"/>
          <w:sz w:val="24"/>
          <w:highlight w:val="none"/>
          <w:u w:val="single"/>
        </w:rPr>
        <w:t xml:space="preserve"> 2020</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16</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，提交到广州南沙资产经营集团有限公司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1808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室。逾期送达的或不符合规定的投标文件将被拒绝。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．本招标工程项目的开标会将于上述投标截止时间的同一时间在广州南沙资产经营集团有限公司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1807 </w:t>
      </w:r>
      <w:r>
        <w:rPr>
          <w:rFonts w:hint="eastAsia" w:ascii="宋体" w:hAnsi="宋体" w:eastAsia="宋体" w:cs="宋体"/>
          <w:color w:val="auto"/>
          <w:sz w:val="24"/>
          <w:highlight w:val="none"/>
        </w:rPr>
        <w:t>会议室公开进行，投标人的法定代表人或其委托代理人应按招标文件的要求准时参加开标会议。</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招 标 人：</w:t>
      </w:r>
      <w:r>
        <w:rPr>
          <w:rFonts w:hint="eastAsia" w:ascii="宋体" w:hAnsi="宋体" w:cs="宋体"/>
          <w:color w:val="auto"/>
          <w:sz w:val="24"/>
          <w:highlight w:val="none"/>
        </w:rPr>
        <w:t>广州南沙</w:t>
      </w:r>
      <w:r>
        <w:rPr>
          <w:rFonts w:hint="eastAsia" w:ascii="宋体" w:hAnsi="宋体" w:cs="宋体"/>
          <w:color w:val="auto"/>
          <w:sz w:val="24"/>
          <w:highlight w:val="none"/>
          <w:lang w:val="en-US" w:eastAsia="zh-CN"/>
        </w:rPr>
        <w:t>建设维护管理</w:t>
      </w:r>
      <w:r>
        <w:rPr>
          <w:rFonts w:hint="eastAsia" w:ascii="宋体" w:hAnsi="宋体" w:cs="宋体"/>
          <w:color w:val="auto"/>
          <w:sz w:val="24"/>
          <w:szCs w:val="24"/>
          <w:highlight w:val="none"/>
        </w:rPr>
        <w:t>有限公司</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地    址：</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eastAsia="zh-CN"/>
        </w:rPr>
        <w:t>李先生</w:t>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lang w:val="en-US" w:eastAsia="zh-CN"/>
        </w:rPr>
        <w:tab/>
      </w:r>
      <w:r>
        <w:rPr>
          <w:rFonts w:hint="eastAsia" w:ascii="宋体" w:hAnsi="宋体" w:cs="宋体"/>
          <w:color w:val="auto"/>
          <w:sz w:val="24"/>
          <w:szCs w:val="24"/>
          <w:highlight w:val="none"/>
        </w:rPr>
        <w:t xml:space="preserve"> </w:t>
      </w:r>
    </w:p>
    <w:p>
      <w:pPr>
        <w:pStyle w:val="4"/>
        <w:widowControl/>
        <w:spacing w:after="0" w:line="360" w:lineRule="auto"/>
        <w:ind w:firstLine="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联系电话：020- </w:t>
      </w:r>
      <w:r>
        <w:rPr>
          <w:rFonts w:hint="eastAsia" w:ascii="宋体" w:hAnsi="宋体" w:cs="宋体"/>
          <w:color w:val="auto"/>
          <w:sz w:val="24"/>
          <w:szCs w:val="24"/>
          <w:highlight w:val="none"/>
          <w:lang w:val="en-US" w:eastAsia="zh-CN"/>
        </w:rPr>
        <w:t>66806279</w:t>
      </w:r>
    </w:p>
    <w:p>
      <w:pPr>
        <w:pStyle w:val="4"/>
        <w:widowControl/>
        <w:spacing w:after="0" w:line="360" w:lineRule="auto"/>
        <w:ind w:firstLine="0"/>
        <w:rPr>
          <w:rFonts w:ascii="宋体" w:hAnsi="宋体" w:cs="宋体"/>
          <w:color w:val="auto"/>
          <w:sz w:val="24"/>
          <w:szCs w:val="24"/>
          <w:highlight w:val="none"/>
        </w:rPr>
      </w:pPr>
      <w:r>
        <w:rPr>
          <w:rFonts w:hint="eastAsia" w:ascii="宋体" w:hAnsi="宋体" w:cs="宋体"/>
          <w:color w:val="auto"/>
          <w:sz w:val="24"/>
          <w:szCs w:val="24"/>
          <w:highlight w:val="none"/>
        </w:rPr>
        <w:t>地    址：广州市南沙区环市大道中富汇街3号404室</w:t>
      </w:r>
    </w:p>
    <w:p>
      <w:pPr>
        <w:pStyle w:val="4"/>
        <w:widowControl/>
        <w:spacing w:after="0" w:line="360" w:lineRule="auto"/>
        <w:ind w:firstLine="0"/>
        <w:rPr>
          <w:rFonts w:ascii="宋体" w:hAnsi="宋体" w:eastAsia="宋体" w:cs="宋体"/>
          <w:color w:val="auto"/>
          <w:highlight w:val="none"/>
          <w:u w:val="single"/>
        </w:rPr>
      </w:pPr>
      <w:r>
        <w:rPr>
          <w:rFonts w:ascii="Times New Roman" w:hAnsi="Times New Roman" w:eastAsia="宋体" w:cs="Times New Roman"/>
          <w:color w:val="auto"/>
          <w:szCs w:val="21"/>
          <w:highlight w:val="none"/>
        </w:rPr>
        <w:t xml:space="preserve">     </w:t>
      </w:r>
    </w:p>
    <w:p>
      <w:pPr>
        <w:rPr>
          <w:rFonts w:hint="eastAsia" w:ascii="黑体" w:hAnsi="宋体" w:cs="黑体"/>
          <w:b/>
          <w:color w:val="auto"/>
          <w:kern w:val="44"/>
          <w:sz w:val="44"/>
          <w:szCs w:val="44"/>
          <w:highlight w:val="none"/>
        </w:rPr>
      </w:pPr>
      <w:bookmarkStart w:id="7" w:name="_Toc264562489"/>
      <w:bookmarkEnd w:id="7"/>
      <w:bookmarkStart w:id="8" w:name="_Toc374128472"/>
      <w:bookmarkStart w:id="9" w:name="_Toc13302"/>
      <w:r>
        <w:rPr>
          <w:rFonts w:hint="eastAsia" w:ascii="黑体" w:hAnsi="宋体" w:cs="黑体"/>
          <w:b/>
          <w:color w:val="auto"/>
          <w:kern w:val="44"/>
          <w:sz w:val="44"/>
          <w:szCs w:val="44"/>
          <w:highlight w:val="none"/>
        </w:rPr>
        <w:br w:type="page"/>
      </w:r>
    </w:p>
    <w:p>
      <w:pPr>
        <w:pStyle w:val="2"/>
        <w:widowControl/>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第1章 投标须知及前附表</w:t>
      </w:r>
      <w:bookmarkEnd w:id="8"/>
      <w:bookmarkEnd w:id="9"/>
    </w:p>
    <w:p>
      <w:pPr>
        <w:spacing w:after="142"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4"/>
        <w:tblW w:w="9709" w:type="dxa"/>
        <w:jc w:val="center"/>
        <w:tblInd w:w="0" w:type="dxa"/>
        <w:tblLayout w:type="fixed"/>
        <w:tblCellMar>
          <w:top w:w="0" w:type="dxa"/>
          <w:left w:w="108" w:type="dxa"/>
          <w:bottom w:w="0" w:type="dxa"/>
          <w:right w:w="108" w:type="dxa"/>
        </w:tblCellMar>
      </w:tblPr>
      <w:tblGrid>
        <w:gridCol w:w="720"/>
        <w:gridCol w:w="990"/>
        <w:gridCol w:w="1706"/>
        <w:gridCol w:w="6293"/>
      </w:tblGrid>
      <w:tr>
        <w:tblPrEx>
          <w:tblLayout w:type="fixed"/>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4"/>
              <w:widowControl/>
              <w:spacing w:after="0" w:line="440" w:lineRule="exact"/>
              <w:ind w:firstLine="0"/>
              <w:jc w:val="center"/>
              <w:rPr>
                <w:rFonts w:ascii="宋体" w:hAnsi="宋体" w:cs="宋体"/>
                <w:b/>
                <w:color w:val="auto"/>
                <w:highlight w:val="none"/>
              </w:rPr>
            </w:pPr>
            <w:r>
              <w:rPr>
                <w:rFonts w:hint="eastAsia" w:ascii="宋体" w:hAnsi="宋体" w:cs="宋体"/>
                <w:b/>
                <w:color w:val="auto"/>
                <w:highlight w:val="none"/>
              </w:rPr>
              <w:t>说明与要求</w:t>
            </w:r>
          </w:p>
        </w:tc>
      </w:tr>
      <w:tr>
        <w:tblPrEx>
          <w:tblLayout w:type="fixed"/>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lang w:val="en-US" w:eastAsia="zh-CN"/>
              </w:rPr>
              <w:t>项目</w:t>
            </w:r>
            <w:r>
              <w:rPr>
                <w:rFonts w:hint="eastAsia" w:ascii="宋体" w:hAnsi="宋体" w:cs="宋体"/>
                <w:color w:val="auto"/>
                <w:highlight w:val="none"/>
              </w:rPr>
              <w:t>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lang w:val="en-US" w:eastAsia="zh-CN"/>
              </w:rPr>
              <w:t>南沙</w:t>
            </w:r>
            <w:r>
              <w:rPr>
                <w:rFonts w:hint="eastAsia" w:ascii="宋体" w:hAnsi="宋体" w:cs="宋体"/>
                <w:color w:val="auto"/>
                <w:highlight w:val="none"/>
                <w:u w:val="single"/>
              </w:rPr>
              <w:t>资产经营集团年度项目</w:t>
            </w:r>
            <w:r>
              <w:rPr>
                <w:rFonts w:hint="eastAsia" w:ascii="宋体" w:hAnsi="宋体" w:cs="宋体"/>
                <w:color w:val="auto"/>
                <w:highlight w:val="none"/>
                <w:u w:val="single"/>
                <w:lang w:val="en-US" w:eastAsia="zh-CN"/>
              </w:rPr>
              <w:t>造价</w:t>
            </w:r>
            <w:r>
              <w:rPr>
                <w:rFonts w:hint="eastAsia" w:ascii="宋体" w:hAnsi="宋体" w:cs="宋体"/>
                <w:color w:val="auto"/>
                <w:highlight w:val="none"/>
                <w:u w:val="single"/>
              </w:rPr>
              <w:t>咨询服务</w:t>
            </w:r>
          </w:p>
        </w:tc>
      </w:tr>
      <w:tr>
        <w:tblPrEx>
          <w:tblLayout w:type="fixed"/>
          <w:tblCellMar>
            <w:top w:w="0" w:type="dxa"/>
            <w:left w:w="108" w:type="dxa"/>
            <w:bottom w:w="0" w:type="dxa"/>
            <w:right w:w="108" w:type="dxa"/>
          </w:tblCellMar>
        </w:tblPrEx>
        <w:trPr>
          <w:trHeight w:val="4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广州市南沙区</w:t>
            </w:r>
          </w:p>
        </w:tc>
      </w:tr>
      <w:tr>
        <w:tblPrEx>
          <w:tblLayout w:type="fixed"/>
          <w:tblCellMar>
            <w:top w:w="0" w:type="dxa"/>
            <w:left w:w="108" w:type="dxa"/>
            <w:bottom w:w="0" w:type="dxa"/>
            <w:right w:w="108" w:type="dxa"/>
          </w:tblCellMar>
        </w:tblPrEx>
        <w:trPr>
          <w:trHeight w:val="96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本次招标具体为</w:t>
            </w:r>
            <w:r>
              <w:rPr>
                <w:rFonts w:hint="eastAsia" w:ascii="宋体" w:hAnsi="宋体" w:cs="宋体"/>
                <w:color w:val="auto"/>
                <w:highlight w:val="none"/>
                <w:u w:val="single"/>
                <w:lang w:val="en-US" w:eastAsia="zh-CN"/>
              </w:rPr>
              <w:t>南沙</w:t>
            </w:r>
            <w:r>
              <w:rPr>
                <w:rFonts w:hint="eastAsia" w:ascii="宋体" w:hAnsi="宋体" w:cs="宋体"/>
                <w:color w:val="auto"/>
                <w:highlight w:val="none"/>
                <w:u w:val="single"/>
              </w:rPr>
              <w:t>资产经营集团</w:t>
            </w:r>
            <w:r>
              <w:rPr>
                <w:rFonts w:hint="eastAsia" w:ascii="宋体" w:hAnsi="宋体" w:cs="宋体"/>
                <w:color w:val="auto"/>
                <w:highlight w:val="none"/>
                <w:u w:val="single"/>
                <w:lang w:val="en-US" w:eastAsia="zh-CN"/>
              </w:rPr>
              <w:t>公司</w:t>
            </w:r>
            <w:r>
              <w:rPr>
                <w:rFonts w:hint="eastAsia" w:ascii="宋体" w:hAnsi="宋体" w:cs="宋体"/>
                <w:color w:val="auto"/>
                <w:highlight w:val="none"/>
                <w:u w:val="single"/>
                <w:lang w:eastAsia="zh-CN"/>
              </w:rPr>
              <w:t>（含下属公司）</w:t>
            </w:r>
            <w:r>
              <w:rPr>
                <w:rFonts w:hint="eastAsia" w:ascii="宋体" w:hAnsi="宋体" w:cs="宋体"/>
                <w:color w:val="auto"/>
                <w:highlight w:val="none"/>
                <w:u w:val="single"/>
                <w:lang w:val="en-US" w:eastAsia="zh-CN"/>
              </w:rPr>
              <w:t>2020</w:t>
            </w:r>
            <w:r>
              <w:rPr>
                <w:rFonts w:hint="eastAsia" w:ascii="宋体" w:hAnsi="宋体" w:cs="宋体"/>
                <w:color w:val="auto"/>
                <w:highlight w:val="none"/>
                <w:u w:val="single"/>
              </w:rPr>
              <w:t>年度</w:t>
            </w:r>
            <w:r>
              <w:rPr>
                <w:rFonts w:hint="eastAsia" w:ascii="宋体" w:hAnsi="宋体" w:cs="宋体"/>
                <w:color w:val="auto"/>
                <w:highlight w:val="none"/>
                <w:u w:val="single"/>
                <w:lang w:val="en-US" w:eastAsia="zh-CN"/>
              </w:rPr>
              <w:t>造价</w:t>
            </w:r>
            <w:r>
              <w:rPr>
                <w:rFonts w:hint="eastAsia" w:ascii="宋体" w:hAnsi="宋体" w:cs="宋体"/>
                <w:color w:val="auto"/>
                <w:highlight w:val="none"/>
                <w:u w:val="single"/>
              </w:rPr>
              <w:t>咨询年度服务外包，要求中标单位有一定的服务质量保证，且态度良好，信誉可靠。本项目</w:t>
            </w:r>
            <w:r>
              <w:rPr>
                <w:rFonts w:hint="eastAsia" w:ascii="宋体" w:hAnsi="宋体" w:cs="宋体"/>
                <w:color w:val="auto"/>
                <w:highlight w:val="none"/>
                <w:lang w:val="en-US" w:eastAsia="zh-CN"/>
              </w:rPr>
              <w:t>计划费用总额</w:t>
            </w:r>
            <w:r>
              <w:rPr>
                <w:rFonts w:hint="eastAsia" w:ascii="宋体" w:hAnsi="宋体" w:cs="宋体"/>
                <w:color w:val="auto"/>
                <w:highlight w:val="none"/>
                <w:u w:val="single"/>
              </w:rPr>
              <w:t>为100万元以下，项目数为若干，单个项目</w:t>
            </w:r>
            <w:r>
              <w:rPr>
                <w:rFonts w:hint="eastAsia" w:ascii="宋体" w:hAnsi="宋体" w:cs="宋体"/>
                <w:color w:val="auto"/>
                <w:highlight w:val="none"/>
                <w:u w:val="single"/>
                <w:lang w:val="en-US" w:eastAsia="zh-CN"/>
              </w:rPr>
              <w:t>不超过50万元</w:t>
            </w:r>
            <w:r>
              <w:rPr>
                <w:rFonts w:hint="eastAsia" w:ascii="宋体" w:hAnsi="宋体" w:cs="宋体"/>
                <w:color w:val="auto"/>
                <w:highlight w:val="none"/>
                <w:u w:val="single"/>
              </w:rPr>
              <w:t>，按最终</w:t>
            </w:r>
            <w:r>
              <w:rPr>
                <w:rFonts w:hint="eastAsia" w:ascii="宋体" w:hAnsi="宋体" w:cs="宋体"/>
                <w:color w:val="auto"/>
                <w:highlight w:val="none"/>
                <w:u w:val="single"/>
                <w:lang w:val="en-US" w:eastAsia="zh-CN"/>
              </w:rPr>
              <w:t>中</w:t>
            </w:r>
            <w:r>
              <w:rPr>
                <w:rFonts w:hint="eastAsia" w:ascii="宋体" w:hAnsi="宋体" w:cs="宋体"/>
                <w:color w:val="auto"/>
                <w:highlight w:val="none"/>
                <w:u w:val="single"/>
              </w:rPr>
              <w:t>标人报价</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下浮率</w:t>
            </w:r>
            <w:r>
              <w:rPr>
                <w:rFonts w:hint="eastAsia" w:ascii="宋体" w:hAnsi="宋体" w:cs="宋体"/>
                <w:color w:val="auto"/>
                <w:highlight w:val="none"/>
                <w:u w:val="single"/>
                <w:lang w:eastAsia="zh-CN"/>
              </w:rPr>
              <w:t>）</w:t>
            </w:r>
            <w:r>
              <w:rPr>
                <w:rFonts w:hint="eastAsia" w:ascii="宋体" w:hAnsi="宋体" w:cs="宋体"/>
                <w:color w:val="auto"/>
                <w:highlight w:val="none"/>
                <w:u w:val="single"/>
                <w:lang w:val="en-US" w:eastAsia="zh-CN"/>
              </w:rPr>
              <w:t>计算的服务费</w:t>
            </w:r>
            <w:r>
              <w:rPr>
                <w:rFonts w:hint="eastAsia" w:ascii="宋体" w:hAnsi="宋体" w:cs="宋体"/>
                <w:color w:val="auto"/>
                <w:highlight w:val="none"/>
                <w:u w:val="single"/>
              </w:rPr>
              <w:t>为准。</w:t>
            </w:r>
          </w:p>
        </w:tc>
      </w:tr>
      <w:tr>
        <w:tblPrEx>
          <w:tblLayout w:type="fixed"/>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计划费用总额</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w:t>
            </w:r>
            <w:r>
              <w:rPr>
                <w:rFonts w:hint="eastAsia" w:ascii="宋体" w:hAnsi="宋体" w:cs="宋体"/>
                <w:color w:val="auto"/>
                <w:highlight w:val="none"/>
                <w:lang w:val="en-US" w:eastAsia="zh-CN"/>
              </w:rPr>
              <w:t>计划费用总额小于</w:t>
            </w:r>
            <w:r>
              <w:rPr>
                <w:rFonts w:hint="eastAsia" w:ascii="宋体" w:hAnsi="宋体" w:cs="宋体"/>
                <w:color w:val="auto"/>
                <w:highlight w:val="none"/>
                <w:u w:val="single"/>
              </w:rPr>
              <w:t>100万元。</w:t>
            </w:r>
          </w:p>
        </w:tc>
      </w:tr>
      <w:tr>
        <w:tblPrEx>
          <w:tblLayout w:type="fixed"/>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质量目标：以造价咨询服务合同为准</w:t>
            </w:r>
          </w:p>
        </w:tc>
      </w:tr>
      <w:tr>
        <w:tblPrEx>
          <w:tblLayout w:type="fixed"/>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本项目为南沙资产经营集团</w:t>
            </w:r>
            <w:r>
              <w:rPr>
                <w:rFonts w:hint="eastAsia" w:ascii="宋体" w:hAnsi="宋体" w:cs="宋体"/>
                <w:color w:val="auto"/>
                <w:highlight w:val="none"/>
                <w:lang w:val="en-US" w:eastAsia="zh-CN"/>
              </w:rPr>
              <w:t>公司</w:t>
            </w:r>
            <w:r>
              <w:rPr>
                <w:rFonts w:hint="eastAsia" w:ascii="宋体" w:hAnsi="宋体" w:cs="宋体"/>
                <w:color w:val="auto"/>
                <w:highlight w:val="none"/>
                <w:u w:val="single"/>
                <w:lang w:eastAsia="zh-CN"/>
              </w:rPr>
              <w:t>（含下属公司）</w:t>
            </w:r>
            <w:r>
              <w:rPr>
                <w:rFonts w:hint="eastAsia" w:ascii="宋体" w:hAnsi="宋体" w:cs="宋体"/>
                <w:color w:val="auto"/>
                <w:highlight w:val="none"/>
                <w:lang w:val="en-US" w:eastAsia="zh-CN"/>
              </w:rPr>
              <w:t>造价</w:t>
            </w:r>
            <w:r>
              <w:rPr>
                <w:rFonts w:hint="eastAsia" w:ascii="宋体" w:hAnsi="宋体" w:cs="宋体"/>
                <w:color w:val="auto"/>
                <w:highlight w:val="none"/>
              </w:rPr>
              <w:t>咨询</w:t>
            </w:r>
            <w:r>
              <w:rPr>
                <w:rFonts w:hint="eastAsia" w:ascii="宋体" w:hAnsi="宋体" w:cs="宋体"/>
                <w:color w:val="auto"/>
                <w:highlight w:val="none"/>
                <w:lang w:val="en-US" w:eastAsia="zh-CN"/>
              </w:rPr>
              <w:t>2020</w:t>
            </w:r>
            <w:r>
              <w:rPr>
                <w:rFonts w:hint="eastAsia" w:ascii="宋体" w:hAnsi="宋体" w:cs="宋体"/>
                <w:color w:val="auto"/>
                <w:highlight w:val="none"/>
              </w:rPr>
              <w:t>年度服务外包，具体内容为项目</w:t>
            </w:r>
            <w:r>
              <w:rPr>
                <w:rFonts w:hint="eastAsia" w:ascii="宋体" w:hAnsi="宋体" w:cs="宋体"/>
                <w:color w:val="auto"/>
                <w:highlight w:val="none"/>
                <w:lang w:val="en-US" w:eastAsia="zh-CN"/>
              </w:rPr>
              <w:t>造价</w:t>
            </w:r>
            <w:r>
              <w:rPr>
                <w:rFonts w:hint="eastAsia" w:ascii="宋体" w:hAnsi="宋体" w:cs="宋体"/>
                <w:color w:val="auto"/>
                <w:highlight w:val="none"/>
              </w:rPr>
              <w:t>咨询服务，详见招标内容。</w:t>
            </w:r>
          </w:p>
        </w:tc>
      </w:tr>
      <w:tr>
        <w:tblPrEx>
          <w:tblLayout w:type="fixed"/>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服务任务期限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2020年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至</w:t>
            </w:r>
            <w:r>
              <w:rPr>
                <w:rFonts w:hint="eastAsia" w:ascii="宋体" w:hAnsi="宋体" w:eastAsia="宋体" w:cs="宋体"/>
                <w:color w:val="auto"/>
                <w:szCs w:val="21"/>
                <w:highlight w:val="none"/>
              </w:rPr>
              <w:t>2021年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月或者累计服务费接近100万为止。</w:t>
            </w:r>
          </w:p>
        </w:tc>
      </w:tr>
      <w:tr>
        <w:tblPrEx>
          <w:tblLayout w:type="fixed"/>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u w:val="single"/>
              </w:rPr>
              <w:t>自筹资金</w:t>
            </w:r>
          </w:p>
        </w:tc>
      </w:tr>
      <w:tr>
        <w:tblPrEx>
          <w:tblLayout w:type="fixed"/>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60" w:lineRule="auto"/>
              <w:ind w:firstLine="0" w:firstLineChars="0"/>
              <w:rPr>
                <w:rFonts w:ascii="宋体" w:hAnsi="宋体" w:cs="宋体"/>
                <w:color w:val="auto"/>
                <w:highlight w:val="none"/>
              </w:rPr>
            </w:pPr>
            <w:r>
              <w:rPr>
                <w:rFonts w:hint="eastAsia" w:ascii="宋体" w:hAnsi="宋体" w:cs="宋体"/>
                <w:color w:val="auto"/>
                <w:highlight w:val="none"/>
              </w:rPr>
              <w:t>投标人均具有工程造价咨询甲级资质证书。</w:t>
            </w:r>
          </w:p>
        </w:tc>
      </w:tr>
      <w:tr>
        <w:tblPrEx>
          <w:tblLayout w:type="fixed"/>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服务人员的专业配套要求</w:t>
            </w:r>
          </w:p>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ind w:right="150"/>
              <w:jc w:val="left"/>
              <w:rPr>
                <w:rFonts w:ascii="宋体" w:hAnsi="宋体" w:eastAsia="宋体" w:cs="宋体"/>
                <w:b/>
                <w:color w:val="auto"/>
                <w:highlight w:val="none"/>
              </w:rPr>
            </w:pPr>
            <w:r>
              <w:rPr>
                <w:rFonts w:hint="eastAsia" w:ascii="宋体" w:hAnsi="宋体" w:eastAsia="宋体" w:cs="宋体"/>
                <w:b/>
                <w:color w:val="auto"/>
                <w:szCs w:val="21"/>
                <w:highlight w:val="none"/>
              </w:rPr>
              <w:t>（1）项目负责人要求： </w:t>
            </w:r>
          </w:p>
          <w:p>
            <w:pPr>
              <w:pStyle w:val="4"/>
              <w:widowControl/>
              <w:spacing w:before="100" w:beforeAutospacing="0" w:after="0" w:line="320" w:lineRule="exact"/>
              <w:ind w:right="150" w:firstLine="0"/>
              <w:jc w:val="left"/>
              <w:rPr>
                <w:rFonts w:ascii="宋体" w:hAnsi="宋体" w:cs="宋体"/>
                <w:color w:val="auto"/>
                <w:highlight w:val="none"/>
              </w:rPr>
            </w:pPr>
            <w:r>
              <w:rPr>
                <w:rFonts w:hint="eastAsia" w:ascii="宋体" w:hAnsi="宋体" w:cs="宋体"/>
                <w:color w:val="auto"/>
                <w:highlight w:val="none"/>
              </w:rPr>
              <w:t>投标申请人委派的项目负责人须具备工程或工程经济类高级专业技术职称或以上职称和住房建设部注册造价师资格。</w:t>
            </w:r>
          </w:p>
          <w:p>
            <w:pPr>
              <w:pStyle w:val="4"/>
              <w:widowControl/>
              <w:spacing w:before="100" w:beforeAutospacing="0" w:after="0" w:line="320" w:lineRule="exact"/>
              <w:ind w:left="535" w:right="150" w:hanging="535" w:hangingChars="254"/>
              <w:jc w:val="left"/>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b/>
                <w:color w:val="auto"/>
                <w:highlight w:val="none"/>
                <w:lang w:val="en-US" w:eastAsia="zh-CN"/>
              </w:rPr>
              <w:t>造价</w:t>
            </w:r>
            <w:r>
              <w:rPr>
                <w:rFonts w:hint="eastAsia" w:ascii="宋体" w:hAnsi="宋体" w:cs="宋体"/>
                <w:b/>
                <w:color w:val="auto"/>
                <w:highlight w:val="none"/>
              </w:rPr>
              <w:t>专业人员最低配套要求：</w:t>
            </w:r>
          </w:p>
          <w:p>
            <w:pPr>
              <w:spacing w:line="320" w:lineRule="exact"/>
              <w:ind w:right="150"/>
              <w:jc w:val="left"/>
              <w:rPr>
                <w:rFonts w:ascii="宋体" w:hAnsi="宋体" w:eastAsia="宋体" w:cs="宋体"/>
                <w:color w:val="auto"/>
                <w:highlight w:val="none"/>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技术负责人</w:t>
            </w:r>
            <w:r>
              <w:rPr>
                <w:rFonts w:hint="eastAsia" w:ascii="宋体" w:hAnsi="宋体" w:eastAsia="宋体" w:cs="宋体"/>
                <w:color w:val="auto"/>
                <w:szCs w:val="21"/>
                <w:highlight w:val="none"/>
              </w:rPr>
              <w:t>1名、造价1名</w:t>
            </w:r>
            <w:r>
              <w:rPr>
                <w:rFonts w:hint="eastAsia" w:ascii="宋体" w:hAnsi="宋体" w:eastAsia="宋体" w:cs="宋体"/>
                <w:color w:val="auto"/>
                <w:szCs w:val="21"/>
                <w:highlight w:val="none"/>
                <w:lang w:val="en-US" w:eastAsia="zh-CN"/>
              </w:rPr>
              <w:t>以上</w:t>
            </w:r>
            <w:r>
              <w:rPr>
                <w:rFonts w:hint="eastAsia" w:ascii="宋体" w:hAnsi="宋体" w:eastAsia="宋体" w:cs="宋体"/>
                <w:color w:val="auto"/>
                <w:szCs w:val="21"/>
                <w:highlight w:val="none"/>
              </w:rPr>
              <w:t>，其他专业人员根据项目规模自行考虑。</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firstLineChars="0"/>
              <w:jc w:val="center"/>
              <w:rPr>
                <w:rFonts w:ascii="宋体" w:hAnsi="宋体" w:cs="宋体"/>
                <w:color w:val="auto"/>
                <w:highlight w:val="none"/>
              </w:rPr>
            </w:pPr>
            <w:r>
              <w:rPr>
                <w:rFonts w:hint="eastAsia" w:ascii="宋体" w:hAnsi="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jc w:val="both"/>
              <w:rPr>
                <w:rFonts w:ascii="宋体" w:hAnsi="宋体" w:cs="宋体"/>
                <w:color w:val="auto"/>
                <w:highlight w:val="none"/>
              </w:rPr>
            </w:pPr>
            <w:r>
              <w:rPr>
                <w:rFonts w:hint="eastAsia" w:ascii="宋体" w:hAnsi="宋体" w:cs="宋体"/>
                <w:color w:val="auto"/>
                <w:highlight w:val="none"/>
              </w:rPr>
              <w:t>不需资格审查</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u w:val="single"/>
              </w:rPr>
            </w:pPr>
            <w:r>
              <w:rPr>
                <w:rFonts w:hint="eastAsia" w:ascii="宋体" w:hAnsi="宋体" w:eastAsia="宋体" w:cs="宋体"/>
                <w:color w:val="auto"/>
                <w:szCs w:val="21"/>
                <w:highlight w:val="none"/>
              </w:rPr>
              <w:t>由投标人自行考察。</w:t>
            </w:r>
          </w:p>
        </w:tc>
      </w:tr>
      <w:tr>
        <w:tblPrEx>
          <w:tblLayout w:type="fixed"/>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color w:val="auto"/>
                <w:highlight w:val="none"/>
              </w:rPr>
            </w:pPr>
            <w:r>
              <w:rPr>
                <w:rFonts w:hint="eastAsia" w:ascii="宋体" w:hAnsi="宋体" w:eastAsia="宋体" w:cs="宋体"/>
                <w:color w:val="auto"/>
                <w:szCs w:val="21"/>
                <w:highlight w:val="none"/>
                <w:lang w:val="en-US" w:eastAsia="zh-CN"/>
              </w:rPr>
              <w:t xml:space="preserve">                        /</w:t>
            </w:r>
          </w:p>
        </w:tc>
      </w:tr>
      <w:tr>
        <w:tblPrEx>
          <w:tblLayout w:type="fixed"/>
          <w:tblCellMar>
            <w:top w:w="0" w:type="dxa"/>
            <w:left w:w="108" w:type="dxa"/>
            <w:bottom w:w="0" w:type="dxa"/>
            <w:right w:w="108" w:type="dxa"/>
          </w:tblCellMar>
        </w:tblPrEx>
        <w:trPr>
          <w:trHeight w:val="75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59" w:leftChars="-28" w:right="-44" w:rightChars="-21" w:firstLine="0"/>
              <w:jc w:val="center"/>
              <w:rPr>
                <w:rFonts w:ascii="宋体" w:hAnsi="宋体" w:cs="宋体"/>
                <w:color w:val="auto"/>
                <w:highlight w:val="none"/>
              </w:rPr>
            </w:pPr>
            <w:r>
              <w:rPr>
                <w:rFonts w:hint="eastAsia" w:ascii="宋体" w:hAnsi="宋体" w:cs="宋体"/>
                <w:color w:val="auto"/>
                <w:highlight w:val="none"/>
              </w:rPr>
              <w:t>报价及结算方式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rPr>
            </w:pPr>
            <w:r>
              <w:rPr>
                <w:rFonts w:hint="eastAsia" w:ascii="宋体" w:hAnsi="宋体" w:cs="宋体"/>
                <w:color w:val="auto"/>
                <w:highlight w:val="none"/>
              </w:rPr>
              <w:t>按照招标文件中规定，投标单位自行报价（投标</w:t>
            </w:r>
            <w:r>
              <w:rPr>
                <w:rFonts w:hint="eastAsia" w:ascii="宋体" w:hAnsi="宋体" w:cs="宋体"/>
                <w:color w:val="auto"/>
                <w:highlight w:val="none"/>
                <w:lang w:val="en-US" w:eastAsia="zh-CN"/>
              </w:rPr>
              <w:t>下浮率</w:t>
            </w:r>
            <w:r>
              <w:rPr>
                <w:rFonts w:hint="eastAsia" w:ascii="宋体" w:hAnsi="宋体" w:cs="宋体"/>
                <w:color w:val="auto"/>
                <w:highlight w:val="none"/>
              </w:rPr>
              <w:t>不</w:t>
            </w:r>
            <w:r>
              <w:rPr>
                <w:rFonts w:hint="eastAsia" w:ascii="宋体" w:hAnsi="宋体" w:cs="宋体"/>
                <w:color w:val="auto"/>
                <w:highlight w:val="none"/>
                <w:lang w:val="en-US" w:eastAsia="zh-CN"/>
              </w:rPr>
              <w:t>得</w:t>
            </w:r>
            <w:r>
              <w:rPr>
                <w:rFonts w:hint="eastAsia" w:ascii="宋体" w:hAnsi="宋体" w:cs="宋体"/>
                <w:color w:val="auto"/>
                <w:highlight w:val="none"/>
              </w:rPr>
              <w:t>超</w:t>
            </w:r>
            <w:r>
              <w:rPr>
                <w:rFonts w:hint="eastAsia" w:ascii="宋体" w:hAnsi="宋体" w:cs="宋体"/>
                <w:color w:val="auto"/>
                <w:highlight w:val="none"/>
                <w:lang w:val="en-US" w:eastAsia="zh-CN"/>
              </w:rPr>
              <w:t>出</w:t>
            </w:r>
            <w:r>
              <w:rPr>
                <w:rFonts w:hint="eastAsia" w:ascii="宋体" w:hAnsi="宋体" w:cs="宋体"/>
                <w:color w:val="auto"/>
                <w:highlight w:val="none"/>
              </w:rPr>
              <w:t>招标控制价</w:t>
            </w:r>
            <w:r>
              <w:rPr>
                <w:rFonts w:hint="eastAsia" w:ascii="宋体" w:hAnsi="宋体" w:cs="宋体"/>
                <w:color w:val="auto"/>
                <w:highlight w:val="none"/>
                <w:lang w:val="en-US" w:eastAsia="zh-CN"/>
              </w:rPr>
              <w:t>范围</w:t>
            </w:r>
            <w:r>
              <w:rPr>
                <w:rFonts w:hint="eastAsia" w:ascii="宋体" w:hAnsi="宋体" w:cs="宋体"/>
                <w:color w:val="auto"/>
                <w:highlight w:val="none"/>
              </w:rPr>
              <w:t>）。（小数点后保留二位小数，第三位小数四舍五入）。</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20" w:firstLineChars="200"/>
              <w:jc w:val="both"/>
              <w:textAlignment w:val="auto"/>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服务费依据</w:t>
            </w:r>
            <w:r>
              <w:rPr>
                <w:rFonts w:hint="eastAsia" w:ascii="宋体" w:hAnsi="宋体" w:eastAsia="宋体" w:cs="宋体"/>
                <w:color w:val="auto"/>
                <w:sz w:val="21"/>
                <w:szCs w:val="21"/>
                <w:highlight w:val="none"/>
              </w:rPr>
              <w:t>《关于调整我省建设工程造价咨询服务收费的复函》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粤价函【2011】</w:t>
            </w:r>
            <w:r>
              <w:rPr>
                <w:rFonts w:hint="eastAsia" w:ascii="宋体" w:hAnsi="宋体" w:eastAsia="宋体" w:cs="宋体"/>
                <w:color w:val="auto"/>
                <w:sz w:val="21"/>
                <w:szCs w:val="21"/>
                <w:highlight w:val="none"/>
                <w:lang w:eastAsia="zh-CN"/>
              </w:rPr>
              <w:t>742</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以中标服务商的投标下浮率按单个服务项目结算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投标下浮率</w:t>
            </w:r>
            <w:r>
              <w:rPr>
                <w:rFonts w:hint="eastAsia" w:ascii="宋体" w:hAnsi="宋体" w:eastAsia="宋体" w:cs="宋体"/>
                <w:color w:val="auto"/>
                <w:sz w:val="21"/>
                <w:szCs w:val="21"/>
                <w:highlight w:val="none"/>
              </w:rPr>
              <w:t>控制在</w:t>
            </w:r>
            <w:r>
              <w:rPr>
                <w:rFonts w:hint="eastAsia" w:ascii="宋体" w:hAnsi="宋体" w:eastAsia="宋体" w:cs="宋体"/>
                <w:color w:val="auto"/>
                <w:sz w:val="21"/>
                <w:szCs w:val="21"/>
                <w:highlight w:val="none"/>
                <w:lang w:eastAsia="zh-CN"/>
              </w:rPr>
              <w:t>：5%&lt;投标下浮率≤20%。</w:t>
            </w:r>
            <w:r>
              <w:rPr>
                <w:rFonts w:hint="eastAsia" w:ascii="宋体" w:hAnsi="宋体" w:cs="宋体"/>
                <w:color w:val="auto"/>
                <w:highlight w:val="none"/>
                <w:u w:val="single"/>
              </w:rPr>
              <w:t>项目数为若干，单个项目</w:t>
            </w:r>
            <w:r>
              <w:rPr>
                <w:rFonts w:hint="eastAsia" w:ascii="宋体" w:hAnsi="宋体" w:cs="宋体"/>
                <w:color w:val="auto"/>
                <w:highlight w:val="none"/>
                <w:u w:val="single"/>
                <w:lang w:val="en-US" w:eastAsia="zh-CN"/>
              </w:rPr>
              <w:t>服务费不超过50万元</w:t>
            </w:r>
            <w:r>
              <w:rPr>
                <w:rFonts w:hint="eastAsia" w:ascii="宋体" w:hAnsi="宋体" w:cs="宋体"/>
                <w:color w:val="auto"/>
                <w:highlight w:val="none"/>
              </w:rPr>
              <w:t>。</w:t>
            </w:r>
          </w:p>
        </w:tc>
      </w:tr>
      <w:tr>
        <w:tblPrEx>
          <w:tblLayout w:type="fixed"/>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90</w:t>
            </w:r>
            <w:r>
              <w:rPr>
                <w:rFonts w:hint="eastAsia" w:ascii="宋体" w:hAnsi="宋体" w:cs="宋体"/>
                <w:color w:val="auto"/>
                <w:highlight w:val="none"/>
              </w:rPr>
              <w:t>日历天（从投标截止之日算起）。</w:t>
            </w:r>
          </w:p>
        </w:tc>
      </w:tr>
      <w:tr>
        <w:tblPrEx>
          <w:tblLayout w:type="fixed"/>
          <w:tblCellMar>
            <w:top w:w="0" w:type="dxa"/>
            <w:left w:w="108" w:type="dxa"/>
            <w:bottom w:w="0" w:type="dxa"/>
            <w:right w:w="108" w:type="dxa"/>
          </w:tblCellMar>
        </w:tblPrEx>
        <w:trPr>
          <w:trHeight w:val="7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16.1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spacing w:val="-4"/>
                <w:highlight w:val="none"/>
              </w:rPr>
            </w:pPr>
            <w:r>
              <w:rPr>
                <w:rFonts w:hint="eastAsia" w:ascii="宋体" w:hAnsi="宋体" w:cs="宋体"/>
                <w:color w:val="auto"/>
                <w:spacing w:val="-4"/>
                <w:highlight w:val="none"/>
              </w:rPr>
              <w:t>投标保证金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宋体" w:hAnsi="宋体" w:cs="宋体"/>
                <w:color w:val="auto"/>
                <w:highlight w:val="none"/>
                <w:u w:val="single"/>
              </w:rPr>
            </w:pPr>
            <w:r>
              <w:rPr>
                <w:rFonts w:hint="eastAsia" w:ascii="宋体" w:hAnsi="宋体" w:cs="宋体"/>
                <w:color w:val="auto"/>
                <w:highlight w:val="none"/>
                <w:u w:val="single"/>
              </w:rPr>
              <w:t>本项目不收投标保证金</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17.1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46" w:leftChars="-22" w:right="-59" w:rightChars="-28" w:firstLine="0"/>
              <w:jc w:val="center"/>
              <w:rPr>
                <w:rFonts w:ascii="宋体" w:hAnsi="宋体" w:cs="宋体"/>
                <w:color w:val="auto"/>
                <w:highlight w:val="none"/>
              </w:rPr>
            </w:pPr>
            <w:r>
              <w:rPr>
                <w:rFonts w:hint="eastAsia" w:ascii="宋体" w:hAnsi="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4"/>
              <w:widowControl/>
              <w:spacing w:after="0" w:line="320" w:lineRule="exact"/>
              <w:ind w:firstLine="0"/>
              <w:rPr>
                <w:rFonts w:ascii="黑体" w:hAnsi="宋体" w:eastAsia="黑体" w:cs="黑体"/>
                <w:color w:val="auto"/>
                <w:highlight w:val="none"/>
              </w:rPr>
            </w:pPr>
            <w:r>
              <w:rPr>
                <w:rFonts w:hint="eastAsia" w:ascii="宋体" w:hAnsi="宋体" w:cs="宋体"/>
                <w:color w:val="auto"/>
                <w:highlight w:val="none"/>
              </w:rPr>
              <w:t>投标文件：1份正本（含电子文件一套），</w:t>
            </w:r>
            <w:r>
              <w:rPr>
                <w:rFonts w:hint="eastAsia" w:ascii="宋体" w:hAnsi="宋体" w:cs="宋体"/>
                <w:color w:val="auto"/>
                <w:highlight w:val="none"/>
                <w:u w:val="single"/>
              </w:rPr>
              <w:t>4</w:t>
            </w:r>
            <w:r>
              <w:rPr>
                <w:rFonts w:hint="eastAsia" w:ascii="宋体" w:hAnsi="宋体" w:cs="宋体"/>
                <w:color w:val="auto"/>
                <w:highlight w:val="none"/>
              </w:rPr>
              <w:t>份副本。</w:t>
            </w:r>
          </w:p>
        </w:tc>
      </w:tr>
      <w:tr>
        <w:tblPrEx>
          <w:tblLayout w:type="fixed"/>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投标文件</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提交地点及</w:t>
            </w:r>
          </w:p>
          <w:p>
            <w:pPr>
              <w:pStyle w:val="4"/>
              <w:widowControl/>
              <w:spacing w:before="100" w:beforeAutospacing="0" w:after="0" w:line="440" w:lineRule="exact"/>
              <w:ind w:left="-19" w:leftChars="-9" w:right="-17" w:rightChars="-8" w:firstLine="0"/>
              <w:jc w:val="center"/>
              <w:rPr>
                <w:rFonts w:ascii="宋体" w:hAnsi="宋体" w:cs="宋体"/>
                <w:color w:val="auto"/>
                <w:highlight w:val="none"/>
              </w:rPr>
            </w:pPr>
            <w:r>
              <w:rPr>
                <w:rFonts w:hint="eastAsia" w:ascii="宋体" w:hAnsi="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收件人：</w:t>
            </w:r>
            <w:r>
              <w:rPr>
                <w:rFonts w:hint="eastAsia" w:ascii="宋体" w:hAnsi="宋体" w:eastAsia="宋体" w:cs="宋体"/>
                <w:color w:val="auto"/>
                <w:szCs w:val="21"/>
                <w:highlight w:val="none"/>
                <w:u w:val="single"/>
                <w:lang w:eastAsia="zh-CN"/>
              </w:rPr>
              <w:t>蒋小姐，</w:t>
            </w:r>
            <w:r>
              <w:rPr>
                <w:rFonts w:hint="eastAsia" w:ascii="宋体" w:hAnsi="宋体" w:eastAsia="宋体" w:cs="宋体"/>
                <w:color w:val="auto"/>
                <w:szCs w:val="21"/>
                <w:highlight w:val="none"/>
                <w:u w:val="single"/>
                <w:lang w:val="en-US" w:eastAsia="zh-CN"/>
              </w:rPr>
              <w:t>66813692</w:t>
            </w:r>
          </w:p>
          <w:p>
            <w:pPr>
              <w:spacing w:line="32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提交地点：广州南沙区金融大厦 18</w:t>
            </w:r>
            <w:r>
              <w:rPr>
                <w:rFonts w:hint="eastAsia" w:ascii="宋体" w:hAnsi="宋体" w:eastAsia="宋体" w:cs="宋体"/>
                <w:color w:val="auto"/>
                <w:szCs w:val="21"/>
                <w:highlight w:val="none"/>
                <w:lang w:val="en-US" w:eastAsia="zh-CN"/>
              </w:rPr>
              <w:t>08</w:t>
            </w:r>
            <w:r>
              <w:rPr>
                <w:rFonts w:hint="eastAsia" w:ascii="宋体" w:hAnsi="宋体" w:eastAsia="宋体" w:cs="宋体"/>
                <w:color w:val="auto"/>
                <w:szCs w:val="21"/>
                <w:highlight w:val="none"/>
              </w:rPr>
              <w:t>室</w:t>
            </w:r>
          </w:p>
          <w:p>
            <w:pPr>
              <w:spacing w:line="32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投标截止时间：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前</w:t>
            </w:r>
          </w:p>
          <w:p>
            <w:pPr>
              <w:pStyle w:val="4"/>
              <w:widowControl/>
              <w:spacing w:after="0" w:line="320" w:lineRule="exact"/>
              <w:ind w:firstLine="0"/>
              <w:rPr>
                <w:rFonts w:ascii="宋体" w:hAnsi="宋体" w:cs="宋体"/>
                <w:b/>
                <w:color w:val="auto"/>
                <w:highlight w:val="none"/>
              </w:rPr>
            </w:pPr>
            <w:r>
              <w:rPr>
                <w:rFonts w:hint="eastAsia" w:ascii="宋体" w:hAnsi="宋体" w:cs="宋体"/>
                <w:color w:val="auto"/>
                <w:highlight w:val="none"/>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Layout w:type="fixed"/>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开标时间：</w:t>
            </w:r>
            <w:r>
              <w:rPr>
                <w:rFonts w:hint="eastAsia" w:ascii="宋体" w:hAnsi="宋体" w:eastAsia="宋体" w:cs="宋体"/>
                <w:color w:val="auto"/>
                <w:szCs w:val="21"/>
                <w:highlight w:val="none"/>
                <w:u w:val="single"/>
              </w:rPr>
              <w:t>2020</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分正</w:t>
            </w:r>
          </w:p>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地点：广州南沙区金融大厦 18</w:t>
            </w:r>
            <w:r>
              <w:rPr>
                <w:rFonts w:hint="eastAsia" w:ascii="宋体" w:hAnsi="宋体" w:eastAsia="宋体" w:cs="宋体"/>
                <w:color w:val="auto"/>
                <w:szCs w:val="21"/>
                <w:highlight w:val="none"/>
                <w:lang w:val="en-US" w:eastAsia="zh-CN"/>
              </w:rPr>
              <w:t>07</w:t>
            </w:r>
            <w:r>
              <w:rPr>
                <w:rFonts w:hint="eastAsia" w:ascii="宋体" w:hAnsi="宋体" w:eastAsia="宋体" w:cs="宋体"/>
                <w:color w:val="auto"/>
                <w:szCs w:val="21"/>
                <w:highlight w:val="none"/>
              </w:rPr>
              <w:t>会议室</w:t>
            </w:r>
          </w:p>
          <w:p>
            <w:pPr>
              <w:spacing w:line="320" w:lineRule="exact"/>
              <w:rPr>
                <w:rFonts w:ascii="宋体" w:hAnsi="宋体" w:eastAsia="宋体" w:cs="宋体"/>
                <w:b/>
                <w:color w:val="auto"/>
                <w:highlight w:val="none"/>
              </w:rPr>
            </w:pPr>
            <w:r>
              <w:rPr>
                <w:rFonts w:hint="eastAsia" w:ascii="宋体" w:hAnsi="宋体" w:eastAsia="宋体" w:cs="宋体"/>
                <w:color w:val="auto"/>
                <w:szCs w:val="21"/>
                <w:highlight w:val="none"/>
              </w:rPr>
              <w:t>请各投标人的法定代表人或其有效授权委托人务必准时出席，并须带本人身份证以供招标人审查，否则作弃权处理。</w:t>
            </w:r>
          </w:p>
        </w:tc>
      </w:tr>
      <w:tr>
        <w:tblPrEx>
          <w:tblLayout w:type="fixed"/>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4"/>
              <w:widowControl/>
              <w:spacing w:after="0" w:line="440" w:lineRule="exact"/>
              <w:ind w:firstLine="0"/>
              <w:jc w:val="center"/>
              <w:rPr>
                <w:rFonts w:ascii="宋体" w:hAnsi="宋体" w:cs="宋体"/>
                <w:color w:val="auto"/>
                <w:highlight w:val="none"/>
              </w:rPr>
            </w:pPr>
            <w:r>
              <w:rPr>
                <w:rFonts w:hint="eastAsia" w:ascii="宋体" w:hAnsi="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spacing w:line="320" w:lineRule="exact"/>
              <w:rPr>
                <w:rFonts w:ascii="宋体" w:hAnsi="宋体" w:eastAsia="宋体" w:cs="宋体"/>
                <w:color w:val="auto"/>
                <w:highlight w:val="none"/>
              </w:rPr>
            </w:pPr>
            <w:r>
              <w:rPr>
                <w:rFonts w:hint="eastAsia" w:ascii="宋体" w:hAnsi="宋体" w:eastAsia="宋体" w:cs="宋体"/>
                <w:color w:val="auto"/>
                <w:szCs w:val="21"/>
                <w:highlight w:val="none"/>
              </w:rPr>
              <w:t>综合评分法</w:t>
            </w:r>
          </w:p>
        </w:tc>
      </w:tr>
    </w:tbl>
    <w:p>
      <w:pPr>
        <w:rPr>
          <w:rFonts w:ascii="宋体" w:hAnsi="宋体" w:eastAsia="宋体" w:cs="宋体"/>
          <w:color w:val="auto"/>
          <w:highlight w:val="none"/>
        </w:rPr>
      </w:pPr>
      <w:r>
        <w:rPr>
          <w:rFonts w:hint="eastAsia" w:ascii="宋体" w:hAnsi="宋体" w:eastAsia="宋体" w:cs="宋体"/>
          <w:color w:val="auto"/>
          <w:szCs w:val="21"/>
          <w:highlight w:val="none"/>
        </w:rPr>
        <w:t xml:space="preserve"> </w:t>
      </w:r>
    </w:p>
    <w:p>
      <w:pPr>
        <w:spacing w:line="360" w:lineRule="auto"/>
        <w:jc w:val="center"/>
        <w:rPr>
          <w:b/>
          <w:color w:val="auto"/>
          <w:highlight w:val="none"/>
        </w:rPr>
      </w:pPr>
      <w:r>
        <w:rPr>
          <w:b/>
          <w:color w:val="auto"/>
          <w:highlight w:val="none"/>
        </w:rPr>
        <w:t xml:space="preserve"> </w:t>
      </w:r>
    </w:p>
    <w:p>
      <w:pPr>
        <w:rPr>
          <w:b/>
          <w:color w:val="auto"/>
          <w:highlight w:val="none"/>
        </w:rPr>
      </w:pPr>
      <w:r>
        <w:rPr>
          <w:b/>
          <w:color w:val="auto"/>
          <w:highlight w:val="none"/>
        </w:rPr>
        <w:br w:type="page"/>
      </w:r>
    </w:p>
    <w:p>
      <w:pPr>
        <w:spacing w:line="360" w:lineRule="auto"/>
        <w:jc w:val="center"/>
        <w:outlineLvl w:val="1"/>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spacing w:line="360" w:lineRule="auto"/>
        <w:ind w:firstLine="480" w:firstLineChars="200"/>
        <w:rPr>
          <w:rFonts w:ascii="宋体" w:hAnsi="宋体" w:eastAsia="宋体" w:cs="宋体"/>
          <w:b/>
          <w:color w:val="auto"/>
          <w:sz w:val="24"/>
          <w:highlight w:val="none"/>
          <w:u w:val="single"/>
        </w:rPr>
      </w:pPr>
      <w:r>
        <w:rPr>
          <w:rFonts w:hint="eastAsia" w:ascii="宋体" w:hAnsi="宋体" w:eastAsia="宋体" w:cs="宋体"/>
          <w:color w:val="auto"/>
          <w:sz w:val="24"/>
          <w:highlight w:val="none"/>
        </w:rPr>
        <w:t>1.1 “招标人”（即委托人）指</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1.2 “项目建设管理单位”指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 “投标人”指向招标人提交投标文件的当事人。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 “承包商”指被招标人接受并与其签订工程承包合同的当事人；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1.6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1.7 “招标文件”指由招标代理发出的本文件（包括全部章节、附件）及澄清补充文件。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 “投标文件”指投标人根据本招标文件向招标人提交的全部文件。</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1.9 “书面函件”指打字或印刷的函件，包括电传、电报和传真。</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2、招标说明</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2.1本招标工程项目按照《中华人民共和国招标投标法》等有关法律、行政法规和部门规章，采取邀请招标的办法，选择有经验、有实力、社会信誉好的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咨询单位承担</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咨询服务，确保本工程能按期、优质、经济地完成。</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2.2工程概况：</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2.2.1工程名称：见投标须知前附表第1项。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2.2.4投资概算：见投标须知前附表第4项。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2.2.5服务目标：见投标须知前附表第5项。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咨询服务期要求：见投标须知前附表第7项。</w:t>
      </w:r>
    </w:p>
    <w:p>
      <w:pPr>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 项目管理架构要求：见投标须知前附表第10项。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5.1投标人应对各个项目工程现</w:t>
      </w:r>
      <w:bookmarkStart w:id="95" w:name="_GoBack"/>
      <w:bookmarkEnd w:id="95"/>
      <w:r>
        <w:rPr>
          <w:rFonts w:hint="eastAsia" w:ascii="宋体" w:hAnsi="宋体" w:eastAsia="宋体" w:cs="宋体"/>
          <w:color w:val="auto"/>
          <w:sz w:val="24"/>
          <w:highlight w:val="none"/>
        </w:rPr>
        <w:t>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投标人应承担踏勘现场的责任和风险。</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本招标工程项目资金来源见投标须知前附表第8项。</w:t>
      </w:r>
    </w:p>
    <w:p>
      <w:pPr>
        <w:spacing w:line="360" w:lineRule="auto"/>
        <w:ind w:firstLine="241" w:firstLineChars="1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p>
      <w:pPr>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4"/>
        <w:widowControl/>
        <w:spacing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b/>
          <w:color w:val="auto"/>
          <w:sz w:val="24"/>
          <w:highlight w:val="none"/>
        </w:rPr>
        <w:t>项目需求书</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w:t>
      </w:r>
      <w:r>
        <w:rPr>
          <w:rFonts w:hint="eastAsia" w:ascii="黑体" w:hAnsi="华文楷体" w:eastAsia="黑体" w:cs="黑体"/>
          <w:color w:val="auto"/>
          <w:sz w:val="24"/>
          <w:highlight w:val="none"/>
          <w:lang w:val="en-US" w:eastAsia="zh-CN"/>
        </w:rPr>
        <w:t>评标办法</w:t>
      </w:r>
    </w:p>
    <w:p>
      <w:pPr>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5）附件</w:t>
      </w:r>
    </w:p>
    <w:p>
      <w:pPr>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6）服务合同</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4"/>
        <w:widowControl/>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13项要求。招标人或招标代理人将于投标须知前附表第13项指定的地点和时间对疑问进行答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rPr>
        <w:t>3</w:t>
      </w:r>
      <w:r>
        <w:rPr>
          <w:rFonts w:hint="eastAsia" w:ascii="宋体" w:hAnsi="宋体" w:cs="宋体"/>
          <w:color w:val="auto"/>
          <w:sz w:val="24"/>
          <w:szCs w:val="24"/>
          <w:highlight w:val="none"/>
        </w:rPr>
        <w:t>日前，招标人可对招标文件进行必要的澄清或修改。</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widowControl/>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（三）投标文件的编制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10.2 除工程规范另有规定外，投标文件使用的度量衡单位，均采用中华人民共和国法定计量单位。</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资质证书复印件。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11.6项目负责人职称证</w:t>
      </w:r>
      <w:r>
        <w:rPr>
          <w:rFonts w:hint="eastAsia" w:ascii="宋体" w:hAnsi="宋体" w:eastAsia="宋体" w:cs="宋体"/>
          <w:color w:val="auto"/>
          <w:sz w:val="24"/>
          <w:highlight w:val="none"/>
          <w:lang w:val="en-US" w:eastAsia="zh-CN"/>
        </w:rPr>
        <w:t>和资格证</w:t>
      </w:r>
      <w:r>
        <w:rPr>
          <w:rFonts w:hint="eastAsia" w:ascii="宋体" w:hAnsi="宋体" w:eastAsia="宋体" w:cs="宋体"/>
          <w:color w:val="auto"/>
          <w:sz w:val="24"/>
          <w:highlight w:val="none"/>
        </w:rPr>
        <w:t>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11.7现场</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人员到位承诺书（按招标文件第3章格式填写）；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11.9企业自201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年1月至今企业承担的同类项目（按招标文件第3章格式填写）；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11.10参与本项目的人员一览表及证明文件（按招标文件第3章格式填写）；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11.11项目负责人相关经验及业绩（按招标文件第3章格式填写）；</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2报价表</w:t>
      </w:r>
      <w:r>
        <w:rPr>
          <w:rFonts w:hint="eastAsia" w:ascii="宋体" w:hAnsi="宋体" w:eastAsia="宋体" w:cs="宋体"/>
          <w:color w:val="auto"/>
          <w:sz w:val="24"/>
          <w:highlight w:val="none"/>
        </w:rPr>
        <w:t>。★分公司报价的，提供具有法人资格的总公司的营业执照副本复印件及授权书，授权书须加盖总公司公章</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实质性响应条款一览表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其它需要提交的资料。</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特别提醒：</w:t>
      </w:r>
      <w:r>
        <w:rPr>
          <w:rFonts w:hint="eastAsia" w:ascii="宋体" w:hAnsi="宋体" w:eastAsia="宋体" w:cs="宋体"/>
          <w:color w:val="auto"/>
          <w:sz w:val="24"/>
          <w:highlight w:val="none"/>
        </w:rPr>
        <w:t>带★号为重要文件，投标人必须有效、完整地提供，否则将按无效报价处理。所有证书类文件需提供原件核对复印件且必须在有效期内。</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本工程的投标报价采用投标须知前附表第14项所规定的方式。</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13.3投标报价方式：投标单位自行报价（投标报价不能超过招标控制价）。（小数点后保留二位小数，第三位小数四舍五入）</w:t>
      </w:r>
    </w:p>
    <w:p>
      <w:pPr>
        <w:pStyle w:val="4"/>
        <w:widowControl/>
        <w:spacing w:beforeAutospacing="0"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13.4本项目依据广东省建设工程造价咨询服务收费标准：粤价函【2011】</w:t>
      </w:r>
      <w:r>
        <w:rPr>
          <w:rFonts w:hint="eastAsia" w:ascii="宋体" w:hAnsi="宋体" w:cs="宋体"/>
          <w:color w:val="auto"/>
          <w:sz w:val="24"/>
          <w:szCs w:val="24"/>
          <w:highlight w:val="none"/>
          <w:lang w:eastAsia="zh-CN"/>
        </w:rPr>
        <w:t>742</w:t>
      </w:r>
      <w:r>
        <w:rPr>
          <w:rFonts w:hint="eastAsia" w:ascii="宋体" w:hAnsi="宋体" w:cs="宋体"/>
          <w:color w:val="auto"/>
          <w:sz w:val="24"/>
          <w:szCs w:val="24"/>
          <w:highlight w:val="none"/>
        </w:rPr>
        <w:t>号文</w:t>
      </w:r>
      <w:r>
        <w:rPr>
          <w:rFonts w:hint="eastAsia" w:ascii="宋体" w:hAnsi="宋体" w:cs="宋体"/>
          <w:color w:val="auto"/>
          <w:sz w:val="24"/>
          <w:szCs w:val="24"/>
          <w:highlight w:val="none"/>
          <w:lang w:val="en-US" w:eastAsia="zh-CN"/>
        </w:rPr>
        <w:t>计算服务费</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招标控制价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下浮率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为</w:t>
      </w:r>
      <w:r>
        <w:rPr>
          <w:rFonts w:hint="eastAsia" w:ascii="宋体" w:hAnsi="宋体" w:cs="宋体"/>
          <w:color w:val="auto"/>
          <w:sz w:val="24"/>
          <w:szCs w:val="24"/>
          <w:highlight w:val="none"/>
          <w:lang w:eastAsia="zh-CN"/>
        </w:rPr>
        <w:t>：5%&lt;投标下浮率≤20%</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本工程投标报价采用的币种为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4"/>
        <w:keepNext w:val="0"/>
        <w:keepLines w:val="0"/>
        <w:pageBreakBefore w:val="0"/>
        <w:widowControl/>
        <w:kinsoku/>
        <w:wordWrap/>
        <w:overflowPunct/>
        <w:topLinePunct w:val="0"/>
        <w:autoSpaceDE/>
        <w:autoSpaceDN/>
        <w:bidi w:val="0"/>
        <w:adjustRightInd/>
        <w:snapToGrid/>
        <w:spacing w:beforeAutospacing="0" w:after="0"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16．投标保证金</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本项目不要求递交投标保证金。</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4"/>
        <w:widowControl/>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（四）投标文件的提交</w:t>
      </w:r>
    </w:p>
    <w:p>
      <w:pPr>
        <w:pStyle w:val="4"/>
        <w:widowControl/>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投标文件的包封要求：正本（1本）、副本（4本）一起包封；</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投标人应按投标须知前附表第19项所规定的地点，于截止时间前提交投标文件，并办理好送达签认手续。</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4"/>
        <w:widowControl/>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招标人在本须知第19条规定的投标截止时间以后收到的投标文件，将被拒绝并退回给投标人。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（五）开标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2）宣读投标人名称，由投标人或其推选的代表检查投标文件的密封情况，投标人出示本人身份证原件（身份证件应与投标文件中的法定代表人或其委托人一致，无身份证原件的作弃权处理）；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24.7招标人将上述符合要求的投标文件，送至评标委员会进行评审的。</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 评标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在投标文件的评审和比较、中标候选人推荐以及授予合同的过程中，投标人向招标人和评标委员会施加影响的任何行为，都将会导致其投标被拒绝。</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中标人确定后，招标人不对未中标人就评标过程以及未能中标原因作出任何解释。未中标人不得向评标委员会组成人员或其他有关人员索问评标过程的情况和材料。</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如果投标文件实质上不响应招标文件的各项要求，评标委员会将予以拒绝，并且不允许投标人通过修改或撤销其不符合要求的差异或保留，使之成为具有响应性的投标。</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27.1 评标委员会将按照本须知第26条规定，仅对在实质上响应招标文件要求的投标文件进行评审和比较。</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在评审过程中，评标委员会可以以书面形式要求投标人就投标文件中含义不明确的内容进行书面说明并提供相关材料。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27.3 评标委员会依据投标须知前附表第20项规定的评标标准和方法，详见本招标文件《评标办法》，对投标文件进行评审和比较，向招标人提出书面评标报告，并推荐经评审投标报价由低至高排序的前一～三名为第一、第二和第三中标候选人。招标人根据评标委员会提出的书面评标报告和推荐的中标候选人中，按排序依法确定中标人。</w:t>
      </w:r>
    </w:p>
    <w:p>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28．评标委员会依据有关法律、法规和招标文件的规定对投标文件进行评审，经评定的有效投标人不足三名时，招标人应当依法重新组织招标。</w:t>
      </w:r>
    </w:p>
    <w:p>
      <w:pPr>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（七）合同的授予</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w:t>
      </w:r>
      <w:r>
        <w:rPr>
          <w:rFonts w:hint="eastAsia" w:ascii="宋体" w:hAnsi="宋体" w:eastAsia="宋体" w:cs="宋体"/>
          <w:color w:val="auto"/>
          <w:sz w:val="24"/>
          <w:highlight w:val="none"/>
          <w:lang w:val="en-US" w:eastAsia="zh-CN"/>
        </w:rPr>
        <w:t>造价</w:t>
      </w:r>
      <w:r>
        <w:rPr>
          <w:rFonts w:hint="eastAsia" w:ascii="宋体" w:hAnsi="宋体" w:eastAsia="宋体" w:cs="宋体"/>
          <w:color w:val="auto"/>
          <w:sz w:val="24"/>
          <w:highlight w:val="none"/>
        </w:rPr>
        <w:t>咨询合同将授予按本须知第27.3款所确定的中标人。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30．招标人保留接受或拒绝任何某一投标或所有投标的权力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招标人不承诺将合同授予报价最低的投标人。招标人在发出中标通知书前，有权依据评标委员会的评标报告拒绝不合格的投标。</w:t>
      </w:r>
    </w:p>
    <w:p>
      <w:pPr>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权力。尽管有本须知第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31.1中标通知书经招标人及招标代理机构确认，并由招标人颁发。</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32.1款的规定不与招标人签订合同的，在签订合同时向招标人提出附加条件或者更改合同实质性内容的，招标人可取消其中标资格，并没收其投标保证金；给招标人的损失超过投标保证金数额的，中标人应当对超过部分予以赔偿；没有提交投标保证金的，应当对招标人的损失承担赔偿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32.3中标人在投标过程使用的投标人名称、银行名称和账号至完成竣工结算不得变更，否则，招标人有权停止工程款项的拨付及至解除合同，由此造成的一切责任由中标人承担。</w:t>
      </w:r>
    </w:p>
    <w:p>
      <w:pPr>
        <w:pStyle w:val="4"/>
        <w:widowControl/>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33．合同生效</w:t>
      </w:r>
    </w:p>
    <w:p>
      <w:pPr>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p>
    <w:p>
      <w:pPr>
        <w:rPr>
          <w:rFonts w:ascii="黑体" w:hAnsi="宋体" w:cs="黑体"/>
          <w:b/>
          <w:color w:val="auto"/>
          <w:kern w:val="44"/>
          <w:sz w:val="44"/>
          <w:szCs w:val="44"/>
          <w:highlight w:val="none"/>
        </w:rPr>
      </w:pPr>
      <w:bookmarkStart w:id="10" w:name="_Toc374128473"/>
      <w:bookmarkEnd w:id="10"/>
      <w:r>
        <w:rPr>
          <w:rFonts w:hint="eastAsia" w:ascii="黑体" w:hAnsi="宋体" w:cs="黑体"/>
          <w:b/>
          <w:color w:val="auto"/>
          <w:kern w:val="44"/>
          <w:sz w:val="44"/>
          <w:szCs w:val="44"/>
          <w:highlight w:val="none"/>
        </w:rPr>
        <w:br w:type="page"/>
      </w: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keepNext/>
        <w:keepLines/>
        <w:widowControl/>
        <w:adjustRightInd w:val="0"/>
        <w:spacing w:line="360" w:lineRule="auto"/>
        <w:jc w:val="center"/>
        <w:rPr>
          <w:rFonts w:ascii="黑体" w:hAnsi="宋体" w:cs="黑体"/>
          <w:b/>
          <w:color w:val="auto"/>
          <w:kern w:val="44"/>
          <w:sz w:val="44"/>
          <w:szCs w:val="44"/>
          <w:highlight w:val="none"/>
        </w:rPr>
      </w:pPr>
    </w:p>
    <w:p>
      <w:pPr>
        <w:pStyle w:val="2"/>
        <w:widowControl/>
        <w:spacing w:before="0" w:after="0" w:line="360" w:lineRule="auto"/>
        <w:jc w:val="center"/>
        <w:rPr>
          <w:rFonts w:ascii="黑体" w:hAnsi="宋体" w:cs="黑体"/>
          <w:b/>
          <w:color w:val="auto"/>
          <w:kern w:val="44"/>
          <w:sz w:val="44"/>
          <w:szCs w:val="44"/>
          <w:highlight w:val="none"/>
        </w:rPr>
      </w:pPr>
      <w:bookmarkStart w:id="11" w:name="_Toc1632"/>
      <w:r>
        <w:rPr>
          <w:rFonts w:hint="eastAsia" w:ascii="黑体" w:hAnsi="宋体" w:cs="黑体"/>
          <w:b/>
          <w:color w:val="auto"/>
          <w:kern w:val="44"/>
          <w:sz w:val="44"/>
          <w:szCs w:val="44"/>
          <w:highlight w:val="none"/>
        </w:rPr>
        <w:t>第2章 项目需求书</w:t>
      </w:r>
      <w:bookmarkEnd w:id="11"/>
    </w:p>
    <w:p>
      <w:pPr>
        <w:spacing w:line="500" w:lineRule="exact"/>
        <w:ind w:firstLine="301" w:firstLineChars="100"/>
        <w:rPr>
          <w:rFonts w:ascii="宋体" w:hAnsi="宋体" w:eastAsia="宋体" w:cs="宋体"/>
          <w:b/>
          <w:color w:val="auto"/>
          <w:sz w:val="30"/>
          <w:szCs w:val="30"/>
          <w:highlight w:val="none"/>
        </w:rPr>
      </w:pPr>
    </w:p>
    <w:p>
      <w:pPr>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u w:val="single"/>
        </w:rPr>
      </w:pPr>
      <w:r>
        <w:rPr>
          <w:rFonts w:hint="eastAsia" w:ascii="宋体" w:hAnsi="宋体" w:eastAsia="宋体" w:cs="宋体"/>
          <w:b/>
          <w:bCs/>
          <w:color w:val="auto"/>
          <w:sz w:val="24"/>
          <w:highlight w:val="none"/>
        </w:rPr>
        <w:t>建设单位：</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工程名称：</w:t>
      </w:r>
      <w:r>
        <w:rPr>
          <w:rFonts w:hint="eastAsia" w:ascii="宋体" w:hAnsi="宋体" w:eastAsia="宋体" w:cs="宋体"/>
          <w:b/>
          <w:bCs/>
          <w:color w:val="auto"/>
          <w:sz w:val="24"/>
          <w:highlight w:val="none"/>
          <w:lang w:val="en-US" w:eastAsia="zh-CN"/>
        </w:rPr>
        <w:t>广州</w:t>
      </w:r>
      <w:r>
        <w:rPr>
          <w:rFonts w:hint="eastAsia" w:ascii="宋体" w:hAnsi="宋体" w:eastAsia="宋体" w:cs="宋体"/>
          <w:color w:val="auto"/>
          <w:sz w:val="24"/>
          <w:highlight w:val="none"/>
          <w:lang w:val="en-US" w:eastAsia="zh-CN"/>
        </w:rPr>
        <w:t>南沙</w:t>
      </w:r>
      <w:r>
        <w:rPr>
          <w:rFonts w:hint="eastAsia" w:ascii="宋体" w:hAnsi="宋体" w:eastAsia="宋体" w:cs="宋体"/>
          <w:color w:val="auto"/>
          <w:sz w:val="24"/>
          <w:highlight w:val="none"/>
        </w:rPr>
        <w:t>资产经营集团</w:t>
      </w:r>
      <w:r>
        <w:rPr>
          <w:rFonts w:hint="eastAsia" w:ascii="宋体" w:hAnsi="宋体" w:eastAsia="宋体" w:cs="宋体"/>
          <w:color w:val="auto"/>
          <w:sz w:val="24"/>
          <w:highlight w:val="none"/>
          <w:lang w:val="en-US" w:eastAsia="zh-CN"/>
        </w:rPr>
        <w:t>有限公司</w:t>
      </w:r>
      <w:r>
        <w:rPr>
          <w:rFonts w:hint="eastAsia" w:ascii="宋体" w:hAnsi="宋体" w:eastAsia="宋体" w:cs="宋体"/>
          <w:color w:val="auto"/>
          <w:sz w:val="24"/>
          <w:highlight w:val="none"/>
        </w:rPr>
        <w:t>年度项目</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工程地点：</w:t>
      </w:r>
      <w:r>
        <w:rPr>
          <w:rFonts w:hint="eastAsia" w:ascii="宋体" w:hAnsi="宋体" w:eastAsia="宋体" w:cs="宋体"/>
          <w:color w:val="auto"/>
          <w:sz w:val="24"/>
          <w:highlight w:val="none"/>
        </w:rPr>
        <w:t>广州市南沙区</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工程规模：</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val="en-US" w:eastAsia="zh-CN"/>
        </w:rPr>
        <w:t>年度计划费用总额</w:t>
      </w:r>
      <w:r>
        <w:rPr>
          <w:rFonts w:hint="eastAsia" w:ascii="宋体" w:hAnsi="宋体" w:eastAsia="宋体" w:cs="宋体"/>
          <w:color w:val="auto"/>
          <w:sz w:val="24"/>
          <w:highlight w:val="none"/>
          <w:lang w:eastAsia="zh-CN"/>
        </w:rPr>
        <w:t>上限为100万元，项目数量</w:t>
      </w:r>
      <w:r>
        <w:rPr>
          <w:rFonts w:hint="eastAsia" w:ascii="宋体" w:hAnsi="宋体" w:eastAsia="宋体" w:cs="宋体"/>
          <w:color w:val="auto"/>
          <w:sz w:val="24"/>
          <w:highlight w:val="none"/>
        </w:rPr>
        <w:t>若干，单个项目</w:t>
      </w:r>
      <w:r>
        <w:rPr>
          <w:rFonts w:hint="eastAsia" w:ascii="宋体" w:hAnsi="宋体" w:eastAsia="宋体" w:cs="宋体"/>
          <w:color w:val="auto"/>
          <w:sz w:val="24"/>
          <w:highlight w:val="none"/>
          <w:lang w:val="en-US" w:eastAsia="zh-CN"/>
        </w:rPr>
        <w:t>不超过50万元，以</w:t>
      </w:r>
      <w:r>
        <w:rPr>
          <w:rFonts w:hint="eastAsia" w:ascii="宋体" w:hAnsi="宋体" w:eastAsia="宋体" w:cs="宋体"/>
          <w:color w:val="auto"/>
          <w:sz w:val="24"/>
          <w:highlight w:val="none"/>
        </w:rPr>
        <w:t>中标单位服务报价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即投标下浮率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本次招标具体为</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年度服务外包，要求中标单位有一定的服务质量保证，且态度良好，信誉可靠。</w:t>
      </w: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rPr>
        <w:t>2020年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月至2021年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月或者累计服务费接近100万为止，本项目结束。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ascii="宋体" w:hAnsi="宋体" w:eastAsia="宋体" w:cs="宋体"/>
          <w:color w:val="auto"/>
          <w:sz w:val="24"/>
          <w:highlight w:val="none"/>
        </w:rPr>
      </w:pPr>
      <w:r>
        <w:rPr>
          <w:rFonts w:hint="eastAsia" w:ascii="宋体" w:hAnsi="宋体" w:cs="宋体"/>
          <w:b/>
          <w:bCs/>
          <w:color w:val="auto"/>
          <w:sz w:val="24"/>
          <w:szCs w:val="24"/>
          <w:highlight w:val="none"/>
          <w:lang w:val="en-US" w:eastAsia="zh-CN"/>
        </w:rPr>
        <w:t>计划费用总额</w:t>
      </w:r>
      <w:r>
        <w:rPr>
          <w:rFonts w:hint="eastAsia" w:ascii="宋体" w:hAnsi="宋体" w:eastAsia="宋体" w:cs="宋体"/>
          <w:b/>
          <w:bCs/>
          <w:color w:val="auto"/>
          <w:sz w:val="24"/>
          <w:szCs w:val="24"/>
          <w:highlight w:val="none"/>
        </w:rPr>
        <w:t>：</w:t>
      </w:r>
      <w:r>
        <w:rPr>
          <w:rFonts w:hint="eastAsia" w:ascii="宋体" w:hAnsi="宋体" w:eastAsia="宋体" w:cs="宋体"/>
          <w:color w:val="auto"/>
          <w:sz w:val="24"/>
          <w:highlight w:val="none"/>
          <w:lang w:val="en-US" w:eastAsia="zh-CN"/>
        </w:rPr>
        <w:t>小于</w:t>
      </w:r>
      <w:r>
        <w:rPr>
          <w:rFonts w:hint="eastAsia" w:ascii="宋体" w:hAnsi="宋体" w:eastAsia="宋体" w:cs="宋体"/>
          <w:color w:val="auto"/>
          <w:sz w:val="24"/>
          <w:highlight w:val="none"/>
        </w:rPr>
        <w:t>100万元</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1205" w:leftChars="0" w:hanging="1205" w:hangingChars="500"/>
        <w:textAlignment w:val="auto"/>
        <w:rPr>
          <w:rFonts w:ascii="宋体" w:hAnsi="宋体" w:eastAsia="宋体" w:cs="宋体"/>
          <w:color w:val="auto"/>
          <w:sz w:val="24"/>
          <w:highlight w:val="none"/>
        </w:rPr>
      </w:pPr>
      <w:r>
        <w:rPr>
          <w:rFonts w:hint="eastAsia" w:ascii="宋体" w:hAnsi="宋体" w:eastAsia="宋体" w:cs="宋体"/>
          <w:b/>
          <w:bCs/>
          <w:color w:val="auto"/>
          <w:sz w:val="24"/>
          <w:highlight w:val="none"/>
        </w:rPr>
        <w:t>招标内容：</w:t>
      </w:r>
      <w:r>
        <w:rPr>
          <w:rFonts w:hint="eastAsia" w:ascii="宋体" w:hAnsi="宋体" w:eastAsia="宋体" w:cs="宋体"/>
          <w:color w:val="auto"/>
          <w:sz w:val="24"/>
          <w:highlight w:val="none"/>
        </w:rPr>
        <w:t>本项目为</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年度服务外包，具体内容包括招标人2020年度内资产经营集团所有需要完成</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的项目服务</w:t>
      </w:r>
      <w:r>
        <w:rPr>
          <w:rFonts w:hint="eastAsia" w:ascii="宋体" w:hAnsi="宋体" w:eastAsia="宋体" w:cs="宋体"/>
          <w:color w:val="auto"/>
          <w:sz w:val="24"/>
          <w:highlight w:val="none"/>
          <w:lang w:eastAsia="zh-CN"/>
        </w:rPr>
        <w:t>，包括但不限于：编制（或审核）项目的投资估算、概算、预算并对工程变更、工程签证、技术方案等进行审核把关及提供费用审核意见；参与项目成本管控全过程的相关工作等</w:t>
      </w:r>
      <w:r>
        <w:rPr>
          <w:rFonts w:hint="eastAsia" w:ascii="宋体" w:hAnsi="宋体" w:eastAsia="宋体" w:cs="宋体"/>
          <w:color w:val="auto"/>
          <w:sz w:val="24"/>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02" w:firstLineChars="200"/>
        <w:textAlignment w:val="auto"/>
        <w:outlineLvl w:val="1"/>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lang w:val="en-US" w:eastAsia="zh-CN"/>
        </w:rPr>
        <w:t>需求</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业绩最低要求</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近三年成功独立</w:t>
      </w:r>
      <w:r>
        <w:rPr>
          <w:rFonts w:hint="eastAsia" w:ascii="宋体" w:hAnsi="宋体" w:eastAsia="宋体" w:cs="宋体"/>
          <w:b/>
          <w:bCs/>
          <w:color w:val="auto"/>
          <w:sz w:val="24"/>
          <w:highlight w:val="none"/>
          <w:lang w:val="en-US" w:eastAsia="zh-CN"/>
        </w:rPr>
        <w:t>承担</w:t>
      </w:r>
      <w:r>
        <w:rPr>
          <w:rFonts w:hint="eastAsia" w:ascii="宋体" w:hAnsi="宋体" w:eastAsia="宋体" w:cs="宋体"/>
          <w:b/>
          <w:bCs/>
          <w:color w:val="auto"/>
          <w:sz w:val="24"/>
          <w:highlight w:val="none"/>
        </w:rPr>
        <w:t>以下业绩之一：至少2个以上项目全过程造价咨询服务工作，且其中至少1个项目造价金额在2亿元及以上。</w:t>
      </w:r>
      <w:r>
        <w:rPr>
          <w:rFonts w:hint="eastAsia" w:ascii="宋体" w:hAnsi="宋体" w:eastAsia="宋体" w:cs="宋体"/>
          <w:b/>
          <w:bCs/>
          <w:color w:val="auto"/>
          <w:sz w:val="24"/>
          <w:highlight w:val="none"/>
          <w:lang w:val="en-US" w:eastAsia="zh-CN"/>
        </w:rPr>
        <w:t>具体如下：</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1.近三年指2017年1月1日至投标文件递交之日。</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投标人所列业绩应提供：①中标通知书（如有）；②合同协议书：合同协议书应至少包含合同主体、项目名称、工作内容、签订日期等关键信息，或委托函：委托函至少包含委托主体、项目名称、工作内容及委托日期等关键信息”；③项目业绩的界定时间</w:t>
      </w:r>
      <w:r>
        <w:rPr>
          <w:rFonts w:hint="eastAsia" w:ascii="宋体" w:hAnsi="宋体" w:eastAsia="宋体" w:cs="宋体"/>
          <w:color w:val="auto"/>
          <w:sz w:val="24"/>
          <w:highlight w:val="none"/>
        </w:rPr>
        <w:t>以造价咨询合同（委托函）或造价咨询成果文件为准(时间在业绩证明材料中有不同表述的，以时间靠后的业绩证明材料表述的为准)；</w:t>
      </w:r>
      <w:r>
        <w:rPr>
          <w:rFonts w:hint="eastAsia" w:ascii="宋体" w:hAnsi="宋体" w:eastAsia="宋体" w:cs="宋体"/>
          <w:b w:val="0"/>
          <w:bCs w:val="0"/>
          <w:color w:val="auto"/>
          <w:sz w:val="24"/>
          <w:szCs w:val="24"/>
          <w:highlight w:val="none"/>
        </w:rPr>
        <w:t>④</w:t>
      </w:r>
      <w:r>
        <w:rPr>
          <w:rFonts w:hint="eastAsia" w:ascii="宋体" w:hAnsi="宋体" w:eastAsia="宋体" w:cs="宋体"/>
          <w:color w:val="auto"/>
          <w:sz w:val="24"/>
          <w:highlight w:val="none"/>
        </w:rPr>
        <w:t>业绩金额以咨询服务合同或委托函载明的项目投资金额或项目批复概算金额或经成果文件金额或委托单位的其它证明材料为准(业绩金额在业绩证明材料中有不同表述的，以时间靠后的业绩证明材料表述的为准)：</w:t>
      </w:r>
      <w:r>
        <w:rPr>
          <w:rFonts w:hint="eastAsia" w:ascii="宋体" w:hAnsi="宋体" w:eastAsia="宋体" w:cs="宋体"/>
          <w:b w:val="0"/>
          <w:bCs w:val="0"/>
          <w:color w:val="auto"/>
          <w:sz w:val="24"/>
          <w:szCs w:val="24"/>
          <w:highlight w:val="none"/>
        </w:rPr>
        <w:t>⑤同一项目不同标段可以累加计算金额：⑥如一个合同中含多个项目造价咨询服务，可按多个项目独立计算业绩。</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3.如近年来，投标人法人机构发生合法变更或重组时，应提供相关部门的合法批件或其他相关证明材料以证明其所附业绩的继承性。</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人员资格最低要求</w:t>
      </w:r>
    </w:p>
    <w:tbl>
      <w:tblPr>
        <w:tblStyle w:val="14"/>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15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1419"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人  员</w:t>
            </w:r>
          </w:p>
        </w:tc>
        <w:tc>
          <w:tcPr>
            <w:tcW w:w="1150"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数  量</w:t>
            </w:r>
          </w:p>
        </w:tc>
        <w:tc>
          <w:tcPr>
            <w:tcW w:w="5954" w:type="dxa"/>
            <w:vAlign w:val="center"/>
          </w:tcPr>
          <w:p>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4" w:hRule="atLeast"/>
          <w:jc w:val="center"/>
        </w:trPr>
        <w:tc>
          <w:tcPr>
            <w:tcW w:w="1419" w:type="dxa"/>
            <w:vAlign w:val="center"/>
          </w:tcPr>
          <w:p>
            <w:pPr>
              <w:spacing w:line="360" w:lineRule="auto"/>
              <w:jc w:val="center"/>
              <w:rPr>
                <w:rFonts w:ascii="宋体" w:hAnsi="宋体"/>
                <w:color w:val="auto"/>
                <w:szCs w:val="21"/>
                <w:highlight w:val="none"/>
              </w:rPr>
            </w:pPr>
            <w:r>
              <w:rPr>
                <w:rFonts w:hint="eastAsia" w:ascii="宋体"/>
                <w:color w:val="auto"/>
                <w:szCs w:val="21"/>
                <w:highlight w:val="none"/>
              </w:rPr>
              <w:t>项目负责人</w:t>
            </w:r>
          </w:p>
        </w:tc>
        <w:tc>
          <w:tcPr>
            <w:tcW w:w="1150" w:type="dxa"/>
            <w:vAlign w:val="center"/>
          </w:tcPr>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954" w:type="dxa"/>
            <w:vAlign w:val="center"/>
          </w:tcPr>
          <w:p>
            <w:pPr>
              <w:adjustRightInd w:val="0"/>
              <w:snapToGrid w:val="0"/>
              <w:spacing w:line="360" w:lineRule="auto"/>
              <w:jc w:val="both"/>
              <w:rPr>
                <w:rFonts w:ascii="宋体" w:hAnsi="宋体"/>
                <w:color w:val="auto"/>
                <w:szCs w:val="21"/>
                <w:highlight w:val="none"/>
              </w:rPr>
            </w:pPr>
            <w:r>
              <w:rPr>
                <w:rFonts w:hint="eastAsia"/>
                <w:color w:val="auto"/>
                <w:szCs w:val="21"/>
                <w:highlight w:val="none"/>
              </w:rPr>
              <w:t>工程或工程经济类高级专业技术职称，</w:t>
            </w:r>
            <w:r>
              <w:rPr>
                <w:rFonts w:hint="eastAsia" w:ascii="宋体"/>
                <w:color w:val="auto"/>
                <w:szCs w:val="21"/>
                <w:highlight w:val="none"/>
              </w:rPr>
              <w:t>具备住房建设部注册造价师资格，</w:t>
            </w:r>
            <w:r>
              <w:rPr>
                <w:rFonts w:hint="eastAsia" w:ascii="宋体" w:hAnsi="宋体"/>
                <w:color w:val="auto"/>
                <w:szCs w:val="21"/>
                <w:highlight w:val="none"/>
              </w:rPr>
              <w:t>1</w:t>
            </w:r>
            <w:r>
              <w:rPr>
                <w:rFonts w:ascii="宋体" w:hAnsi="宋体"/>
                <w:color w:val="auto"/>
                <w:szCs w:val="21"/>
                <w:highlight w:val="none"/>
              </w:rPr>
              <w:t>5</w:t>
            </w:r>
            <w:r>
              <w:rPr>
                <w:rFonts w:hint="eastAsia" w:ascii="宋体" w:hAnsi="宋体"/>
                <w:color w:val="auto"/>
                <w:szCs w:val="21"/>
                <w:highlight w:val="none"/>
              </w:rPr>
              <w:t>年以上工程造价工作经验，至少担任</w:t>
            </w:r>
            <w:r>
              <w:rPr>
                <w:rFonts w:ascii="宋体" w:hAnsi="宋体"/>
                <w:color w:val="auto"/>
                <w:szCs w:val="21"/>
                <w:highlight w:val="none"/>
              </w:rPr>
              <w:t>过</w:t>
            </w:r>
            <w:r>
              <w:rPr>
                <w:rFonts w:hint="eastAsia" w:ascii="宋体" w:hAnsi="宋体"/>
                <w:color w:val="auto"/>
                <w:szCs w:val="21"/>
                <w:highlight w:val="none"/>
                <w:u w:val="single"/>
              </w:rPr>
              <w:t>1个国有投资项目的招标清单预算审查或结算编制或竣工决算报告编制</w:t>
            </w:r>
            <w:r>
              <w:rPr>
                <w:rFonts w:hint="eastAsia" w:ascii="宋体" w:hAnsi="宋体"/>
                <w:color w:val="auto"/>
                <w:szCs w:val="21"/>
                <w:highlight w:val="none"/>
              </w:rPr>
              <w:t>工作的项目负责人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0"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rPr>
              <w:t>技术负责人</w:t>
            </w:r>
          </w:p>
        </w:tc>
        <w:tc>
          <w:tcPr>
            <w:tcW w:w="1150" w:type="dxa"/>
            <w:vAlign w:val="center"/>
          </w:tcPr>
          <w:p>
            <w:pPr>
              <w:spacing w:line="360" w:lineRule="auto"/>
              <w:jc w:val="center"/>
              <w:rPr>
                <w:rFonts w:ascii="宋体"/>
                <w:color w:val="auto"/>
                <w:szCs w:val="21"/>
                <w:highlight w:val="none"/>
              </w:rPr>
            </w:pPr>
            <w:r>
              <w:rPr>
                <w:rFonts w:hint="eastAsia" w:ascii="宋体"/>
                <w:color w:val="auto"/>
                <w:szCs w:val="21"/>
                <w:highlight w:val="none"/>
              </w:rPr>
              <w:t>1</w:t>
            </w:r>
          </w:p>
        </w:tc>
        <w:tc>
          <w:tcPr>
            <w:tcW w:w="5954" w:type="dxa"/>
            <w:vAlign w:val="center"/>
          </w:tcPr>
          <w:p>
            <w:pPr>
              <w:spacing w:line="360" w:lineRule="auto"/>
              <w:rPr>
                <w:rFonts w:ascii="宋体"/>
                <w:color w:val="auto"/>
                <w:szCs w:val="21"/>
                <w:highlight w:val="none"/>
              </w:rPr>
            </w:pPr>
            <w:r>
              <w:rPr>
                <w:rFonts w:hint="eastAsia" w:ascii="宋体"/>
                <w:color w:val="auto"/>
                <w:szCs w:val="21"/>
                <w:highlight w:val="none"/>
              </w:rPr>
              <w:t>具备住房建设部注册造价师资格，8年及以上工程造价工作经验。</w:t>
            </w:r>
            <w:r>
              <w:rPr>
                <w:rFonts w:hint="eastAsia" w:ascii="宋体" w:hAnsi="宋体"/>
                <w:color w:val="auto"/>
                <w:szCs w:val="21"/>
                <w:highlight w:val="none"/>
              </w:rPr>
              <w:t>至少从事</w:t>
            </w:r>
            <w:r>
              <w:rPr>
                <w:rFonts w:ascii="宋体" w:hAnsi="宋体"/>
                <w:color w:val="auto"/>
                <w:szCs w:val="21"/>
                <w:highlight w:val="none"/>
              </w:rPr>
              <w:t>过</w:t>
            </w:r>
            <w:r>
              <w:rPr>
                <w:rFonts w:hint="eastAsia" w:ascii="宋体" w:hAnsi="宋体"/>
                <w:color w:val="auto"/>
                <w:szCs w:val="21"/>
                <w:highlight w:val="none"/>
                <w:u w:val="single"/>
              </w:rPr>
              <w:t>1个国有投资</w:t>
            </w:r>
            <w:r>
              <w:rPr>
                <w:rFonts w:hint="eastAsia"/>
                <w:color w:val="auto"/>
                <w:szCs w:val="21"/>
                <w:highlight w:val="none"/>
                <w:u w:val="single"/>
              </w:rPr>
              <w:t>项目造价咨询</w:t>
            </w:r>
            <w:r>
              <w:rPr>
                <w:rFonts w:hint="eastAsia"/>
                <w:color w:val="auto"/>
                <w:szCs w:val="21"/>
                <w:highlight w:val="none"/>
              </w:rPr>
              <w:t>工作，或全过程造价咨询管理工作经验。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419" w:type="dxa"/>
            <w:vAlign w:val="center"/>
          </w:tcPr>
          <w:p>
            <w:pPr>
              <w:spacing w:line="360" w:lineRule="auto"/>
              <w:jc w:val="center"/>
              <w:rPr>
                <w:rFonts w:ascii="宋体"/>
                <w:color w:val="auto"/>
                <w:szCs w:val="21"/>
                <w:highlight w:val="none"/>
              </w:rPr>
            </w:pPr>
            <w:r>
              <w:rPr>
                <w:rFonts w:hint="eastAsia" w:ascii="宋体"/>
                <w:color w:val="auto"/>
                <w:szCs w:val="21"/>
                <w:highlight w:val="none"/>
              </w:rPr>
              <w:t>造价人员</w:t>
            </w:r>
          </w:p>
        </w:tc>
        <w:tc>
          <w:tcPr>
            <w:tcW w:w="1150" w:type="dxa"/>
            <w:vAlign w:val="center"/>
          </w:tcPr>
          <w:p>
            <w:pPr>
              <w:spacing w:line="360" w:lineRule="auto"/>
              <w:jc w:val="center"/>
              <w:rPr>
                <w:rFonts w:ascii="宋体"/>
                <w:color w:val="auto"/>
                <w:szCs w:val="21"/>
                <w:highlight w:val="none"/>
              </w:rPr>
            </w:pPr>
            <w:r>
              <w:rPr>
                <w:rFonts w:hint="eastAsia" w:ascii="宋体"/>
                <w:color w:val="auto"/>
                <w:szCs w:val="21"/>
                <w:highlight w:val="none"/>
              </w:rPr>
              <w:t>满足项目规模需要</w:t>
            </w:r>
          </w:p>
        </w:tc>
        <w:tc>
          <w:tcPr>
            <w:tcW w:w="5954" w:type="dxa"/>
            <w:vAlign w:val="center"/>
          </w:tcPr>
          <w:p>
            <w:pPr>
              <w:adjustRightInd w:val="0"/>
              <w:snapToGrid w:val="0"/>
              <w:spacing w:line="360" w:lineRule="auto"/>
              <w:rPr>
                <w:rFonts w:ascii="宋体"/>
                <w:color w:val="auto"/>
                <w:szCs w:val="21"/>
                <w:highlight w:val="none"/>
              </w:rPr>
            </w:pPr>
            <w:r>
              <w:rPr>
                <w:rFonts w:hint="eastAsia"/>
                <w:color w:val="auto"/>
                <w:szCs w:val="21"/>
                <w:highlight w:val="none"/>
              </w:rPr>
              <w:t>工程或工程经济类中级及以上专业技术职称，</w:t>
            </w:r>
            <w:r>
              <w:rPr>
                <w:rFonts w:hint="eastAsia" w:ascii="宋体" w:hAnsi="宋体"/>
                <w:color w:val="auto"/>
                <w:szCs w:val="21"/>
                <w:highlight w:val="none"/>
              </w:rPr>
              <w:t>5年以上工程造价工作经验。</w:t>
            </w:r>
          </w:p>
        </w:tc>
      </w:tr>
    </w:tbl>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说明：要求项目负责人须提供相应业绩的有效证明材料，否则视为无效业绩。</w:t>
      </w:r>
    </w:p>
    <w:p>
      <w:pPr>
        <w:keepNext w:val="0"/>
        <w:keepLines w:val="0"/>
        <w:pageBreakBefore w:val="0"/>
        <w:widowControl w:val="0"/>
        <w:numPr>
          <w:ilvl w:val="0"/>
          <w:numId w:val="2"/>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服务费计算依据</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广东省建设工程造价咨询服务收费标准：《关于调整我省建设工程造价咨询服务收费的复函》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粤价函【2011】</w:t>
      </w:r>
      <w:r>
        <w:rPr>
          <w:rFonts w:hint="eastAsia" w:ascii="宋体" w:hAnsi="宋体" w:eastAsia="宋体" w:cs="宋体"/>
          <w:color w:val="auto"/>
          <w:sz w:val="24"/>
          <w:highlight w:val="none"/>
          <w:lang w:eastAsia="zh-CN"/>
        </w:rPr>
        <w:t>742</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下浮率以投标下浮率为准。</w:t>
      </w: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keepNext w:val="0"/>
        <w:keepLines w:val="0"/>
        <w:pageBreakBefore w:val="0"/>
        <w:widowControl w:val="0"/>
        <w:tabs>
          <w:tab w:val="left" w:pos="630"/>
        </w:tabs>
        <w:kinsoku/>
        <w:wordWrap/>
        <w:overflowPunct/>
        <w:topLinePunct w:val="0"/>
        <w:autoSpaceDE/>
        <w:autoSpaceDN/>
        <w:bidi w:val="0"/>
        <w:adjustRightInd/>
        <w:snapToGrid/>
        <w:spacing w:line="360" w:lineRule="auto"/>
        <w:ind w:left="0" w:leftChars="0"/>
        <w:textAlignment w:val="auto"/>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tabs>
          <w:tab w:val="left" w:pos="630"/>
        </w:tabs>
        <w:rPr>
          <w:rFonts w:ascii="宋体" w:hAnsi="宋体" w:eastAsia="宋体" w:cs="宋体"/>
          <w:color w:val="auto"/>
          <w:sz w:val="24"/>
          <w:highlight w:val="none"/>
        </w:rPr>
      </w:pPr>
    </w:p>
    <w:p>
      <w:pPr>
        <w:spacing w:line="360" w:lineRule="auto"/>
        <w:jc w:val="both"/>
        <w:rPr>
          <w:rFonts w:ascii="黑体" w:hAnsi="宋体" w:cs="黑体"/>
          <w:b/>
          <w:color w:val="auto"/>
          <w:kern w:val="44"/>
          <w:sz w:val="44"/>
          <w:szCs w:val="44"/>
          <w:highlight w:val="none"/>
        </w:rPr>
      </w:pPr>
      <w:bookmarkStart w:id="12" w:name="_Toc264562491"/>
      <w:bookmarkEnd w:id="12"/>
    </w:p>
    <w:p>
      <w:pPr>
        <w:pStyle w:val="2"/>
        <w:widowControl/>
        <w:spacing w:before="0" w:after="0" w:line="360" w:lineRule="auto"/>
        <w:jc w:val="center"/>
        <w:rPr>
          <w:rFonts w:ascii="黑体" w:hAnsi="宋体" w:cs="黑体"/>
          <w:b/>
          <w:color w:val="auto"/>
          <w:kern w:val="44"/>
          <w:sz w:val="44"/>
          <w:szCs w:val="44"/>
          <w:highlight w:val="none"/>
        </w:rPr>
      </w:pPr>
      <w:bookmarkStart w:id="13" w:name="_Toc27492"/>
      <w:r>
        <w:rPr>
          <w:rFonts w:hint="eastAsia" w:ascii="黑体" w:hAnsi="宋体" w:cs="黑体"/>
          <w:b/>
          <w:color w:val="auto"/>
          <w:kern w:val="44"/>
          <w:sz w:val="44"/>
          <w:szCs w:val="44"/>
          <w:highlight w:val="none"/>
        </w:rPr>
        <w:t>第3章  投标格式文件</w:t>
      </w:r>
      <w:bookmarkEnd w:id="13"/>
    </w:p>
    <w:p>
      <w:pPr>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广州南沙建设维护管理有限公司：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我方决定参加贵方的南沙资产经营集团年度项目</w:t>
      </w:r>
      <w:r>
        <w:rPr>
          <w:rFonts w:hint="eastAsia" w:ascii="宋体" w:hAnsi="宋体" w:eastAsia="宋体" w:cs="Times New Roman"/>
          <w:b w:val="0"/>
          <w:bCs w:val="0"/>
          <w:color w:val="auto"/>
          <w:spacing w:val="20"/>
          <w:sz w:val="24"/>
          <w:szCs w:val="24"/>
          <w:highlight w:val="none"/>
          <w:lang w:val="en-US" w:eastAsia="zh-CN"/>
        </w:rPr>
        <w:t>造价</w:t>
      </w:r>
      <w:r>
        <w:rPr>
          <w:rFonts w:hint="eastAsia" w:ascii="宋体" w:hAnsi="宋体" w:eastAsia="宋体" w:cs="Times New Roman"/>
          <w:b w:val="0"/>
          <w:bCs w:val="0"/>
          <w:color w:val="auto"/>
          <w:spacing w:val="20"/>
          <w:sz w:val="24"/>
          <w:szCs w:val="24"/>
          <w:highlight w:val="none"/>
        </w:rPr>
        <w:t>咨询服务单位选定的竞标，并完全接受贵方发出的招标文件及澄清文件中的所有内容。为此，我方作出如下承诺：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1、我方经分析研究了贵方提供上述工程的招标文件中的项目介绍、投标人须知、合同条件以及本次招标答疑或澄清文件后，我公司愿意以投标报价表中承诺报价，完成贵方2020年度多个</w:t>
      </w:r>
      <w:r>
        <w:rPr>
          <w:rFonts w:hint="eastAsia" w:ascii="宋体" w:hAnsi="宋体" w:eastAsia="宋体" w:cs="Times New Roman"/>
          <w:b w:val="0"/>
          <w:bCs w:val="0"/>
          <w:color w:val="auto"/>
          <w:spacing w:val="20"/>
          <w:sz w:val="24"/>
          <w:szCs w:val="24"/>
          <w:highlight w:val="none"/>
          <w:lang w:val="en-US" w:eastAsia="zh-CN"/>
        </w:rPr>
        <w:t>造价咨询</w:t>
      </w:r>
      <w:r>
        <w:rPr>
          <w:rFonts w:hint="eastAsia" w:ascii="宋体" w:hAnsi="宋体" w:eastAsia="宋体" w:cs="Times New Roman"/>
          <w:b w:val="0"/>
          <w:bCs w:val="0"/>
          <w:color w:val="auto"/>
          <w:spacing w:val="20"/>
          <w:sz w:val="24"/>
          <w:szCs w:val="24"/>
          <w:highlight w:val="none"/>
        </w:rPr>
        <w:t>任务，并提供增值税专业发票税率为</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%，并按合同条件的要求，承担并完成上述工程的</w:t>
      </w:r>
      <w:r>
        <w:rPr>
          <w:rFonts w:hint="eastAsia" w:ascii="宋体" w:hAnsi="宋体" w:eastAsia="宋体" w:cs="Times New Roman"/>
          <w:b w:val="0"/>
          <w:bCs w:val="0"/>
          <w:color w:val="auto"/>
          <w:spacing w:val="20"/>
          <w:sz w:val="24"/>
          <w:szCs w:val="24"/>
          <w:highlight w:val="none"/>
          <w:lang w:val="en-US" w:eastAsia="zh-CN"/>
        </w:rPr>
        <w:t>造价咨询</w:t>
      </w:r>
      <w:r>
        <w:rPr>
          <w:rFonts w:hint="eastAsia" w:ascii="宋体" w:hAnsi="宋体" w:eastAsia="宋体" w:cs="Times New Roman"/>
          <w:b w:val="0"/>
          <w:bCs w:val="0"/>
          <w:color w:val="auto"/>
          <w:spacing w:val="20"/>
          <w:sz w:val="24"/>
          <w:szCs w:val="24"/>
          <w:highlight w:val="none"/>
        </w:rPr>
        <w:t>服务任务。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2、完全理解和接受全部招标文件（包括修改文件、参考资料和有关附件）的一切规定和要求。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3、我方同意在规定的投标截止之日起</w:t>
      </w:r>
      <w:r>
        <w:rPr>
          <w:rFonts w:hint="eastAsia" w:ascii="宋体" w:hAnsi="宋体" w:eastAsia="宋体" w:cs="Times New Roman"/>
          <w:b w:val="0"/>
          <w:bCs w:val="0"/>
          <w:color w:val="auto"/>
          <w:spacing w:val="23"/>
          <w:sz w:val="24"/>
          <w:szCs w:val="24"/>
          <w:highlight w:val="none"/>
          <w:u w:val="single"/>
        </w:rPr>
        <w:t xml:space="preserve">      </w:t>
      </w:r>
      <w:r>
        <w:rPr>
          <w:rFonts w:hint="eastAsia" w:ascii="宋体" w:hAnsi="宋体" w:eastAsia="宋体" w:cs="Times New Roman"/>
          <w:b w:val="0"/>
          <w:bCs w:val="0"/>
          <w:color w:val="auto"/>
          <w:spacing w:val="20"/>
          <w:sz w:val="24"/>
          <w:szCs w:val="24"/>
          <w:highlight w:val="none"/>
        </w:rPr>
        <w:t>日历天内遵守本投标。在该期限满期之前，本投标书对我单位始终具有约束力，并可随时被接受。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4、在正式签订</w:t>
      </w:r>
      <w:r>
        <w:rPr>
          <w:rFonts w:hint="eastAsia" w:ascii="宋体" w:hAnsi="宋体" w:eastAsia="宋体" w:cs="Times New Roman"/>
          <w:b w:val="0"/>
          <w:bCs w:val="0"/>
          <w:color w:val="auto"/>
          <w:spacing w:val="20"/>
          <w:sz w:val="24"/>
          <w:szCs w:val="24"/>
          <w:highlight w:val="none"/>
          <w:lang w:val="en-US" w:eastAsia="zh-CN"/>
        </w:rPr>
        <w:t>造价</w:t>
      </w:r>
      <w:r>
        <w:rPr>
          <w:rFonts w:hint="eastAsia" w:ascii="宋体" w:hAnsi="宋体" w:eastAsia="宋体" w:cs="Times New Roman"/>
          <w:b w:val="0"/>
          <w:bCs w:val="0"/>
          <w:color w:val="auto"/>
          <w:spacing w:val="20"/>
          <w:sz w:val="24"/>
          <w:szCs w:val="24"/>
          <w:highlight w:val="none"/>
        </w:rPr>
        <w:t>咨询服务协议书之前，本投标书连同贵方的中标通知书应成为约束贵、我双方的合同文件。</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5、在整个招、投标过程中及招、投标结束后，未经招标人书面同意，我方保证不向任何第三方泄露本次招、投标的任何信息、资料及内容。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6、投标文件中所有关于投标人资格的文件、证明、陈述均是真实的、准确的。若有违背，我方承担由此而产生的一切后果。</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投标人：（盖章）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3"/>
          <w:sz w:val="24"/>
          <w:szCs w:val="24"/>
          <w:highlight w:val="none"/>
          <w:u w:val="single"/>
        </w:rPr>
      </w:pPr>
      <w:r>
        <w:rPr>
          <w:rFonts w:hint="eastAsia" w:ascii="宋体" w:hAnsi="宋体" w:eastAsia="宋体" w:cs="Times New Roman"/>
          <w:b w:val="0"/>
          <w:bCs w:val="0"/>
          <w:color w:val="auto"/>
          <w:spacing w:val="20"/>
          <w:sz w:val="24"/>
          <w:szCs w:val="24"/>
          <w:highlight w:val="none"/>
        </w:rPr>
        <w:t>法定代表人或被授权人（代理人）(签字或签章):</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地    址：</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val="0"/>
          <w:bCs w:val="0"/>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电    话：</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0"/>
          <w:sz w:val="24"/>
          <w:szCs w:val="24"/>
          <w:highlight w:val="none"/>
        </w:rPr>
        <w:tab/>
      </w:r>
      <w:r>
        <w:rPr>
          <w:rFonts w:hint="eastAsia" w:ascii="宋体" w:hAnsi="宋体" w:eastAsia="宋体" w:cs="Times New Roman"/>
          <w:b w:val="0"/>
          <w:bCs w:val="0"/>
          <w:color w:val="auto"/>
          <w:spacing w:val="2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Times New Roman"/>
          <w:b/>
          <w:color w:val="auto"/>
          <w:spacing w:val="20"/>
          <w:sz w:val="24"/>
          <w:szCs w:val="24"/>
          <w:highlight w:val="none"/>
        </w:rPr>
      </w:pPr>
      <w:r>
        <w:rPr>
          <w:rFonts w:hint="eastAsia" w:ascii="宋体" w:hAnsi="宋体" w:eastAsia="宋体" w:cs="Times New Roman"/>
          <w:b w:val="0"/>
          <w:bCs w:val="0"/>
          <w:color w:val="auto"/>
          <w:spacing w:val="20"/>
          <w:sz w:val="24"/>
          <w:szCs w:val="24"/>
          <w:highlight w:val="none"/>
        </w:rPr>
        <w:t>日    期：</w:t>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val="0"/>
          <w:bCs w:val="0"/>
          <w:color w:val="auto"/>
          <w:spacing w:val="23"/>
          <w:sz w:val="24"/>
          <w:szCs w:val="24"/>
          <w:highlight w:val="none"/>
          <w:u w:val="single"/>
        </w:rPr>
        <w:tab/>
      </w:r>
      <w:r>
        <w:rPr>
          <w:rFonts w:hint="eastAsia" w:ascii="宋体" w:hAnsi="宋体" w:eastAsia="宋体" w:cs="Times New Roman"/>
          <w:b/>
          <w:color w:val="auto"/>
          <w:spacing w:val="20"/>
          <w:sz w:val="24"/>
          <w:szCs w:val="24"/>
          <w:highlight w:val="none"/>
        </w:rPr>
        <w:tab/>
      </w: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如果我方投标文件中存在计算或表达错误的，我方理解并接受评标委员会按照招标文件规定的原则进行修正，这种修正对我方具有约束力，且不需要我方确认。</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16"/>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14" w:name="_Toc223342668"/>
      <w:bookmarkEnd w:id="14"/>
      <w:bookmarkStart w:id="15" w:name="_Toc216145749"/>
      <w:bookmarkEnd w:id="15"/>
      <w:r>
        <w:rPr>
          <w:rFonts w:hint="eastAsia" w:ascii="宋体" w:hAnsi="宋体" w:eastAsia="宋体" w:cs="黑体"/>
          <w:color w:val="auto"/>
          <w:sz w:val="28"/>
          <w:szCs w:val="28"/>
          <w:highlight w:val="none"/>
        </w:rPr>
        <w:t>格式三：</w:t>
      </w:r>
    </w:p>
    <w:p>
      <w:pPr>
        <w:pStyle w:val="18"/>
        <w:widowControl/>
        <w:ind w:firstLine="0" w:firstLineChars="0"/>
        <w:jc w:val="center"/>
        <w:outlineLvl w:val="2"/>
        <w:rPr>
          <w:color w:val="auto"/>
          <w:kern w:val="44"/>
          <w:highlight w:val="none"/>
        </w:rPr>
      </w:pPr>
      <w:bookmarkStart w:id="16" w:name="_Toc172416501"/>
      <w:bookmarkEnd w:id="16"/>
      <w:r>
        <w:rPr>
          <w:rFonts w:hint="eastAsia" w:ascii="宋体" w:hAnsi="宋体" w:cs="宋体"/>
          <w:b/>
          <w:color w:val="auto"/>
          <w:sz w:val="30"/>
          <w:szCs w:val="30"/>
          <w:highlight w:val="none"/>
        </w:rPr>
        <w:t>法定代表人证明书</w:t>
      </w:r>
    </w:p>
    <w:p>
      <w:pPr>
        <w:pStyle w:val="18"/>
        <w:widowControl/>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8"/>
        <w:widowControl/>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18"/>
        <w:widowControl/>
        <w:ind w:firstLine="618"/>
        <w:rPr>
          <w:b/>
          <w:color w:val="auto"/>
          <w:sz w:val="30"/>
          <w:szCs w:val="30"/>
          <w:highlight w:val="none"/>
        </w:rPr>
      </w:pPr>
      <w:r>
        <w:rPr>
          <w:b/>
          <w:color w:val="auto"/>
          <w:sz w:val="30"/>
          <w:szCs w:val="30"/>
          <w:highlight w:val="none"/>
        </w:rPr>
        <w:t xml:space="preserve"> </w:t>
      </w:r>
    </w:p>
    <w:p>
      <w:pPr>
        <w:pStyle w:val="18"/>
        <w:widowControl/>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18"/>
        <w:widowControl/>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18"/>
        <w:widowControl/>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16"/>
        <w:widowControl/>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7" w:name="_Toc216145759"/>
      <w:bookmarkEnd w:id="17"/>
      <w:bookmarkStart w:id="18" w:name="_Toc223342677"/>
    </w:p>
    <w:p>
      <w:pPr>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16"/>
        <w:widowControl/>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8"/>
      <w:r>
        <w:rPr>
          <w:rFonts w:hint="eastAsia" w:ascii="宋体" w:hAnsi="宋体" w:eastAsia="宋体" w:cs="宋体"/>
          <w:color w:val="auto"/>
          <w:sz w:val="28"/>
          <w:szCs w:val="28"/>
          <w:highlight w:val="none"/>
        </w:rPr>
        <w:t xml:space="preserve"> </w:t>
      </w:r>
    </w:p>
    <w:p>
      <w:pPr>
        <w:pStyle w:val="18"/>
        <w:widowControl/>
        <w:ind w:firstLine="0" w:firstLineChars="0"/>
        <w:jc w:val="center"/>
        <w:rPr>
          <w:b/>
          <w:color w:val="auto"/>
          <w:sz w:val="28"/>
          <w:szCs w:val="28"/>
          <w:highlight w:val="none"/>
        </w:rPr>
      </w:pPr>
      <w:r>
        <w:rPr>
          <w:b/>
          <w:color w:val="auto"/>
          <w:sz w:val="28"/>
          <w:szCs w:val="28"/>
          <w:highlight w:val="none"/>
        </w:rPr>
        <w:t xml:space="preserve"> </w:t>
      </w:r>
    </w:p>
    <w:p>
      <w:pPr>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现场人员到位承诺书</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建设单位名称：</w:t>
      </w:r>
      <w:r>
        <w:rPr>
          <w:rFonts w:hint="eastAsia" w:ascii="宋体" w:hAnsi="宋体" w:eastAsia="宋体" w:cs="宋体"/>
          <w:color w:val="auto"/>
          <w:sz w:val="24"/>
          <w:highlight w:val="none"/>
          <w:u w:val="single"/>
        </w:rPr>
        <w:t>广州南沙</w:t>
      </w:r>
      <w:r>
        <w:rPr>
          <w:rFonts w:hint="eastAsia" w:ascii="宋体" w:hAnsi="宋体" w:eastAsia="宋体" w:cs="宋体"/>
          <w:color w:val="auto"/>
          <w:sz w:val="24"/>
          <w:highlight w:val="none"/>
          <w:u w:val="single"/>
          <w:lang w:val="en-US" w:eastAsia="zh-CN"/>
        </w:rPr>
        <w:t>建设维护管理</w:t>
      </w:r>
      <w:r>
        <w:rPr>
          <w:rFonts w:hint="eastAsia" w:ascii="宋体" w:hAnsi="宋体" w:eastAsia="宋体" w:cs="宋体"/>
          <w:color w:val="auto"/>
          <w:sz w:val="24"/>
          <w:highlight w:val="none"/>
          <w:u w:val="single"/>
        </w:rPr>
        <w:t>有限公司</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投标工程名称：</w:t>
      </w:r>
      <w:r>
        <w:rPr>
          <w:rFonts w:hint="eastAsia" w:ascii="宋体" w:hAnsi="宋体" w:eastAsia="宋体" w:cs="宋体"/>
          <w:color w:val="auto"/>
          <w:sz w:val="24"/>
          <w:highlight w:val="none"/>
          <w:u w:val="single"/>
          <w:lang w:val="en-US" w:eastAsia="zh-CN"/>
        </w:rPr>
        <w:t>南沙</w:t>
      </w:r>
      <w:r>
        <w:rPr>
          <w:rFonts w:hint="eastAsia" w:ascii="宋体" w:hAnsi="宋体" w:eastAsia="宋体" w:cs="宋体"/>
          <w:color w:val="auto"/>
          <w:sz w:val="24"/>
          <w:highlight w:val="none"/>
          <w:u w:val="single"/>
        </w:rPr>
        <w:t>资产经营集团年度项目</w:t>
      </w:r>
      <w:r>
        <w:rPr>
          <w:rFonts w:hint="eastAsia" w:ascii="宋体" w:hAnsi="宋体" w:eastAsia="宋体" w:cs="宋体"/>
          <w:color w:val="auto"/>
          <w:sz w:val="24"/>
          <w:highlight w:val="none"/>
          <w:u w:val="single"/>
          <w:lang w:val="en-US" w:eastAsia="zh-CN"/>
        </w:rPr>
        <w:t>造价</w:t>
      </w:r>
      <w:r>
        <w:rPr>
          <w:rFonts w:hint="eastAsia" w:ascii="宋体" w:hAnsi="宋体" w:eastAsia="宋体" w:cs="宋体"/>
          <w:color w:val="auto"/>
          <w:sz w:val="24"/>
          <w:highlight w:val="none"/>
          <w:u w:val="single"/>
        </w:rPr>
        <w:t>咨询服务</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我方如果中标，承诺现场人员的配备不得低于招标人要求（不包括项目负责人）；</w:t>
      </w:r>
      <w:r>
        <w:rPr>
          <w:rFonts w:hint="eastAsia" w:ascii="宋体" w:hAnsi="宋体" w:eastAsia="宋体" w:cs="宋体"/>
          <w:color w:val="auto"/>
          <w:sz w:val="24"/>
          <w:highlight w:val="none"/>
          <w:lang w:val="en-US" w:eastAsia="zh-CN"/>
        </w:rPr>
        <w:t>技术负责人</w:t>
      </w:r>
      <w:r>
        <w:rPr>
          <w:rFonts w:hint="eastAsia" w:ascii="宋体" w:hAnsi="宋体" w:eastAsia="宋体" w:cs="宋体"/>
          <w:color w:val="auto"/>
          <w:sz w:val="24"/>
          <w:highlight w:val="none"/>
        </w:rPr>
        <w:t>1名、造价</w:t>
      </w:r>
      <w:r>
        <w:rPr>
          <w:rFonts w:ascii="Times New Roman" w:hAnsi="Times New Roman" w:eastAsia="宋体" w:cs="Times New Roman"/>
          <w:color w:val="auto"/>
          <w:sz w:val="24"/>
          <w:highlight w:val="none"/>
        </w:rPr>
        <w:t>1</w:t>
      </w:r>
      <w:r>
        <w:rPr>
          <w:rFonts w:hint="eastAsia" w:ascii="宋体" w:hAnsi="宋体" w:eastAsia="宋体" w:cs="宋体"/>
          <w:color w:val="auto"/>
          <w:sz w:val="24"/>
          <w:highlight w:val="none"/>
        </w:rPr>
        <w:t>名</w:t>
      </w:r>
      <w:r>
        <w:rPr>
          <w:rFonts w:hint="eastAsia" w:ascii="宋体" w:hAnsi="宋体" w:eastAsia="宋体" w:cs="宋体"/>
          <w:color w:val="auto"/>
          <w:sz w:val="24"/>
          <w:highlight w:val="none"/>
          <w:lang w:val="en-US" w:eastAsia="zh-CN"/>
        </w:rPr>
        <w:t>以上</w:t>
      </w:r>
      <w:r>
        <w:rPr>
          <w:rFonts w:hint="eastAsia" w:ascii="宋体" w:hAnsi="宋体" w:eastAsia="宋体" w:cs="宋体"/>
          <w:color w:val="auto"/>
          <w:sz w:val="24"/>
          <w:highlight w:val="none"/>
        </w:rPr>
        <w:t>，各专业人员根据工程进度派驻驻地完成</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任务。</w:t>
      </w:r>
    </w:p>
    <w:p>
      <w:pPr>
        <w:snapToGrid w:val="0"/>
        <w:spacing w:after="120" w:line="440" w:lineRule="exac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9" w:name="_Toc196036941"/>
      <w:bookmarkEnd w:id="19"/>
      <w:bookmarkStart w:id="20" w:name="_Toc196037097"/>
      <w:bookmarkEnd w:id="20"/>
      <w:bookmarkStart w:id="21" w:name="_Toc41822703"/>
      <w:bookmarkEnd w:id="21"/>
      <w:bookmarkStart w:id="22" w:name="_Toc196130013"/>
      <w:bookmarkEnd w:id="22"/>
      <w:bookmarkStart w:id="23" w:name="_Toc415833503"/>
      <w:bookmarkEnd w:id="23"/>
      <w:bookmarkStart w:id="24" w:name="_Toc199647675"/>
      <w:bookmarkEnd w:id="24"/>
      <w:bookmarkStart w:id="25" w:name="_Toc196130110"/>
      <w:bookmarkEnd w:id="25"/>
      <w:bookmarkStart w:id="26" w:name="_Toc415728297"/>
      <w:bookmarkEnd w:id="26"/>
      <w:bookmarkStart w:id="27" w:name="_Toc197235848"/>
      <w:bookmarkEnd w:id="27"/>
      <w:bookmarkStart w:id="28" w:name="_Toc459403394"/>
      <w:bookmarkEnd w:id="28"/>
      <w:bookmarkStart w:id="29" w:name="_Toc326909213"/>
      <w:bookmarkEnd w:id="29"/>
      <w:bookmarkStart w:id="30" w:name="_Toc462911098"/>
      <w:r>
        <w:rPr>
          <w:rFonts w:hint="eastAsia" w:ascii="宋体" w:hAnsi="宋体" w:eastAsia="宋体" w:cs="黑体"/>
          <w:b/>
          <w:color w:val="auto"/>
          <w:spacing w:val="4"/>
          <w:kern w:val="0"/>
          <w:sz w:val="28"/>
          <w:szCs w:val="28"/>
          <w:highlight w:val="none"/>
        </w:rPr>
        <w:t>格式五</w:t>
      </w:r>
      <w:bookmarkEnd w:id="30"/>
      <w:r>
        <w:rPr>
          <w:rFonts w:hint="eastAsia" w:ascii="宋体" w:hAnsi="宋体" w:eastAsia="宋体" w:cs="宋体"/>
          <w:color w:val="auto"/>
          <w:sz w:val="28"/>
          <w:szCs w:val="28"/>
          <w:highlight w:val="none"/>
        </w:rPr>
        <w:t>：</w:t>
      </w:r>
    </w:p>
    <w:p>
      <w:pPr>
        <w:spacing w:line="360" w:lineRule="auto"/>
        <w:jc w:val="center"/>
        <w:outlineLvl w:val="2"/>
        <w:rPr>
          <w:rFonts w:ascii="仿宋" w:hAnsi="仿宋" w:eastAsia="仿宋" w:cs="仿宋"/>
          <w:b/>
          <w:bCs/>
          <w:color w:val="auto"/>
          <w:sz w:val="36"/>
          <w:szCs w:val="36"/>
          <w:highlight w:val="none"/>
        </w:rPr>
      </w:pPr>
      <w:bookmarkStart w:id="31" w:name="_Toc41822704"/>
      <w:bookmarkEnd w:id="31"/>
      <w:r>
        <w:rPr>
          <w:rFonts w:hint="eastAsia" w:ascii="仿宋" w:hAnsi="仿宋" w:eastAsia="仿宋" w:cs="仿宋"/>
          <w:b/>
          <w:bCs/>
          <w:color w:val="auto"/>
          <w:sz w:val="36"/>
          <w:szCs w:val="36"/>
          <w:highlight w:val="none"/>
        </w:rPr>
        <w:t>投标人综合概况</w:t>
      </w:r>
    </w:p>
    <w:tbl>
      <w:tblPr>
        <w:tblStyle w:val="14"/>
        <w:tblW w:w="933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工程资质证号、范围和等级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w:t>
            </w:r>
            <w:r>
              <w:rPr>
                <w:rFonts w:hint="eastAsia" w:ascii="仿宋" w:hAnsi="仿宋" w:eastAsia="仿宋" w:cs="仿宋"/>
                <w:color w:val="auto"/>
                <w:sz w:val="24"/>
                <w:highlight w:val="none"/>
                <w:lang w:val="en-US" w:eastAsia="zh-CN"/>
              </w:rPr>
              <w:t>造价</w:t>
            </w:r>
            <w:r>
              <w:rPr>
                <w:rFonts w:hint="eastAsia" w:ascii="仿宋" w:hAnsi="仿宋" w:eastAsia="仿宋" w:cs="仿宋"/>
                <w:color w:val="auto"/>
                <w:sz w:val="24"/>
                <w:highlight w:val="none"/>
              </w:rPr>
              <w:t>的专业特长：</w:t>
            </w:r>
          </w:p>
        </w:tc>
      </w:tr>
    </w:tbl>
    <w:p>
      <w:pPr>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outlineLvl w:val="1"/>
        <w:rPr>
          <w:rFonts w:ascii="仿宋" w:hAnsi="仿宋" w:eastAsia="仿宋" w:cs="仿宋"/>
          <w:color w:val="auto"/>
          <w:kern w:val="24"/>
          <w:sz w:val="28"/>
          <w:szCs w:val="28"/>
          <w:highlight w:val="none"/>
        </w:rPr>
      </w:pPr>
      <w:bookmarkStart w:id="32" w:name="_Toc196130014"/>
      <w:bookmarkEnd w:id="32"/>
      <w:bookmarkStart w:id="33" w:name="_Toc199647676"/>
      <w:bookmarkEnd w:id="33"/>
      <w:bookmarkStart w:id="34" w:name="_Toc415728298"/>
      <w:bookmarkEnd w:id="34"/>
      <w:bookmarkStart w:id="35" w:name="_Toc415833504"/>
      <w:bookmarkEnd w:id="35"/>
      <w:bookmarkStart w:id="36" w:name="_Toc196036942"/>
      <w:bookmarkEnd w:id="36"/>
      <w:bookmarkStart w:id="37" w:name="_Toc326909214"/>
      <w:bookmarkEnd w:id="37"/>
      <w:bookmarkStart w:id="38" w:name="_Toc459403395"/>
      <w:bookmarkEnd w:id="38"/>
      <w:bookmarkStart w:id="39" w:name="_Toc197235849"/>
      <w:bookmarkEnd w:id="39"/>
      <w:bookmarkStart w:id="40" w:name="_Toc196037098"/>
      <w:bookmarkEnd w:id="40"/>
      <w:bookmarkStart w:id="41" w:name="_Toc196130111"/>
      <w:bookmarkEnd w:id="41"/>
      <w:bookmarkStart w:id="42" w:name="_Toc462911099"/>
      <w:r>
        <w:rPr>
          <w:rFonts w:hint="eastAsia" w:ascii="宋体" w:hAnsi="宋体" w:eastAsia="宋体" w:cs="黑体"/>
          <w:b/>
          <w:color w:val="auto"/>
          <w:spacing w:val="4"/>
          <w:kern w:val="0"/>
          <w:sz w:val="28"/>
          <w:szCs w:val="28"/>
          <w:highlight w:val="none"/>
        </w:rPr>
        <w:t>格式六</w:t>
      </w:r>
      <w:bookmarkEnd w:id="42"/>
      <w:r>
        <w:rPr>
          <w:rFonts w:hint="eastAsia" w:ascii="仿宋" w:hAnsi="仿宋" w:eastAsia="仿宋" w:cs="仿宋"/>
          <w:color w:val="auto"/>
          <w:kern w:val="24"/>
          <w:sz w:val="28"/>
          <w:szCs w:val="28"/>
          <w:highlight w:val="none"/>
        </w:rPr>
        <w:t>：</w:t>
      </w:r>
    </w:p>
    <w:p>
      <w:pPr>
        <w:ind w:firstLine="480" w:firstLineChars="200"/>
        <w:rPr>
          <w:rFonts w:ascii="仿宋" w:hAnsi="仿宋" w:eastAsia="仿宋" w:cs="仿宋"/>
          <w:color w:val="auto"/>
          <w:kern w:val="24"/>
          <w:sz w:val="24"/>
          <w:highlight w:val="none"/>
        </w:rPr>
      </w:pPr>
      <w:r>
        <w:rPr>
          <w:rFonts w:hint="eastAsia" w:ascii="仿宋" w:hAnsi="仿宋" w:eastAsia="仿宋" w:cs="仿宋"/>
          <w:color w:val="auto"/>
          <w:kern w:val="24"/>
          <w:sz w:val="24"/>
          <w:highlight w:val="none"/>
        </w:rPr>
        <w:t>2017年至</w:t>
      </w:r>
      <w:r>
        <w:rPr>
          <w:rFonts w:hint="eastAsia" w:ascii="仿宋" w:hAnsi="仿宋" w:eastAsia="仿宋" w:cs="仿宋"/>
          <w:color w:val="auto"/>
          <w:kern w:val="24"/>
          <w:sz w:val="24"/>
          <w:highlight w:val="none"/>
          <w:lang w:val="en-US" w:eastAsia="zh-CN"/>
        </w:rPr>
        <w:t>2019年</w:t>
      </w:r>
      <w:r>
        <w:rPr>
          <w:rFonts w:hint="eastAsia" w:ascii="仿宋" w:hAnsi="仿宋" w:eastAsia="仿宋" w:cs="仿宋"/>
          <w:color w:val="auto"/>
          <w:kern w:val="24"/>
          <w:sz w:val="24"/>
          <w:highlight w:val="none"/>
        </w:rPr>
        <w:t>企业承担的同类项目（</w:t>
      </w:r>
      <w:r>
        <w:rPr>
          <w:rFonts w:hint="eastAsia" w:ascii="仿宋" w:hAnsi="仿宋" w:eastAsia="仿宋" w:cs="仿宋"/>
          <w:color w:val="auto"/>
          <w:kern w:val="24"/>
          <w:sz w:val="24"/>
          <w:highlight w:val="none"/>
          <w:lang w:val="en-US" w:eastAsia="zh-CN"/>
        </w:rPr>
        <w:t>造价咨询服务</w:t>
      </w:r>
      <w:r>
        <w:rPr>
          <w:rFonts w:hint="eastAsia" w:ascii="仿宋" w:hAnsi="仿宋" w:eastAsia="仿宋" w:cs="仿宋"/>
          <w:color w:val="auto"/>
          <w:kern w:val="24"/>
          <w:sz w:val="24"/>
          <w:highlight w:val="none"/>
        </w:rPr>
        <w:t>）</w:t>
      </w:r>
    </w:p>
    <w:p>
      <w:pPr>
        <w:spacing w:before="85" w:beforeLines="30" w:line="360" w:lineRule="auto"/>
        <w:jc w:val="center"/>
        <w:outlineLvl w:val="2"/>
        <w:rPr>
          <w:rFonts w:ascii="仿宋" w:hAnsi="仿宋" w:eastAsia="仿宋" w:cs="仿宋"/>
          <w:color w:val="auto"/>
          <w:kern w:val="24"/>
          <w:sz w:val="28"/>
          <w:szCs w:val="28"/>
          <w:highlight w:val="none"/>
        </w:rPr>
      </w:pPr>
      <w:bookmarkStart w:id="43" w:name="_Toc196130112"/>
      <w:bookmarkEnd w:id="43"/>
      <w:bookmarkStart w:id="44" w:name="_Toc196037099"/>
      <w:bookmarkEnd w:id="44"/>
      <w:bookmarkStart w:id="45" w:name="_Toc196036943"/>
      <w:bookmarkEnd w:id="45"/>
      <w:bookmarkStart w:id="46" w:name="_Toc197235850"/>
      <w:bookmarkEnd w:id="46"/>
      <w:bookmarkStart w:id="47" w:name="_Toc41822705"/>
      <w:bookmarkEnd w:id="47"/>
      <w:bookmarkStart w:id="48" w:name="_Toc199647677"/>
      <w:bookmarkEnd w:id="48"/>
      <w:bookmarkStart w:id="49" w:name="_Toc196130015"/>
      <w:bookmarkEnd w:id="49"/>
      <w:bookmarkStart w:id="50" w:name="_Toc326909215"/>
      <w:r>
        <w:rPr>
          <w:rFonts w:hint="eastAsia" w:ascii="仿宋" w:hAnsi="仿宋" w:eastAsia="仿宋" w:cs="仿宋"/>
          <w:b/>
          <w:bCs/>
          <w:color w:val="auto"/>
          <w:kern w:val="24"/>
          <w:sz w:val="36"/>
          <w:szCs w:val="36"/>
          <w:highlight w:val="none"/>
        </w:rPr>
        <w:t>业绩一览表</w:t>
      </w:r>
      <w:bookmarkEnd w:id="50"/>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969"/>
        <w:gridCol w:w="1134"/>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委托人</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Lines="50" w:line="32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主要服务内容</w:t>
            </w:r>
          </w:p>
        </w:tc>
        <w:tc>
          <w:tcPr>
            <w:tcW w:w="1701"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主要造价服务合同额</w:t>
            </w:r>
          </w:p>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（万元）</w:t>
            </w:r>
          </w:p>
        </w:tc>
        <w:tc>
          <w:tcPr>
            <w:tcW w:w="1134" w:type="dxa"/>
            <w:vAlign w:val="center"/>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签定时间</w:t>
            </w:r>
          </w:p>
        </w:tc>
        <w:tc>
          <w:tcPr>
            <w:tcW w:w="1134" w:type="dxa"/>
          </w:tcPr>
          <w:p>
            <w:pPr>
              <w:adjustRightInd w:val="0"/>
              <w:snapToGrid w:val="0"/>
              <w:spacing w:line="40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是否为国有投资项目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napToGrid w:val="0"/>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line="260" w:lineRule="exact"/>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701" w:type="dxa"/>
          </w:tcPr>
          <w:p>
            <w:pPr>
              <w:adjustRightInd w:val="0"/>
              <w:snapToGrid w:val="0"/>
              <w:spacing w:line="400" w:lineRule="atLeast"/>
              <w:jc w:val="center"/>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c>
          <w:tcPr>
            <w:tcW w:w="1134" w:type="dxa"/>
          </w:tcPr>
          <w:p>
            <w:pPr>
              <w:adjustRightInd w:val="0"/>
              <w:snapToGrid w:val="0"/>
              <w:spacing w:line="400" w:lineRule="atLeast"/>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w:t>
            </w: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ind w:firstLine="140" w:firstLineChar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68"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3969"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vAlign w:val="center"/>
          </w:tcPr>
          <w:p>
            <w:pPr>
              <w:spacing w:beforeLines="50"/>
              <w:jc w:val="center"/>
              <w:rPr>
                <w:rFonts w:hint="eastAsia" w:asciiTheme="minorEastAsia" w:hAnsiTheme="minorEastAsia" w:eastAsiaTheme="minorEastAsia" w:cstheme="minorEastAsia"/>
                <w:color w:val="auto"/>
                <w:sz w:val="28"/>
                <w:szCs w:val="28"/>
                <w:highlight w:val="none"/>
              </w:rPr>
            </w:pPr>
          </w:p>
        </w:tc>
        <w:tc>
          <w:tcPr>
            <w:tcW w:w="1701" w:type="dxa"/>
          </w:tcPr>
          <w:p>
            <w:pPr>
              <w:spacing w:beforeLines="50"/>
              <w:jc w:val="center"/>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c>
          <w:tcPr>
            <w:tcW w:w="1134" w:type="dxa"/>
          </w:tcPr>
          <w:p>
            <w:pPr>
              <w:spacing w:beforeLines="50"/>
              <w:jc w:val="left"/>
              <w:rPr>
                <w:rFonts w:hint="eastAsia" w:asciiTheme="minorEastAsia" w:hAnsiTheme="minorEastAsia" w:eastAsiaTheme="minorEastAsia" w:cstheme="minorEastAsia"/>
                <w:color w:val="auto"/>
                <w:sz w:val="28"/>
                <w:szCs w:val="28"/>
                <w:highlight w:val="none"/>
              </w:rPr>
            </w:pPr>
          </w:p>
        </w:tc>
      </w:tr>
    </w:tbl>
    <w:p>
      <w:pPr>
        <w:spacing w:line="360" w:lineRule="auto"/>
        <w:ind w:firstLine="359" w:firstLineChars="171"/>
        <w:rPr>
          <w:rFonts w:ascii="仿宋" w:hAnsi="仿宋" w:eastAsia="仿宋" w:cs="仿宋"/>
          <w:color w:val="auto"/>
          <w:highlight w:val="none"/>
        </w:rPr>
      </w:pPr>
      <w:r>
        <w:rPr>
          <w:rFonts w:hint="eastAsia" w:ascii="仿宋" w:hAnsi="仿宋" w:eastAsia="仿宋" w:cs="仿宋"/>
          <w:color w:val="auto"/>
          <w:szCs w:val="21"/>
          <w:highlight w:val="none"/>
        </w:rPr>
        <w:t>注：1、投标人提供的同类工程业绩证明资料附于该表后面。业绩证明资料须提供：（1）合同；相关证明资料必须能反映出评标所需指标，否则相应子项不予计分；时间以合同文件签订时间为准。</w:t>
      </w:r>
    </w:p>
    <w:p>
      <w:pPr>
        <w:keepNext w:val="0"/>
        <w:keepLines w:val="0"/>
        <w:pageBreakBefore w:val="0"/>
        <w:widowControl w:val="0"/>
        <w:kinsoku/>
        <w:wordWrap/>
        <w:overflowPunct/>
        <w:topLinePunct w:val="0"/>
        <w:autoSpaceDE/>
        <w:autoSpaceDN/>
        <w:bidi w:val="0"/>
        <w:adjustRightInd/>
        <w:snapToGrid/>
        <w:spacing w:line="360" w:lineRule="auto"/>
        <w:ind w:firstLine="779" w:firstLineChars="371"/>
        <w:textAlignment w:val="auto"/>
        <w:outlineLvl w:val="9"/>
        <w:rPr>
          <w:rFonts w:ascii="仿宋" w:hAnsi="仿宋" w:eastAsia="仿宋" w:cs="仿宋"/>
          <w:color w:val="auto"/>
          <w:sz w:val="24"/>
          <w:highlight w:val="none"/>
        </w:rPr>
      </w:pPr>
      <w:r>
        <w:rPr>
          <w:rFonts w:hint="eastAsia" w:ascii="仿宋" w:hAnsi="仿宋" w:eastAsia="仿宋" w:cs="仿宋"/>
          <w:color w:val="auto"/>
          <w:szCs w:val="21"/>
          <w:highlight w:val="none"/>
        </w:rPr>
        <w:t>2、如有获奖，请附获奖证书复印件。</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600" w:lineRule="exact"/>
        <w:rPr>
          <w:rFonts w:ascii="仿宋" w:hAnsi="仿宋" w:eastAsia="仿宋" w:cs="宋体"/>
          <w:color w:val="auto"/>
          <w:sz w:val="28"/>
          <w:szCs w:val="28"/>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格式七</w:t>
      </w:r>
      <w:r>
        <w:rPr>
          <w:rFonts w:hint="eastAsia" w:ascii="仿宋" w:hAnsi="仿宋" w:eastAsia="仿宋" w:cs="宋体"/>
          <w:color w:val="auto"/>
          <w:sz w:val="28"/>
          <w:szCs w:val="28"/>
          <w:highlight w:val="none"/>
        </w:rPr>
        <w:t>：</w:t>
      </w:r>
    </w:p>
    <w:p>
      <w:pPr>
        <w:adjustRightInd w:val="0"/>
        <w:snapToGrid w:val="0"/>
        <w:spacing w:before="85"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adjustRightInd w:val="0"/>
        <w:snapToGrid w:val="0"/>
        <w:spacing w:before="85"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10209" w:type="dxa"/>
        <w:jc w:val="center"/>
        <w:tblInd w:w="0" w:type="dxa"/>
        <w:tblLayout w:type="fixed"/>
        <w:tblCellMar>
          <w:top w:w="0" w:type="dxa"/>
          <w:left w:w="108" w:type="dxa"/>
          <w:bottom w:w="0" w:type="dxa"/>
          <w:right w:w="108" w:type="dxa"/>
        </w:tblCellMar>
      </w:tblPr>
      <w:tblGrid>
        <w:gridCol w:w="552"/>
        <w:gridCol w:w="915"/>
        <w:gridCol w:w="887"/>
        <w:gridCol w:w="887"/>
        <w:gridCol w:w="1066"/>
        <w:gridCol w:w="886"/>
        <w:gridCol w:w="884"/>
        <w:gridCol w:w="1250"/>
        <w:gridCol w:w="715"/>
        <w:gridCol w:w="2167"/>
      </w:tblGrid>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经验年限</w:t>
            </w: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000000" w:sz="6"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r>
        <w:tblPrEx>
          <w:tblLayout w:type="fixed"/>
          <w:tblCellMar>
            <w:top w:w="0" w:type="dxa"/>
            <w:left w:w="108" w:type="dxa"/>
            <w:bottom w:w="0" w:type="dxa"/>
            <w:right w:w="108" w:type="dxa"/>
          </w:tblCellMar>
        </w:tblPrEx>
        <w:trPr>
          <w:trHeight w:val="454" w:hRule="atLeast"/>
          <w:jc w:val="center"/>
        </w:trPr>
        <w:tc>
          <w:tcPr>
            <w:tcW w:w="552" w:type="dxa"/>
            <w:tcBorders>
              <w:top w:val="single" w:color="000000" w:sz="6" w:space="0"/>
              <w:left w:val="single" w:color="000000" w:sz="6" w:space="0"/>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9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c>
          <w:tcPr>
            <w:tcW w:w="2167" w:type="dxa"/>
            <w:tcBorders>
              <w:top w:val="single" w:color="000000" w:sz="6" w:space="0"/>
              <w:left w:val="nil"/>
              <w:bottom w:val="single" w:color="auto" w:sz="4" w:space="0"/>
              <w:right w:val="single" w:color="000000" w:sz="6" w:space="0"/>
            </w:tcBorders>
            <w:shd w:val="clear" w:color="auto" w:fill="auto"/>
            <w:vAlign w:val="center"/>
          </w:tcPr>
          <w:p>
            <w:pPr>
              <w:snapToGrid w:val="0"/>
              <w:spacing w:line="360" w:lineRule="auto"/>
              <w:jc w:val="center"/>
              <w:rPr>
                <w:rFonts w:ascii="仿宋" w:hAnsi="仿宋" w:eastAsia="仿宋" w:cs="仿宋"/>
                <w:color w:val="auto"/>
                <w:sz w:val="24"/>
                <w:highlight w:val="none"/>
              </w:rPr>
            </w:pPr>
          </w:p>
        </w:tc>
      </w:tr>
    </w:tbl>
    <w:p>
      <w:pPr>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w:t>
      </w:r>
      <w:r>
        <w:rPr>
          <w:rFonts w:hint="eastAsia" w:ascii="仿宋" w:hAnsi="仿宋" w:eastAsia="仿宋" w:cs="仿宋"/>
          <w:color w:val="auto"/>
          <w:szCs w:val="21"/>
          <w:highlight w:val="none"/>
          <w:lang w:val="en-US" w:eastAsia="zh-CN"/>
        </w:rPr>
        <w:t>造价</w:t>
      </w:r>
      <w:r>
        <w:rPr>
          <w:rFonts w:hint="eastAsia" w:ascii="仿宋" w:hAnsi="仿宋" w:eastAsia="仿宋" w:cs="仿宋"/>
          <w:color w:val="auto"/>
          <w:szCs w:val="21"/>
          <w:highlight w:val="none"/>
        </w:rPr>
        <w:t>咨询人员（须注明项目负责人、</w:t>
      </w:r>
      <w:r>
        <w:rPr>
          <w:rFonts w:hint="eastAsia" w:ascii="仿宋" w:hAnsi="仿宋" w:eastAsia="仿宋" w:cs="仿宋"/>
          <w:color w:val="auto"/>
          <w:szCs w:val="21"/>
          <w:highlight w:val="none"/>
          <w:lang w:val="en-US" w:eastAsia="zh-CN"/>
        </w:rPr>
        <w:t>技术</w:t>
      </w:r>
      <w:r>
        <w:rPr>
          <w:rFonts w:hint="eastAsia" w:ascii="仿宋" w:hAnsi="仿宋" w:eastAsia="仿宋" w:cs="仿宋"/>
          <w:color w:val="auto"/>
          <w:szCs w:val="21"/>
          <w:highlight w:val="none"/>
        </w:rPr>
        <w:t>负责人）等。</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2、项目负责人应按格式八表格及备注的规定附相关证明文件。</w:t>
      </w:r>
    </w:p>
    <w:p>
      <w:pPr>
        <w:adjustRightInd w:val="0"/>
        <w:snapToGrid w:val="0"/>
        <w:spacing w:before="85"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rPr>
        <w:t>3、其他人员应附上个人注册执业资格证、职称证等文件（复印件，加盖单位公章）。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格式八</w:t>
      </w:r>
      <w:r>
        <w:rPr>
          <w:rFonts w:hint="eastAsia" w:ascii="仿宋" w:hAnsi="仿宋" w:eastAsia="仿宋" w:cs="宋体"/>
          <w:color w:val="auto"/>
          <w:sz w:val="28"/>
          <w:szCs w:val="28"/>
          <w:highlight w:val="none"/>
        </w:rPr>
        <w:t>：</w:t>
      </w:r>
    </w:p>
    <w:p>
      <w:pPr>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adjustRightInd w:val="0"/>
        <w:snapToGrid w:val="0"/>
        <w:spacing w:before="85"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spacing w:line="460" w:lineRule="exact"/>
              <w:jc w:val="left"/>
              <w:rPr>
                <w:rFonts w:ascii="宋体" w:hAnsi="宋体" w:eastAsia="宋体" w:cs="宋体"/>
                <w:color w:val="auto"/>
                <w:szCs w:val="21"/>
                <w:highlight w:val="none"/>
              </w:rPr>
            </w:pPr>
          </w:p>
        </w:tc>
        <w:tc>
          <w:tcPr>
            <w:tcW w:w="927"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spacing w:line="460" w:lineRule="exact"/>
              <w:jc w:val="left"/>
              <w:rPr>
                <w:rFonts w:ascii="宋体" w:hAnsi="宋体" w:eastAsia="宋体" w:cs="宋体"/>
                <w:color w:val="auto"/>
                <w:szCs w:val="21"/>
                <w:highlight w:val="none"/>
              </w:rPr>
            </w:pPr>
          </w:p>
        </w:tc>
        <w:tc>
          <w:tcPr>
            <w:tcW w:w="2130" w:type="dxa"/>
            <w:gridSpan w:val="3"/>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tcPr>
          <w:p>
            <w:pPr>
              <w:spacing w:line="460" w:lineRule="exact"/>
              <w:jc w:val="left"/>
              <w:rPr>
                <w:rFonts w:ascii="宋体" w:hAnsi="宋体" w:eastAsia="宋体" w:cs="宋体"/>
                <w:color w:val="auto"/>
                <w:szCs w:val="21"/>
                <w:highlight w:val="none"/>
              </w:rPr>
            </w:pPr>
          </w:p>
        </w:tc>
        <w:tc>
          <w:tcPr>
            <w:tcW w:w="3420" w:type="dxa"/>
            <w:gridSpan w:val="4"/>
          </w:tcPr>
          <w:p>
            <w:pPr>
              <w:spacing w:line="460" w:lineRule="exact"/>
              <w:jc w:val="left"/>
              <w:rPr>
                <w:rFonts w:ascii="宋体" w:hAnsi="宋体" w:eastAsia="宋体" w:cs="宋体"/>
                <w:color w:val="auto"/>
                <w:szCs w:val="21"/>
                <w:highlight w:val="none"/>
              </w:rPr>
            </w:pPr>
          </w:p>
        </w:tc>
        <w:tc>
          <w:tcPr>
            <w:tcW w:w="1261" w:type="dxa"/>
          </w:tcPr>
          <w:p>
            <w:pPr>
              <w:spacing w:line="460" w:lineRule="exact"/>
              <w:jc w:val="left"/>
              <w:rPr>
                <w:rFonts w:ascii="宋体" w:hAnsi="宋体" w:eastAsia="宋体" w:cs="宋体"/>
                <w:color w:val="auto"/>
                <w:szCs w:val="21"/>
                <w:highlight w:val="none"/>
              </w:rPr>
            </w:pPr>
          </w:p>
        </w:tc>
        <w:tc>
          <w:tcPr>
            <w:tcW w:w="2296" w:type="dxa"/>
            <w:gridSpan w:val="2"/>
          </w:tcPr>
          <w:p>
            <w:pPr>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vAlign w:val="center"/>
          </w:tcPr>
          <w:p>
            <w:pPr>
              <w:spacing w:line="460" w:lineRule="exact"/>
              <w:jc w:val="left"/>
              <w:rPr>
                <w:rFonts w:ascii="宋体" w:hAnsi="宋体" w:eastAsia="宋体" w:cs="宋体"/>
                <w:color w:val="auto"/>
                <w:szCs w:val="21"/>
                <w:highlight w:val="none"/>
              </w:rPr>
            </w:pPr>
          </w:p>
        </w:tc>
        <w:tc>
          <w:tcPr>
            <w:tcW w:w="3420" w:type="dxa"/>
            <w:gridSpan w:val="4"/>
            <w:vAlign w:val="center"/>
          </w:tcPr>
          <w:p>
            <w:pPr>
              <w:spacing w:line="460" w:lineRule="exact"/>
              <w:jc w:val="left"/>
              <w:rPr>
                <w:rFonts w:ascii="宋体" w:hAnsi="宋体" w:eastAsia="宋体" w:cs="宋体"/>
                <w:color w:val="auto"/>
                <w:szCs w:val="21"/>
                <w:highlight w:val="none"/>
              </w:rPr>
            </w:pPr>
          </w:p>
        </w:tc>
        <w:tc>
          <w:tcPr>
            <w:tcW w:w="1261" w:type="dxa"/>
            <w:vAlign w:val="center"/>
          </w:tcPr>
          <w:p>
            <w:pPr>
              <w:spacing w:line="460" w:lineRule="exact"/>
              <w:jc w:val="left"/>
              <w:rPr>
                <w:rFonts w:ascii="宋体" w:hAnsi="宋体" w:eastAsia="宋体" w:cs="宋体"/>
                <w:color w:val="auto"/>
                <w:szCs w:val="21"/>
                <w:highlight w:val="none"/>
              </w:rPr>
            </w:pPr>
          </w:p>
        </w:tc>
        <w:tc>
          <w:tcPr>
            <w:tcW w:w="2296" w:type="dxa"/>
            <w:gridSpan w:val="2"/>
            <w:vAlign w:val="center"/>
          </w:tcPr>
          <w:p>
            <w:pPr>
              <w:spacing w:line="460" w:lineRule="exact"/>
              <w:jc w:val="left"/>
              <w:rPr>
                <w:rFonts w:ascii="宋体" w:hAnsi="宋体" w:eastAsia="宋体" w:cs="宋体"/>
                <w:color w:val="auto"/>
                <w:szCs w:val="21"/>
                <w:highlight w:val="none"/>
              </w:rPr>
            </w:pPr>
          </w:p>
        </w:tc>
      </w:tr>
    </w:tbl>
    <w:p>
      <w:pPr>
        <w:rPr>
          <w:rFonts w:ascii="仿宋" w:hAnsi="仿宋" w:eastAsia="仿宋" w:cs="仿宋"/>
          <w:color w:val="auto"/>
          <w:szCs w:val="21"/>
          <w:highlight w:val="none"/>
        </w:rPr>
      </w:pPr>
    </w:p>
    <w:p>
      <w:pPr>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3、业绩证明资料须提供：（1）合同；相关证明资料中必须能反映出评标所需指标、人员姓名和岗位等，否则相应子项不予计分。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adjustRightInd w:val="0"/>
        <w:snapToGrid w:val="0"/>
        <w:spacing w:before="85"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18"/>
        <w:widowControl/>
        <w:ind w:firstLine="0" w:firstLineChars="0"/>
        <w:rPr>
          <w:color w:val="auto"/>
          <w:spacing w:val="18"/>
          <w:highlight w:val="none"/>
        </w:rPr>
      </w:pPr>
      <w:r>
        <w:rPr>
          <w:color w:val="auto"/>
          <w:spacing w:val="18"/>
          <w:highlight w:val="none"/>
        </w:rPr>
        <w:t xml:space="preserve"> </w:t>
      </w:r>
    </w:p>
    <w:p>
      <w:pPr>
        <w:widowControl/>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Borders>
            <w:top w:val="none" w:sz="0" w:space="0"/>
            <w:left w:val="none" w:sz="0" w:space="0"/>
            <w:bottom w:val="none" w:sz="0" w:space="0"/>
            <w:right w:val="none" w:sz="0" w:space="0"/>
          </w:pgBorders>
          <w:pgNumType w:start="1"/>
          <w:cols w:space="425" w:num="1"/>
          <w:docGrid w:type="lines"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eastAsia="宋体" w:cs="宋体"/>
          <w:color w:val="auto"/>
          <w:sz w:val="24"/>
          <w:highlight w:val="none"/>
        </w:rPr>
      </w:pPr>
      <w:r>
        <w:rPr>
          <w:rFonts w:hint="eastAsia" w:ascii="仿宋" w:hAnsi="仿宋" w:eastAsia="仿宋" w:cs="宋体"/>
          <w:b/>
          <w:color w:val="auto"/>
          <w:sz w:val="36"/>
          <w:szCs w:val="36"/>
          <w:highlight w:val="none"/>
        </w:rPr>
        <w:t>报价表</w:t>
      </w:r>
    </w:p>
    <w:p>
      <w:pPr>
        <w:jc w:val="right"/>
        <w:rPr>
          <w:rFonts w:hint="eastAsia" w:ascii="仿宋" w:hAnsi="仿宋" w:eastAsia="仿宋" w:cs="仿宋"/>
          <w:color w:val="auto"/>
          <w:sz w:val="28"/>
          <w:szCs w:val="28"/>
          <w:highlight w:val="yellow"/>
        </w:rPr>
      </w:pPr>
      <w:r>
        <w:rPr>
          <w:rFonts w:hint="eastAsia" w:ascii="仿宋" w:hAnsi="仿宋" w:eastAsia="仿宋" w:cs="仿宋"/>
          <w:color w:val="auto"/>
          <w:szCs w:val="21"/>
          <w:highlight w:val="none"/>
        </w:rPr>
        <w:t xml:space="preserve"> </w:t>
      </w:r>
    </w:p>
    <w:tbl>
      <w:tblPr>
        <w:tblStyle w:val="14"/>
        <w:tblW w:w="9047" w:type="dxa"/>
        <w:tblInd w:w="0" w:type="dxa"/>
        <w:tblLayout w:type="fixed"/>
        <w:tblCellMar>
          <w:top w:w="0" w:type="dxa"/>
          <w:left w:w="30" w:type="dxa"/>
          <w:bottom w:w="0" w:type="dxa"/>
          <w:right w:w="30" w:type="dxa"/>
        </w:tblCellMar>
      </w:tblPr>
      <w:tblGrid>
        <w:gridCol w:w="5467"/>
        <w:gridCol w:w="3580"/>
      </w:tblGrid>
      <w:tr>
        <w:tblPrEx>
          <w:tblLayout w:type="fixed"/>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4" w:space="0"/>
              <w:right w:val="single" w:color="auto" w:sz="6" w:space="0"/>
            </w:tcBorders>
            <w:vAlign w:val="center"/>
          </w:tcPr>
          <w:p>
            <w:pPr>
              <w:pStyle w:val="29"/>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分项</w:t>
            </w:r>
          </w:p>
        </w:tc>
        <w:tc>
          <w:tcPr>
            <w:tcW w:w="3580" w:type="dxa"/>
            <w:tcBorders>
              <w:top w:val="single" w:color="auto" w:sz="4" w:space="0"/>
              <w:left w:val="single" w:color="auto" w:sz="6" w:space="0"/>
              <w:bottom w:val="single" w:color="auto" w:sz="4" w:space="0"/>
              <w:right w:val="single" w:color="auto" w:sz="4" w:space="0"/>
            </w:tcBorders>
            <w:vAlign w:val="center"/>
          </w:tcPr>
          <w:p>
            <w:pPr>
              <w:pStyle w:val="29"/>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分项内容</w:t>
            </w:r>
          </w:p>
        </w:tc>
      </w:tr>
      <w:tr>
        <w:tblPrEx>
          <w:tblLayout w:type="fixed"/>
          <w:tblCellMar>
            <w:top w:w="0" w:type="dxa"/>
            <w:left w:w="30" w:type="dxa"/>
            <w:bottom w:w="0" w:type="dxa"/>
            <w:right w:w="30" w:type="dxa"/>
          </w:tblCellMar>
        </w:tblPrEx>
        <w:trPr>
          <w:cantSplit/>
          <w:trHeight w:val="454" w:hRule="atLeast"/>
        </w:trPr>
        <w:tc>
          <w:tcPr>
            <w:tcW w:w="5467" w:type="dxa"/>
            <w:tcBorders>
              <w:top w:val="single" w:color="auto" w:sz="4" w:space="0"/>
              <w:left w:val="single" w:color="auto" w:sz="4" w:space="0"/>
              <w:bottom w:val="single" w:color="auto" w:sz="6" w:space="0"/>
              <w:right w:val="single" w:color="auto" w:sz="6" w:space="0"/>
            </w:tcBorders>
            <w:vAlign w:val="center"/>
          </w:tcPr>
          <w:p>
            <w:pPr>
              <w:pStyle w:val="29"/>
              <w:autoSpaceDE w:val="0"/>
              <w:autoSpaceDN w:val="0"/>
              <w:adjustRightInd w:val="0"/>
              <w:spacing w:line="276" w:lineRule="auto"/>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依据广东省建设工程造价咨询服务收费标准：粤价函【2011】</w:t>
            </w:r>
            <w:r>
              <w:rPr>
                <w:rFonts w:hint="eastAsia" w:ascii="仿宋_GB2312" w:hAnsi="宋体" w:eastAsia="仿宋_GB2312"/>
                <w:color w:val="auto"/>
                <w:sz w:val="28"/>
                <w:szCs w:val="28"/>
                <w:highlight w:val="none"/>
                <w:lang w:eastAsia="zh-CN"/>
              </w:rPr>
              <w:t>742</w:t>
            </w:r>
            <w:r>
              <w:rPr>
                <w:rFonts w:hint="eastAsia" w:ascii="仿宋_GB2312" w:hAnsi="宋体" w:eastAsia="仿宋_GB2312"/>
                <w:color w:val="auto"/>
                <w:sz w:val="28"/>
                <w:szCs w:val="28"/>
                <w:highlight w:val="none"/>
              </w:rPr>
              <w:t>号文，投标下浮率</w:t>
            </w:r>
          </w:p>
        </w:tc>
        <w:tc>
          <w:tcPr>
            <w:tcW w:w="3580" w:type="dxa"/>
            <w:tcBorders>
              <w:top w:val="single" w:color="auto" w:sz="4" w:space="0"/>
              <w:left w:val="single" w:color="auto" w:sz="6" w:space="0"/>
              <w:bottom w:val="single" w:color="auto" w:sz="6" w:space="0"/>
              <w:right w:val="single" w:color="auto" w:sz="4" w:space="0"/>
            </w:tcBorders>
            <w:vAlign w:val="center"/>
          </w:tcPr>
          <w:p>
            <w:pPr>
              <w:pStyle w:val="29"/>
              <w:autoSpaceDE w:val="0"/>
              <w:autoSpaceDN w:val="0"/>
              <w:adjustRightInd w:val="0"/>
              <w:spacing w:line="276" w:lineRule="auto"/>
              <w:jc w:val="righ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rPr>
              <w:t xml:space="preserve"> </w:t>
            </w:r>
          </w:p>
        </w:tc>
      </w:tr>
    </w:tbl>
    <w:p>
      <w:pPr>
        <w:rPr>
          <w:rFonts w:hint="eastAsia" w:ascii="仿宋" w:hAnsi="仿宋" w:eastAsia="仿宋" w:cs="仿宋"/>
          <w:color w:val="auto"/>
          <w:sz w:val="28"/>
          <w:szCs w:val="28"/>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28"/>
        <w:keepNext w:val="0"/>
        <w:keepLines w:val="0"/>
        <w:pageBreakBefore w:val="0"/>
        <w:widowControl w:val="0"/>
        <w:numPr>
          <w:ilvl w:val="0"/>
          <w:numId w:val="3"/>
        </w:numPr>
        <w:kinsoku/>
        <w:wordWrap/>
        <w:overflowPunct/>
        <w:topLinePunct w:val="0"/>
        <w:autoSpaceDE/>
        <w:autoSpaceDN/>
        <w:bidi w:val="0"/>
        <w:adjustRightInd/>
        <w:snapToGrid/>
        <w:ind w:left="568" w:leftChars="0" w:hanging="568" w:hanging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投标人应根据企业自身能力报出“招标人需求”中计费标准的下浮率，下浮率不得为区间值（如：1%～3%）且控制在</w:t>
      </w:r>
      <w:r>
        <w:rPr>
          <w:rFonts w:hint="eastAsia" w:ascii="仿宋" w:hAnsi="仿宋" w:eastAsia="仿宋" w:cs="仿宋"/>
          <w:color w:val="auto"/>
          <w:sz w:val="28"/>
          <w:szCs w:val="28"/>
          <w:highlight w:val="none"/>
          <w:lang w:eastAsia="zh-CN"/>
        </w:rPr>
        <w:t>5%&lt;投标下浮率≤20%</w:t>
      </w:r>
      <w:r>
        <w:rPr>
          <w:rFonts w:hint="eastAsia" w:ascii="仿宋" w:hAnsi="仿宋" w:eastAsia="仿宋" w:cs="仿宋"/>
          <w:color w:val="auto"/>
          <w:sz w:val="28"/>
          <w:szCs w:val="28"/>
          <w:highlight w:val="none"/>
        </w:rPr>
        <w:t>。</w:t>
      </w:r>
    </w:p>
    <w:p>
      <w:pPr>
        <w:rPr>
          <w:rFonts w:ascii="宋体" w:hAnsi="宋体" w:eastAsia="宋体" w:cs="宋体"/>
          <w:color w:val="auto"/>
          <w:sz w:val="24"/>
          <w:highlight w:val="none"/>
        </w:rPr>
      </w:pPr>
      <w:r>
        <w:rPr>
          <w:rFonts w:ascii="宋体" w:hAnsi="宋体" w:eastAsia="宋体" w:cs="宋体"/>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val="en-US" w:eastAsia="zh-CN"/>
        </w:rPr>
        <w:t>十</w:t>
      </w:r>
      <w:r>
        <w:rPr>
          <w:rFonts w:hint="eastAsia" w:ascii="宋体" w:hAnsi="宋体" w:eastAsia="宋体" w:cs="黑体"/>
          <w:b/>
          <w:color w:val="auto"/>
          <w:spacing w:val="4"/>
          <w:kern w:val="0"/>
          <w:sz w:val="28"/>
          <w:szCs w:val="28"/>
          <w:highlight w:val="none"/>
        </w:rPr>
        <w:t>：</w:t>
      </w:r>
    </w:p>
    <w:p>
      <w:pPr>
        <w:spacing w:line="360" w:lineRule="auto"/>
        <w:rPr>
          <w:rFonts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宋体"/>
          <w:b/>
          <w:color w:val="auto"/>
          <w:sz w:val="36"/>
          <w:szCs w:val="36"/>
          <w:highlight w:val="none"/>
        </w:rPr>
      </w:pPr>
      <w:r>
        <w:rPr>
          <w:rFonts w:hint="eastAsia" w:ascii="仿宋" w:hAnsi="仿宋" w:eastAsia="仿宋" w:cs="宋体"/>
          <w:b/>
          <w:color w:val="auto"/>
          <w:sz w:val="36"/>
          <w:szCs w:val="36"/>
          <w:highlight w:val="none"/>
        </w:rPr>
        <w:t>实质性响应条款一览表</w:t>
      </w:r>
    </w:p>
    <w:tbl>
      <w:tblPr>
        <w:tblStyle w:val="14"/>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760"/>
        <w:gridCol w:w="242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序号</w:t>
            </w:r>
          </w:p>
        </w:tc>
        <w:tc>
          <w:tcPr>
            <w:tcW w:w="4760"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实质性响应条款</w:t>
            </w:r>
          </w:p>
        </w:tc>
        <w:tc>
          <w:tcPr>
            <w:tcW w:w="2422"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投标人响应情况</w:t>
            </w:r>
          </w:p>
        </w:tc>
        <w:tc>
          <w:tcPr>
            <w:tcW w:w="1559"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p>
        </w:tc>
        <w:tc>
          <w:tcPr>
            <w:tcW w:w="4760"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★投标人应根据企业自身能力报出上述计费标准的下浮率，下浮率不得为区间值（如：1%～3%），且控制在</w:t>
            </w:r>
            <w:r>
              <w:rPr>
                <w:rFonts w:hint="eastAsia" w:ascii="仿宋" w:hAnsi="仿宋" w:eastAsia="仿宋" w:cs="仿宋"/>
                <w:color w:val="auto"/>
                <w:sz w:val="28"/>
                <w:szCs w:val="28"/>
                <w:highlight w:val="none"/>
                <w:lang w:eastAsia="zh-CN"/>
              </w:rPr>
              <w:t>5%&lt;投标下浮率≤20%</w:t>
            </w:r>
            <w:r>
              <w:rPr>
                <w:rFonts w:hint="eastAsia" w:ascii="仿宋_GB2312" w:hAnsi="宋体" w:eastAsia="仿宋_GB2312"/>
                <w:color w:val="auto"/>
                <w:sz w:val="28"/>
                <w:szCs w:val="28"/>
                <w:highlight w:val="none"/>
              </w:rPr>
              <w:t>。</w:t>
            </w:r>
          </w:p>
        </w:tc>
        <w:tc>
          <w:tcPr>
            <w:tcW w:w="2422"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29"/>
              <w:autoSpaceDE w:val="0"/>
              <w:autoSpaceDN w:val="0"/>
              <w:adjustRightInd w:val="0"/>
              <w:spacing w:line="276" w:lineRule="auto"/>
              <w:jc w:val="center"/>
              <w:rPr>
                <w:rFonts w:hint="eastAsia" w:ascii="仿宋_GB2312" w:hAnsi="宋体" w:eastAsia="仿宋_GB2312"/>
                <w:color w:val="auto"/>
                <w:sz w:val="28"/>
                <w:szCs w:val="28"/>
                <w:highlight w:val="none"/>
              </w:rPr>
            </w:pPr>
          </w:p>
        </w:tc>
      </w:tr>
    </w:tbl>
    <w:p>
      <w:pPr>
        <w:pStyle w:val="31"/>
        <w:spacing w:line="276" w:lineRule="auto"/>
        <w:rPr>
          <w:rFonts w:ascii="仿宋_GB2312" w:eastAsia="仿宋_GB2312"/>
          <w:color w:val="auto"/>
          <w:sz w:val="28"/>
          <w:szCs w:val="28"/>
          <w:highlight w:val="none"/>
        </w:rPr>
      </w:pPr>
      <w:r>
        <w:rPr>
          <w:rFonts w:hint="eastAsia" w:ascii="仿宋" w:hAnsi="仿宋" w:eastAsia="仿宋" w:cs="仿宋"/>
          <w:color w:val="auto"/>
          <w:kern w:val="2"/>
          <w:sz w:val="28"/>
          <w:szCs w:val="28"/>
          <w:highlight w:val="none"/>
          <w:lang w:val="en-US" w:eastAsia="zh-CN" w:bidi="ar-SA"/>
        </w:rPr>
        <w:t>说明：</w:t>
      </w:r>
    </w:p>
    <w:p>
      <w:pPr>
        <w:pStyle w:val="31"/>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本表所列条款必须一一予以响应，“</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响应情况”一栏应</w:t>
      </w:r>
      <w:r>
        <w:rPr>
          <w:rFonts w:hint="eastAsia" w:ascii="仿宋_GB2312" w:eastAsia="仿宋_GB2312"/>
          <w:b/>
          <w:color w:val="auto"/>
          <w:sz w:val="28"/>
          <w:szCs w:val="28"/>
          <w:highlight w:val="none"/>
        </w:rPr>
        <w:t>填写具体的响应内容，有差异的</w:t>
      </w:r>
      <w:r>
        <w:rPr>
          <w:rFonts w:hint="eastAsia" w:ascii="仿宋_GB2312" w:eastAsia="仿宋_GB2312"/>
          <w:color w:val="auto"/>
          <w:sz w:val="28"/>
          <w:szCs w:val="28"/>
          <w:highlight w:val="none"/>
        </w:rPr>
        <w:t>要具体说明。</w:t>
      </w:r>
    </w:p>
    <w:p>
      <w:pPr>
        <w:pStyle w:val="31"/>
        <w:numPr>
          <w:ilvl w:val="0"/>
          <w:numId w:val="4"/>
        </w:numPr>
        <w:spacing w:line="276"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请</w:t>
      </w:r>
      <w:r>
        <w:rPr>
          <w:rFonts w:hint="eastAsia" w:ascii="仿宋_GB2312" w:hAnsi="仿宋_GB2312" w:eastAsia="仿宋_GB2312" w:cs="仿宋_GB2312"/>
          <w:color w:val="auto"/>
          <w:sz w:val="28"/>
          <w:szCs w:val="28"/>
          <w:highlight w:val="none"/>
        </w:rPr>
        <w:t>投标人</w:t>
      </w:r>
      <w:r>
        <w:rPr>
          <w:rFonts w:hint="eastAsia" w:ascii="仿宋_GB2312" w:eastAsia="仿宋_GB2312"/>
          <w:color w:val="auto"/>
          <w:sz w:val="28"/>
          <w:szCs w:val="28"/>
          <w:highlight w:val="none"/>
        </w:rPr>
        <w:t>认真填写本表内容，如填写错误将可能导致报价无效。</w:t>
      </w:r>
    </w:p>
    <w:p>
      <w:pPr>
        <w:spacing w:line="360" w:lineRule="auto"/>
        <w:rPr>
          <w:rFonts w:ascii="宋体" w:hAnsi="宋体" w:eastAsia="宋体" w:cs="宋体"/>
          <w:color w:val="auto"/>
          <w:sz w:val="24"/>
          <w:highlight w:val="none"/>
        </w:rPr>
      </w:pP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2"/>
        <w:widowControl/>
        <w:spacing w:before="0" w:after="0" w:line="360" w:lineRule="auto"/>
        <w:outlineLvl w:val="9"/>
        <w:rPr>
          <w:rFonts w:ascii="黑体" w:hAnsi="宋体" w:cs="黑体"/>
          <w:b/>
          <w:color w:val="auto"/>
          <w:kern w:val="44"/>
          <w:sz w:val="44"/>
          <w:szCs w:val="44"/>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0" w:num="1"/>
          <w:rtlGutter w:val="0"/>
          <w:docGrid w:type="linesAndChars" w:linePitch="285" w:charSpace="833"/>
        </w:sectPr>
      </w:pPr>
      <w:bookmarkStart w:id="51" w:name="_Toc374128477"/>
      <w:bookmarkEnd w:id="51"/>
    </w:p>
    <w:p>
      <w:pPr>
        <w:pStyle w:val="2"/>
        <w:widowControl/>
        <w:spacing w:before="0" w:after="0" w:line="360" w:lineRule="auto"/>
        <w:jc w:val="center"/>
        <w:rPr>
          <w:rFonts w:ascii="黑体" w:hAnsi="宋体" w:cs="黑体"/>
          <w:b/>
          <w:color w:val="auto"/>
          <w:kern w:val="44"/>
          <w:sz w:val="44"/>
          <w:szCs w:val="44"/>
          <w:highlight w:val="none"/>
        </w:rPr>
      </w:pPr>
      <w:bookmarkStart w:id="52" w:name="_Toc30913"/>
      <w:r>
        <w:rPr>
          <w:rFonts w:hint="eastAsia" w:ascii="黑体" w:hAnsi="宋体" w:cs="黑体"/>
          <w:b/>
          <w:color w:val="auto"/>
          <w:kern w:val="44"/>
          <w:sz w:val="44"/>
          <w:szCs w:val="44"/>
          <w:highlight w:val="none"/>
        </w:rPr>
        <w:t>第4章 评标办法</w:t>
      </w:r>
      <w:bookmarkEnd w:id="52"/>
    </w:p>
    <w:p>
      <w:pPr>
        <w:spacing w:after="120"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spacing w:line="500" w:lineRule="exact"/>
        <w:jc w:val="center"/>
        <w:outlineLvl w:val="9"/>
        <w:rPr>
          <w:rFonts w:ascii="Times New Roman" w:hAnsi="Times New Roman" w:eastAsia="宋体" w:cs="Times New Roman"/>
          <w:color w:val="auto"/>
          <w:szCs w:val="21"/>
          <w:highlight w:val="none"/>
        </w:rPr>
        <w:sectPr>
          <w:pgSz w:w="11915" w:h="16840"/>
          <w:pgMar w:top="1247" w:right="1135" w:bottom="1247" w:left="1361" w:header="720" w:footer="720" w:gutter="0"/>
          <w:pgBorders>
            <w:top w:val="none" w:sz="0" w:space="0"/>
            <w:left w:val="none" w:sz="0" w:space="0"/>
            <w:bottom w:val="none" w:sz="0" w:space="0"/>
            <w:right w:val="none" w:sz="0" w:space="0"/>
          </w:pgBorders>
          <w:cols w:space="425" w:num="1"/>
          <w:docGrid w:linePitch="285" w:charSpace="0"/>
        </w:sectPr>
      </w:pPr>
      <w:r>
        <w:rPr>
          <w:rFonts w:ascii="Times New Roman" w:hAnsi="Times New Roman" w:eastAsia="宋体" w:cs="Times New Roman"/>
          <w:color w:val="auto"/>
          <w:szCs w:val="21"/>
          <w:highlight w:val="none"/>
        </w:rPr>
        <w:br w:type="page"/>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咨询单位，为保证招标“公开、公平、公正”，根据国家有关工程建设招标投标的法律、法规和方针、政策，制定本评标细则，实行评标的规范化、标准化、科学化。</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w:t>
      </w:r>
      <w:r>
        <w:rPr>
          <w:rFonts w:hint="eastAsia" w:ascii="仿宋" w:hAnsi="仿宋" w:eastAsia="仿宋" w:cs="仿宋"/>
          <w:color w:val="auto"/>
          <w:sz w:val="28"/>
          <w:szCs w:val="28"/>
          <w:highlight w:val="none"/>
          <w:lang w:val="en-US" w:eastAsia="zh-CN"/>
        </w:rPr>
        <w:t>造价</w:t>
      </w:r>
      <w:r>
        <w:rPr>
          <w:rFonts w:hint="eastAsia" w:ascii="仿宋" w:hAnsi="仿宋" w:eastAsia="仿宋" w:cs="仿宋"/>
          <w:color w:val="auto"/>
          <w:sz w:val="28"/>
          <w:szCs w:val="28"/>
          <w:highlight w:val="none"/>
        </w:rPr>
        <w:t>咨询招标。</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本评标办法的解释和修订权属本工程建设招标人。</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spacing w:line="50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2.1《中华人民共和国合同法》；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2.3《中华人民共和国招标投标法实施条例》</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2.4七部委第12号令《评标委员会和评标方法暂行规定》；</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2.7本招标工程项目的招标文件、评标办法及其补充通知；</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市公共资源交易中心备案；情节严重，构成犯罪的，由司法机关依法追究其刑事责任。</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numPr>
          <w:ilvl w:val="0"/>
          <w:numId w:val="5"/>
        </w:numPr>
        <w:spacing w:line="500" w:lineRule="exact"/>
        <w:ind w:left="0" w:leftChars="0" w:firstLine="397" w:firstLineChars="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spacing w:line="50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招标人依法组建评标委员会。</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6"/>
        <w:keepNext w:val="0"/>
        <w:keepLines w:val="0"/>
        <w:pageBreakBefore w:val="0"/>
        <w:widowControl/>
        <w:kinsoku/>
        <w:wordWrap/>
        <w:overflowPunct/>
        <w:topLinePunct w:val="0"/>
        <w:autoSpaceDE/>
        <w:autoSpaceDN/>
        <w:bidi w:val="0"/>
        <w:adjustRightInd/>
        <w:snapToGrid/>
        <w:spacing w:line="500" w:lineRule="exact"/>
        <w:ind w:left="0" w:firstLine="562" w:firstLineChars="200"/>
        <w:textAlignment w:val="auto"/>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5.1评标委员会</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5.1.1  评标委员会由招标人依法组建的5名专家组成。</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5.1.2  评标委员会随机产生1名负责人，主持评审工作，负责人与其他成员有同等表决权。</w:t>
      </w:r>
    </w:p>
    <w:p>
      <w:pPr>
        <w:pStyle w:val="6"/>
        <w:widowControl/>
        <w:spacing w:line="500" w:lineRule="exac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 评标委员会根据招标文件规定的评标标准和方法，对投标文件进行评审和比较，招标文件中没有规定的标准和方法不得作为评标的依据。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在符合招标文件规定的前提下，评标委员会主要对投标文件进行评议。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评标委员会负责裁决。裁决前，评标委员会应认真阅读招标文件的规定。投标文件中全部符合附件1《有效性审查表》中任一种情形的，为有效标书，否则其投标文件将被否决。若本项目通过有效性审查的投标人不足3名时，应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如果少数投标人超越招标文件要求提交了模型、演示动画、特殊规格展示图纸或发生其他特殊情况，评标委员会对超越招标文件要求的内容不进行评审，只评审该投标文件符合要求的内容。</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 采用</w:t>
      </w:r>
      <w:r>
        <w:rPr>
          <w:rFonts w:hint="eastAsia" w:ascii="仿宋" w:hAnsi="仿宋" w:eastAsia="仿宋" w:cs="仿宋"/>
          <w:b/>
          <w:color w:val="auto"/>
          <w:sz w:val="28"/>
          <w:szCs w:val="28"/>
          <w:highlight w:val="none"/>
          <w:u w:val="single"/>
        </w:rPr>
        <w:t>综合评分法评标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snapToGrid w:val="0"/>
        <w:spacing w:line="500" w:lineRule="exact"/>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（3）对投标文件进行有效性审查，并对通过有效性审查的投标文件进行综合评分。</w:t>
      </w:r>
    </w:p>
    <w:p>
      <w:pPr>
        <w:spacing w:line="50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（4）汇总投标人的综合得分，推荐中标候选人并编写评审报告。</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snapToGrid w:val="0"/>
        <w:spacing w:line="500" w:lineRule="exact"/>
        <w:ind w:left="779" w:leftChars="170" w:hanging="422" w:hangingChars="15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 评标委员会专家首先按附件1《有效性审查表》对各投标文件进行评审，只有通过有效性审查的投标文件方可进入下一阶段的评审。如果有有效性审查不通过提议，则评标委员会成员共同表决，按照少数服从多数的原则决定是否通过有效性审查。</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(d) 评标委员会专家计算各投标人的综合得分.</w:t>
      </w:r>
    </w:p>
    <w:p>
      <w:pPr>
        <w:spacing w:line="500" w:lineRule="exact"/>
        <w:ind w:left="919" w:leftChars="171"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(f) 评标委员会编写、签署评标报告，向招标人推荐综合得分最高的前三名中标候选方案（中标候选人）并标明排列顺序，评标报告由评标委员会全体成员签名，对评标结论持有异议的评标委员会成员可以书面方式阐述其不同意见和理由。</w:t>
      </w:r>
    </w:p>
    <w:p>
      <w:pPr>
        <w:keepNext w:val="0"/>
        <w:keepLines w:val="0"/>
        <w:pageBreakBefore w:val="0"/>
        <w:widowControl w:val="0"/>
        <w:kinsoku/>
        <w:wordWrap/>
        <w:overflowPunct/>
        <w:topLinePunct w:val="0"/>
        <w:autoSpaceDE/>
        <w:autoSpaceDN/>
        <w:bidi w:val="0"/>
        <w:adjustRightInd/>
        <w:snapToGrid/>
        <w:spacing w:line="500" w:lineRule="exact"/>
        <w:ind w:left="0" w:firstLine="562" w:firstLineChars="200"/>
        <w:jc w:val="left"/>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招标人在评标委员会推荐的候选方案中确定中标方案。但是，招标人认为评标委员会推荐的候选方案不能最大限度满足招标文件规定的要求的，依法重新招标。</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□（a）招标人委托评标委员会直接确定中标人；</w:t>
      </w:r>
    </w:p>
    <w:p>
      <w:pPr>
        <w:spacing w:line="500" w:lineRule="exact"/>
        <w:ind w:left="961" w:hanging="961" w:hangingChars="342"/>
        <w:jc w:val="left"/>
        <w:rPr>
          <w:rFonts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w:t>
      </w:r>
      <w:r>
        <w:rPr>
          <w:rFonts w:hint="eastAsia" w:ascii="仿宋" w:hAnsi="仿宋" w:eastAsia="仿宋" w:cs="仿宋"/>
          <w:color w:val="auto"/>
          <w:sz w:val="28"/>
          <w:szCs w:val="28"/>
          <w:highlight w:val="none"/>
        </w:rPr>
        <w:t>（b）确定评标委员会推荐的排名第一的中标候选人为中标人。如排名第一的中标候选人放弃中标或因不可抗力提出不能履行合同、招标文件规定应当提交履约保证金而在规定的期限内未提交的，或者存在违法行为被有关部门依法查处且其违法行为影响中标结果的，则确定排名第二的中标候选人为中标人。如排名第二的中标候选人也发生上述问题，则确定排名第三的中标候选人为中标人。</w:t>
      </w:r>
    </w:p>
    <w:p>
      <w:pPr>
        <w:spacing w:line="500" w:lineRule="exact"/>
        <w:ind w:left="958" w:hanging="957" w:hangingChars="34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若本项目经评审有效的投标人不足3名时，本次招标失败，招标人应当依法重新组织招标。</w:t>
      </w:r>
    </w:p>
    <w:p>
      <w:pPr>
        <w:keepNext w:val="0"/>
        <w:keepLines w:val="0"/>
        <w:pageBreakBefore w:val="0"/>
        <w:kinsoku/>
        <w:wordWrap/>
        <w:overflowPunct/>
        <w:topLinePunct w:val="0"/>
        <w:autoSpaceDE/>
        <w:autoSpaceDN/>
        <w:bidi w:val="0"/>
        <w:adjustRightInd/>
        <w:snapToGrid/>
        <w:spacing w:line="500" w:lineRule="exact"/>
        <w:ind w:left="0" w:firstLine="562" w:firstLineChars="200"/>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6"/>
        <w:keepNext w:val="0"/>
        <w:keepLines w:val="0"/>
        <w:pageBreakBefore w:val="0"/>
        <w:widowControl/>
        <w:kinsoku/>
        <w:wordWrap/>
        <w:overflowPunct/>
        <w:topLinePunct w:val="0"/>
        <w:autoSpaceDE/>
        <w:autoSpaceDN/>
        <w:bidi w:val="0"/>
        <w:adjustRightInd/>
        <w:snapToGrid/>
        <w:spacing w:line="500" w:lineRule="exact"/>
        <w:ind w:left="0" w:firstLine="560" w:firstLineChars="200"/>
        <w:jc w:val="left"/>
        <w:textAlignment w:val="auto"/>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开标由招标人或招标代理机构主持；</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15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a、投标人名称；b、标书密封情况；c、法定代表人证明及授权委托；d、项目负责人名称；e、投标报价等主要内容以及开标记录表中的其他必要内容，并予以记录，记录提交评标委员会评审。</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招标人将上述符合要求的投标文件，送至评标委员会进行评审。</w:t>
      </w:r>
    </w:p>
    <w:p>
      <w:pPr>
        <w:spacing w:line="500" w:lineRule="exact"/>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本次招标评标分“有效性审查”、“综合评分”两部分进行评审。收标后，全部评标过程将按以下阶段和步骤进行：</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1）第一步：进行投标文件有效性审查；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评标委员会依据有关法律、法规和招标文件的规定对投标文件进行评审，若本项目经评审有效的投标人不足3名时，本次招标失败，招标人应当依法重新组织招标。</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2）第二步：专家对综合评分表进行打分；</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3）第三步：评标委员会完成评标报告，向招标人推荐中标候选人。</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投标文件的有效性审查</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根据附件1“有效性审查表”进行评审。投标文件中没有任一种列于附件1《有效性审查表》中情形的，为通过有效性审查。否则其投标文件将被否决。如评标委员会成员的评审意见不一致时，以评标委员会过半数成员的意见作为评标委员会对该情形的认定结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评标委员会对所有投标作否决处理的，招标人应当重新招标。</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snapToGrid w:val="0"/>
        <w:spacing w:line="50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7.5.2如果有两个或两个以上的投标人总得分评分相同，则</w:t>
      </w:r>
      <w:r>
        <w:rPr>
          <w:rFonts w:hint="eastAsia" w:ascii="仿宋" w:hAnsi="仿宋" w:eastAsia="仿宋" w:cs="仿宋"/>
          <w:color w:val="auto"/>
          <w:sz w:val="28"/>
          <w:szCs w:val="28"/>
          <w:highlight w:val="none"/>
          <w:lang w:eastAsia="zh-CN"/>
        </w:rPr>
        <w:t>报价分</w:t>
      </w:r>
      <w:r>
        <w:rPr>
          <w:rFonts w:hint="eastAsia" w:ascii="仿宋" w:hAnsi="仿宋" w:eastAsia="仿宋" w:cs="仿宋"/>
          <w:color w:val="auto"/>
          <w:sz w:val="28"/>
          <w:szCs w:val="28"/>
          <w:highlight w:val="none"/>
        </w:rPr>
        <w:t>较高的投标人排名优先；如果总得分、</w:t>
      </w:r>
      <w:r>
        <w:rPr>
          <w:rFonts w:hint="eastAsia" w:ascii="仿宋" w:hAnsi="仿宋" w:eastAsia="仿宋" w:cs="仿宋"/>
          <w:color w:val="auto"/>
          <w:sz w:val="28"/>
          <w:szCs w:val="28"/>
          <w:highlight w:val="none"/>
          <w:lang w:eastAsia="zh-CN"/>
        </w:rPr>
        <w:t>报价分</w:t>
      </w:r>
      <w:r>
        <w:rPr>
          <w:rFonts w:hint="eastAsia" w:ascii="仿宋" w:hAnsi="仿宋" w:eastAsia="仿宋" w:cs="仿宋"/>
          <w:color w:val="auto"/>
          <w:sz w:val="28"/>
          <w:szCs w:val="28"/>
          <w:highlight w:val="none"/>
        </w:rPr>
        <w:t>均相同的投标文件，则由评标委员会采用摇珠方式，确定中标候选人顺序。</w:t>
      </w:r>
    </w:p>
    <w:p>
      <w:pPr>
        <w:snapToGrid w:val="0"/>
        <w:spacing w:line="500" w:lineRule="exact"/>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1）招标人依据评标报告审定本项目的中标人。</w:t>
      </w:r>
    </w:p>
    <w:p>
      <w:pPr>
        <w:snapToGrid w:val="0"/>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2）虽然经招标人审定为中标人，但在签订合同前的任何时候，招标人、评标专家以及其他人员发现投标人在招标投标过程有弄虚作假行为、虚报资料情况，一经查实，立即取消其中标人资格。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8"/>
          <w:szCs w:val="28"/>
          <w:highlight w:val="none"/>
          <w:lang w:val="en-US" w:eastAsia="zh-CN"/>
        </w:rPr>
        <w:t>7.7招标人将参照以下原则进行本项目中标人的替换：</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若中标人在实际工作中服务质量存在问题，未能表现出符合要求的造价咨询水平，经招标人研究确定，可解除与中标人的合同关系，并按照中标候选人顺序依次选取新的中标人。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当中标人服务费累计接近100万时（服务年限未到一年），招标人可按相关条款约定解除与中标人的合同关系，并按照中标候选人顺序依次选取新的中标人。</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0" w:leftChars="0" w:firstLine="425" w:firstLineChars="0"/>
        <w:textAlignment w:val="auto"/>
        <w:rPr>
          <w:rFonts w:ascii="仿宋" w:hAnsi="仿宋" w:eastAsia="仿宋" w:cs="仿宋"/>
          <w:color w:val="auto"/>
          <w:sz w:val="24"/>
          <w:highlight w:val="none"/>
        </w:rPr>
      </w:pPr>
      <w:r>
        <w:rPr>
          <w:rFonts w:hint="eastAsia" w:ascii="仿宋" w:hAnsi="仿宋" w:eastAsia="仿宋" w:cs="仿宋"/>
          <w:color w:val="auto"/>
          <w:sz w:val="28"/>
          <w:szCs w:val="28"/>
          <w:highlight w:val="none"/>
          <w:lang w:val="en-US" w:eastAsia="zh-CN"/>
        </w:rPr>
        <w:t>当中标人以正式的书面函件形式申请放弃中标资格时，招标人可取消</w:t>
      </w:r>
      <w:r>
        <w:rPr>
          <w:rFonts w:hint="eastAsia" w:ascii="仿宋" w:hAnsi="仿宋" w:eastAsia="仿宋" w:cs="仿宋"/>
          <w:color w:val="auto"/>
          <w:sz w:val="28"/>
          <w:szCs w:val="28"/>
          <w:highlight w:val="none"/>
        </w:rPr>
        <w:t>其中标人资格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解除与中标人的合同关系，并按照中标候选人顺序依次选取新的中标人。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2"/>
        <w:widowControl/>
        <w:spacing w:before="0" w:after="0" w:line="360" w:lineRule="auto"/>
        <w:jc w:val="center"/>
        <w:rPr>
          <w:rFonts w:ascii="黑体" w:hAnsi="宋体" w:cs="黑体"/>
          <w:b/>
          <w:color w:val="auto"/>
          <w:kern w:val="44"/>
          <w:sz w:val="44"/>
          <w:szCs w:val="44"/>
          <w:highlight w:val="none"/>
        </w:rPr>
      </w:pPr>
      <w:bookmarkStart w:id="53" w:name="_Toc462911104"/>
      <w:bookmarkEnd w:id="53"/>
      <w:bookmarkStart w:id="54" w:name="_Toc26593"/>
      <w:r>
        <w:rPr>
          <w:rFonts w:hint="eastAsia" w:ascii="黑体" w:hAnsi="宋体" w:cs="黑体"/>
          <w:b/>
          <w:color w:val="auto"/>
          <w:kern w:val="44"/>
          <w:sz w:val="44"/>
          <w:szCs w:val="44"/>
          <w:highlight w:val="none"/>
        </w:rPr>
        <w:t>第5章</w:t>
      </w:r>
      <w:r>
        <w:rPr>
          <w:rFonts w:hint="eastAsia" w:ascii="黑体" w:hAnsi="宋体" w:cs="黑体"/>
          <w:b/>
          <w:color w:val="auto"/>
          <w:kern w:val="44"/>
          <w:sz w:val="44"/>
          <w:szCs w:val="44"/>
          <w:highlight w:val="none"/>
          <w:lang w:val="en-US" w:eastAsia="zh-CN"/>
        </w:rPr>
        <w:t xml:space="preserve"> </w:t>
      </w:r>
      <w:r>
        <w:rPr>
          <w:rFonts w:hint="eastAsia" w:ascii="黑体" w:hAnsi="宋体" w:cs="黑体"/>
          <w:b/>
          <w:color w:val="auto"/>
          <w:kern w:val="44"/>
          <w:sz w:val="44"/>
          <w:szCs w:val="44"/>
          <w:highlight w:val="none"/>
        </w:rPr>
        <w:t>附件</w:t>
      </w:r>
      <w:bookmarkEnd w:id="54"/>
    </w:p>
    <w:p>
      <w:pPr>
        <w:pStyle w:val="15"/>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有效性审查表</w:t>
      </w:r>
    </w:p>
    <w:p>
      <w:pPr>
        <w:pStyle w:val="15"/>
        <w:keepNext w:val="0"/>
        <w:keepLines w:val="0"/>
        <w:pageBreakBefore w:val="0"/>
        <w:widowControl/>
        <w:kinsoku/>
        <w:wordWrap/>
        <w:overflowPunct/>
        <w:topLinePunct w:val="0"/>
        <w:autoSpaceDE/>
        <w:autoSpaceDN/>
        <w:bidi w:val="0"/>
        <w:adjustRightInd/>
        <w:snapToGrid/>
        <w:ind w:firstLine="562"/>
        <w:textAlignment w:val="auto"/>
        <w:outlineLvl w:val="9"/>
        <w:rPr>
          <w:rFonts w:hint="default" w:ascii="仿宋" w:hAnsi="仿宋" w:eastAsia="仿宋" w:cs="仿宋"/>
          <w:b/>
          <w:color w:val="auto"/>
          <w:sz w:val="28"/>
          <w:szCs w:val="28"/>
          <w:highlight w:val="none"/>
          <w:u w:val="single"/>
        </w:rPr>
      </w:pPr>
      <w:bookmarkStart w:id="55" w:name="OLE_LINK3"/>
      <w:bookmarkEnd w:id="55"/>
      <w:r>
        <w:rPr>
          <w:rFonts w:ascii="仿宋" w:hAnsi="仿宋" w:eastAsia="仿宋" w:cs="仿宋"/>
          <w:b/>
          <w:color w:val="auto"/>
          <w:sz w:val="28"/>
          <w:szCs w:val="28"/>
          <w:highlight w:val="none"/>
          <w:u w:val="single"/>
        </w:rPr>
        <w:t>附件2 综合评分表</w:t>
      </w:r>
    </w:p>
    <w:p>
      <w:pPr>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56" w:name="_Toc12170"/>
      <w:r>
        <w:rPr>
          <w:rFonts w:hint="eastAsia" w:ascii="仿宋" w:hAnsi="仿宋" w:eastAsia="仿宋" w:cs="仿宋"/>
          <w:color w:val="auto"/>
          <w:sz w:val="28"/>
          <w:szCs w:val="28"/>
          <w:highlight w:val="none"/>
        </w:rPr>
        <w:t>附件1：有效性审查表</w:t>
      </w:r>
      <w:bookmarkEnd w:id="56"/>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有效性审查表</w:t>
      </w:r>
    </w:p>
    <w:tbl>
      <w:tblPr>
        <w:tblStyle w:val="14"/>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spacing w:before="120" w:beforeLines="50" w:after="120" w:afterLines="50" w:line="240" w:lineRule="exact"/>
              <w:ind w:left="105" w:leftChars="50" w:right="105" w:rightChars="50"/>
              <w:jc w:val="center"/>
              <w:rPr>
                <w:rFonts w:ascii="仿宋" w:hAnsi="仿宋" w:eastAsia="仿宋" w:cs="仿宋"/>
                <w:b/>
                <w:color w:val="auto"/>
                <w:highlight w:val="none"/>
              </w:rPr>
            </w:pPr>
          </w:p>
          <w:p>
            <w:pPr>
              <w:spacing w:before="120" w:beforeLines="50" w:after="12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Layout w:type="fixed"/>
          <w:tblCellMar>
            <w:top w:w="0" w:type="dxa"/>
            <w:left w:w="108" w:type="dxa"/>
            <w:bottom w:w="0" w:type="dxa"/>
            <w:right w:w="108" w:type="dxa"/>
          </w:tblCellMar>
        </w:tblPrEx>
        <w:trPr>
          <w:trHeight w:val="77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ind w:right="105" w:rightChars="50" w:firstLine="18" w:firstLineChars="9"/>
              <w:jc w:val="left"/>
              <w:rPr>
                <w:rFonts w:ascii="仿宋" w:hAnsi="仿宋" w:eastAsia="仿宋" w:cs="仿宋"/>
                <w:color w:val="auto"/>
                <w:highlight w:val="none"/>
              </w:rPr>
            </w:pPr>
            <w:r>
              <w:rPr>
                <w:rFonts w:hint="eastAsia" w:ascii="仿宋" w:hAnsi="仿宋" w:eastAsia="仿宋" w:cs="仿宋"/>
                <w:color w:val="auto"/>
                <w:szCs w:val="21"/>
                <w:highlight w:val="none"/>
              </w:rPr>
              <w:t>投标函签名、并加盖公章有效，且内容与招标文件相同</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708"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投标文件封面加盖投标人的法定印章并经投标人代表签字（或盖签章）</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5</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有盖章、签署要求的带★格式文件已按要求盖章、签署</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6</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投标人具有工程造价咨询甲级资质证书</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r>
              <w:rPr>
                <w:rFonts w:hint="eastAsia" w:ascii="仿宋" w:hAnsi="仿宋" w:eastAsia="仿宋" w:cs="仿宋"/>
                <w:color w:val="auto"/>
                <w:szCs w:val="21"/>
                <w:highlight w:val="none"/>
              </w:rPr>
              <w:t>7</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投标</w:t>
            </w:r>
            <w:r>
              <w:rPr>
                <w:rFonts w:hint="eastAsia" w:ascii="仿宋" w:hAnsi="仿宋" w:eastAsia="仿宋" w:cs="仿宋"/>
                <w:color w:val="auto"/>
                <w:szCs w:val="21"/>
                <w:highlight w:val="none"/>
                <w:lang w:eastAsia="zh-CN"/>
              </w:rPr>
              <w:t>下浮率在指定范围内且符合要求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533" w:type="dxa"/>
            <w:tcBorders>
              <w:top w:val="single" w:color="auto" w:sz="4" w:space="0"/>
              <w:left w:val="nil"/>
              <w:bottom w:val="single" w:color="auto" w:sz="4" w:space="0"/>
              <w:right w:val="single" w:color="auto" w:sz="4" w:space="0"/>
            </w:tcBorders>
            <w:shd w:val="clear" w:color="auto" w:fill="auto"/>
            <w:vAlign w:val="center"/>
          </w:tcPr>
          <w:p>
            <w:pPr>
              <w:ind w:right="105" w:rightChars="5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响应文件完全满足招标文件中带★号的条款和指标，与其他要求无重大偏离 (审查《实质性响应条款一览表》)</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r>
        <w:tblPrEx>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120" w:beforeLines="50" w:after="12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spacing w:before="120" w:beforeLines="50" w:after="120" w:afterLines="50" w:line="240" w:lineRule="exact"/>
              <w:ind w:left="105" w:leftChars="50" w:right="105" w:rightChars="50"/>
              <w:jc w:val="center"/>
              <w:rPr>
                <w:rFonts w:ascii="仿宋" w:hAnsi="仿宋" w:eastAsia="仿宋" w:cs="仿宋"/>
                <w:color w:val="auto"/>
                <w:highlight w:val="none"/>
              </w:rPr>
            </w:pPr>
          </w:p>
        </w:tc>
      </w:tr>
    </w:tbl>
    <w:p>
      <w:pPr>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snapToGrid w:val="0"/>
        <w:ind w:left="74"/>
        <w:rPr>
          <w:rFonts w:hint="eastAsia"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snapToGrid w:val="0"/>
        <w:ind w:left="74"/>
        <w:rPr>
          <w:rFonts w:hint="eastAsia" w:ascii="仿宋" w:hAnsi="仿宋" w:eastAsia="仿宋" w:cs="Courier New"/>
          <w:color w:val="auto"/>
          <w:sz w:val="28"/>
          <w:szCs w:val="28"/>
          <w:highlight w:val="none"/>
        </w:rPr>
      </w:pPr>
    </w:p>
    <w:p>
      <w:pPr>
        <w:snapToGrid w:val="0"/>
        <w:ind w:left="74"/>
        <w:outlineLvl w:val="0"/>
        <w:rPr>
          <w:rFonts w:hint="eastAsia" w:ascii="仿宋" w:hAnsi="仿宋" w:eastAsia="仿宋" w:cs="仿宋"/>
          <w:b/>
          <w:color w:val="auto"/>
          <w:sz w:val="24"/>
          <w:highlight w:val="none"/>
        </w:rPr>
        <w:sectPr>
          <w:footerReference r:id="rId4" w:type="default"/>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pPr>
      <w:bookmarkStart w:id="57" w:name="_Toc18783"/>
    </w:p>
    <w:p>
      <w:pPr>
        <w:snapToGrid w:val="0"/>
        <w:ind w:left="74"/>
        <w:outlineLvl w:val="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附件2综合评分表</w:t>
      </w:r>
      <w:bookmarkEnd w:id="57"/>
    </w:p>
    <w:p>
      <w:pPr>
        <w:snapToGrid w:val="0"/>
        <w:ind w:left="74"/>
        <w:jc w:val="center"/>
        <w:outlineLvl w:val="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6"/>
          <w:szCs w:val="36"/>
          <w:highlight w:val="none"/>
        </w:rPr>
        <w:t>综合评分表</w:t>
      </w:r>
    </w:p>
    <w:tbl>
      <w:tblPr>
        <w:tblStyle w:val="14"/>
        <w:tblW w:w="16897" w:type="dxa"/>
        <w:tblInd w:w="0" w:type="dxa"/>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3"/>
        <w:gridCol w:w="2220"/>
        <w:gridCol w:w="5196"/>
        <w:gridCol w:w="7958"/>
      </w:tblGrid>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分值（100）</w:t>
            </w:r>
          </w:p>
        </w:tc>
        <w:tc>
          <w:tcPr>
            <w:tcW w:w="2220" w:type="dxa"/>
            <w:tcBorders>
              <w:tl2br w:val="nil"/>
              <w:tr2bl w:val="nil"/>
            </w:tcBorders>
            <w:vAlign w:val="center"/>
          </w:tcPr>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评审内容</w:t>
            </w:r>
          </w:p>
        </w:tc>
        <w:tc>
          <w:tcPr>
            <w:tcW w:w="5196" w:type="dxa"/>
            <w:tcBorders>
              <w:tl2br w:val="nil"/>
              <w:tr2bl w:val="nil"/>
            </w:tcBorders>
            <w:vAlign w:val="center"/>
          </w:tcPr>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评分细则</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最高分值</w:t>
            </w:r>
          </w:p>
        </w:tc>
        <w:tc>
          <w:tcPr>
            <w:tcW w:w="2220" w:type="dxa"/>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商务分（</w:t>
            </w:r>
            <w:r>
              <w:rPr>
                <w:rFonts w:ascii="仿宋" w:hAnsi="仿宋" w:eastAsia="仿宋"/>
                <w:bCs/>
                <w:color w:val="auto"/>
                <w:sz w:val="28"/>
                <w:szCs w:val="28"/>
                <w:highlight w:val="none"/>
              </w:rPr>
              <w:t>60分）</w:t>
            </w:r>
          </w:p>
        </w:tc>
        <w:tc>
          <w:tcPr>
            <w:tcW w:w="5196" w:type="dxa"/>
            <w:tcBorders>
              <w:tl2br w:val="nil"/>
              <w:tr2bl w:val="nil"/>
            </w:tcBorders>
            <w:vAlign w:val="center"/>
          </w:tcPr>
          <w:p>
            <w:pPr>
              <w:jc w:val="left"/>
              <w:rPr>
                <w:rFonts w:ascii="仿宋" w:hAnsi="仿宋" w:eastAsia="仿宋"/>
                <w:bCs/>
                <w:color w:val="auto"/>
                <w:sz w:val="28"/>
                <w:szCs w:val="28"/>
                <w:highlight w:val="none"/>
              </w:rPr>
            </w:pP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Height w:val="3922" w:hRule="atLeast"/>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25</w:t>
            </w:r>
          </w:p>
        </w:tc>
        <w:tc>
          <w:tcPr>
            <w:tcW w:w="2220" w:type="dxa"/>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企业业绩</w:t>
            </w:r>
          </w:p>
        </w:tc>
        <w:tc>
          <w:tcPr>
            <w:tcW w:w="5196" w:type="dxa"/>
            <w:tcBorders>
              <w:tl2br w:val="nil"/>
              <w:tr2bl w:val="nil"/>
            </w:tcBorders>
            <w:vAlign w:val="center"/>
          </w:tcPr>
          <w:p>
            <w:pPr>
              <w:rPr>
                <w:rFonts w:ascii="宋体" w:hAnsi="宋体"/>
                <w:color w:val="auto"/>
                <w:highlight w:val="none"/>
              </w:rPr>
            </w:pPr>
            <w:r>
              <w:rPr>
                <w:rFonts w:hint="eastAsia" w:ascii="宋体" w:hAnsi="宋体"/>
                <w:color w:val="auto"/>
                <w:highlight w:val="none"/>
              </w:rPr>
              <w:t>投标人业绩满足资格审查合格条件基础的得7分。</w:t>
            </w:r>
          </w:p>
          <w:p>
            <w:pPr>
              <w:rPr>
                <w:rFonts w:ascii="宋体" w:hAnsi="宋体"/>
                <w:color w:val="auto"/>
                <w:highlight w:val="none"/>
              </w:rPr>
            </w:pPr>
            <w:r>
              <w:rPr>
                <w:rFonts w:hint="eastAsia" w:ascii="宋体" w:hAnsi="宋体"/>
                <w:color w:val="auto"/>
                <w:highlight w:val="none"/>
              </w:rPr>
              <w:t>1、2017年1月1日至今完成或承担过全过程造价咨询服务业绩，投资金额在2亿元及以上的，每项业绩得1分</w:t>
            </w:r>
            <w:r>
              <w:rPr>
                <w:rFonts w:hint="eastAsia" w:ascii="宋体" w:hAnsi="宋体"/>
                <w:color w:val="auto"/>
                <w:highlight w:val="none"/>
                <w:lang w:eastAsia="zh-CN"/>
              </w:rPr>
              <w:t>，本项最高得3分</w:t>
            </w:r>
            <w:r>
              <w:rPr>
                <w:rFonts w:hint="eastAsia" w:ascii="宋体" w:hAnsi="宋体"/>
                <w:color w:val="auto"/>
                <w:highlight w:val="none"/>
              </w:rPr>
              <w:t>；</w:t>
            </w:r>
          </w:p>
          <w:p>
            <w:pPr>
              <w:rPr>
                <w:rFonts w:ascii="宋体" w:hAnsi="宋体"/>
                <w:color w:val="auto"/>
                <w:highlight w:val="none"/>
              </w:rPr>
            </w:pPr>
            <w:r>
              <w:rPr>
                <w:rFonts w:hint="eastAsia" w:ascii="宋体" w:hAnsi="宋体"/>
                <w:color w:val="auto"/>
                <w:highlight w:val="none"/>
              </w:rPr>
              <w:t>2、2017年1月1日至今完成或承担过全过程造价咨询服务业绩，投资金额在4亿元及以上的，每项业绩得1.5分</w:t>
            </w:r>
            <w:r>
              <w:rPr>
                <w:rFonts w:hint="eastAsia" w:ascii="宋体" w:hAnsi="宋体"/>
                <w:color w:val="auto"/>
                <w:highlight w:val="none"/>
                <w:lang w:eastAsia="zh-CN"/>
              </w:rPr>
              <w:t>，本项最高得5分</w:t>
            </w:r>
            <w:r>
              <w:rPr>
                <w:rFonts w:hint="eastAsia" w:ascii="宋体" w:hAnsi="宋体"/>
                <w:color w:val="auto"/>
                <w:highlight w:val="none"/>
              </w:rPr>
              <w:t>；</w:t>
            </w:r>
          </w:p>
          <w:p>
            <w:pPr>
              <w:rPr>
                <w:rFonts w:ascii="宋体" w:hAnsi="宋体"/>
                <w:color w:val="auto"/>
                <w:highlight w:val="none"/>
              </w:rPr>
            </w:pPr>
            <w:r>
              <w:rPr>
                <w:rFonts w:hint="eastAsia" w:ascii="宋体" w:hAnsi="宋体"/>
                <w:color w:val="auto"/>
                <w:highlight w:val="none"/>
              </w:rPr>
              <w:t>3、2017年1月1日至今完成或承担过全过程造价咨询服务业绩，投资金额在8亿元及以上的，每项业绩得2.5分</w:t>
            </w:r>
            <w:r>
              <w:rPr>
                <w:rFonts w:hint="eastAsia" w:ascii="宋体" w:hAnsi="宋体"/>
                <w:color w:val="auto"/>
                <w:highlight w:val="none"/>
                <w:lang w:eastAsia="zh-CN"/>
              </w:rPr>
              <w:t>，本项最高得8分</w:t>
            </w:r>
            <w:r>
              <w:rPr>
                <w:rFonts w:hint="eastAsia" w:ascii="宋体" w:hAnsi="宋体"/>
                <w:color w:val="auto"/>
                <w:highlight w:val="none"/>
              </w:rPr>
              <w:t>；</w:t>
            </w:r>
          </w:p>
          <w:p>
            <w:pPr>
              <w:rPr>
                <w:rFonts w:ascii="宋体" w:hAnsi="宋体"/>
                <w:color w:val="auto"/>
                <w:highlight w:val="none"/>
              </w:rPr>
            </w:pPr>
            <w:r>
              <w:rPr>
                <w:rFonts w:hint="eastAsia" w:ascii="宋体" w:hAnsi="宋体"/>
                <w:color w:val="auto"/>
                <w:highlight w:val="none"/>
              </w:rPr>
              <w:t>4、为国企投资项目的全过程咨询服务业绩每项另加0.5分；’本项最高2分</w:t>
            </w:r>
          </w:p>
          <w:p>
            <w:pPr>
              <w:jc w:val="left"/>
              <w:rPr>
                <w:rFonts w:ascii="仿宋" w:hAnsi="仿宋" w:eastAsia="仿宋"/>
                <w:bCs/>
                <w:color w:val="auto"/>
                <w:sz w:val="28"/>
                <w:szCs w:val="28"/>
                <w:highlight w:val="none"/>
              </w:rPr>
            </w:pPr>
            <w:r>
              <w:rPr>
                <w:rFonts w:hint="eastAsia" w:ascii="宋体" w:hAnsi="宋体"/>
                <w:color w:val="auto"/>
                <w:highlight w:val="none"/>
              </w:rPr>
              <w:t>注：“完成或承担过”的业绩需造价咨询</w:t>
            </w:r>
            <w:r>
              <w:rPr>
                <w:rFonts w:hint="eastAsia" w:ascii="宋体" w:hAnsi="宋体"/>
                <w:color w:val="auto"/>
                <w:szCs w:val="21"/>
                <w:highlight w:val="none"/>
              </w:rPr>
              <w:t>合同的主要页作为证明资料；</w:t>
            </w:r>
            <w:r>
              <w:rPr>
                <w:rFonts w:hint="eastAsia" w:ascii="宋体" w:hAnsi="宋体" w:cs="宋体"/>
                <w:color w:val="auto"/>
                <w:highlight w:val="none"/>
              </w:rPr>
              <w:t>同一合同项下的不同标段可以累加计算业绩。</w:t>
            </w:r>
            <w:r>
              <w:rPr>
                <w:rFonts w:ascii="宋体" w:hAnsi="宋体"/>
                <w:color w:val="auto"/>
                <w:highlight w:val="none"/>
              </w:rPr>
              <w:t>所有评审业绩证明文件包括造价咨询合同或业务委托书或中标通知书、评审结果通知文件封面或其他形式的评审结果。</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Height w:val="1269" w:hRule="atLeast"/>
        </w:trPr>
        <w:tc>
          <w:tcPr>
            <w:tcW w:w="1523" w:type="dxa"/>
            <w:vMerge w:val="restart"/>
            <w:tcBorders>
              <w:tl2br w:val="nil"/>
              <w:tr2bl w:val="nil"/>
            </w:tcBorders>
            <w:vAlign w:val="center"/>
          </w:tcPr>
          <w:p>
            <w:pPr>
              <w:jc w:val="center"/>
              <w:rPr>
                <w:rFonts w:ascii="仿宋" w:hAnsi="仿宋" w:eastAsia="仿宋"/>
                <w:bCs/>
                <w:color w:val="auto"/>
                <w:sz w:val="28"/>
                <w:szCs w:val="28"/>
                <w:highlight w:val="none"/>
              </w:rPr>
            </w:pPr>
          </w:p>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15</w:t>
            </w:r>
          </w:p>
          <w:p>
            <w:pPr>
              <w:jc w:val="center"/>
              <w:rPr>
                <w:rFonts w:ascii="仿宋" w:hAnsi="仿宋" w:eastAsia="仿宋"/>
                <w:bCs/>
                <w:color w:val="auto"/>
                <w:sz w:val="28"/>
                <w:szCs w:val="28"/>
                <w:highlight w:val="none"/>
              </w:rPr>
            </w:pPr>
          </w:p>
        </w:tc>
        <w:tc>
          <w:tcPr>
            <w:tcW w:w="2220" w:type="dxa"/>
            <w:vMerge w:val="restart"/>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企业荣誉</w:t>
            </w:r>
          </w:p>
        </w:tc>
        <w:tc>
          <w:tcPr>
            <w:tcW w:w="5196" w:type="dxa"/>
            <w:tcBorders>
              <w:tl2br w:val="nil"/>
              <w:tr2bl w:val="nil"/>
            </w:tcBorders>
            <w:vAlign w:val="center"/>
          </w:tcPr>
          <w:p>
            <w:pPr>
              <w:rPr>
                <w:rFonts w:ascii="宋体" w:hAnsi="宋体"/>
                <w:color w:val="auto"/>
                <w:highlight w:val="none"/>
              </w:rPr>
            </w:pPr>
            <w:bookmarkStart w:id="58" w:name="_Hlt510624033"/>
            <w:r>
              <w:rPr>
                <w:rFonts w:hint="eastAsia" w:ascii="宋体" w:hAnsi="宋体"/>
                <w:color w:val="auto"/>
                <w:highlight w:val="none"/>
              </w:rPr>
              <w:t>①投标人获得中</w:t>
            </w:r>
            <w:r>
              <w:rPr>
                <w:rFonts w:ascii="宋体" w:hAnsi="宋体"/>
                <w:color w:val="auto"/>
                <w:highlight w:val="none"/>
              </w:rPr>
              <w:t>国建设工程造价管理协会</w:t>
            </w:r>
            <w:bookmarkEnd w:id="58"/>
            <w:r>
              <w:rPr>
                <w:rFonts w:hint="eastAsia" w:ascii="宋体" w:hAnsi="宋体"/>
                <w:color w:val="auto"/>
                <w:highlight w:val="none"/>
              </w:rPr>
              <w:t>颁发的信用评价等级证书,“A”等级的，得1分；“AA-”等级得2分；“AA”等级得3分；“AAA-”等级得4分；“AAA”等级得5分；本项最多得5分</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vMerge w:val="continue"/>
            <w:tcBorders>
              <w:tl2br w:val="nil"/>
              <w:tr2bl w:val="nil"/>
            </w:tcBorders>
            <w:vAlign w:val="center"/>
          </w:tcPr>
          <w:p>
            <w:pPr>
              <w:rPr>
                <w:rFonts w:ascii="仿宋" w:hAnsi="仿宋" w:eastAsia="仿宋"/>
                <w:bCs/>
                <w:color w:val="auto"/>
                <w:sz w:val="28"/>
                <w:szCs w:val="28"/>
                <w:highlight w:val="none"/>
              </w:rPr>
            </w:pPr>
          </w:p>
        </w:tc>
        <w:tc>
          <w:tcPr>
            <w:tcW w:w="2220" w:type="dxa"/>
            <w:vMerge w:val="continue"/>
            <w:tcBorders>
              <w:tl2br w:val="nil"/>
              <w:tr2bl w:val="nil"/>
            </w:tcBorders>
            <w:vAlign w:val="center"/>
          </w:tcPr>
          <w:p>
            <w:pPr>
              <w:jc w:val="left"/>
              <w:rPr>
                <w:rFonts w:ascii="仿宋" w:hAnsi="仿宋" w:eastAsia="仿宋"/>
                <w:bCs/>
                <w:color w:val="auto"/>
                <w:sz w:val="28"/>
                <w:szCs w:val="28"/>
                <w:highlight w:val="none"/>
              </w:rPr>
            </w:pPr>
          </w:p>
        </w:tc>
        <w:tc>
          <w:tcPr>
            <w:tcW w:w="5196" w:type="dxa"/>
            <w:tcBorders>
              <w:tl2br w:val="nil"/>
              <w:tr2bl w:val="nil"/>
            </w:tcBorders>
            <w:vAlign w:val="center"/>
          </w:tcPr>
          <w:p>
            <w:pPr>
              <w:rPr>
                <w:rFonts w:ascii="宋体" w:hAnsi="宋体"/>
                <w:color w:val="auto"/>
                <w:highlight w:val="none"/>
              </w:rPr>
            </w:pPr>
            <w:r>
              <w:rPr>
                <w:rFonts w:hint="eastAsia" w:ascii="宋体" w:hAnsi="宋体"/>
                <w:color w:val="auto"/>
                <w:highlight w:val="none"/>
              </w:rPr>
              <w:t>②投标人同时具备质量管理体系认证证书、职业健康安全管理体系认证证书、环境管理体系认证证书，且在有效期内的，得3分；具备其中两个，得2分；具备1个及以下不得分；本项最多得3分。</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vMerge w:val="continue"/>
            <w:tcBorders>
              <w:tl2br w:val="nil"/>
              <w:tr2bl w:val="nil"/>
            </w:tcBorders>
            <w:vAlign w:val="center"/>
          </w:tcPr>
          <w:p>
            <w:pPr>
              <w:rPr>
                <w:rFonts w:ascii="仿宋" w:hAnsi="仿宋" w:eastAsia="仿宋"/>
                <w:bCs/>
                <w:color w:val="auto"/>
                <w:sz w:val="28"/>
                <w:szCs w:val="28"/>
                <w:highlight w:val="none"/>
              </w:rPr>
            </w:pPr>
          </w:p>
        </w:tc>
        <w:tc>
          <w:tcPr>
            <w:tcW w:w="2220" w:type="dxa"/>
            <w:vMerge w:val="continue"/>
            <w:tcBorders>
              <w:tl2br w:val="nil"/>
              <w:tr2bl w:val="nil"/>
            </w:tcBorders>
            <w:vAlign w:val="center"/>
          </w:tcPr>
          <w:p>
            <w:pPr>
              <w:jc w:val="left"/>
              <w:rPr>
                <w:rFonts w:ascii="仿宋" w:hAnsi="仿宋" w:eastAsia="仿宋"/>
                <w:bCs/>
                <w:color w:val="auto"/>
                <w:sz w:val="28"/>
                <w:szCs w:val="28"/>
                <w:highlight w:val="none"/>
              </w:rPr>
            </w:pPr>
          </w:p>
        </w:tc>
        <w:tc>
          <w:tcPr>
            <w:tcW w:w="5196" w:type="dxa"/>
            <w:tcBorders>
              <w:tl2br w:val="nil"/>
              <w:tr2bl w:val="nil"/>
            </w:tcBorders>
            <w:vAlign w:val="center"/>
          </w:tcPr>
          <w:p>
            <w:pPr>
              <w:rPr>
                <w:rFonts w:ascii="宋体" w:hAnsi="宋体"/>
                <w:color w:val="auto"/>
                <w:highlight w:val="none"/>
              </w:rPr>
            </w:pPr>
            <w:r>
              <w:rPr>
                <w:rFonts w:hint="eastAsia" w:ascii="宋体" w:hAnsi="宋体"/>
                <w:color w:val="auto"/>
                <w:highlight w:val="none"/>
              </w:rPr>
              <w:t>③投标人2015年1月1日至今获省级或以上造价协会或行政主管部门颁发的先进企业或优秀企业或先进会员单位证书的，得4分；2015年1月1日至今获市级造价协会或行政主管部门颁发的先进企业或优秀企业或先进会员单位，得2分；本项最多得4分。</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23" w:type="dxa"/>
            <w:vMerge w:val="continue"/>
            <w:tcBorders>
              <w:tl2br w:val="nil"/>
              <w:tr2bl w:val="nil"/>
            </w:tcBorders>
            <w:vAlign w:val="center"/>
          </w:tcPr>
          <w:p>
            <w:pPr>
              <w:rPr>
                <w:rFonts w:ascii="仿宋" w:hAnsi="仿宋" w:eastAsia="仿宋"/>
                <w:bCs/>
                <w:color w:val="auto"/>
                <w:sz w:val="28"/>
                <w:szCs w:val="28"/>
                <w:highlight w:val="none"/>
              </w:rPr>
            </w:pPr>
          </w:p>
        </w:tc>
        <w:tc>
          <w:tcPr>
            <w:tcW w:w="2220" w:type="dxa"/>
            <w:vMerge w:val="continue"/>
            <w:tcBorders>
              <w:tl2br w:val="nil"/>
              <w:tr2bl w:val="nil"/>
            </w:tcBorders>
            <w:vAlign w:val="center"/>
          </w:tcPr>
          <w:p>
            <w:pPr>
              <w:jc w:val="left"/>
              <w:rPr>
                <w:rFonts w:ascii="仿宋" w:hAnsi="仿宋" w:eastAsia="仿宋"/>
                <w:bCs/>
                <w:color w:val="auto"/>
                <w:sz w:val="28"/>
                <w:szCs w:val="28"/>
                <w:highlight w:val="none"/>
              </w:rPr>
            </w:pPr>
          </w:p>
        </w:tc>
        <w:tc>
          <w:tcPr>
            <w:tcW w:w="5196" w:type="dxa"/>
            <w:tcBorders>
              <w:tl2br w:val="nil"/>
              <w:tr2bl w:val="nil"/>
            </w:tcBorders>
            <w:vAlign w:val="center"/>
          </w:tcPr>
          <w:p>
            <w:pPr>
              <w:rPr>
                <w:rFonts w:ascii="宋体" w:hAnsi="宋体"/>
                <w:color w:val="auto"/>
                <w:highlight w:val="none"/>
              </w:rPr>
            </w:pPr>
            <w:r>
              <w:rPr>
                <w:rFonts w:hint="eastAsia" w:ascii="宋体" w:hAnsi="宋体"/>
                <w:color w:val="auto"/>
                <w:highlight w:val="none"/>
              </w:rPr>
              <w:t>④投标人获得工商行政管理部门颁发的 “守合同、重信用”证书，连续6年以上的得3分；连续5（含5年）年以上的得2分；连续3-4年的得1分；低于3年不得分。本项最多得3分。</w:t>
            </w:r>
          </w:p>
        </w:tc>
        <w:tc>
          <w:tcPr>
            <w:tcW w:w="7958" w:type="dxa"/>
            <w:tcBorders>
              <w:tl2br w:val="nil"/>
              <w:tr2bl w:val="nil"/>
            </w:tcBorders>
            <w:vAlign w:val="center"/>
          </w:tcPr>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23" w:type="dxa"/>
            <w:vMerge w:val="restart"/>
            <w:tcBorders>
              <w:tl2br w:val="nil"/>
              <w:tr2bl w:val="nil"/>
            </w:tcBorders>
            <w:vAlign w:val="center"/>
          </w:tcPr>
          <w:p>
            <w:pPr>
              <w:jc w:val="center"/>
              <w:rPr>
                <w:rFonts w:ascii="仿宋" w:hAnsi="仿宋" w:eastAsia="仿宋"/>
                <w:bCs/>
                <w:color w:val="auto"/>
                <w:sz w:val="28"/>
                <w:szCs w:val="28"/>
                <w:highlight w:val="none"/>
              </w:rPr>
            </w:pPr>
            <w:r>
              <w:rPr>
                <w:rFonts w:ascii="仿宋" w:hAnsi="仿宋" w:eastAsia="仿宋"/>
                <w:bCs/>
                <w:color w:val="auto"/>
                <w:sz w:val="28"/>
                <w:szCs w:val="28"/>
                <w:highlight w:val="none"/>
              </w:rPr>
              <w:t>8</w:t>
            </w:r>
          </w:p>
        </w:tc>
        <w:tc>
          <w:tcPr>
            <w:tcW w:w="2220" w:type="dxa"/>
            <w:vMerge w:val="restart"/>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企业实力</w:t>
            </w:r>
          </w:p>
        </w:tc>
        <w:tc>
          <w:tcPr>
            <w:tcW w:w="5196" w:type="dxa"/>
            <w:tcBorders>
              <w:tl2br w:val="nil"/>
              <w:tr2bl w:val="nil"/>
            </w:tcBorders>
            <w:vAlign w:val="center"/>
          </w:tcPr>
          <w:p>
            <w:pPr>
              <w:rPr>
                <w:rFonts w:ascii="宋体" w:hAnsi="宋体"/>
                <w:color w:val="auto"/>
                <w:highlight w:val="none"/>
              </w:rPr>
            </w:pPr>
            <w:r>
              <w:rPr>
                <w:rFonts w:hint="eastAsia" w:ascii="宋体" w:hAnsi="宋体"/>
                <w:color w:val="auto"/>
                <w:highlight w:val="none"/>
              </w:rPr>
              <w:t>⑤投标人的企业注册资本：在人民币1000万元以上得3分；在人民币500万元（不含）～1000万元（含）得2分；在人民币300万元（不含）～500万元（含）得1分；其他情况得0分（以营业执照中注册资本为准）；本项最多得3分。</w:t>
            </w:r>
          </w:p>
        </w:tc>
        <w:tc>
          <w:tcPr>
            <w:tcW w:w="7958" w:type="dxa"/>
            <w:tcBorders>
              <w:tl2br w:val="nil"/>
              <w:tr2bl w:val="nil"/>
            </w:tcBorders>
            <w:vAlign w:val="center"/>
          </w:tcPr>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vMerge w:val="continue"/>
            <w:tcBorders>
              <w:tl2br w:val="nil"/>
              <w:tr2bl w:val="nil"/>
            </w:tcBorders>
            <w:vAlign w:val="center"/>
          </w:tcPr>
          <w:p>
            <w:pPr>
              <w:jc w:val="center"/>
              <w:rPr>
                <w:rFonts w:ascii="仿宋" w:hAnsi="仿宋" w:eastAsia="仿宋"/>
                <w:bCs/>
                <w:color w:val="auto"/>
                <w:sz w:val="28"/>
                <w:szCs w:val="28"/>
                <w:highlight w:val="none"/>
              </w:rPr>
            </w:pPr>
          </w:p>
        </w:tc>
        <w:tc>
          <w:tcPr>
            <w:tcW w:w="2220" w:type="dxa"/>
            <w:vMerge w:val="continue"/>
            <w:tcBorders>
              <w:tl2br w:val="nil"/>
              <w:tr2bl w:val="nil"/>
            </w:tcBorders>
            <w:vAlign w:val="center"/>
          </w:tcPr>
          <w:p>
            <w:pPr>
              <w:jc w:val="left"/>
              <w:rPr>
                <w:rFonts w:ascii="仿宋" w:hAnsi="仿宋" w:eastAsia="仿宋"/>
                <w:bCs/>
                <w:color w:val="auto"/>
                <w:sz w:val="28"/>
                <w:szCs w:val="28"/>
                <w:highlight w:val="none"/>
              </w:rPr>
            </w:pPr>
          </w:p>
        </w:tc>
        <w:tc>
          <w:tcPr>
            <w:tcW w:w="5196" w:type="dxa"/>
            <w:tcBorders>
              <w:tl2br w:val="nil"/>
              <w:tr2bl w:val="nil"/>
            </w:tcBorders>
            <w:vAlign w:val="center"/>
          </w:tcPr>
          <w:p>
            <w:pPr>
              <w:jc w:val="left"/>
              <w:rPr>
                <w:rFonts w:ascii="仿宋" w:hAnsi="仿宋" w:eastAsia="仿宋"/>
                <w:bCs/>
                <w:color w:val="auto"/>
                <w:sz w:val="28"/>
                <w:szCs w:val="28"/>
                <w:highlight w:val="none"/>
              </w:rPr>
            </w:pPr>
            <w:r>
              <w:rPr>
                <w:rFonts w:hint="eastAsia" w:ascii="宋体" w:hAnsi="宋体"/>
                <w:color w:val="auto"/>
                <w:highlight w:val="none"/>
              </w:rPr>
              <w:t>2015年1月1日至今有企业战略合作业绩的加1分，本项最多得2分</w:t>
            </w:r>
            <w:r>
              <w:rPr>
                <w:rFonts w:hint="eastAsia" w:ascii="宋体" w:hAnsi="宋体"/>
                <w:color w:val="auto"/>
                <w:highlight w:val="none"/>
                <w:lang w:eastAsia="zh-CN"/>
              </w:rPr>
              <w:t>，提供合同、合作证书等材料关键页作为依据。</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vMerge w:val="continue"/>
            <w:tcBorders>
              <w:tl2br w:val="nil"/>
              <w:tr2bl w:val="nil"/>
            </w:tcBorders>
            <w:vAlign w:val="center"/>
          </w:tcPr>
          <w:p>
            <w:pPr>
              <w:jc w:val="center"/>
              <w:rPr>
                <w:rFonts w:ascii="仿宋" w:hAnsi="仿宋" w:eastAsia="仿宋"/>
                <w:bCs/>
                <w:color w:val="auto"/>
                <w:sz w:val="28"/>
                <w:szCs w:val="28"/>
                <w:highlight w:val="none"/>
              </w:rPr>
            </w:pPr>
          </w:p>
        </w:tc>
        <w:tc>
          <w:tcPr>
            <w:tcW w:w="2220" w:type="dxa"/>
            <w:vMerge w:val="continue"/>
            <w:tcBorders>
              <w:tl2br w:val="nil"/>
              <w:tr2bl w:val="nil"/>
            </w:tcBorders>
            <w:vAlign w:val="center"/>
          </w:tcPr>
          <w:p>
            <w:pPr>
              <w:jc w:val="left"/>
              <w:rPr>
                <w:rFonts w:ascii="仿宋" w:hAnsi="仿宋" w:eastAsia="仿宋"/>
                <w:bCs/>
                <w:color w:val="auto"/>
                <w:sz w:val="28"/>
                <w:szCs w:val="28"/>
                <w:highlight w:val="none"/>
              </w:rPr>
            </w:pPr>
          </w:p>
        </w:tc>
        <w:tc>
          <w:tcPr>
            <w:tcW w:w="5196" w:type="dxa"/>
            <w:tcBorders>
              <w:tl2br w:val="nil"/>
              <w:tr2bl w:val="nil"/>
            </w:tcBorders>
            <w:vAlign w:val="center"/>
          </w:tcPr>
          <w:p>
            <w:pPr>
              <w:adjustRightInd w:val="0"/>
              <w:snapToGrid w:val="0"/>
              <w:spacing w:line="400" w:lineRule="atLeast"/>
              <w:jc w:val="left"/>
              <w:rPr>
                <w:rFonts w:ascii="仿宋" w:hAnsi="仿宋" w:eastAsia="仿宋" w:cs="仿宋"/>
                <w:color w:val="auto"/>
                <w:sz w:val="24"/>
                <w:szCs w:val="24"/>
                <w:highlight w:val="none"/>
              </w:rPr>
            </w:pPr>
            <w:r>
              <w:rPr>
                <w:rFonts w:hint="eastAsia" w:asciiTheme="minorEastAsia" w:hAnsiTheme="minorEastAsia" w:cstheme="minorEastAsia"/>
                <w:color w:val="auto"/>
                <w:szCs w:val="21"/>
                <w:highlight w:val="none"/>
                <w:lang w:val="en-US" w:eastAsia="zh-CN"/>
              </w:rPr>
              <w:t>2017年度及2018年度</w:t>
            </w:r>
            <w:r>
              <w:rPr>
                <w:rFonts w:hint="eastAsia" w:asciiTheme="minorEastAsia" w:hAnsiTheme="minorEastAsia" w:cstheme="minorEastAsia"/>
                <w:color w:val="auto"/>
                <w:szCs w:val="21"/>
                <w:highlight w:val="none"/>
              </w:rPr>
              <w:t>平均营业收入不少于400万元人民币；</w:t>
            </w:r>
            <w:r>
              <w:rPr>
                <w:rFonts w:hint="eastAsia" w:asciiTheme="minorEastAsia" w:hAnsiTheme="minorEastAsia" w:cstheme="minorEastAsia"/>
                <w:color w:val="auto"/>
                <w:szCs w:val="21"/>
                <w:highlight w:val="none"/>
                <w:lang w:val="en-US" w:eastAsia="zh-CN"/>
              </w:rPr>
              <w:t>2017年度及2018年度</w:t>
            </w:r>
            <w:r>
              <w:rPr>
                <w:rFonts w:hint="eastAsia" w:asciiTheme="minorEastAsia" w:hAnsiTheme="minorEastAsia" w:cstheme="minorEastAsia"/>
                <w:color w:val="auto"/>
                <w:szCs w:val="21"/>
                <w:highlight w:val="none"/>
              </w:rPr>
              <w:t>每年都处于盈利状态。本项最多得3分</w:t>
            </w:r>
            <w:r>
              <w:rPr>
                <w:rFonts w:hint="eastAsia" w:asciiTheme="minorEastAsia" w:hAnsiTheme="minorEastAsia" w:cstheme="minorEastAsia"/>
                <w:color w:val="auto"/>
                <w:szCs w:val="21"/>
                <w:highlight w:val="none"/>
                <w:lang w:eastAsia="zh-CN"/>
              </w:rPr>
              <w:t>。</w:t>
            </w:r>
            <w:r>
              <w:rPr>
                <w:rFonts w:hint="eastAsia" w:asciiTheme="minorEastAsia" w:hAnsiTheme="minorEastAsia" w:cstheme="minorEastAsia"/>
                <w:color w:val="auto"/>
                <w:szCs w:val="21"/>
                <w:highlight w:val="none"/>
                <w:lang w:val="en-US" w:eastAsia="zh-CN"/>
              </w:rPr>
              <w:t>提供年度审计报告关键页作为依据。</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8</w:t>
            </w:r>
          </w:p>
        </w:tc>
        <w:tc>
          <w:tcPr>
            <w:tcW w:w="2220" w:type="dxa"/>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项目负责人水平</w:t>
            </w:r>
          </w:p>
        </w:tc>
        <w:tc>
          <w:tcPr>
            <w:tcW w:w="5196" w:type="dxa"/>
            <w:tcBorders>
              <w:tl2br w:val="nil"/>
              <w:tr2bl w:val="nil"/>
            </w:tcBorders>
            <w:vAlign w:val="center"/>
          </w:tcPr>
          <w:p>
            <w:pPr>
              <w:rPr>
                <w:rFonts w:asciiTheme="minorEastAsia" w:hAnsiTheme="minorEastAsia" w:cstheme="minorEastAsia"/>
                <w:color w:val="auto"/>
                <w:szCs w:val="21"/>
                <w:highlight w:val="none"/>
              </w:rPr>
            </w:pPr>
            <w:r>
              <w:rPr>
                <w:rFonts w:hint="eastAsia" w:ascii="仿宋" w:hAnsi="仿宋" w:eastAsia="仿宋" w:cs="仿宋"/>
                <w:color w:val="auto"/>
                <w:sz w:val="24"/>
                <w:szCs w:val="24"/>
                <w:highlight w:val="none"/>
              </w:rPr>
              <w:t>1、</w:t>
            </w:r>
            <w:r>
              <w:rPr>
                <w:rFonts w:hint="eastAsia" w:asciiTheme="minorEastAsia" w:hAnsiTheme="minorEastAsia" w:cstheme="minorEastAsia"/>
                <w:color w:val="auto"/>
                <w:szCs w:val="21"/>
                <w:highlight w:val="none"/>
              </w:rPr>
              <w:t>项目负责人为工程或工程经济类高级工程师的，得2分；</w:t>
            </w:r>
          </w:p>
          <w:p>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2、项目负责人同时具备具备中华人民共和国注册造价师资格的，得2分；</w:t>
            </w:r>
          </w:p>
          <w:p>
            <w:pPr>
              <w:rPr>
                <w:rFonts w:ascii="宋体" w:hAnsi="宋体"/>
                <w:color w:val="auto"/>
                <w:kern w:val="0"/>
                <w:szCs w:val="21"/>
                <w:highlight w:val="none"/>
              </w:rPr>
            </w:pPr>
            <w:r>
              <w:rPr>
                <w:rFonts w:hint="eastAsia" w:ascii="仿宋" w:hAnsi="仿宋" w:eastAsia="仿宋" w:cs="仿宋"/>
                <w:color w:val="auto"/>
                <w:sz w:val="24"/>
                <w:szCs w:val="24"/>
                <w:highlight w:val="none"/>
              </w:rPr>
              <w:t>3、</w:t>
            </w:r>
            <w:r>
              <w:rPr>
                <w:rFonts w:hint="eastAsia" w:ascii="宋体" w:hAnsi="宋体"/>
                <w:color w:val="auto"/>
                <w:kern w:val="0"/>
                <w:szCs w:val="21"/>
                <w:highlight w:val="none"/>
              </w:rPr>
              <w:t>项目负责人为省级或以上造价行业专家的，得2分。</w:t>
            </w:r>
          </w:p>
          <w:p>
            <w:pPr>
              <w:rPr>
                <w:rFonts w:ascii="宋体" w:hAnsi="宋体"/>
                <w:color w:val="auto"/>
                <w:highlight w:val="none"/>
              </w:rPr>
            </w:pPr>
            <w:r>
              <w:rPr>
                <w:rFonts w:hint="eastAsia" w:ascii="宋体" w:hAnsi="宋体"/>
                <w:color w:val="auto"/>
                <w:kern w:val="0"/>
                <w:szCs w:val="21"/>
                <w:highlight w:val="none"/>
              </w:rPr>
              <w:t>4、项目负责人</w:t>
            </w:r>
            <w:r>
              <w:rPr>
                <w:rFonts w:hint="eastAsia" w:ascii="宋体" w:hAnsi="宋体"/>
                <w:color w:val="auto"/>
                <w:highlight w:val="none"/>
              </w:rPr>
              <w:t>为工程咨询师或国际认证的咨询师，得2分。</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4</w:t>
            </w:r>
          </w:p>
        </w:tc>
        <w:tc>
          <w:tcPr>
            <w:tcW w:w="2220" w:type="dxa"/>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技术负责人水平</w:t>
            </w:r>
          </w:p>
        </w:tc>
        <w:tc>
          <w:tcPr>
            <w:tcW w:w="5196" w:type="dxa"/>
            <w:tcBorders>
              <w:tl2br w:val="nil"/>
              <w:tr2bl w:val="nil"/>
            </w:tcBorders>
            <w:vAlign w:val="center"/>
          </w:tcPr>
          <w:p>
            <w:pPr>
              <w:rPr>
                <w:rFonts w:asciiTheme="minorEastAsia" w:hAnsiTheme="minorEastAsia" w:cstheme="minorEastAsia"/>
                <w:color w:val="auto"/>
                <w:szCs w:val="21"/>
                <w:highlight w:val="none"/>
              </w:rPr>
            </w:pPr>
            <w:r>
              <w:rPr>
                <w:rFonts w:hint="eastAsia" w:ascii="仿宋" w:hAnsi="仿宋" w:eastAsia="仿宋" w:cs="仿宋"/>
                <w:color w:val="auto"/>
                <w:sz w:val="24"/>
                <w:szCs w:val="24"/>
                <w:highlight w:val="none"/>
              </w:rPr>
              <w:t>1、</w:t>
            </w:r>
            <w:r>
              <w:rPr>
                <w:rFonts w:hint="eastAsia" w:asciiTheme="minorEastAsia" w:hAnsiTheme="minorEastAsia" w:cstheme="minorEastAsia"/>
                <w:color w:val="auto"/>
                <w:szCs w:val="21"/>
                <w:highlight w:val="none"/>
              </w:rPr>
              <w:t>技术负责人工作经验超过20年的，得2分；</w:t>
            </w:r>
          </w:p>
          <w:p>
            <w:pP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2、技术负责人同时具备中华人民共和国注册造价师资格的，得2分；</w:t>
            </w:r>
          </w:p>
          <w:p>
            <w:pPr>
              <w:rPr>
                <w:rFonts w:ascii="宋体" w:hAnsi="宋体"/>
                <w:color w:val="auto"/>
                <w:highlight w:val="none"/>
              </w:rPr>
            </w:pPr>
            <w:r>
              <w:rPr>
                <w:rFonts w:hint="eastAsia" w:ascii="宋体" w:hAnsi="宋体"/>
                <w:color w:val="auto"/>
                <w:highlight w:val="none"/>
              </w:rPr>
              <w:t>注：工作经验以毕业证时间为准。</w:t>
            </w:r>
          </w:p>
        </w:tc>
      </w:tr>
      <w:tr>
        <w:tblPrEx>
          <w:tblBorders>
            <w:top w:val="single" w:color="auto" w:sz="4" w:space="0"/>
            <w:left w:val="outset" w:color="auto" w:sz="6"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7958" w:type="dxa"/>
          <w:trHeight w:val="1289" w:hRule="atLeast"/>
        </w:trPr>
        <w:tc>
          <w:tcPr>
            <w:tcW w:w="1523" w:type="dxa"/>
            <w:tcBorders>
              <w:tl2br w:val="nil"/>
              <w:tr2bl w:val="nil"/>
            </w:tcBorders>
            <w:vAlign w:val="center"/>
          </w:tcPr>
          <w:p>
            <w:pPr>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二</w:t>
            </w:r>
          </w:p>
        </w:tc>
        <w:tc>
          <w:tcPr>
            <w:tcW w:w="2220" w:type="dxa"/>
            <w:tcBorders>
              <w:tl2br w:val="nil"/>
              <w:tr2bl w:val="nil"/>
            </w:tcBorders>
            <w:vAlign w:val="center"/>
          </w:tcPr>
          <w:p>
            <w:pPr>
              <w:jc w:val="left"/>
              <w:rPr>
                <w:rFonts w:ascii="仿宋" w:hAnsi="仿宋" w:eastAsia="仿宋"/>
                <w:bCs/>
                <w:color w:val="auto"/>
                <w:sz w:val="28"/>
                <w:szCs w:val="28"/>
                <w:highlight w:val="none"/>
              </w:rPr>
            </w:pPr>
            <w:r>
              <w:rPr>
                <w:rFonts w:hint="eastAsia" w:ascii="仿宋" w:hAnsi="仿宋" w:eastAsia="仿宋"/>
                <w:bCs/>
                <w:color w:val="auto"/>
                <w:sz w:val="28"/>
                <w:szCs w:val="28"/>
                <w:highlight w:val="none"/>
              </w:rPr>
              <w:t>报价分（</w:t>
            </w:r>
            <w:r>
              <w:rPr>
                <w:rFonts w:ascii="仿宋" w:hAnsi="仿宋" w:eastAsia="仿宋"/>
                <w:bCs/>
                <w:color w:val="auto"/>
                <w:sz w:val="28"/>
                <w:szCs w:val="28"/>
                <w:highlight w:val="none"/>
              </w:rPr>
              <w:t>40分）</w:t>
            </w:r>
          </w:p>
        </w:tc>
        <w:tc>
          <w:tcPr>
            <w:tcW w:w="5196" w:type="dxa"/>
            <w:tcBorders>
              <w:tl2br w:val="nil"/>
              <w:tr2bl w:val="nil"/>
            </w:tcBorders>
            <w:vAlign w:val="center"/>
          </w:tcPr>
          <w:p>
            <w:pPr>
              <w:rPr>
                <w:rFonts w:ascii="仿宋" w:hAnsi="仿宋" w:eastAsia="仿宋"/>
                <w:bCs/>
                <w:color w:val="auto"/>
                <w:sz w:val="24"/>
                <w:szCs w:val="24"/>
                <w:highlight w:val="none"/>
              </w:rPr>
            </w:pPr>
            <w:r>
              <w:rPr>
                <w:rFonts w:hint="eastAsia" w:asciiTheme="minorEastAsia" w:hAnsiTheme="minorEastAsia" w:cstheme="minorEastAsia"/>
                <w:color w:val="auto"/>
                <w:szCs w:val="21"/>
                <w:highlight w:val="none"/>
              </w:rPr>
              <w:t>有效投标单位下浮率的平均值为基准值且为满分，报价下浮率比基准值每减少1%扣1分，每增加1%扣1.5分。计分公式：40-（所报下浮率-平均下浮率）*100*1.5或40+（所报下浮率-平均下浮率）*100</w:t>
            </w:r>
          </w:p>
        </w:tc>
      </w:tr>
    </w:tbl>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备注：</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1、业绩证明资料须提供：（1）合同；相关证明资料必须能反映出评标所需指标，否则相应子项不予计分；时间以合同文件签订时间为准。</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2、获奖证明资料须提供获奖证书，否则相应子项不予计分；时间以获奖证书时间为准。</w:t>
      </w:r>
    </w:p>
    <w:p>
      <w:pPr>
        <w:snapToGrid w:val="0"/>
        <w:ind w:left="74"/>
        <w:rPr>
          <w:rFonts w:ascii="仿宋" w:hAnsi="仿宋" w:eastAsia="仿宋" w:cs="仿宋"/>
          <w:color w:val="auto"/>
          <w:highlight w:val="none"/>
        </w:rPr>
      </w:pPr>
      <w:r>
        <w:rPr>
          <w:rFonts w:hint="eastAsia" w:ascii="仿宋" w:hAnsi="仿宋" w:eastAsia="仿宋" w:cs="仿宋"/>
          <w:color w:val="auto"/>
          <w:szCs w:val="21"/>
          <w:highlight w:val="none"/>
        </w:rPr>
        <w:t>3、获奖奖项各级奖项的一等（金）奖、二等（银）奖、三等（铜）奖具体分值可不再细分。</w:t>
      </w:r>
    </w:p>
    <w:p>
      <w:pPr>
        <w:snapToGrid w:val="0"/>
        <w:ind w:left="74"/>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4、业绩获奖的按最高奖项只计算一次，不重复计算。</w:t>
      </w:r>
    </w:p>
    <w:p>
      <w:pPr>
        <w:snapToGrid w:val="0"/>
        <w:ind w:left="74"/>
        <w:rPr>
          <w:rFonts w:hint="eastAsia" w:ascii="仿宋" w:hAnsi="仿宋" w:eastAsia="仿宋" w:cs="仿宋"/>
          <w:color w:val="auto"/>
          <w:szCs w:val="21"/>
          <w:highlight w:val="none"/>
        </w:rPr>
      </w:pPr>
    </w:p>
    <w:p>
      <w:pPr>
        <w:snapToGrid w:val="0"/>
        <w:ind w:left="74"/>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val="0"/>
        <w:ind w:left="74"/>
        <w:textAlignment w:val="auto"/>
        <w:outlineLvl w:val="0"/>
        <w:rPr>
          <w:rFonts w:hint="eastAsia" w:ascii="宋体" w:hAnsi="宋体" w:cs="宋体"/>
          <w:color w:val="auto"/>
          <w:sz w:val="28"/>
          <w:szCs w:val="28"/>
          <w:highlight w:val="none"/>
        </w:rPr>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0" w:num="1"/>
          <w:rtlGutter w:val="0"/>
          <w:docGrid w:linePitch="312" w:charSpace="0"/>
        </w:sectPr>
      </w:pPr>
      <w:bookmarkStart w:id="59" w:name="_Toc22949"/>
    </w:p>
    <w:p>
      <w:pPr>
        <w:keepNext w:val="0"/>
        <w:keepLines w:val="0"/>
        <w:pageBreakBefore w:val="0"/>
        <w:widowControl w:val="0"/>
        <w:kinsoku/>
        <w:wordWrap/>
        <w:overflowPunct/>
        <w:topLinePunct w:val="0"/>
        <w:autoSpaceDE/>
        <w:autoSpaceDN/>
        <w:bidi w:val="0"/>
        <w:adjustRightInd/>
        <w:snapToGrid w:val="0"/>
        <w:ind w:left="74"/>
        <w:textAlignment w:val="auto"/>
        <w:outlineLvl w:val="0"/>
        <w:rPr>
          <w:color w:val="auto"/>
          <w:sz w:val="28"/>
          <w:szCs w:val="28"/>
          <w:highlight w:val="none"/>
        </w:rPr>
      </w:pPr>
      <w:r>
        <w:rPr>
          <w:rFonts w:hint="eastAsia" w:ascii="宋体" w:hAnsi="宋体" w:cs="宋体"/>
          <w:color w:val="auto"/>
          <w:sz w:val="28"/>
          <w:szCs w:val="28"/>
          <w:highlight w:val="none"/>
        </w:rPr>
        <w:t>附件：合同</w:t>
      </w:r>
      <w:bookmarkEnd w:id="59"/>
    </w:p>
    <w:p>
      <w:pPr>
        <w:spacing w:before="120" w:after="120"/>
        <w:ind w:firstLine="5400" w:firstLineChars="2250"/>
        <w:rPr>
          <w:rFonts w:ascii="黑体" w:hAnsi="宋体" w:eastAsia="黑体" w:cs="黑体"/>
          <w:b/>
          <w:color w:val="auto"/>
          <w:sz w:val="24"/>
          <w:highlight w:val="none"/>
        </w:rPr>
      </w:pPr>
      <w:r>
        <w:rPr>
          <w:rFonts w:hint="eastAsia" w:ascii="黑体" w:hAnsi="宋体" w:eastAsia="黑体" w:cs="黑体"/>
          <w:color w:val="auto"/>
          <w:sz w:val="24"/>
          <w:highlight w:val="none"/>
        </w:rPr>
        <w:t>合同编号：</w:t>
      </w:r>
    </w:p>
    <w:p>
      <w:pPr>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en-US" w:eastAsia="zh-CN"/>
        </w:rPr>
        <w:t>南沙</w:t>
      </w:r>
      <w:r>
        <w:rPr>
          <w:rFonts w:hint="eastAsia" w:ascii="宋体" w:hAnsi="宋体" w:eastAsia="宋体" w:cs="宋体"/>
          <w:b/>
          <w:color w:val="auto"/>
          <w:sz w:val="32"/>
          <w:szCs w:val="32"/>
          <w:highlight w:val="none"/>
        </w:rPr>
        <w:t>资产经营集团年度项目</w:t>
      </w:r>
      <w:r>
        <w:rPr>
          <w:rFonts w:hint="eastAsia" w:ascii="宋体" w:hAnsi="宋体" w:eastAsia="宋体" w:cs="宋体"/>
          <w:b/>
          <w:color w:val="auto"/>
          <w:sz w:val="32"/>
          <w:szCs w:val="32"/>
          <w:highlight w:val="none"/>
          <w:lang w:val="en-US" w:eastAsia="zh-CN"/>
        </w:rPr>
        <w:t>造价</w:t>
      </w:r>
      <w:r>
        <w:rPr>
          <w:rFonts w:hint="eastAsia" w:ascii="宋体" w:hAnsi="宋体" w:eastAsia="宋体" w:cs="宋体"/>
          <w:b/>
          <w:color w:val="auto"/>
          <w:sz w:val="32"/>
          <w:szCs w:val="32"/>
          <w:highlight w:val="none"/>
        </w:rPr>
        <w:t>咨询服务》项目</w:t>
      </w:r>
    </w:p>
    <w:p>
      <w:pPr>
        <w:spacing w:line="360" w:lineRule="auto"/>
        <w:jc w:val="center"/>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编制合同</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289" w:firstLineChars="40"/>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jc w:val="left"/>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 xml:space="preserve"> </w:t>
      </w:r>
    </w:p>
    <w:p>
      <w:pPr>
        <w:spacing w:line="360" w:lineRule="auto"/>
        <w:ind w:left="1418" w:leftChars="675" w:firstLine="129" w:firstLineChars="40"/>
        <w:jc w:val="left"/>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pPr>
        <w:spacing w:line="360" w:lineRule="auto"/>
        <w:ind w:left="1418" w:leftChars="675" w:firstLine="209" w:firstLineChars="40"/>
        <w:jc w:val="lef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委托方（甲方）：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广州南沙</w:t>
      </w:r>
      <w:r>
        <w:rPr>
          <w:rFonts w:hint="eastAsia" w:ascii="黑体" w:hAnsi="宋体" w:eastAsia="黑体" w:cs="黑体"/>
          <w:color w:val="auto"/>
          <w:sz w:val="30"/>
          <w:szCs w:val="30"/>
          <w:highlight w:val="none"/>
          <w:u w:val="single"/>
          <w:lang w:val="en-US" w:eastAsia="zh-CN"/>
        </w:rPr>
        <w:t>建设维护管理</w:t>
      </w:r>
      <w:r>
        <w:rPr>
          <w:rFonts w:hint="eastAsia" w:ascii="黑体" w:hAnsi="宋体" w:eastAsia="黑体" w:cs="黑体"/>
          <w:color w:val="auto"/>
          <w:sz w:val="30"/>
          <w:szCs w:val="30"/>
          <w:highlight w:val="none"/>
          <w:u w:val="single"/>
        </w:rPr>
        <w:t>有限公司</w:t>
      </w:r>
    </w:p>
    <w:p>
      <w:pP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受托方（乙方）：</w:t>
      </w:r>
      <w:r>
        <w:rPr>
          <w:rFonts w:hint="eastAsia" w:ascii="黑体" w:hAnsi="宋体" w:eastAsia="黑体" w:cs="黑体"/>
          <w:color w:val="auto"/>
          <w:sz w:val="30"/>
          <w:szCs w:val="30"/>
          <w:highlight w:val="none"/>
        </w:rPr>
        <w:tab/>
      </w:r>
      <w:r>
        <w:rPr>
          <w:rFonts w:hint="eastAsia" w:ascii="黑体" w:hAnsi="宋体" w:eastAsia="黑体" w:cs="黑体"/>
          <w:color w:val="auto"/>
          <w:sz w:val="30"/>
          <w:szCs w:val="30"/>
          <w:highlight w:val="none"/>
          <w:u w:val="single"/>
        </w:rPr>
        <w:t xml:space="preserve">                            </w:t>
      </w:r>
    </w:p>
    <w:p>
      <w:pPr>
        <w:jc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 xml:space="preserve"> </w:t>
      </w:r>
    </w:p>
    <w:p>
      <w:pPr>
        <w:jc w:val="center"/>
        <w:rPr>
          <w:rFonts w:ascii="黑体" w:hAnsi="宋体" w:eastAsia="黑体" w:cs="黑体"/>
          <w:color w:val="auto"/>
          <w:sz w:val="30"/>
          <w:szCs w:val="30"/>
          <w:highlight w:val="none"/>
          <w:u w:val="single"/>
        </w:rPr>
      </w:pPr>
      <w:r>
        <w:rPr>
          <w:rFonts w:hint="eastAsia" w:ascii="黑体" w:hAnsi="宋体" w:eastAsia="黑体" w:cs="黑体"/>
          <w:color w:val="auto"/>
          <w:sz w:val="30"/>
          <w:szCs w:val="30"/>
          <w:highlight w:val="none"/>
        </w:rPr>
        <w:t>签订日期：二〇二〇年  月</w:t>
      </w:r>
    </w:p>
    <w:p>
      <w:pPr>
        <w:adjustRightInd w:val="0"/>
        <w:snapToGrid w:val="0"/>
        <w:spacing w:before="120" w:beforeLines="50" w:after="120" w:afterLines="50" w:line="320" w:lineRule="exact"/>
        <w:rPr>
          <w:b/>
          <w:color w:val="auto"/>
          <w:sz w:val="52"/>
          <w:szCs w:val="52"/>
          <w:highlight w:val="none"/>
        </w:rPr>
      </w:pPr>
      <w:r>
        <w:rPr>
          <w:rFonts w:ascii="Times New Roman" w:hAnsi="Times New Roman" w:eastAsia="宋体" w:cs="Times New Roman"/>
          <w:b/>
          <w:color w:val="auto"/>
          <w:sz w:val="52"/>
          <w:szCs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南沙</w:t>
      </w:r>
      <w:r>
        <w:rPr>
          <w:rFonts w:hint="eastAsia" w:ascii="宋体" w:hAnsi="宋体" w:eastAsia="宋体" w:cs="宋体"/>
          <w:b/>
          <w:color w:val="auto"/>
          <w:sz w:val="32"/>
          <w:szCs w:val="32"/>
          <w:highlight w:val="none"/>
        </w:rPr>
        <w:t>资产经营集团年度项目</w:t>
      </w:r>
      <w:r>
        <w:rPr>
          <w:rFonts w:hint="eastAsia" w:ascii="宋体" w:hAnsi="宋体" w:eastAsia="宋体" w:cs="宋体"/>
          <w:b/>
          <w:color w:val="auto"/>
          <w:sz w:val="32"/>
          <w:szCs w:val="32"/>
          <w:highlight w:val="none"/>
          <w:lang w:val="en-US" w:eastAsia="zh-CN"/>
        </w:rPr>
        <w:t>造价</w:t>
      </w:r>
      <w:r>
        <w:rPr>
          <w:rFonts w:hint="eastAsia" w:ascii="宋体" w:hAnsi="宋体" w:eastAsia="宋体" w:cs="宋体"/>
          <w:b/>
          <w:color w:val="auto"/>
          <w:sz w:val="32"/>
          <w:szCs w:val="32"/>
          <w:highlight w:val="none"/>
        </w:rPr>
        <w:t>咨询服务</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黑体" w:hAnsi="宋体" w:eastAsia="黑体" w:cs="黑体"/>
          <w:b/>
          <w:color w:val="auto"/>
          <w:sz w:val="32"/>
          <w:szCs w:val="32"/>
          <w:highlight w:val="none"/>
        </w:rPr>
      </w:pPr>
      <w:r>
        <w:rPr>
          <w:rFonts w:hint="eastAsia" w:ascii="宋体" w:hAnsi="宋体" w:eastAsia="宋体" w:cs="宋体"/>
          <w:b/>
          <w:color w:val="auto"/>
          <w:sz w:val="32"/>
          <w:szCs w:val="32"/>
          <w:highlight w:val="none"/>
        </w:rPr>
        <w:t>项目编制合同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Ansi="宋体"/>
          <w:b/>
          <w:color w:val="auto"/>
          <w:sz w:val="24"/>
          <w:highlight w:val="none"/>
        </w:rPr>
      </w:pPr>
      <w:r>
        <w:rPr>
          <w:rFonts w:ascii="Times New Roman" w:hAnsi="宋体" w:eastAsia="宋体" w:cs="Times New Roman"/>
          <w:b/>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委托方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甲方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广州南沙</w:t>
      </w:r>
      <w:r>
        <w:rPr>
          <w:rFonts w:hint="eastAsia" w:ascii="宋体" w:hAnsi="宋体" w:eastAsia="宋体" w:cs="宋体"/>
          <w:b/>
          <w:color w:val="auto"/>
          <w:kern w:val="0"/>
          <w:sz w:val="24"/>
          <w:highlight w:val="none"/>
          <w:u w:val="single"/>
          <w:lang w:val="en-US" w:eastAsia="zh-CN"/>
        </w:rPr>
        <w:t>建设维护管理</w:t>
      </w:r>
      <w:r>
        <w:rPr>
          <w:rFonts w:hint="eastAsia" w:ascii="宋体" w:hAnsi="宋体" w:eastAsia="宋体" w:cs="宋体"/>
          <w:b/>
          <w:color w:val="auto"/>
          <w:kern w:val="0"/>
          <w:sz w:val="24"/>
          <w:highlight w:val="none"/>
          <w:u w:val="single"/>
        </w:rPr>
        <w:t>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b/>
          <w:color w:val="auto"/>
          <w:sz w:val="24"/>
          <w:highlight w:val="none"/>
          <w:u w:val="single"/>
        </w:rPr>
      </w:pPr>
      <w:r>
        <w:rPr>
          <w:rFonts w:hint="eastAsia" w:ascii="宋体" w:hAnsi="宋体" w:eastAsia="宋体" w:cs="宋体"/>
          <w:b/>
          <w:color w:val="auto"/>
          <w:sz w:val="24"/>
          <w:highlight w:val="none"/>
        </w:rPr>
        <w:t>受托方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乙方</w:t>
      </w:r>
      <w:r>
        <w:rPr>
          <w:rFonts w:ascii="Times New Roman" w:hAnsi="Times New Roman" w:eastAsia="宋体" w:cs="Times New Roman"/>
          <w:b/>
          <w:color w:val="auto"/>
          <w:sz w:val="24"/>
          <w:highlight w:val="none"/>
        </w:rPr>
        <w:t>)</w:t>
      </w:r>
      <w:r>
        <w:rPr>
          <w:rFonts w:hint="eastAsia" w:ascii="宋体" w:hAnsi="宋体" w:eastAsia="宋体" w:cs="宋体"/>
          <w:b/>
          <w:color w:val="auto"/>
          <w:sz w:val="24"/>
          <w:highlight w:val="none"/>
        </w:rPr>
        <w:t>：</w:t>
      </w:r>
      <w:r>
        <w:rPr>
          <w:rFonts w:hint="eastAsia" w:ascii="宋体" w:hAnsi="宋体" w:eastAsia="宋体" w:cs="宋体"/>
          <w:b/>
          <w:color w:val="auto"/>
          <w:kern w:val="0"/>
          <w:sz w:val="24"/>
          <w:highlight w:val="none"/>
          <w:u w:val="single"/>
        </w:rPr>
        <w:t xml:space="preserve">  </w:t>
      </w:r>
      <w:r>
        <w:rPr>
          <w:rFonts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u w:val="single"/>
        </w:rPr>
        <w:t xml:space="preserve">       </w:t>
      </w:r>
    </w:p>
    <w:p>
      <w:pPr>
        <w:spacing w:line="360" w:lineRule="auto"/>
        <w:ind w:left="105" w:leftChars="50" w:right="105" w:rightChars="50"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经</w:t>
      </w:r>
      <w:r>
        <w:rPr>
          <w:rFonts w:hint="eastAsia" w:ascii="宋体" w:hAnsi="宋体" w:eastAsia="宋体" w:cs="宋体"/>
          <w:color w:val="auto"/>
          <w:sz w:val="24"/>
          <w:highlight w:val="none"/>
          <w:u w:val="single"/>
        </w:rPr>
        <w:t xml:space="preserve"> 邀请招标 </w:t>
      </w:r>
      <w:r>
        <w:rPr>
          <w:rFonts w:hint="eastAsia" w:ascii="宋体" w:hAnsi="宋体" w:eastAsia="宋体" w:cs="宋体"/>
          <w:color w:val="auto"/>
          <w:sz w:val="24"/>
          <w:highlight w:val="none"/>
        </w:rPr>
        <w:t>确定乙方为资产经营集团年度项目</w:t>
      </w:r>
      <w:r>
        <w:rPr>
          <w:rFonts w:hint="eastAsia" w:ascii="宋体" w:hAnsi="宋体" w:eastAsia="宋体" w:cs="宋体"/>
          <w:color w:val="auto"/>
          <w:sz w:val="24"/>
          <w:highlight w:val="none"/>
          <w:lang w:val="en-US" w:eastAsia="zh-CN"/>
        </w:rPr>
        <w:t>造价咨询</w:t>
      </w:r>
      <w:r>
        <w:rPr>
          <w:rFonts w:hint="eastAsia" w:ascii="宋体" w:hAnsi="宋体" w:eastAsia="宋体" w:cs="宋体"/>
          <w:color w:val="auto"/>
          <w:sz w:val="24"/>
          <w:highlight w:val="none"/>
        </w:rPr>
        <w:t>服务单位选定项目的中标单位（中标通知书编号：</w:t>
      </w:r>
      <w:r>
        <w:rPr>
          <w:rFonts w:hint="eastAsia" w:ascii="宋体" w:hAnsi="宋体" w:eastAsia="宋体" w:cs="宋体"/>
          <w:color w:val="auto"/>
          <w:sz w:val="24"/>
          <w:highlight w:val="none"/>
          <w:u w:val="single"/>
        </w:rPr>
        <w:t xml:space="preserve">            </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根据《中华人民共和国合同法》及有关法律、法规的有关规定，甲方与乙方在平等、自愿、公平、诚实信用的基础上，经友好协商，就甲方委托乙方进行</w:t>
      </w:r>
      <w:r>
        <w:rPr>
          <w:rFonts w:hint="eastAsia" w:ascii="宋体" w:hAnsi="宋体" w:eastAsia="宋体" w:cs="宋体"/>
          <w:b/>
          <w:color w:val="auto"/>
          <w:sz w:val="24"/>
          <w:highlight w:val="none"/>
        </w:rPr>
        <w:t>资产经营集团年度项目</w:t>
      </w:r>
      <w:r>
        <w:rPr>
          <w:rFonts w:hint="eastAsia" w:ascii="宋体" w:hAnsi="宋体" w:eastAsia="宋体" w:cs="宋体"/>
          <w:b/>
          <w:color w:val="auto"/>
          <w:sz w:val="24"/>
          <w:highlight w:val="none"/>
          <w:lang w:val="en-US" w:eastAsia="zh-CN"/>
        </w:rPr>
        <w:t>造价</w:t>
      </w:r>
      <w:r>
        <w:rPr>
          <w:rFonts w:hint="eastAsia" w:ascii="宋体" w:hAnsi="宋体" w:eastAsia="宋体" w:cs="宋体"/>
          <w:b/>
          <w:color w:val="auto"/>
          <w:sz w:val="24"/>
          <w:highlight w:val="none"/>
        </w:rPr>
        <w:t>咨询服务单位选定</w:t>
      </w:r>
      <w:r>
        <w:rPr>
          <w:rFonts w:hint="eastAsia" w:ascii="宋体" w:hAnsi="宋体" w:eastAsia="宋体" w:cs="宋体"/>
          <w:color w:val="auto"/>
          <w:sz w:val="24"/>
          <w:highlight w:val="none"/>
        </w:rPr>
        <w:t>项目编制的服务，达成以下协议：</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0" w:name="_Toc16116"/>
      <w:bookmarkStart w:id="61" w:name="_Toc18554"/>
      <w:bookmarkStart w:id="62" w:name="_Toc27826"/>
      <w:r>
        <w:rPr>
          <w:rFonts w:hint="eastAsia" w:asciiTheme="minorEastAsia" w:hAnsiTheme="minorEastAsia" w:eastAsiaTheme="minorEastAsia" w:cstheme="minorEastAsia"/>
          <w:b/>
          <w:color w:val="auto"/>
          <w:sz w:val="24"/>
          <w:szCs w:val="24"/>
          <w:highlight w:val="none"/>
        </w:rPr>
        <w:t>概述</w:t>
      </w:r>
      <w:bookmarkEnd w:id="60"/>
      <w:bookmarkEnd w:id="61"/>
      <w:bookmarkEnd w:id="62"/>
    </w:p>
    <w:p>
      <w:pPr>
        <w:pStyle w:val="17"/>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项目名称：</w:t>
      </w:r>
      <w:r>
        <w:rPr>
          <w:rFonts w:hint="eastAsia" w:asciiTheme="minorEastAsia" w:hAnsiTheme="minorEastAsia" w:eastAsiaTheme="minorEastAsia" w:cstheme="minorEastAsia"/>
          <w:b w:val="0"/>
          <w:bCs/>
          <w:color w:val="auto"/>
          <w:sz w:val="24"/>
          <w:szCs w:val="24"/>
          <w:highlight w:val="none"/>
          <w:lang w:val="en-US" w:eastAsia="zh-CN"/>
        </w:rPr>
        <w:t>南沙</w:t>
      </w:r>
      <w:r>
        <w:rPr>
          <w:rFonts w:hint="eastAsia" w:asciiTheme="minorEastAsia" w:hAnsiTheme="minorEastAsia" w:eastAsiaTheme="minorEastAsia" w:cstheme="minorEastAsia"/>
          <w:b w:val="0"/>
          <w:bCs/>
          <w:color w:val="auto"/>
          <w:sz w:val="24"/>
          <w:szCs w:val="24"/>
          <w:highlight w:val="none"/>
        </w:rPr>
        <w:t>资产经营集团年度项目</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咨询服务</w:t>
      </w:r>
    </w:p>
    <w:p>
      <w:pPr>
        <w:pStyle w:val="17"/>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项目服务范围及委托主要内容：为</w:t>
      </w:r>
      <w:r>
        <w:rPr>
          <w:rFonts w:hint="eastAsia" w:asciiTheme="minorEastAsia" w:hAnsiTheme="minorEastAsia" w:eastAsiaTheme="minorEastAsia" w:cstheme="minorEastAsia"/>
          <w:b w:val="0"/>
          <w:bCs/>
          <w:color w:val="auto"/>
          <w:sz w:val="24"/>
          <w:szCs w:val="24"/>
          <w:highlight w:val="none"/>
          <w:lang w:val="en-US" w:eastAsia="zh-CN"/>
        </w:rPr>
        <w:t>南沙</w:t>
      </w:r>
      <w:r>
        <w:rPr>
          <w:rFonts w:hint="eastAsia" w:asciiTheme="minorEastAsia" w:hAnsiTheme="minorEastAsia" w:eastAsiaTheme="minorEastAsia" w:cstheme="minorEastAsia"/>
          <w:b w:val="0"/>
          <w:bCs/>
          <w:color w:val="auto"/>
          <w:sz w:val="24"/>
          <w:szCs w:val="24"/>
          <w:highlight w:val="none"/>
        </w:rPr>
        <w:t>资产经营集团</w:t>
      </w:r>
      <w:r>
        <w:rPr>
          <w:rFonts w:hint="eastAsia" w:asciiTheme="minorEastAsia" w:hAnsiTheme="minorEastAsia" w:eastAsiaTheme="minorEastAsia" w:cstheme="minorEastAsia"/>
          <w:b w:val="0"/>
          <w:bCs/>
          <w:color w:val="auto"/>
          <w:sz w:val="24"/>
          <w:szCs w:val="24"/>
          <w:highlight w:val="none"/>
          <w:lang w:val="en-US" w:eastAsia="zh-CN"/>
        </w:rPr>
        <w:t>范围内项目提供造价咨询服务</w:t>
      </w:r>
      <w:r>
        <w:rPr>
          <w:rFonts w:hint="eastAsia" w:asciiTheme="minorEastAsia" w:hAnsiTheme="minorEastAsia" w:eastAsiaTheme="minorEastAsia" w:cstheme="minorEastAsia"/>
          <w:b w:val="0"/>
          <w:bCs/>
          <w:color w:val="auto"/>
          <w:sz w:val="24"/>
          <w:szCs w:val="24"/>
          <w:highlight w:val="none"/>
        </w:rPr>
        <w:t>，为保证服务质量与连贯性、独立性，拟以年度服务外包的形式选定长期服务单位。</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bookmarkStart w:id="63" w:name="_Toc28218"/>
      <w:bookmarkStart w:id="64" w:name="_Toc32341"/>
      <w:bookmarkStart w:id="65" w:name="_Toc30315"/>
      <w:r>
        <w:rPr>
          <w:rFonts w:hint="eastAsia" w:asciiTheme="minorEastAsia" w:hAnsiTheme="minorEastAsia" w:eastAsiaTheme="minorEastAsia" w:cstheme="minorEastAsia"/>
          <w:b/>
          <w:color w:val="auto"/>
          <w:sz w:val="24"/>
          <w:szCs w:val="24"/>
          <w:highlight w:val="none"/>
        </w:rPr>
        <w:t>委托内容及</w:t>
      </w:r>
      <w:bookmarkEnd w:id="63"/>
      <w:bookmarkEnd w:id="64"/>
      <w:bookmarkEnd w:id="65"/>
      <w:r>
        <w:rPr>
          <w:rFonts w:hint="eastAsia" w:asciiTheme="minorEastAsia" w:hAnsiTheme="minorEastAsia" w:eastAsiaTheme="minorEastAsia" w:cstheme="minorEastAsia"/>
          <w:b/>
          <w:color w:val="auto"/>
          <w:sz w:val="24"/>
          <w:szCs w:val="24"/>
          <w:highlight w:val="none"/>
          <w:lang w:val="en-US" w:eastAsia="zh-CN"/>
        </w:rPr>
        <w:t>工作模式</w:t>
      </w:r>
    </w:p>
    <w:p>
      <w:pPr>
        <w:keepNext w:val="0"/>
        <w:keepLines w:val="0"/>
        <w:pageBreakBefore w:val="0"/>
        <w:widowControl w:val="0"/>
        <w:numPr>
          <w:ilvl w:val="0"/>
          <w:numId w:val="9"/>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b/>
          <w:bCs/>
          <w:color w:val="auto"/>
          <w:sz w:val="24"/>
          <w:highlight w:val="none"/>
        </w:rPr>
      </w:pPr>
      <w:r>
        <w:rPr>
          <w:rFonts w:hint="eastAsia" w:ascii="宋体" w:hAnsi="宋体" w:eastAsia="宋体" w:cs="宋体"/>
          <w:b/>
          <w:bCs/>
          <w:color w:val="auto"/>
          <w:sz w:val="24"/>
          <w:highlight w:val="none"/>
          <w:lang w:val="en-US" w:eastAsia="zh-CN"/>
        </w:rPr>
        <w:t>委托内容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造价咨询年度服务外包，具体内容包括招标人2020年度内资产经营集团所有需要完成造价咨询的项目服务，包括但不限于：编制（或审核）项目的投资估算、概算、预算、结算并对工程变更、工程签证、技术方案等进行审核把关及提供费用审核意见；参与项目成本管控全过程的相关工作等。</w:t>
      </w:r>
    </w:p>
    <w:p>
      <w:pPr>
        <w:keepNext w:val="0"/>
        <w:keepLines w:val="0"/>
        <w:pageBreakBefore w:val="0"/>
        <w:widowControl w:val="0"/>
        <w:numPr>
          <w:ilvl w:val="0"/>
          <w:numId w:val="9"/>
        </w:numPr>
        <w:tabs>
          <w:tab w:val="left" w:pos="840"/>
        </w:tabs>
        <w:kinsoku/>
        <w:wordWrap/>
        <w:overflowPunct/>
        <w:topLinePunct w:val="0"/>
        <w:autoSpaceDE/>
        <w:autoSpaceDN/>
        <w:bidi w:val="0"/>
        <w:adjustRightInd/>
        <w:snapToGrid/>
        <w:spacing w:line="360" w:lineRule="auto"/>
        <w:ind w:left="0" w:leftChars="0" w:firstLine="482" w:firstLineChars="200"/>
        <w:textAlignment w:val="auto"/>
        <w:outlineLvl w:val="1"/>
        <w:rPr>
          <w:rFonts w:hint="eastAsia" w:ascii="宋体" w:hAnsi="宋体" w:eastAsia="宋体" w:cs="宋体"/>
          <w:b/>
          <w:bCs/>
          <w:color w:val="auto"/>
          <w:sz w:val="24"/>
          <w:highlight w:val="none"/>
        </w:rPr>
      </w:pPr>
      <w:bookmarkStart w:id="66" w:name="_Toc22443"/>
      <w:bookmarkStart w:id="67" w:name="_Toc2570"/>
      <w:bookmarkStart w:id="68" w:name="_Toc7481"/>
      <w:r>
        <w:rPr>
          <w:rFonts w:hint="eastAsia" w:ascii="宋体" w:hAnsi="宋体" w:eastAsia="宋体" w:cs="宋体"/>
          <w:b/>
          <w:bCs/>
          <w:color w:val="auto"/>
          <w:sz w:val="24"/>
          <w:highlight w:val="none"/>
          <w:lang w:val="en-US" w:eastAsia="zh-CN"/>
        </w:rPr>
        <w:t>分项协议</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双方确定委托内容后，与资产经营集团项目业主单位，按本协议内容，签订三方合同。</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en-US" w:eastAsia="zh-CN"/>
        </w:rPr>
        <w:t>计费标准</w:t>
      </w:r>
    </w:p>
    <w:p>
      <w:pPr>
        <w:pStyle w:val="17"/>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造价咨询服务费基础计费标准参照《关于调整我省建设工程造价咨询服务收费的复函》（粤价函[2011]742号）规定收费，如遇上级主管部门下发新取费标准，则按新标准执行。招标控制价的基础计费标准按该文件规定的预算取费标准执行。</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造价咨询服务费最终收费由基础计费按中标规定的下浮率进行调整确定。</w:t>
      </w:r>
    </w:p>
    <w:p>
      <w:pPr>
        <w:pStyle w:val="17"/>
        <w:keepNext w:val="0"/>
        <w:keepLines w:val="0"/>
        <w:pageBreakBefore w:val="0"/>
        <w:widowControl/>
        <w:numPr>
          <w:ilvl w:val="0"/>
          <w:numId w:val="1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default" w:asciiTheme="minorEastAsia" w:hAnsiTheme="minorEastAsia" w:eastAsiaTheme="minorEastAsia" w:cstheme="minorEastAsia"/>
          <w:b w:val="0"/>
          <w:bCs/>
          <w:color w:val="auto"/>
          <w:sz w:val="24"/>
          <w:szCs w:val="24"/>
          <w:highlight w:val="none"/>
          <w:lang w:val="en-US" w:eastAsia="zh-CN"/>
        </w:rPr>
        <w:t>以上各项服务费均以</w:t>
      </w:r>
      <w:r>
        <w:rPr>
          <w:rFonts w:hint="eastAsia" w:asciiTheme="minorEastAsia" w:hAnsiTheme="minorEastAsia" w:eastAsiaTheme="minorEastAsia" w:cstheme="minorEastAsia"/>
          <w:b w:val="0"/>
          <w:bCs/>
          <w:color w:val="auto"/>
          <w:sz w:val="24"/>
          <w:szCs w:val="24"/>
          <w:highlight w:val="none"/>
          <w:lang w:val="en-US" w:eastAsia="zh-CN"/>
        </w:rPr>
        <w:t>分项合同</w:t>
      </w:r>
      <w:r>
        <w:rPr>
          <w:rFonts w:hint="default" w:asciiTheme="minorEastAsia" w:hAnsiTheme="minorEastAsia" w:eastAsiaTheme="minorEastAsia" w:cstheme="minorEastAsia"/>
          <w:b w:val="0"/>
          <w:bCs/>
          <w:color w:val="auto"/>
          <w:sz w:val="24"/>
          <w:szCs w:val="24"/>
          <w:highlight w:val="none"/>
          <w:lang w:val="en-US" w:eastAsia="zh-CN"/>
        </w:rPr>
        <w:t>金额分别计算。</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咨询</w:t>
      </w:r>
      <w:r>
        <w:rPr>
          <w:rFonts w:hint="eastAsia" w:asciiTheme="minorEastAsia" w:hAnsiTheme="minorEastAsia" w:eastAsiaTheme="minorEastAsia" w:cstheme="minorEastAsia"/>
          <w:b/>
          <w:color w:val="auto"/>
          <w:sz w:val="24"/>
          <w:szCs w:val="24"/>
          <w:highlight w:val="none"/>
        </w:rPr>
        <w:t>资质及技术要求</w:t>
      </w:r>
      <w:bookmarkEnd w:id="66"/>
      <w:bookmarkEnd w:id="67"/>
      <w:bookmarkEnd w:id="68"/>
    </w:p>
    <w:p>
      <w:pPr>
        <w:pStyle w:val="17"/>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乙方专业资质、业绩、团队投入必须与其投标文件相关内容一致。</w:t>
      </w:r>
    </w:p>
    <w:p>
      <w:pPr>
        <w:pStyle w:val="17"/>
        <w:keepNext w:val="0"/>
        <w:keepLines w:val="0"/>
        <w:pageBreakBefore w:val="0"/>
        <w:widowControl/>
        <w:numPr>
          <w:ilvl w:val="0"/>
          <w:numId w:val="11"/>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乙方提交的成果必须符合现行的国家及地方法规、规范和有关技术要求。</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69" w:name="_Toc10700"/>
      <w:bookmarkStart w:id="70" w:name="_Toc26794"/>
      <w:bookmarkStart w:id="71" w:name="_Toc14959"/>
      <w:r>
        <w:rPr>
          <w:rFonts w:hint="eastAsia" w:asciiTheme="minorEastAsia" w:hAnsiTheme="minorEastAsia" w:eastAsiaTheme="minorEastAsia" w:cstheme="minorEastAsia"/>
          <w:b/>
          <w:color w:val="auto"/>
          <w:sz w:val="24"/>
          <w:szCs w:val="24"/>
          <w:highlight w:val="none"/>
        </w:rPr>
        <w:t>甲方职责</w:t>
      </w:r>
      <w:bookmarkEnd w:id="69"/>
      <w:bookmarkEnd w:id="70"/>
      <w:bookmarkEnd w:id="71"/>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甲方指定一名授权代表 </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（联系电话：</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/企业邮箱：</w:t>
      </w:r>
      <w:r>
        <w:rPr>
          <w:rFonts w:hint="eastAsia" w:asciiTheme="minorEastAsia" w:hAnsiTheme="minorEastAsia" w:eastAsiaTheme="minorEastAsia" w:cstheme="minorEastAsia"/>
          <w:b w:val="0"/>
          <w:bCs/>
          <w:color w:val="auto"/>
          <w:sz w:val="24"/>
          <w:szCs w:val="24"/>
          <w:highlight w:val="none"/>
          <w:u w:val="single"/>
        </w:rPr>
        <w:t xml:space="preserve">    </w:t>
      </w:r>
      <w:r>
        <w:rPr>
          <w:rFonts w:hint="eastAsia" w:asciiTheme="minorEastAsia" w:hAnsiTheme="minorEastAsia" w:eastAsiaTheme="minorEastAsia" w:cstheme="minorEastAsia"/>
          <w:b w:val="0"/>
          <w:bCs/>
          <w:color w:val="auto"/>
          <w:sz w:val="24"/>
          <w:szCs w:val="24"/>
          <w:highlight w:val="none"/>
        </w:rPr>
        <w:t>）与乙方的授权代表建立工作联系，负责本项目有关工作事项，并对双方往来文件进行签收。</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按本合同规定的金额和时间向乙方支付服务费用。</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甲方协助乙方敦促被审核单位为乙方人员开展工作并提供必要的工作条件，提供必要的资料，并协助乙方敦促被审核单位对所提供资料的真实性、准确性、合法性和完整性负责。</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协议期内，按照服务监督管理办法的约定不定期组织对乙方执行协议情况进行核查，并对乙方的服务做出评价；对发现的问题，应通过有关部门查处核实，并将有关情况向政府招标监管部门和建设造价管理部门反映。</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甲方不承诺亦毋须在协议服务期限内将所有建设工程项目等造价咨询事项均交予乙方，乙方同意并不得因此提出异议。</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甲方不承诺乙方年度收入下限，不承诺年度工作量，乙方同意并不得因此提出异议。</w:t>
      </w:r>
    </w:p>
    <w:p>
      <w:pPr>
        <w:pStyle w:val="17"/>
        <w:keepNext w:val="0"/>
        <w:keepLines w:val="0"/>
        <w:pageBreakBefore w:val="0"/>
        <w:widowControl/>
        <w:numPr>
          <w:ilvl w:val="0"/>
          <w:numId w:val="12"/>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本合同服务期限内，乙方为甲方提供的全部造价咨询服务费总额控制在100万以内，乙方同意并不得因此提出异议。</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2" w:name="_Toc14671"/>
      <w:bookmarkStart w:id="73" w:name="_Toc25045"/>
      <w:bookmarkStart w:id="74" w:name="_Toc4206"/>
      <w:r>
        <w:rPr>
          <w:rFonts w:hint="eastAsia" w:asciiTheme="minorEastAsia" w:hAnsiTheme="minorEastAsia" w:eastAsiaTheme="minorEastAsia" w:cstheme="minorEastAsia"/>
          <w:b/>
          <w:color w:val="auto"/>
          <w:sz w:val="24"/>
          <w:szCs w:val="24"/>
          <w:highlight w:val="none"/>
        </w:rPr>
        <w:t>乙方职责</w:t>
      </w:r>
      <w:bookmarkEnd w:id="72"/>
      <w:bookmarkEnd w:id="73"/>
      <w:bookmarkEnd w:id="74"/>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乙方指定         （联系电话：       /企业邮箱：    ）为项目负责人，负责联系项目有关工作事宜，并对双方往来文件进行签收，同时乙方负责对甲方提供的资料准确性进行核查并承担责任。</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根据甲方要求需要，并依照现行的国家和地方有关法律、法规以及相关规范的技术要求，按本合同约定的时间内向甲方提交成果，并对其完整性、准确性、科学合理性及时限负责。</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维持本项目团队的稳定，不得随意进行调动或更换。如需调换，须事先通知甲方并获得甲方认可。其中不称职的人员，甲方有权要求在指定期限内调换。如因乙方工作人员离职、退休或长病假等非乙方可控情形导致需变更乙方人员配置，乙方应及时地调换具备相应能力、经验的</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人员并得甲方认可。</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乙方应与甲方充分沟通，积极与甲方进行各阶段成果交流与汇报，并依据汇报中讨论结果及时做出修改。</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应为其工作人员及聘用人员购买相应的保险，乙方工作人员及聘用人员工作期间发生的有关安全事故、人身伤亡、罚款、损失赔偿、诉讼费及其他一切责任由乙方自行负责。若因此导致甲方被追偿（追责）之类的，乙方应赔偿甲方因此造成的所有损失（包括但不限于为乙方或其工作人员、聘用人员垫付的所有费用、律师费、差旅费、诉讼费或仲裁费、保全费、公证费、公告费、评估费、执行费等）。</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乙方在甲方发出业务通知后12小时内按规定办理承接委托事宜（除需回避事项外），无法按时完成的应及时向甲方报告原因。</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回避事项。若乙方曾就委托项目提供过相关服务，或有其他利害关系的，可能影响评估公正、公平的情形，不得作为该项目的造价咨询机构，并应主动提供回避事项的证明文件交由甲方，经甲方同意后，由甲方按管理制度选取另一家符合要求的工程造价咨询单位承担该项目的造价咨询工作。</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必须严格按甲方要求的期限独立完成造价咨询工作，不得无故延误造价咨询时间，特殊情况需报告甲方，经甲方批准后方可根据实际情况考虑适当延长造价咨询时间。无故拖延造价咨询时间的乙方，甲方有权退回任务并终止后期向该乙方的任务分配并追究乙方的违约责任。</w:t>
      </w:r>
    </w:p>
    <w:p>
      <w:pPr>
        <w:pStyle w:val="17"/>
        <w:keepNext w:val="0"/>
        <w:keepLines w:val="0"/>
        <w:pageBreakBefore w:val="0"/>
        <w:widowControl/>
        <w:numPr>
          <w:ilvl w:val="0"/>
          <w:numId w:val="13"/>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乙方对甲方委托造价咨询工作客观、公正地提出审核意见，并针对项目提出合理化建议及相应可行的解决办法。</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5" w:name="_Toc13199"/>
      <w:bookmarkStart w:id="76" w:name="_Toc31191"/>
      <w:bookmarkStart w:id="77" w:name="_Toc15932"/>
      <w:r>
        <w:rPr>
          <w:rFonts w:hint="eastAsia" w:asciiTheme="minorEastAsia" w:hAnsiTheme="minorEastAsia" w:eastAsiaTheme="minorEastAsia" w:cstheme="minorEastAsia"/>
          <w:b/>
          <w:color w:val="auto"/>
          <w:sz w:val="24"/>
          <w:szCs w:val="24"/>
          <w:highlight w:val="none"/>
        </w:rPr>
        <w:t>服务期限</w:t>
      </w:r>
      <w:bookmarkEnd w:id="75"/>
      <w:bookmarkEnd w:id="76"/>
      <w:bookmarkEnd w:id="77"/>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双方同意，由甲方按每个项目的情况，给予乙方合理工作期限，乙方应在甲方指定的工作期限前完成甲方所要求的工作。</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乙方的总服务期限为：2020年3月</w:t>
      </w:r>
      <w:r>
        <w:rPr>
          <w:rFonts w:hint="eastAsia" w:asciiTheme="minorEastAsia" w:hAnsiTheme="minorEastAsia" w:eastAsiaTheme="minorEastAsia" w:cstheme="minorEastAsia"/>
          <w:b w:val="0"/>
          <w:bCs/>
          <w:color w:val="auto"/>
          <w:sz w:val="24"/>
          <w:szCs w:val="24"/>
          <w:highlight w:val="none"/>
          <w:lang w:val="en-US" w:eastAsia="zh-CN"/>
        </w:rPr>
        <w:t>至</w:t>
      </w:r>
      <w:r>
        <w:rPr>
          <w:rFonts w:hint="eastAsia" w:asciiTheme="minorEastAsia" w:hAnsiTheme="minorEastAsia" w:eastAsiaTheme="minorEastAsia" w:cstheme="minorEastAsia"/>
          <w:b w:val="0"/>
          <w:bCs/>
          <w:color w:val="auto"/>
          <w:sz w:val="24"/>
          <w:szCs w:val="24"/>
          <w:highlight w:val="none"/>
        </w:rPr>
        <w:t>2021年3月或者累计服务费接近100万为止（每项</w:t>
      </w:r>
      <w:r>
        <w:rPr>
          <w:rFonts w:hint="eastAsia" w:asciiTheme="minorEastAsia" w:hAnsiTheme="minorEastAsia" w:eastAsiaTheme="minorEastAsia" w:cstheme="minorEastAsia"/>
          <w:b w:val="0"/>
          <w:bCs/>
          <w:color w:val="auto"/>
          <w:sz w:val="24"/>
          <w:szCs w:val="24"/>
          <w:highlight w:val="none"/>
          <w:lang w:val="en-US" w:eastAsia="zh-CN"/>
        </w:rPr>
        <w:t>造价咨询</w:t>
      </w:r>
      <w:r>
        <w:rPr>
          <w:rFonts w:hint="eastAsia" w:asciiTheme="minorEastAsia" w:hAnsiTheme="minorEastAsia" w:eastAsiaTheme="minorEastAsia" w:cstheme="minorEastAsia"/>
          <w:b w:val="0"/>
          <w:bCs/>
          <w:color w:val="auto"/>
          <w:sz w:val="24"/>
          <w:szCs w:val="24"/>
          <w:highlight w:val="none"/>
        </w:rPr>
        <w:t>任务根据项目情况结合乙方投标时承诺报价计算，当所服务的项目</w:t>
      </w:r>
      <w:r>
        <w:rPr>
          <w:rFonts w:hint="eastAsia" w:asciiTheme="minorEastAsia" w:hAnsiTheme="minorEastAsia" w:eastAsiaTheme="minorEastAsia" w:cstheme="minorEastAsia"/>
          <w:b w:val="0"/>
          <w:bCs/>
          <w:color w:val="auto"/>
          <w:sz w:val="24"/>
          <w:szCs w:val="24"/>
          <w:highlight w:val="none"/>
          <w:lang w:val="en-US" w:eastAsia="zh-CN"/>
        </w:rPr>
        <w:t>造价咨询</w:t>
      </w:r>
      <w:r>
        <w:rPr>
          <w:rFonts w:hint="eastAsia" w:asciiTheme="minorEastAsia" w:hAnsiTheme="minorEastAsia" w:eastAsiaTheme="minorEastAsia" w:cstheme="minorEastAsia"/>
          <w:b w:val="0"/>
          <w:bCs/>
          <w:color w:val="auto"/>
          <w:sz w:val="24"/>
          <w:szCs w:val="24"/>
          <w:highlight w:val="none"/>
        </w:rPr>
        <w:t>服务费达到100万或第一次超过100万时），按照甲方的结算管理办法完成结算审核，即算完成本次服务。服务期内乙方需完成服务内容并向甲方提供最终服务成果，最终服务成果须满足招标文件和达到本合同约定的要求。服务期限包括甲方审核成果、回馈意见所需时间和乙方根据甲方的反馈意见进行相应调整所需的合理时间。</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78" w:name="_Toc4309"/>
      <w:bookmarkStart w:id="79" w:name="_Toc31797"/>
      <w:bookmarkStart w:id="80" w:name="_Toc10419"/>
      <w:r>
        <w:rPr>
          <w:rFonts w:hint="eastAsia" w:asciiTheme="minorEastAsia" w:hAnsiTheme="minorEastAsia" w:eastAsiaTheme="minorEastAsia" w:cstheme="minorEastAsia"/>
          <w:b/>
          <w:color w:val="auto"/>
          <w:sz w:val="24"/>
          <w:szCs w:val="24"/>
          <w:highlight w:val="none"/>
        </w:rPr>
        <w:t>服务费用与支付方式</w:t>
      </w:r>
      <w:bookmarkEnd w:id="78"/>
      <w:bookmarkEnd w:id="79"/>
      <w:bookmarkEnd w:id="80"/>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1、</w:t>
      </w:r>
      <w:r>
        <w:rPr>
          <w:rFonts w:hint="eastAsia" w:asciiTheme="minorEastAsia" w:hAnsiTheme="minorEastAsia" w:eastAsiaTheme="minorEastAsia" w:cstheme="minorEastAsia"/>
          <w:b/>
          <w:bCs w:val="0"/>
          <w:color w:val="auto"/>
          <w:sz w:val="24"/>
          <w:szCs w:val="24"/>
          <w:highlight w:val="none"/>
        </w:rPr>
        <w:t>服务费用总额：</w:t>
      </w:r>
      <w:r>
        <w:rPr>
          <w:rFonts w:hint="eastAsia" w:asciiTheme="minorEastAsia" w:hAnsiTheme="minorEastAsia" w:eastAsiaTheme="minorEastAsia" w:cstheme="minorEastAsia"/>
          <w:b w:val="0"/>
          <w:bCs/>
          <w:color w:val="auto"/>
          <w:sz w:val="24"/>
          <w:szCs w:val="24"/>
          <w:highlight w:val="none"/>
        </w:rPr>
        <w:t>双方约定本合同服务费用</w:t>
      </w:r>
      <w:r>
        <w:rPr>
          <w:rFonts w:hint="eastAsia" w:asciiTheme="minorEastAsia" w:hAnsiTheme="minorEastAsia" w:eastAsiaTheme="minorEastAsia" w:cstheme="minorEastAsia"/>
          <w:b w:val="0"/>
          <w:bCs/>
          <w:color w:val="auto"/>
          <w:sz w:val="24"/>
          <w:szCs w:val="24"/>
          <w:highlight w:val="none"/>
          <w:lang w:val="en-US" w:eastAsia="zh-CN"/>
        </w:rPr>
        <w:t>各分项累计</w:t>
      </w:r>
      <w:r>
        <w:rPr>
          <w:rFonts w:hint="eastAsia" w:asciiTheme="minorEastAsia" w:hAnsiTheme="minorEastAsia" w:eastAsiaTheme="minorEastAsia" w:cstheme="minorEastAsia"/>
          <w:b w:val="0"/>
          <w:bCs/>
          <w:color w:val="auto"/>
          <w:sz w:val="24"/>
          <w:szCs w:val="24"/>
          <w:highlight w:val="none"/>
        </w:rPr>
        <w:t>总额</w:t>
      </w:r>
      <w:r>
        <w:rPr>
          <w:rFonts w:hint="eastAsia" w:asciiTheme="minorEastAsia" w:hAnsiTheme="minorEastAsia" w:eastAsiaTheme="minorEastAsia" w:cstheme="minorEastAsia"/>
          <w:b w:val="0"/>
          <w:bCs/>
          <w:color w:val="auto"/>
          <w:sz w:val="24"/>
          <w:szCs w:val="24"/>
          <w:highlight w:val="none"/>
          <w:lang w:val="en-US" w:eastAsia="zh-CN"/>
        </w:rPr>
        <w:t>不超过</w:t>
      </w:r>
      <w:r>
        <w:rPr>
          <w:rFonts w:hint="eastAsia" w:asciiTheme="minorEastAsia" w:hAnsiTheme="minorEastAsia" w:eastAsiaTheme="minorEastAsia" w:cstheme="minorEastAsia"/>
          <w:b w:val="0"/>
          <w:bCs/>
          <w:color w:val="auto"/>
          <w:sz w:val="24"/>
          <w:szCs w:val="24"/>
          <w:highlight w:val="none"/>
        </w:rPr>
        <w:t>人民币（大写）</w:t>
      </w:r>
      <w:r>
        <w:rPr>
          <w:rFonts w:hint="eastAsia" w:asciiTheme="minorEastAsia" w:hAnsiTheme="minorEastAsia" w:eastAsiaTheme="minorEastAsia" w:cstheme="minorEastAsia"/>
          <w:b w:val="0"/>
          <w:bCs/>
          <w:color w:val="auto"/>
          <w:sz w:val="24"/>
          <w:szCs w:val="24"/>
          <w:highlight w:val="none"/>
          <w:u w:val="single"/>
        </w:rPr>
        <w:t>壹佰万元（¥ 10000000.00 元）</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每个项目服务费</w:t>
      </w:r>
      <w:r>
        <w:rPr>
          <w:rFonts w:hint="eastAsia" w:asciiTheme="minorEastAsia" w:hAnsiTheme="minorEastAsia" w:eastAsiaTheme="minorEastAsia" w:cstheme="minorEastAsia"/>
          <w:b w:val="0"/>
          <w:bCs/>
          <w:color w:val="auto"/>
          <w:sz w:val="24"/>
          <w:szCs w:val="24"/>
          <w:highlight w:val="none"/>
          <w:lang w:val="en-US" w:eastAsia="zh-CN"/>
        </w:rPr>
        <w:t>依据</w:t>
      </w:r>
      <w:r>
        <w:rPr>
          <w:rFonts w:hint="eastAsia" w:asciiTheme="minorEastAsia" w:hAnsiTheme="minorEastAsia" w:eastAsiaTheme="minorEastAsia" w:cstheme="minorEastAsia"/>
          <w:b w:val="0"/>
          <w:bCs/>
          <w:color w:val="auto"/>
          <w:sz w:val="24"/>
          <w:szCs w:val="24"/>
          <w:highlight w:val="none"/>
        </w:rPr>
        <w:t>乙方投标报价</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以签订的三方合同价</w:t>
      </w:r>
      <w:r>
        <w:rPr>
          <w:rFonts w:hint="eastAsia" w:asciiTheme="minorEastAsia" w:hAnsiTheme="minorEastAsia" w:eastAsiaTheme="minorEastAsia" w:cstheme="minorEastAsia"/>
          <w:b w:val="0"/>
          <w:bCs/>
          <w:color w:val="auto"/>
          <w:sz w:val="24"/>
          <w:szCs w:val="24"/>
          <w:highlight w:val="none"/>
        </w:rPr>
        <w:t>为准</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提供增值税专业发票税率为</w:t>
      </w:r>
      <w:r>
        <w:rPr>
          <w:rFonts w:hint="eastAsia" w:asciiTheme="minorEastAsia" w:hAnsiTheme="minorEastAsia" w:eastAsiaTheme="minorEastAsia" w:cstheme="minorEastAsia"/>
          <w:b w:val="0"/>
          <w:bCs/>
          <w:color w:val="auto"/>
          <w:sz w:val="24"/>
          <w:szCs w:val="24"/>
          <w:highlight w:val="none"/>
          <w:u w:val="single"/>
        </w:rPr>
        <w:t xml:space="preserve"> 6.00 </w:t>
      </w:r>
      <w:r>
        <w:rPr>
          <w:rFonts w:hint="eastAsia" w:asciiTheme="minorEastAsia" w:hAnsiTheme="minorEastAsia" w:eastAsiaTheme="minorEastAsia" w:cstheme="minorEastAsia"/>
          <w:b w:val="0"/>
          <w:bCs/>
          <w:color w:val="auto"/>
          <w:sz w:val="24"/>
          <w:szCs w:val="24"/>
          <w:highlight w:val="none"/>
        </w:rPr>
        <w:t>%，费用为单个项目总价含税包干，每个项目含服务的所有费用，包括但不限于乙方到甲方</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或项目现场讨论汇报的差旅食宿费、服务费、咨询费和其它乙方为履行本合同项下义务的全部费用及应缴纳税费等。</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lang w:val="en-US" w:eastAsia="zh-CN"/>
        </w:rPr>
        <w:t>2、分项合同结算和</w:t>
      </w:r>
      <w:r>
        <w:rPr>
          <w:rFonts w:hint="eastAsia" w:asciiTheme="minorEastAsia" w:hAnsiTheme="minorEastAsia" w:eastAsiaTheme="minorEastAsia" w:cstheme="minorEastAsia"/>
          <w:b/>
          <w:bCs w:val="0"/>
          <w:color w:val="auto"/>
          <w:sz w:val="24"/>
          <w:szCs w:val="24"/>
          <w:highlight w:val="none"/>
        </w:rPr>
        <w:t>支付方式：</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每一个项目由甲方下达服务任务书，作为费用结算和签订三方分项</w:t>
      </w:r>
      <w:r>
        <w:rPr>
          <w:rFonts w:hint="eastAsia" w:asciiTheme="minorEastAsia" w:hAnsiTheme="minorEastAsia" w:eastAsiaTheme="minorEastAsia" w:cstheme="minorEastAsia"/>
          <w:b w:val="0"/>
          <w:bCs/>
          <w:color w:val="auto"/>
          <w:sz w:val="24"/>
          <w:szCs w:val="24"/>
          <w:highlight w:val="none"/>
        </w:rPr>
        <w:t>合同</w:t>
      </w:r>
      <w:r>
        <w:rPr>
          <w:rFonts w:hint="eastAsia" w:asciiTheme="minorEastAsia" w:hAnsiTheme="minorEastAsia" w:eastAsiaTheme="minorEastAsia" w:cstheme="minorEastAsia"/>
          <w:b w:val="0"/>
          <w:bCs/>
          <w:color w:val="auto"/>
          <w:sz w:val="24"/>
          <w:szCs w:val="24"/>
          <w:highlight w:val="none"/>
          <w:lang w:val="en-US" w:eastAsia="zh-CN"/>
        </w:rPr>
        <w:t>的依据</w:t>
      </w:r>
      <w:r>
        <w:rPr>
          <w:rFonts w:hint="eastAsia" w:asciiTheme="minorEastAsia" w:hAnsiTheme="minorEastAsia" w:eastAsiaTheme="minorEastAsia" w:cstheme="minorEastAsia"/>
          <w:b w:val="0"/>
          <w:bCs/>
          <w:color w:val="auto"/>
          <w:sz w:val="24"/>
          <w:szCs w:val="24"/>
          <w:highlight w:val="none"/>
        </w:rPr>
        <w:t>；</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（2）乙方每完成一个项目并通过甲方公司内部业务部门审核确认，并得到甲方确认为最终成果后，乙方可按甲方结算的有关规定要求提交结算资料，双方完成结算手续后</w:t>
      </w:r>
      <w:r>
        <w:rPr>
          <w:rFonts w:hint="eastAsia" w:asciiTheme="minorEastAsia" w:hAnsiTheme="minorEastAsia" w:eastAsiaTheme="minorEastAsia" w:cstheme="minorEastAsia"/>
          <w:b w:val="0"/>
          <w:bCs/>
          <w:color w:val="auto"/>
          <w:sz w:val="24"/>
          <w:szCs w:val="24"/>
          <w:highlight w:val="none"/>
          <w:lang w:val="en-US" w:eastAsia="zh-CN"/>
        </w:rPr>
        <w:t>签订三方分项</w:t>
      </w:r>
      <w:r>
        <w:rPr>
          <w:rFonts w:hint="eastAsia" w:asciiTheme="minorEastAsia" w:hAnsiTheme="minorEastAsia" w:eastAsiaTheme="minorEastAsia" w:cstheme="minorEastAsia"/>
          <w:b w:val="0"/>
          <w:bCs/>
          <w:color w:val="auto"/>
          <w:sz w:val="24"/>
          <w:szCs w:val="24"/>
          <w:highlight w:val="none"/>
        </w:rPr>
        <w:t>合同十个工作日内，</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向乙方支付每个项目服务费。</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（3）每笔款项支付前，乙方须提供正规合法的等额增值税专用发票（税率为6.00%），否则</w:t>
      </w:r>
      <w:r>
        <w:rPr>
          <w:rFonts w:hint="eastAsia" w:asciiTheme="minorEastAsia" w:hAnsiTheme="minorEastAsia" w:eastAsiaTheme="minorEastAsia" w:cstheme="minorEastAsia"/>
          <w:b w:val="0"/>
          <w:bCs/>
          <w:color w:val="auto"/>
          <w:sz w:val="24"/>
          <w:szCs w:val="24"/>
          <w:highlight w:val="none"/>
          <w:lang w:val="en-US" w:eastAsia="zh-CN"/>
        </w:rPr>
        <w:t>项目业主</w:t>
      </w:r>
      <w:r>
        <w:rPr>
          <w:rFonts w:hint="eastAsia" w:asciiTheme="minorEastAsia" w:hAnsiTheme="minorEastAsia" w:eastAsiaTheme="minorEastAsia" w:cstheme="minorEastAsia"/>
          <w:b w:val="0"/>
          <w:bCs/>
          <w:color w:val="auto"/>
          <w:sz w:val="24"/>
          <w:szCs w:val="24"/>
          <w:highlight w:val="none"/>
        </w:rPr>
        <w:t>有权不予支付或延期支付相应款项，因乙方提供的发票不规范、不合法引起税务问题的，乙方应承担向甲方赔偿的责任，包括但不限于税款、滞纳金、罚款及相关损失等。</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以上付款甲方以转账方式支付，本合同签订的乙方银行及账号为甲方付款的唯一账号。乙方指定以下账户为乙方收款账户：</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账户名称：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 xml:space="preserve">开户银行：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银行账号：</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1" w:name="_Toc4850"/>
      <w:bookmarkStart w:id="82" w:name="_Toc9013"/>
      <w:bookmarkStart w:id="83" w:name="_Toc26285"/>
      <w:r>
        <w:rPr>
          <w:rFonts w:hint="eastAsia" w:asciiTheme="minorEastAsia" w:hAnsiTheme="minorEastAsia" w:eastAsiaTheme="minorEastAsia" w:cstheme="minorEastAsia"/>
          <w:b/>
          <w:color w:val="auto"/>
          <w:sz w:val="24"/>
          <w:szCs w:val="24"/>
          <w:highlight w:val="none"/>
        </w:rPr>
        <w:t>保密条款及知识产权归属</w:t>
      </w:r>
      <w:bookmarkEnd w:id="81"/>
      <w:bookmarkEnd w:id="82"/>
      <w:bookmarkEnd w:id="83"/>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为履行本合同约定而编制的成果文件，除署名权以外的著作权属于甲方。乙方可以为实现合同目的而复制或者以其他方式使用此类文件，但不能用于与合同无关的其他事项。未经甲方书面同意，乙方不得为了合同以外的目的而复制或者以其他方式使用上述文件或将之提供给任何第三方。如发生以上情况，乙方应按法律规定承担相应法律责任，并赔偿甲方因此造成的所有损失，包括但不限于甲方向第三方的赔偿、律师费、仲裁或诉讼费、差旅费、公证费、评估费、公告费、保全费、执行费等。</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成果不得侵犯第三人的合法权益（包括但不限于著作权、商标权），若因乙方侵犯第三方权利给甲方造成损失的，乙方承担全部赔偿责任，包括但不限于甲方向第三方的赔偿、律师费、诉讼费、差旅费等，赔偿不超过</w:t>
      </w:r>
      <w:r>
        <w:rPr>
          <w:rFonts w:hint="eastAsia" w:asciiTheme="minorEastAsia" w:hAnsiTheme="minorEastAsia" w:eastAsiaTheme="minorEastAsia" w:cstheme="minorEastAsia"/>
          <w:b w:val="0"/>
          <w:bCs/>
          <w:color w:val="auto"/>
          <w:sz w:val="24"/>
          <w:szCs w:val="24"/>
          <w:highlight w:val="none"/>
          <w:lang w:val="en-US" w:eastAsia="zh-CN"/>
        </w:rPr>
        <w:t>服务</w:t>
      </w:r>
      <w:r>
        <w:rPr>
          <w:rFonts w:hint="eastAsia" w:asciiTheme="minorEastAsia" w:hAnsiTheme="minorEastAsia" w:eastAsiaTheme="minorEastAsia" w:cstheme="minorEastAsia"/>
          <w:b w:val="0"/>
          <w:bCs/>
          <w:color w:val="auto"/>
          <w:sz w:val="24"/>
          <w:szCs w:val="24"/>
          <w:highlight w:val="none"/>
        </w:rPr>
        <w:t>费总额。</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在本合同有效期内，甲方利用乙方提交工作成果所完成的新的技术成果，归甲方所有。</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在本合同有效期内，乙方利用甲方提供资料和工作条件所完成的新的技术成果，归甲方所有。</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乙方对其获知的甲方商业秘密和与本项目有关的非公开的信息、资料负有保密责任，非由法律规定或者甲方同意，不得向任何第三方披露。</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4" w:name="_Toc22316"/>
      <w:bookmarkStart w:id="85" w:name="_Toc13038"/>
      <w:bookmarkStart w:id="86" w:name="_Toc8266"/>
      <w:r>
        <w:rPr>
          <w:rFonts w:hint="eastAsia" w:asciiTheme="minorEastAsia" w:hAnsiTheme="minorEastAsia" w:eastAsiaTheme="minorEastAsia" w:cstheme="minorEastAsia"/>
          <w:b/>
          <w:color w:val="auto"/>
          <w:sz w:val="24"/>
          <w:szCs w:val="24"/>
          <w:highlight w:val="none"/>
        </w:rPr>
        <w:t>违约责任</w:t>
      </w:r>
      <w:bookmarkEnd w:id="84"/>
      <w:bookmarkEnd w:id="85"/>
      <w:bookmarkEnd w:id="86"/>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合同期间，乙方出现如下情况，视为严重违约，甲方有权终止合同，乙方应返还甲方已付的所有费用，并按合同总金额的20%向甲方支付违约金，如违约金不足以补偿由此造成的甲方实际损失，乙方须据实予以赔偿不足部分：</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乙方提交的最终成果（文件）未能达到乙方投标文件中所承诺的深度要求，经2次修改未经甲方审核通过的；</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乙方未经甲方书面同意调换附件二的乙方配置人员，但因乙方工作人员离职、退休或长病假等非乙方可控因素并经甲方认可调换人员的除外；</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乙方无法定或约定理由单方终止合同，或以实际行为表示拒绝履行合同义务的；</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rPr>
        <w:t>在合同履行期间，甲方无法定理由或本合同约定情况而要求解除本合同的，按照如下约定执行：</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乙方未开始工作的，乙方可不退还甲方已付的定金。</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乙方已开始工作的，若实际工作量超过甲方已付定金所对应工作量的，则甲方对超出已付定金所对应工作量的部分进行补足，有关工作量以及补足的标准以双方协商为主，未能协商一致以法院判决为准。</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87" w:name="_Toc7914"/>
      <w:bookmarkStart w:id="88" w:name="_Toc2892"/>
      <w:bookmarkStart w:id="89" w:name="_Toc5589"/>
      <w:r>
        <w:rPr>
          <w:rFonts w:hint="eastAsia" w:asciiTheme="minorEastAsia" w:hAnsiTheme="minorEastAsia" w:eastAsiaTheme="minorEastAsia" w:cstheme="minorEastAsia"/>
          <w:b/>
          <w:color w:val="auto"/>
          <w:sz w:val="24"/>
          <w:szCs w:val="24"/>
          <w:highlight w:val="none"/>
        </w:rPr>
        <w:t>争议解决</w:t>
      </w:r>
      <w:bookmarkEnd w:id="87"/>
      <w:bookmarkEnd w:id="88"/>
      <w:bookmarkEnd w:id="89"/>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在本合同履行过程中，如发生争议，双方应友好协商解决，协商不成，可向甲方所在地人民法院提起诉讼。</w:t>
      </w:r>
    </w:p>
    <w:p>
      <w:pPr>
        <w:pStyle w:val="17"/>
        <w:keepNext w:val="0"/>
        <w:keepLines w:val="0"/>
        <w:pageBreakBefore w:val="0"/>
        <w:widowControl/>
        <w:numPr>
          <w:ilvl w:val="0"/>
          <w:numId w:val="7"/>
        </w:numPr>
        <w:kinsoku/>
        <w:wordWrap/>
        <w:overflowPunct/>
        <w:topLinePunct w:val="0"/>
        <w:autoSpaceDE/>
        <w:autoSpaceDN/>
        <w:bidi w:val="0"/>
        <w:adjustRightInd/>
        <w:snapToGrid/>
        <w:spacing w:line="360" w:lineRule="auto"/>
        <w:ind w:left="0" w:leftChars="0" w:right="0" w:rightChars="0" w:firstLine="482" w:firstLineChars="200"/>
        <w:textAlignment w:val="auto"/>
        <w:outlineLvl w:val="0"/>
        <w:rPr>
          <w:rFonts w:hint="eastAsia" w:asciiTheme="minorEastAsia" w:hAnsiTheme="minorEastAsia" w:eastAsiaTheme="minorEastAsia" w:cstheme="minorEastAsia"/>
          <w:b/>
          <w:color w:val="auto"/>
          <w:sz w:val="24"/>
          <w:szCs w:val="24"/>
          <w:highlight w:val="none"/>
        </w:rPr>
      </w:pPr>
      <w:bookmarkStart w:id="90" w:name="_Toc26045"/>
      <w:bookmarkStart w:id="91" w:name="_Toc3960"/>
      <w:bookmarkStart w:id="92" w:name="_Toc31344"/>
      <w:r>
        <w:rPr>
          <w:rFonts w:hint="eastAsia" w:asciiTheme="minorEastAsia" w:hAnsiTheme="minorEastAsia" w:eastAsiaTheme="minorEastAsia" w:cstheme="minorEastAsia"/>
          <w:b/>
          <w:color w:val="auto"/>
          <w:sz w:val="24"/>
          <w:szCs w:val="24"/>
          <w:highlight w:val="none"/>
        </w:rPr>
        <w:t>其它</w:t>
      </w:r>
      <w:bookmarkEnd w:id="90"/>
      <w:bookmarkEnd w:id="91"/>
      <w:bookmarkEnd w:id="92"/>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本合同的解释及纠纷处理适用中华人民共和国现行法律。</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rPr>
        <w:t>本合同一式陆份，甲、乙双方各执叁份，具有相同法律效力。</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本合同经双方签字盖章后生效。</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本合同约定服务数量满，乙方可优先选择作为公司年度项目</w:t>
      </w:r>
      <w:r>
        <w:rPr>
          <w:rFonts w:hint="eastAsia" w:asciiTheme="minorEastAsia" w:hAnsiTheme="minorEastAsia" w:eastAsiaTheme="minorEastAsia" w:cstheme="minorEastAsia"/>
          <w:b w:val="0"/>
          <w:bCs/>
          <w:color w:val="auto"/>
          <w:sz w:val="24"/>
          <w:szCs w:val="24"/>
          <w:highlight w:val="none"/>
          <w:lang w:val="en-US" w:eastAsia="zh-CN"/>
        </w:rPr>
        <w:t>造价</w:t>
      </w:r>
      <w:r>
        <w:rPr>
          <w:rFonts w:hint="eastAsia" w:asciiTheme="minorEastAsia" w:hAnsiTheme="minorEastAsia" w:eastAsiaTheme="minorEastAsia" w:cstheme="minorEastAsia"/>
          <w:b w:val="0"/>
          <w:bCs/>
          <w:color w:val="auto"/>
          <w:sz w:val="24"/>
          <w:szCs w:val="24"/>
          <w:highlight w:val="none"/>
        </w:rPr>
        <w:t>咨询服务单位。</w:t>
      </w:r>
    </w:p>
    <w:p>
      <w:pPr>
        <w:pStyle w:val="17"/>
        <w:widowControl/>
        <w:spacing w:line="360" w:lineRule="auto"/>
        <w:ind w:left="105" w:leftChars="50" w:right="105" w:rightChars="50" w:firstLine="0" w:firstLineChars="0"/>
        <w:rPr>
          <w:rFonts w:ascii="宋体" w:hAnsi="宋体" w:cs="宋体"/>
          <w:color w:val="auto"/>
          <w:sz w:val="24"/>
          <w:szCs w:val="24"/>
          <w:highlight w:val="none"/>
        </w:rPr>
      </w:pPr>
    </w:p>
    <w:p>
      <w:pPr>
        <w:pStyle w:val="17"/>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附件1：廉洁协议书</w:t>
      </w:r>
    </w:p>
    <w:p>
      <w:pPr>
        <w:pStyle w:val="17"/>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附件2：乙方人员配置表</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（以下无正文）</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rPr>
        <w:t>甲方（盖章）：广州南沙</w:t>
      </w:r>
      <w:r>
        <w:rPr>
          <w:rFonts w:hint="eastAsia" w:ascii="宋体" w:hAnsi="宋体" w:eastAsia="宋体" w:cs="宋体"/>
          <w:b/>
          <w:color w:val="auto"/>
          <w:sz w:val="24"/>
          <w:highlight w:val="none"/>
          <w:lang w:val="en-US" w:eastAsia="zh-CN"/>
        </w:rPr>
        <w:t>建设维护管理</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乙方（盖章）：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b/>
          <w:color w:val="auto"/>
          <w:sz w:val="24"/>
          <w:highlight w:val="none"/>
        </w:rPr>
        <w:t xml:space="preserve">             有限公司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联 系 人：                            联 系 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地   址：                             地   址：</w:t>
      </w:r>
      <w:r>
        <w:rPr>
          <w:rFonts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邮政编码：511455                      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电话：020-                            电话：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传真：                                传真：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color w:val="auto"/>
          <w:sz w:val="24"/>
          <w:highlight w:val="none"/>
        </w:rPr>
      </w:pPr>
    </w:p>
    <w:p>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eastAsia="宋体" w:cs="宋体"/>
          <w:color w:val="auto"/>
          <w:sz w:val="24"/>
          <w:highlight w:val="none"/>
        </w:rPr>
      </w:pPr>
      <w:bookmarkStart w:id="93" w:name="_Toc23897"/>
      <w:r>
        <w:rPr>
          <w:rFonts w:hint="eastAsia" w:ascii="宋体" w:hAnsi="宋体" w:eastAsia="宋体" w:cs="宋体"/>
          <w:color w:val="auto"/>
          <w:sz w:val="28"/>
          <w:szCs w:val="28"/>
          <w:highlight w:val="none"/>
        </w:rPr>
        <w:t>附件1：</w:t>
      </w:r>
      <w:bookmarkEnd w:id="93"/>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eastAsia="宋体" w:cs="宋体"/>
          <w:b/>
          <w:color w:val="auto"/>
          <w:spacing w:val="34"/>
          <w:sz w:val="36"/>
          <w:szCs w:val="36"/>
          <w:highlight w:val="none"/>
        </w:rPr>
      </w:pPr>
      <w:bookmarkStart w:id="94" w:name="_Toc30367"/>
      <w:r>
        <w:rPr>
          <w:rFonts w:hint="eastAsia" w:ascii="宋体" w:hAnsi="宋体" w:eastAsia="宋体" w:cs="宋体"/>
          <w:b/>
          <w:color w:val="auto"/>
          <w:spacing w:val="34"/>
          <w:sz w:val="36"/>
          <w:szCs w:val="36"/>
          <w:highlight w:val="none"/>
        </w:rPr>
        <w:t>廉洁协议书</w:t>
      </w:r>
      <w:bookmarkEnd w:id="94"/>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在甲、乙双方订立、履行合同过程中，为保持廉洁自律的工作作风，防止各种不正当行为的发生，甲、乙双方订立协议如下：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一、甲、乙双方应当自觉遵守国家、地方法律法规以及本协议的约定，在合同的订立、履行过程中廉洁自律。</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二、甲方及其工作人员不得以任何形式向乙方索要和收受回扣等好处费。</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三、甲方工作人员应当保持与乙方的正常业务交往，不得接受乙方的礼金、有价证券和贵重物品，不得在乙方报销任何应由其个人承担的费用。</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四、甲方工作人员不得参加可能对公正开展业务有影响的宴请和娱乐活动。如甲方工作人员确因实际情况须参加宴请、进行娱乐活动的，须事先按行政隶属关系上一级批准。</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五、甲方工作人员不得要求或者接受乙方为其住房装修、婚丧嫁娶、家属和子女的工作安排以及出国等提供方便。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六、乙方不得接受甲方工作人员介绍的家属或者亲友从事与合同相关的业务。</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八、乙方如发现甲方工作人员有违反上述协议者，应向甲方举报。甲方不得找任何借口对乙方进行报复。甲方对举报属实和严格遵守廉洁协议的乙方，在同等条件下优先考虑与乙方继续合作。</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九、甲方发现乙方有违反本协议或者采用不正当的手段行贿甲方工作人员等不正当竞争行为的，甲方有权按合同的终止和解除条款执行。</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十、本廉洁协议作为合同的附件，与合同具有同等法律效力。经协议双方签署后立即生效。</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            法定代表人（签字或盖章）：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授权代理人（签字或盖章）：            授权代理人（签字或盖章）：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2020年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center"/>
        <w:rPr>
          <w:rFonts w:hint="eastAsia"/>
          <w:color w:val="auto"/>
          <w:sz w:val="32"/>
          <w:szCs w:val="32"/>
          <w:highlight w:val="none"/>
        </w:rPr>
      </w:pPr>
      <w:r>
        <w:rPr>
          <w:rFonts w:hint="eastAsia"/>
          <w:color w:val="auto"/>
          <w:sz w:val="32"/>
          <w:szCs w:val="32"/>
          <w:highlight w:val="none"/>
        </w:rPr>
        <w:t>金融大厦外来人员防疫操作流程</w:t>
      </w:r>
    </w:p>
    <w:p>
      <w:pPr>
        <w:ind w:firstLine="420" w:firstLineChars="200"/>
        <w:rPr>
          <w:rFonts w:hint="eastAsia"/>
          <w:color w:val="auto"/>
          <w:highlight w:val="none"/>
        </w:rPr>
      </w:pPr>
      <w:r>
        <w:rPr>
          <w:rFonts w:hint="eastAsia"/>
          <w:color w:val="auto"/>
          <w:highlight w:val="none"/>
        </w:rPr>
        <w:t>外来人员进入前需如实在《外来人员登记表》中进行登记，除登记个人信息外，还需登记来访事由。如外来人员中有湖北或温州籍人员，应先检查是否上报穗康，并自行提供至少15天的行程数据（具体操作办法请看图一），对于到过疫区的抵穗人员，需提供居委开具的解除隔离证明，所有外来人员均须测量体温，体温不高于37.3度方可进入大厦。</w:t>
      </w:r>
    </w:p>
    <w:tbl>
      <w:tblPr>
        <w:tblStyle w:val="14"/>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vAlign w:val="top"/>
          </w:tcPr>
          <w:p>
            <w:pPr>
              <w:jc w:val="center"/>
              <w:rPr>
                <w:color w:val="auto"/>
                <w:highlight w:val="none"/>
              </w:rPr>
            </w:pPr>
            <w:r>
              <w:rPr>
                <w:color w:val="auto"/>
                <w:highlight w:val="none"/>
              </w:rPr>
              <w:drawing>
                <wp:inline distT="0" distB="0" distL="114300" distR="114300">
                  <wp:extent cx="5269865" cy="5418455"/>
                  <wp:effectExtent l="0" t="0" r="6985" b="10795"/>
                  <wp:docPr id="5" name="图片 1" descr="微信图片_20200224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00224100229"/>
                          <pic:cNvPicPr>
                            <a:picLocks noChangeAspect="1"/>
                          </pic:cNvPicPr>
                        </pic:nvPicPr>
                        <pic:blipFill>
                          <a:blip r:embed="rId10"/>
                          <a:stretch>
                            <a:fillRect/>
                          </a:stretch>
                        </pic:blipFill>
                        <pic:spPr>
                          <a:xfrm>
                            <a:off x="0" y="0"/>
                            <a:ext cx="5269865" cy="541845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8522" w:type="dxa"/>
            <w:vAlign w:val="top"/>
          </w:tcPr>
          <w:p>
            <w:pPr>
              <w:jc w:val="center"/>
              <w:rPr>
                <w:color w:val="auto"/>
                <w:highlight w:val="none"/>
              </w:rPr>
            </w:pPr>
            <w:r>
              <w:rPr>
                <w:rFonts w:hint="eastAsia"/>
                <w:color w:val="auto"/>
                <w:highlight w:val="none"/>
              </w:rPr>
              <w:t>图一</w:t>
            </w:r>
          </w:p>
        </w:tc>
      </w:tr>
    </w:tbl>
    <w:p>
      <w:pPr>
        <w:rPr>
          <w:color w:val="auto"/>
          <w:highlight w:val="none"/>
        </w:rPr>
      </w:pPr>
    </w:p>
    <w:p>
      <w:pPr>
        <w:spacing w:line="360" w:lineRule="auto"/>
        <w:jc w:val="left"/>
        <w:rPr>
          <w:rFonts w:ascii="仿宋_GB2312" w:hAnsi="仿宋_GB2312" w:eastAsia="仿宋_GB2312" w:cs="仿宋_GB2312"/>
          <w:color w:val="auto"/>
          <w:sz w:val="32"/>
          <w:szCs w:val="32"/>
          <w:highlight w:val="none"/>
        </w:rPr>
      </w:pP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p>
    <w:sectPr>
      <w:pgSz w:w="12240" w:h="15840"/>
      <w:pgMar w:top="1440" w:right="1797" w:bottom="1440" w:left="1797" w:header="720" w:footer="720"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A5F81537"/>
    <w:multiLevelType w:val="singleLevel"/>
    <w:tmpl w:val="A5F81537"/>
    <w:lvl w:ilvl="0" w:tentative="0">
      <w:start w:val="1"/>
      <w:numFmt w:val="decimal"/>
      <w:suff w:val="nothing"/>
      <w:lvlText w:val="%1、"/>
      <w:lvlJc w:val="left"/>
      <w:pPr>
        <w:ind w:left="0" w:firstLine="1134"/>
      </w:pPr>
      <w:rPr>
        <w:rFonts w:hint="default"/>
      </w:rPr>
    </w:lvl>
  </w:abstractNum>
  <w:abstractNum w:abstractNumId="2">
    <w:nsid w:val="D658D1EC"/>
    <w:multiLevelType w:val="singleLevel"/>
    <w:tmpl w:val="D658D1EC"/>
    <w:lvl w:ilvl="0" w:tentative="0">
      <w:start w:val="1"/>
      <w:numFmt w:val="chineseCounting"/>
      <w:suff w:val="nothing"/>
      <w:lvlText w:val="%1、"/>
      <w:lvlJc w:val="left"/>
      <w:pPr>
        <w:ind w:left="0" w:firstLine="1134"/>
      </w:pPr>
      <w:rPr>
        <w:rFonts w:hint="eastAsia"/>
        <w:b/>
        <w:sz w:val="24"/>
      </w:rPr>
    </w:lvl>
  </w:abstractNum>
  <w:abstractNum w:abstractNumId="3">
    <w:nsid w:val="D802AC56"/>
    <w:multiLevelType w:val="singleLevel"/>
    <w:tmpl w:val="D802AC56"/>
    <w:lvl w:ilvl="0" w:tentative="0">
      <w:start w:val="1"/>
      <w:numFmt w:val="decimal"/>
      <w:suff w:val="nothing"/>
      <w:lvlText w:val="%1、"/>
      <w:lvlJc w:val="left"/>
      <w:pPr>
        <w:ind w:left="0" w:firstLine="1134"/>
      </w:pPr>
      <w:rPr>
        <w:rFonts w:hint="default"/>
      </w:rPr>
    </w:lvl>
  </w:abstractNum>
  <w:abstractNum w:abstractNumId="4">
    <w:nsid w:val="E80AA967"/>
    <w:multiLevelType w:val="singleLevel"/>
    <w:tmpl w:val="E80AA967"/>
    <w:lvl w:ilvl="0" w:tentative="0">
      <w:start w:val="1"/>
      <w:numFmt w:val="decimal"/>
      <w:lvlText w:val="%1."/>
      <w:lvlJc w:val="left"/>
      <w:pPr>
        <w:tabs>
          <w:tab w:val="left" w:pos="0"/>
        </w:tabs>
        <w:ind w:left="0" w:leftChars="0" w:firstLine="0" w:firstLineChars="0"/>
      </w:pPr>
      <w:rPr>
        <w:rFonts w:hint="default" w:eastAsia="仿宋"/>
        <w:sz w:val="28"/>
      </w:rPr>
    </w:lvl>
  </w:abstractNum>
  <w:abstractNum w:abstractNumId="5">
    <w:nsid w:val="09AA123D"/>
    <w:multiLevelType w:val="singleLevel"/>
    <w:tmpl w:val="09AA123D"/>
    <w:lvl w:ilvl="0" w:tentative="0">
      <w:start w:val="1"/>
      <w:numFmt w:val="chineseCounting"/>
      <w:suff w:val="nothing"/>
      <w:lvlText w:val="（%1）"/>
      <w:lvlJc w:val="left"/>
      <w:pPr>
        <w:ind w:left="0" w:firstLine="1134"/>
      </w:pPr>
      <w:rPr>
        <w:rFonts w:hint="eastAsia"/>
      </w:rPr>
    </w:lvl>
  </w:abstractNum>
  <w:abstractNum w:abstractNumId="6">
    <w:nsid w:val="20201CCD"/>
    <w:multiLevelType w:val="singleLevel"/>
    <w:tmpl w:val="20201CCD"/>
    <w:lvl w:ilvl="0" w:tentative="0">
      <w:start w:val="1"/>
      <w:numFmt w:val="decimal"/>
      <w:suff w:val="nothing"/>
      <w:lvlText w:val="%1、"/>
      <w:lvlJc w:val="left"/>
      <w:pPr>
        <w:ind w:left="0" w:firstLine="1134"/>
      </w:pPr>
      <w:rPr>
        <w:rFonts w:hint="default"/>
      </w:rPr>
    </w:lvl>
  </w:abstractNum>
  <w:abstractNum w:abstractNumId="7">
    <w:nsid w:val="5689DE4B"/>
    <w:multiLevelType w:val="singleLevel"/>
    <w:tmpl w:val="5689DE4B"/>
    <w:lvl w:ilvl="0" w:tentative="0">
      <w:start w:val="1"/>
      <w:numFmt w:val="decimal"/>
      <w:suff w:val="nothing"/>
      <w:lvlText w:val="%1、"/>
      <w:lvlJc w:val="left"/>
      <w:pPr>
        <w:ind w:left="0" w:firstLine="1134"/>
      </w:pPr>
      <w:rPr>
        <w:rFonts w:hint="default"/>
      </w:rPr>
    </w:lvl>
  </w:abstractNum>
  <w:abstractNum w:abstractNumId="8">
    <w:nsid w:val="61B5240C"/>
    <w:multiLevelType w:val="singleLevel"/>
    <w:tmpl w:val="61B5240C"/>
    <w:lvl w:ilvl="0" w:tentative="0">
      <w:start w:val="1"/>
      <w:numFmt w:val="decimal"/>
      <w:lvlText w:val="%1)"/>
      <w:lvlJc w:val="left"/>
      <w:pPr>
        <w:ind w:left="425" w:hanging="425"/>
      </w:pPr>
      <w:rPr>
        <w:rFonts w:hint="default"/>
      </w:rPr>
    </w:lvl>
  </w:abstractNum>
  <w:abstractNum w:abstractNumId="9">
    <w:nsid w:val="66C12694"/>
    <w:multiLevelType w:val="singleLevel"/>
    <w:tmpl w:val="66C12694"/>
    <w:lvl w:ilvl="0" w:tentative="0">
      <w:start w:val="1"/>
      <w:numFmt w:val="decimal"/>
      <w:suff w:val="nothing"/>
      <w:lvlText w:val="%1、"/>
      <w:lvlJc w:val="left"/>
      <w:pPr>
        <w:ind w:left="0" w:firstLine="1134"/>
      </w:pPr>
      <w:rPr>
        <w:rFonts w:hint="default"/>
      </w:rPr>
    </w:lvl>
  </w:abstractNum>
  <w:abstractNum w:abstractNumId="10">
    <w:nsid w:val="67EBA120"/>
    <w:multiLevelType w:val="singleLevel"/>
    <w:tmpl w:val="67EBA120"/>
    <w:lvl w:ilvl="0" w:tentative="0">
      <w:start w:val="1"/>
      <w:numFmt w:val="chineseCounting"/>
      <w:suff w:val="nothing"/>
      <w:lvlText w:val="（%1）"/>
      <w:lvlJc w:val="left"/>
      <w:pPr>
        <w:ind w:left="0" w:firstLine="1134"/>
      </w:pPr>
      <w:rPr>
        <w:rFonts w:hint="eastAsia"/>
      </w:rPr>
    </w:lvl>
  </w:abstractNum>
  <w:abstractNum w:abstractNumId="11">
    <w:nsid w:val="78BEEE05"/>
    <w:multiLevelType w:val="singleLevel"/>
    <w:tmpl w:val="78BEEE05"/>
    <w:lvl w:ilvl="0" w:tentative="0">
      <w:start w:val="1"/>
      <w:numFmt w:val="chineseCounting"/>
      <w:suff w:val="nothing"/>
      <w:lvlText w:val="%1、"/>
      <w:lvlJc w:val="left"/>
      <w:pPr>
        <w:ind w:left="0" w:firstLine="397"/>
      </w:pPr>
      <w:rPr>
        <w:rFonts w:hint="eastAsia"/>
        <w:b/>
        <w:sz w:val="24"/>
      </w:rPr>
    </w:lvl>
  </w:abstractNum>
  <w:abstractNum w:abstractNumId="12">
    <w:nsid w:val="7C1C07B8"/>
    <w:multiLevelType w:val="multilevel"/>
    <w:tmpl w:val="7C1C07B8"/>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6"/>
  </w:num>
  <w:num w:numId="9">
    <w:abstractNumId w:val="10"/>
  </w:num>
  <w:num w:numId="10">
    <w:abstractNumId w:val="9"/>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4312"/>
    <w:rsid w:val="0002289A"/>
    <w:rsid w:val="0002557B"/>
    <w:rsid w:val="0005254F"/>
    <w:rsid w:val="00085D0C"/>
    <w:rsid w:val="000B7B0A"/>
    <w:rsid w:val="000E0EC3"/>
    <w:rsid w:val="001062CA"/>
    <w:rsid w:val="00134FF9"/>
    <w:rsid w:val="001544AB"/>
    <w:rsid w:val="00164413"/>
    <w:rsid w:val="001921E8"/>
    <w:rsid w:val="001D1F1F"/>
    <w:rsid w:val="001E1021"/>
    <w:rsid w:val="001F66EC"/>
    <w:rsid w:val="002D7B13"/>
    <w:rsid w:val="003B47E8"/>
    <w:rsid w:val="003D0F57"/>
    <w:rsid w:val="0040578E"/>
    <w:rsid w:val="00456C93"/>
    <w:rsid w:val="004B2C05"/>
    <w:rsid w:val="004D6177"/>
    <w:rsid w:val="00524AD0"/>
    <w:rsid w:val="005A19E6"/>
    <w:rsid w:val="0065458C"/>
    <w:rsid w:val="0065720F"/>
    <w:rsid w:val="00697CBD"/>
    <w:rsid w:val="006A18B1"/>
    <w:rsid w:val="006D7EB2"/>
    <w:rsid w:val="007055DD"/>
    <w:rsid w:val="007309C3"/>
    <w:rsid w:val="00793DB5"/>
    <w:rsid w:val="007A7407"/>
    <w:rsid w:val="007C0AF5"/>
    <w:rsid w:val="007E14F9"/>
    <w:rsid w:val="007F42A9"/>
    <w:rsid w:val="00802BFD"/>
    <w:rsid w:val="0080751A"/>
    <w:rsid w:val="00841D4A"/>
    <w:rsid w:val="008F47DB"/>
    <w:rsid w:val="008F491E"/>
    <w:rsid w:val="009538E5"/>
    <w:rsid w:val="009B4E73"/>
    <w:rsid w:val="009C14AA"/>
    <w:rsid w:val="009C50DE"/>
    <w:rsid w:val="00A05D0A"/>
    <w:rsid w:val="00A14DC5"/>
    <w:rsid w:val="00A367D2"/>
    <w:rsid w:val="00A81829"/>
    <w:rsid w:val="00A920B1"/>
    <w:rsid w:val="00B11F8D"/>
    <w:rsid w:val="00B96CE0"/>
    <w:rsid w:val="00BB3D24"/>
    <w:rsid w:val="00CA24DF"/>
    <w:rsid w:val="00D06D88"/>
    <w:rsid w:val="00D0796B"/>
    <w:rsid w:val="00D50CF1"/>
    <w:rsid w:val="00D650B3"/>
    <w:rsid w:val="00D85D6D"/>
    <w:rsid w:val="00DD64C1"/>
    <w:rsid w:val="00E14E87"/>
    <w:rsid w:val="00E85F0E"/>
    <w:rsid w:val="00EC3FB8"/>
    <w:rsid w:val="00EE23EE"/>
    <w:rsid w:val="00F15754"/>
    <w:rsid w:val="00F5751A"/>
    <w:rsid w:val="00FF33A0"/>
    <w:rsid w:val="00FF76D9"/>
    <w:rsid w:val="02E502D3"/>
    <w:rsid w:val="056F1061"/>
    <w:rsid w:val="060468F4"/>
    <w:rsid w:val="0EA03B8A"/>
    <w:rsid w:val="0F843597"/>
    <w:rsid w:val="0FA24D7D"/>
    <w:rsid w:val="13261131"/>
    <w:rsid w:val="14233C6D"/>
    <w:rsid w:val="14452035"/>
    <w:rsid w:val="168674BE"/>
    <w:rsid w:val="17882B1B"/>
    <w:rsid w:val="1B4C759A"/>
    <w:rsid w:val="1C05708F"/>
    <w:rsid w:val="1C7E0797"/>
    <w:rsid w:val="1FD8393E"/>
    <w:rsid w:val="227411DF"/>
    <w:rsid w:val="23120459"/>
    <w:rsid w:val="25053D8A"/>
    <w:rsid w:val="256C0CC0"/>
    <w:rsid w:val="272B74FA"/>
    <w:rsid w:val="296D72B6"/>
    <w:rsid w:val="2EC40C57"/>
    <w:rsid w:val="3153699B"/>
    <w:rsid w:val="31E7287D"/>
    <w:rsid w:val="333268AE"/>
    <w:rsid w:val="37A26BD4"/>
    <w:rsid w:val="3B6D4312"/>
    <w:rsid w:val="3FA94C48"/>
    <w:rsid w:val="41B97E43"/>
    <w:rsid w:val="42C276A3"/>
    <w:rsid w:val="44800368"/>
    <w:rsid w:val="44BB42C8"/>
    <w:rsid w:val="499D2BE5"/>
    <w:rsid w:val="4A1D620C"/>
    <w:rsid w:val="4D9C287D"/>
    <w:rsid w:val="4DC53F66"/>
    <w:rsid w:val="503A5229"/>
    <w:rsid w:val="55D41C4B"/>
    <w:rsid w:val="5E1A6FB5"/>
    <w:rsid w:val="5FE66831"/>
    <w:rsid w:val="60011137"/>
    <w:rsid w:val="60885EAF"/>
    <w:rsid w:val="63DB6B9E"/>
    <w:rsid w:val="65407FEA"/>
    <w:rsid w:val="67550263"/>
    <w:rsid w:val="679077E4"/>
    <w:rsid w:val="6A81518C"/>
    <w:rsid w:val="6E1E08B2"/>
    <w:rsid w:val="6ED52E44"/>
    <w:rsid w:val="75633B4C"/>
    <w:rsid w:val="781828A1"/>
    <w:rsid w:val="79DB3251"/>
    <w:rsid w:val="7A4B048B"/>
    <w:rsid w:val="7A96669D"/>
    <w:rsid w:val="7C77067A"/>
    <w:rsid w:val="7D37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27"/>
    <w:qFormat/>
    <w:uiPriority w:val="0"/>
    <w:pPr>
      <w:spacing w:beforeAutospacing="1" w:after="120"/>
      <w:ind w:firstLine="420"/>
    </w:pPr>
    <w:rPr>
      <w:rFonts w:ascii="Times New Roman" w:hAnsi="Times New Roman" w:eastAsia="宋体" w:cs="Times New Roman"/>
      <w:szCs w:val="21"/>
    </w:rPr>
  </w:style>
  <w:style w:type="paragraph" w:styleId="5">
    <w:name w:val="Body Text"/>
    <w:basedOn w:val="1"/>
    <w:qFormat/>
    <w:uiPriority w:val="0"/>
  </w:style>
  <w:style w:type="paragraph" w:styleId="6">
    <w:name w:val="Plain Text"/>
    <w:basedOn w:val="1"/>
    <w:link w:val="26"/>
    <w:qFormat/>
    <w:uiPriority w:val="0"/>
    <w:rPr>
      <w:rFonts w:hint="eastAsia" w:ascii="宋体" w:hAnsi="Courier New" w:eastAsia="宋体" w:cs="Times New Roman"/>
      <w:szCs w:val="21"/>
    </w:rPr>
  </w:style>
  <w:style w:type="paragraph" w:styleId="7">
    <w:name w:val="Balloon Text"/>
    <w:basedOn w:val="1"/>
    <w:link w:val="24"/>
    <w:qFormat/>
    <w:uiPriority w:val="0"/>
    <w:rPr>
      <w:sz w:val="18"/>
      <w:szCs w:val="18"/>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Times New Roman" w:hAnsi="Times New Roman" w:eastAsia="宋体" w:cs="Times New Roman"/>
      <w:szCs w:val="21"/>
    </w:rPr>
  </w:style>
  <w:style w:type="character" w:styleId="12">
    <w:name w:val="FollowedHyperlink"/>
    <w:basedOn w:val="11"/>
    <w:qFormat/>
    <w:uiPriority w:val="0"/>
    <w:rPr>
      <w:color w:val="0000FF"/>
      <w:u w:val="single"/>
    </w:rPr>
  </w:style>
  <w:style w:type="character" w:styleId="13">
    <w:name w:val="Hyperlink"/>
    <w:basedOn w:val="11"/>
    <w:qFormat/>
    <w:uiPriority w:val="0"/>
    <w:rPr>
      <w:color w:val="0000FF"/>
      <w:u w:val="single"/>
    </w:rPr>
  </w:style>
  <w:style w:type="paragraph" w:customStyle="1" w:styleId="15">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16">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17">
    <w:name w:val="列出段落1"/>
    <w:basedOn w:val="1"/>
    <w:qFormat/>
    <w:uiPriority w:val="0"/>
    <w:pPr>
      <w:ind w:firstLine="420" w:firstLineChars="200"/>
    </w:pPr>
    <w:rPr>
      <w:rFonts w:ascii="Calibri" w:hAnsi="Calibri" w:eastAsia="宋体" w:cs="Times New Roman"/>
      <w:szCs w:val="21"/>
    </w:rPr>
  </w:style>
  <w:style w:type="paragraph" w:customStyle="1" w:styleId="18">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19">
    <w:name w:val="10"/>
    <w:basedOn w:val="11"/>
    <w:qFormat/>
    <w:uiPriority w:val="0"/>
    <w:rPr>
      <w:rFonts w:hint="default" w:ascii="Times New Roman" w:hAnsi="Times New Roman" w:cs="Times New Roman"/>
    </w:rPr>
  </w:style>
  <w:style w:type="character" w:customStyle="1" w:styleId="20">
    <w:name w:val="15"/>
    <w:basedOn w:val="11"/>
    <w:qFormat/>
    <w:uiPriority w:val="0"/>
    <w:rPr>
      <w:rFonts w:hint="default" w:ascii="Times New Roman" w:hAnsi="Times New Roman" w:cs="Times New Roman"/>
    </w:rPr>
  </w:style>
  <w:style w:type="character" w:customStyle="1" w:styleId="21">
    <w:name w:val="16"/>
    <w:basedOn w:val="11"/>
    <w:qFormat/>
    <w:uiPriority w:val="0"/>
    <w:rPr>
      <w:rFonts w:hint="default" w:ascii="Times New Roman" w:hAnsi="Times New Roman" w:cs="Times New Roman"/>
      <w:color w:val="0000FF"/>
      <w:u w:val="single"/>
    </w:rPr>
  </w:style>
  <w:style w:type="character" w:customStyle="1" w:styleId="22">
    <w:name w:val="页眉 Char"/>
    <w:basedOn w:val="11"/>
    <w:link w:val="9"/>
    <w:qFormat/>
    <w:uiPriority w:val="0"/>
    <w:rPr>
      <w:rFonts w:asciiTheme="minorHAnsi" w:hAnsiTheme="minorHAnsi" w:eastAsiaTheme="minorEastAsia" w:cstheme="minorBidi"/>
      <w:kern w:val="2"/>
      <w:sz w:val="18"/>
      <w:szCs w:val="18"/>
    </w:rPr>
  </w:style>
  <w:style w:type="character" w:customStyle="1" w:styleId="23">
    <w:name w:val="页脚 Char"/>
    <w:basedOn w:val="11"/>
    <w:link w:val="8"/>
    <w:qFormat/>
    <w:uiPriority w:val="0"/>
    <w:rPr>
      <w:rFonts w:asciiTheme="minorHAnsi" w:hAnsiTheme="minorHAnsi" w:eastAsiaTheme="minorEastAsia" w:cstheme="minorBidi"/>
      <w:kern w:val="2"/>
      <w:sz w:val="18"/>
      <w:szCs w:val="18"/>
    </w:rPr>
  </w:style>
  <w:style w:type="character" w:customStyle="1" w:styleId="24">
    <w:name w:val="批注框文本 Char"/>
    <w:basedOn w:val="11"/>
    <w:link w:val="7"/>
    <w:qFormat/>
    <w:uiPriority w:val="0"/>
    <w:rPr>
      <w:rFonts w:asciiTheme="minorHAnsi" w:hAnsiTheme="minorHAnsi" w:eastAsiaTheme="minorEastAsia" w:cstheme="minorBidi"/>
      <w:kern w:val="2"/>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纯文本 Char"/>
    <w:link w:val="6"/>
    <w:qFormat/>
    <w:uiPriority w:val="0"/>
    <w:rPr>
      <w:rFonts w:ascii="宋体" w:hAnsi="Courier New"/>
      <w:kern w:val="2"/>
      <w:sz w:val="21"/>
      <w:szCs w:val="21"/>
    </w:rPr>
  </w:style>
  <w:style w:type="character" w:customStyle="1" w:styleId="27">
    <w:name w:val="正文首行缩进 Char"/>
    <w:basedOn w:val="11"/>
    <w:link w:val="4"/>
    <w:qFormat/>
    <w:uiPriority w:val="0"/>
    <w:rPr>
      <w:kern w:val="2"/>
      <w:sz w:val="21"/>
      <w:szCs w:val="21"/>
    </w:rPr>
  </w:style>
  <w:style w:type="paragraph" w:styleId="28">
    <w:name w:val="List Paragraph"/>
    <w:basedOn w:val="1"/>
    <w:unhideWhenUsed/>
    <w:qFormat/>
    <w:uiPriority w:val="99"/>
    <w:pPr>
      <w:ind w:firstLine="420" w:firstLineChars="200"/>
    </w:pPr>
  </w:style>
  <w:style w:type="paragraph" w:customStyle="1" w:styleId="29">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p0"/>
    <w:basedOn w:val="1"/>
    <w:qFormat/>
    <w:uiPriority w:val="0"/>
    <w:pPr>
      <w:widowControl/>
    </w:pPr>
    <w:rPr>
      <w:rFonts w:ascii="宋体" w:hAnsi="宋体" w:eastAsia="宋体" w:cs="宋体"/>
      <w:kern w:val="0"/>
      <w:szCs w:val="21"/>
    </w:rPr>
  </w:style>
  <w:style w:type="paragraph" w:customStyle="1" w:styleId="31">
    <w:name w:val="正文_1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0Internet%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0Internet%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2E346-3C4A-4BDB-BC49-390A630B576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4111</Words>
  <Characters>23437</Characters>
  <Lines>195</Lines>
  <Paragraphs>54</Paragraphs>
  <TotalTime>8</TotalTime>
  <ScaleCrop>false</ScaleCrop>
  <LinksUpToDate>false</LinksUpToDate>
  <CharactersWithSpaces>27494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2020-02-27T11:18:00Z</dcterms:created>
  <dc:creator>李晓晨</dc:creator>
  <cp:lastModifiedBy>蒋群英</cp:lastModifiedBy>
  <dcterms:modified xsi:type="dcterms:W3CDTF">2020-04-08T04:34:19Z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