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bookmarkStart w:id="0" w:name="OLE_LINK2"/>
      <w:bookmarkStart w:id="1" w:name="OLE_LINK1"/>
      <w:r>
        <w:rPr>
          <w:rFonts w:ascii="仿宋_GB2312" w:hAnsi="宋体" w:eastAsia="仿宋_GB2312"/>
          <w:sz w:val="32"/>
          <w:szCs w:val="32"/>
          <w:lang w:eastAsia="zh-CN"/>
        </w:rPr>
        <w:t xml:space="preserve"> </w:t>
      </w:r>
      <w:r>
        <w:rPr>
          <w:rFonts w:ascii="仿宋_GB2312" w:hAnsi="宋体" w:eastAsia="仿宋_GB2312"/>
          <w:sz w:val="28"/>
          <w:szCs w:val="28"/>
          <w:u w:val="single"/>
          <w:lang w:eastAsia="zh-CN"/>
        </w:rPr>
        <w:t xml:space="preserve"> </w:t>
      </w:r>
      <w:r>
        <w:rPr>
          <w:rFonts w:hint="eastAsia" w:ascii="仿宋" w:hAnsi="仿宋" w:eastAsia="仿宋" w:cs="仿宋"/>
          <w:sz w:val="28"/>
          <w:szCs w:val="28"/>
          <w:u w:val="single"/>
          <w:lang w:eastAsia="zh-CN"/>
        </w:rPr>
        <w:t>广州南沙科技投资有限公司科技兴海分公司</w:t>
      </w:r>
      <w:r>
        <w:rPr>
          <w:rFonts w:ascii="仿宋_GB2312" w:hAnsi="宋体" w:eastAsia="仿宋_GB2312"/>
          <w:sz w:val="28"/>
          <w:szCs w:val="28"/>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 xml:space="preserve">标的名称：   </w:t>
      </w:r>
      <w:r>
        <w:rPr>
          <w:rFonts w:hint="eastAsia" w:ascii="仿宋_GB2312" w:hAnsi="宋体" w:eastAsia="仿宋_GB2312"/>
          <w:color w:val="auto"/>
          <w:sz w:val="32"/>
          <w:szCs w:val="32"/>
          <w:u w:val="single"/>
          <w:lang w:eastAsia="zh-CN"/>
        </w:rPr>
        <w:t>广州市南沙区环市大道西113号</w:t>
      </w:r>
      <w:r>
        <w:rPr>
          <w:rFonts w:hint="eastAsia" w:ascii="仿宋_GB2312" w:hAnsi="宋体" w:eastAsia="仿宋_GB2312"/>
          <w:sz w:val="32"/>
          <w:szCs w:val="32"/>
          <w:u w:val="single"/>
          <w:lang w:eastAsia="zh-CN"/>
        </w:rPr>
        <w:t xml:space="preserve">科技兴海·深蓝智谷园区  </w:t>
      </w:r>
      <w:r>
        <w:rPr>
          <w:rFonts w:ascii="仿宋_GB2312" w:hAnsi="宋体" w:eastAsia="仿宋_GB2312"/>
          <w:sz w:val="32"/>
          <w:szCs w:val="32"/>
          <w:u w:val="single"/>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徐乃青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18316486131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19"/>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7"/>
      <w:bookmarkStart w:id="3"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19"/>
        <w:tblW w:w="9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707"/>
        <w:gridCol w:w="1000"/>
        <w:gridCol w:w="404"/>
        <w:gridCol w:w="539"/>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9"/>
            <w:bookmarkStart w:id="5"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bookmarkStart w:id="6" w:name="_Hlk40777302"/>
            <w:r>
              <w:rPr>
                <w:rFonts w:hint="eastAsia"/>
                <w:szCs w:val="21"/>
                <w:lang w:eastAsia="zh-CN"/>
              </w:rPr>
              <w:t>广州市南沙区环市大道西113号</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房屋  □其他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科研</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2501.7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u w:val="single"/>
                <w:lang w:eastAsia="zh-CN"/>
              </w:rPr>
              <w:t>113号楼三层、四层面积为1786.5平方米、宿舍楼三、四层面积为715.2平方米，总面积2501.7平方米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一个月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宋体" w:hAnsi="宋体"/>
                <w:szCs w:val="20"/>
                <w:lang w:eastAsia="zh-CN"/>
              </w:rPr>
              <w:t>■</w:t>
            </w:r>
            <w:r>
              <w:rPr>
                <w:rFonts w:hint="eastAsia"/>
                <w:lang w:eastAsia="zh-CN"/>
              </w:rPr>
              <w:t xml:space="preserve">租赁期限             </w:t>
            </w:r>
            <w:r>
              <w:rPr>
                <w:rFonts w:hint="eastAsia" w:ascii="Times New Roman" w:hAnsi="Times New Roman"/>
                <w:szCs w:val="20"/>
                <w:u w:val="single"/>
                <w:lang w:eastAsia="zh-CN"/>
              </w:rPr>
              <w:t xml:space="preserve">    </w:t>
            </w:r>
            <w:r>
              <w:rPr>
                <w:rFonts w:hint="eastAsia" w:ascii="Times New Roman" w:hAnsi="Times New Roman"/>
                <w:color w:val="auto"/>
                <w:szCs w:val="20"/>
                <w:u w:val="single"/>
                <w:lang w:eastAsia="zh-CN"/>
              </w:rPr>
              <w:t>5</w:t>
            </w:r>
            <w:r>
              <w:rPr>
                <w:rFonts w:hint="eastAsia" w:ascii="Times New Roman" w:hAnsi="Times New Roman"/>
                <w:szCs w:val="20"/>
                <w:u w:val="single"/>
                <w:lang w:eastAsia="zh-CN"/>
              </w:rPr>
              <w:t xml:space="preserve">    </w:t>
            </w:r>
            <w:r>
              <w:rPr>
                <w:rFonts w:hint="eastAsia" w:ascii="Times New Roman" w:hAnsi="Times New Roman"/>
                <w:szCs w:val="20"/>
                <w:lang w:eastAsia="zh-CN"/>
              </w:rPr>
              <w:t>□月□季</w:t>
            </w:r>
            <w:r>
              <w:rPr>
                <w:rFonts w:hint="eastAsia" w:ascii="宋体" w:hAnsi="宋体"/>
                <w:szCs w:val="20"/>
                <w:lang w:eastAsia="zh-CN"/>
              </w:rPr>
              <w:t>■</w:t>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宋体" w:hAnsi="宋体"/>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宋体" w:hAnsi="宋体"/>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exact"/>
          <w:jc w:val="center"/>
        </w:trPr>
        <w:tc>
          <w:tcPr>
            <w:tcW w:w="2461" w:type="dxa"/>
            <w:vMerge w:val="restart"/>
            <w:vAlign w:val="center"/>
          </w:tcPr>
          <w:p>
            <w:pPr>
              <w:jc w:val="center"/>
              <w:rPr>
                <w:lang w:eastAsia="zh-CN"/>
              </w:rPr>
            </w:pPr>
            <w:r>
              <w:rPr>
                <w:rFonts w:hint="eastAsia"/>
                <w:color w:val="auto"/>
              </w:rPr>
              <w:t>权证</w:t>
            </w:r>
            <w:r>
              <w:rPr>
                <w:rFonts w:hint="eastAsia"/>
                <w:color w:val="auto"/>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lang w:eastAsia="zh-CN"/>
              </w:rPr>
            </w:pP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宋体" w:hAnsi="宋体"/>
                <w:szCs w:val="20"/>
                <w:lang w:eastAsia="zh-CN"/>
              </w:rPr>
              <w:t>■</w:t>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宋体" w:hAnsi="宋体"/>
                <w:szCs w:val="20"/>
                <w:lang w:eastAsia="zh-CN"/>
              </w:rPr>
              <w:t>■</w:t>
            </w:r>
            <w:r>
              <w:rPr>
                <w:rFonts w:hint="eastAsia" w:ascii="Times New Roman" w:hAnsi="Times New Roman"/>
                <w:szCs w:val="20"/>
                <w:lang w:eastAsia="zh-CN"/>
              </w:rPr>
              <w:t>否：A、</w:t>
            </w:r>
            <w:r>
              <w:rPr>
                <w:rFonts w:hint="eastAsia" w:ascii="宋体" w:hAnsi="宋体"/>
                <w:szCs w:val="20"/>
                <w:lang w:eastAsia="zh-CN"/>
              </w:rPr>
              <w:t>■</w:t>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r>
              <w:rPr>
                <w:rFonts w:hint="eastAsia"/>
                <w:lang w:eastAsia="zh-CN"/>
              </w:rPr>
              <w:t>广东信德</w:t>
            </w:r>
            <w:r>
              <w:rPr>
                <w:rFonts w:hint="eastAsia"/>
                <w:lang w:val="en-US" w:eastAsia="zh-CN"/>
              </w:rPr>
              <w:t xml:space="preserve"> </w:t>
            </w:r>
            <w:r>
              <w:rPr>
                <w:rFonts w:hint="eastAsia"/>
                <w:lang w:eastAsia="zh-CN"/>
              </w:rPr>
              <w:t>资产评估与房地产土地估价有限公司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r>
              <w:rPr>
                <w:rFonts w:hint="eastAsia"/>
                <w:lang w:eastAsia="zh-CN"/>
              </w:rPr>
              <w:t>2019年6月1日</w:t>
            </w: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r>
              <w:rPr>
                <w:rFonts w:hint="eastAsia"/>
                <w:lang w:eastAsia="zh-CN"/>
              </w:rPr>
              <w:t>信评字Z1907104066号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r>
              <w:rPr>
                <w:rFonts w:hint="eastAsia" w:ascii="宋体"/>
                <w:lang w:eastAsia="zh-CN"/>
              </w:rPr>
              <w:t>广东省财政厅</w:t>
            </w:r>
          </w:p>
        </w:tc>
        <w:tc>
          <w:tcPr>
            <w:tcW w:w="1707" w:type="dxa"/>
            <w:gridSpan w:val="2"/>
            <w:tcBorders>
              <w:left w:val="single" w:color="auto" w:sz="4" w:space="0"/>
            </w:tcBorders>
            <w:vAlign w:val="center"/>
          </w:tcPr>
          <w:p>
            <w:pPr>
              <w:rPr>
                <w:rFonts w:ascii="宋体"/>
                <w:highlight w:val="none"/>
                <w:lang w:eastAsia="zh-CN"/>
              </w:rPr>
            </w:pPr>
            <w:r>
              <w:rPr>
                <w:rFonts w:hint="eastAsia" w:ascii="宋体" w:hAnsi="宋体"/>
                <w:highlight w:val="none"/>
                <w:lang w:eastAsia="zh-CN"/>
              </w:rPr>
              <w:t>评估值（元）</w:t>
            </w:r>
          </w:p>
        </w:tc>
        <w:tc>
          <w:tcPr>
            <w:tcW w:w="2692" w:type="dxa"/>
            <w:gridSpan w:val="3"/>
            <w:vAlign w:val="center"/>
          </w:tcPr>
          <w:p>
            <w:pPr>
              <w:rPr>
                <w:highlight w:val="none"/>
                <w:lang w:eastAsia="zh-CN"/>
              </w:rPr>
            </w:pPr>
            <w:r>
              <w:rPr>
                <w:rFonts w:hint="eastAsia"/>
                <w:highlight w:val="none"/>
                <w:lang w:eastAsia="zh-CN"/>
              </w:rPr>
              <w:t>53607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r>
              <w:rPr>
                <w:rFonts w:hint="eastAsia"/>
                <w:lang w:eastAsia="zh-CN"/>
              </w:rPr>
              <w:t>南沙区环市大道西</w:t>
            </w:r>
          </w:p>
        </w:tc>
        <w:tc>
          <w:tcPr>
            <w:tcW w:w="1707" w:type="dxa"/>
            <w:gridSpan w:val="2"/>
            <w:tcBorders>
              <w:left w:val="single" w:color="auto" w:sz="4" w:space="0"/>
              <w:right w:val="single" w:color="auto" w:sz="4" w:space="0"/>
            </w:tcBorders>
            <w:vAlign w:val="center"/>
          </w:tcPr>
          <w:p>
            <w:pPr>
              <w:rPr>
                <w:highlight w:val="none"/>
                <w:lang w:eastAsia="zh-CN"/>
              </w:rPr>
            </w:pPr>
            <w:r>
              <w:rPr>
                <w:rFonts w:hint="eastAsia" w:ascii="宋体" w:hAnsi="宋体"/>
                <w:highlight w:val="none"/>
                <w:lang w:eastAsia="zh-CN"/>
              </w:rPr>
              <w:t>参考租金（元）</w:t>
            </w:r>
          </w:p>
        </w:tc>
        <w:tc>
          <w:tcPr>
            <w:tcW w:w="2692" w:type="dxa"/>
            <w:gridSpan w:val="3"/>
            <w:tcBorders>
              <w:left w:val="single" w:color="auto" w:sz="4" w:space="0"/>
            </w:tcBorders>
            <w:vAlign w:val="center"/>
          </w:tcPr>
          <w:p>
            <w:pPr>
              <w:rPr>
                <w:highlight w:val="none"/>
                <w:lang w:eastAsia="zh-CN"/>
              </w:rPr>
            </w:pPr>
            <w:r>
              <w:rPr>
                <w:rFonts w:hint="eastAsia"/>
                <w:highlight w:val="none"/>
                <w:lang w:eastAsia="zh-CN"/>
              </w:rPr>
              <w:t>67899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19"/>
        <w:tblW w:w="98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eastAsia="仿宋"/>
                <w:lang w:eastAsia="zh-CN"/>
              </w:rPr>
            </w:pPr>
            <w:r>
              <w:rPr>
                <w:rFonts w:hint="eastAsia" w:ascii="仿宋" w:hAnsi="仿宋" w:eastAsia="仿宋" w:cs="仿宋"/>
                <w:sz w:val="32"/>
                <w:szCs w:val="32"/>
                <w:lang w:eastAsia="zh-CN"/>
              </w:rPr>
              <w:t>广州南沙科技投资有限公司科技兴海分公司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宋体" w:hAnsi="宋体"/>
                <w:szCs w:val="20"/>
                <w:lang w:eastAsia="zh-CN"/>
              </w:rPr>
              <w:t>■</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1"/>
              <w:adjustRightInd w:val="0"/>
              <w:snapToGrid w:val="0"/>
              <w:spacing w:before="0" w:after="0"/>
              <w:ind w:firstLine="360" w:firstLineChars="150"/>
              <w:rPr>
                <w:rFonts w:ascii="宋体"/>
                <w:u w:val="single"/>
                <w:lang w:eastAsia="zh-CN"/>
              </w:rPr>
            </w:pPr>
            <w:r>
              <w:rPr>
                <w:rFonts w:hint="eastAsia" w:ascii="宋体" w:hAnsi="宋体"/>
                <w:szCs w:val="20"/>
                <w:lang w:eastAsia="zh-CN"/>
              </w:rPr>
              <w:t>■</w:t>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1"/>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1"/>
              <w:adjustRightInd w:val="0"/>
              <w:snapToGrid w:val="0"/>
              <w:spacing w:before="0" w:after="0"/>
              <w:rPr>
                <w:rFonts w:ascii="宋体"/>
                <w:u w:val="single"/>
                <w:lang w:eastAsia="zh-CN"/>
              </w:rPr>
            </w:pPr>
            <w:r>
              <w:rPr>
                <w:rFonts w:hint="eastAsia" w:ascii="宋体"/>
                <w:u w:val="single"/>
                <w:lang w:eastAsia="zh-CN"/>
              </w:rPr>
              <w:t>91440101MA5026C36T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exact"/>
          <w:jc w:val="center"/>
        </w:trPr>
        <w:tc>
          <w:tcPr>
            <w:tcW w:w="1894"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有限责任公司分公司</w:t>
            </w:r>
          </w:p>
        </w:tc>
        <w:tc>
          <w:tcPr>
            <w:tcW w:w="1703" w:type="dxa"/>
            <w:vAlign w:val="center"/>
          </w:tcPr>
          <w:p>
            <w:pPr>
              <w:pStyle w:val="41"/>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1"/>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1"/>
              <w:adjustRightInd w:val="0"/>
              <w:snapToGrid w:val="0"/>
              <w:spacing w:before="0" w:after="0"/>
              <w:rPr>
                <w:rFonts w:ascii="宋体"/>
                <w:u w:val="single"/>
                <w:lang w:eastAsia="zh-CN"/>
              </w:rPr>
            </w:pPr>
            <w:r>
              <w:rPr>
                <w:rFonts w:hint="eastAsia" w:ascii="宋体"/>
                <w:lang w:eastAsia="zh-CN"/>
              </w:rPr>
              <w:t>法人独资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ascii="宋体"/>
                <w:lang w:eastAsia="zh-CN"/>
              </w:rPr>
            </w:pPr>
            <w:r>
              <w:rPr>
                <w:rFonts w:hint="eastAsia" w:ascii="宋体"/>
                <w:lang w:eastAsia="zh-CN"/>
              </w:rPr>
              <w:t>刘继辉</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1"/>
              <w:adjustRightInd w:val="0"/>
              <w:snapToGrid w:val="0"/>
              <w:spacing w:before="0" w:after="0"/>
              <w:rPr>
                <w:rFonts w:ascii="宋体"/>
                <w:u w:val="single"/>
                <w:lang w:eastAsia="zh-CN"/>
              </w:rPr>
            </w:pPr>
            <w:r>
              <w:rPr>
                <w:rFonts w:hint="eastAsia" w:ascii="宋体"/>
                <w:u w:val="single"/>
                <w:lang w:eastAsia="zh-CN"/>
              </w:rPr>
              <w:t>商务服务业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19"/>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8"/>
        <w:gridCol w:w="1842"/>
        <w:gridCol w:w="142"/>
        <w:gridCol w:w="567"/>
        <w:gridCol w:w="1552"/>
        <w:gridCol w:w="716"/>
        <w:gridCol w:w="76"/>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1" w:type="dxa"/>
            <w:gridSpan w:val="9"/>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gridSpan w:val="2"/>
            <w:vMerge w:val="restart"/>
            <w:vAlign w:val="center"/>
          </w:tcPr>
          <w:p>
            <w:pPr>
              <w:pStyle w:val="41"/>
              <w:spacing w:before="0" w:after="0"/>
              <w:jc w:val="center"/>
              <w:rPr>
                <w:rFonts w:ascii="宋体"/>
                <w:lang w:eastAsia="zh-CN"/>
              </w:rPr>
            </w:pPr>
          </w:p>
          <w:p>
            <w:pPr>
              <w:pStyle w:val="41"/>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5"/>
            <w:vAlign w:val="center"/>
          </w:tcPr>
          <w:p>
            <w:pPr>
              <w:rPr>
                <w:rFonts w:ascii="宋体"/>
                <w:lang w:eastAsia="zh-CN"/>
              </w:rPr>
            </w:pPr>
            <w:r>
              <w:rPr>
                <w:rFonts w:hint="eastAsia" w:ascii="宋体" w:hAnsi="宋体"/>
                <w:szCs w:val="20"/>
                <w:lang w:eastAsia="zh-CN"/>
              </w:rPr>
              <w:t>■</w:t>
            </w:r>
            <w:r>
              <w:rPr>
                <w:rFonts w:hint="eastAsia"/>
                <w:szCs w:val="21"/>
                <w:u w:val="single"/>
                <w:lang w:eastAsia="zh-CN"/>
              </w:rPr>
              <w:t xml:space="preserve"> 67899 </w:t>
            </w:r>
            <w:r>
              <w:rPr>
                <w:rFonts w:hint="eastAsia" w:ascii="宋体"/>
                <w:lang w:eastAsia="zh-CN"/>
              </w:rPr>
              <w:t xml:space="preserve">元/月（总面积）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3" w:type="dxa"/>
            <w:vAlign w:val="center"/>
          </w:tcPr>
          <w:p>
            <w:pPr>
              <w:jc w:val="both"/>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gridSpan w:val="2"/>
            <w:vMerge w:val="continue"/>
            <w:vAlign w:val="center"/>
          </w:tcPr>
          <w:p>
            <w:pPr>
              <w:pStyle w:val="41"/>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6" w:type="dxa"/>
            <w:gridSpan w:val="6"/>
            <w:vAlign w:val="center"/>
          </w:tcPr>
          <w:p>
            <w:pPr>
              <w:jc w:val="center"/>
              <w:rPr>
                <w:rFonts w:ascii="宋体" w:hAnsi="宋体"/>
                <w:lang w:eastAsia="zh-CN"/>
              </w:rPr>
            </w:pPr>
            <w:r>
              <w:rPr>
                <w:rFonts w:hint="eastAsia" w:ascii="宋体" w:hAnsi="宋体"/>
                <w:szCs w:val="20"/>
                <w:lang w:eastAsia="zh-CN"/>
              </w:rPr>
              <w:t>■</w:t>
            </w:r>
            <w:r>
              <w:rPr>
                <w:rFonts w:ascii="宋体" w:hAnsi="宋体"/>
                <w:bCs/>
                <w:color w:val="auto"/>
                <w:u w:val="single"/>
                <w:lang w:eastAsia="zh-CN"/>
              </w:rPr>
              <w:t>4,3</w:t>
            </w:r>
            <w:r>
              <w:rPr>
                <w:rFonts w:hint="eastAsia" w:ascii="宋体" w:hAnsi="宋体"/>
                <w:bCs/>
                <w:color w:val="auto"/>
                <w:u w:val="single"/>
                <w:lang w:val="en-US" w:eastAsia="zh-CN"/>
              </w:rPr>
              <w:t>76857.2</w:t>
            </w:r>
            <w:r>
              <w:rPr>
                <w:rFonts w:ascii="宋体" w:hAnsi="宋体"/>
                <w:bCs/>
                <w:u w:val="single"/>
                <w:lang w:eastAsia="zh-CN"/>
              </w:rPr>
              <w:t xml:space="preserve"> </w:t>
            </w:r>
            <w:r>
              <w:rPr>
                <w:rFonts w:hint="eastAsia"/>
                <w:szCs w:val="21"/>
                <w:u w:val="single"/>
                <w:lang w:eastAsia="zh-CN"/>
              </w:rPr>
              <w:t xml:space="preserve"> </w:t>
            </w:r>
            <w:r>
              <w:rPr>
                <w:rFonts w:hint="eastAsia" w:ascii="宋体" w:hAnsi="宋体"/>
                <w:lang w:eastAsia="zh-CN"/>
              </w:rPr>
              <w:t>元（租期总租金，</w:t>
            </w:r>
            <w:r>
              <w:rPr>
                <w:rFonts w:hint="eastAsia" w:ascii="宋体" w:hAnsi="宋体"/>
                <w:lang w:val="en-US" w:eastAsia="zh-CN"/>
              </w:rPr>
              <w:t>含税</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53" w:type="dxa"/>
            <w:gridSpan w:val="2"/>
            <w:vMerge w:val="continue"/>
            <w:vAlign w:val="center"/>
          </w:tcPr>
          <w:p>
            <w:pPr>
              <w:pStyle w:val="41"/>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6" w:type="dxa"/>
            <w:gridSpan w:val="6"/>
            <w:vAlign w:val="center"/>
          </w:tcPr>
          <w:p>
            <w:pPr>
              <w:rPr>
                <w:rFonts w:ascii="宋体"/>
                <w:u w:val="single"/>
                <w:lang w:eastAsia="zh-CN"/>
              </w:rPr>
            </w:pPr>
            <w:r>
              <w:rPr>
                <w:rFonts w:hint="eastAsia" w:ascii="宋体"/>
                <w:u w:val="single"/>
                <w:lang w:eastAsia="zh-CN"/>
              </w:rPr>
              <w:t>113号三、四层租金为30元/㎡（综合单价，含物管费</w:t>
            </w:r>
            <w:r>
              <w:rPr>
                <w:rFonts w:hint="eastAsia" w:ascii="宋体"/>
                <w:u w:val="single"/>
                <w:lang w:val="en-US" w:eastAsia="zh-CN"/>
              </w:rPr>
              <w:t>5元</w:t>
            </w:r>
            <w:r>
              <w:rPr>
                <w:rFonts w:hint="eastAsia" w:ascii="宋体"/>
                <w:color w:val="auto"/>
                <w:u w:val="single"/>
                <w:lang w:eastAsia="zh-CN"/>
              </w:rPr>
              <w:t>/㎡</w:t>
            </w:r>
            <w:r>
              <w:rPr>
                <w:rFonts w:hint="eastAsia" w:ascii="宋体" w:hAnsi="宋体"/>
                <w:u w:val="single"/>
                <w:lang w:eastAsia="zh-CN"/>
              </w:rPr>
              <w:t>，</w:t>
            </w:r>
            <w:r>
              <w:rPr>
                <w:rFonts w:hint="eastAsia" w:ascii="宋体" w:hAnsi="宋体"/>
                <w:u w:val="single"/>
                <w:lang w:val="en-US" w:eastAsia="zh-CN"/>
              </w:rPr>
              <w:t>含税</w:t>
            </w:r>
            <w:r>
              <w:rPr>
                <w:rFonts w:hint="eastAsia" w:ascii="宋体"/>
                <w:u w:val="single"/>
                <w:lang w:eastAsia="zh-CN"/>
              </w:rPr>
              <w:t>），宿舍楼三、四层租金为20元/㎡（综合单价，含物管费</w:t>
            </w:r>
            <w:r>
              <w:rPr>
                <w:rFonts w:hint="eastAsia" w:ascii="宋体"/>
                <w:color w:val="auto"/>
                <w:u w:val="single"/>
                <w:lang w:eastAsia="zh-CN"/>
              </w:rPr>
              <w:t>5元/㎡</w:t>
            </w:r>
            <w:r>
              <w:rPr>
                <w:rFonts w:hint="eastAsia" w:ascii="宋体" w:hAnsi="宋体"/>
                <w:u w:val="single"/>
                <w:lang w:eastAsia="zh-CN"/>
              </w:rPr>
              <w:t>，</w:t>
            </w:r>
            <w:r>
              <w:rPr>
                <w:rFonts w:hint="eastAsia" w:ascii="宋体" w:hAnsi="宋体"/>
                <w:u w:val="single"/>
                <w:lang w:val="en-US" w:eastAsia="zh-CN"/>
              </w:rPr>
              <w:t>含税</w:t>
            </w:r>
            <w:r>
              <w:rPr>
                <w:rFonts w:hint="eastAsia" w:ascii="宋体"/>
                <w:u w:val="single"/>
                <w:lang w:eastAsia="zh-CN"/>
              </w:rPr>
              <w:t>），租金每两年调增10%</w:t>
            </w:r>
            <w:r>
              <w:rPr>
                <w:rFonts w:hint="eastAsia" w:ascii="宋体"/>
                <w:color w:val="auto"/>
                <w:u w:val="single"/>
                <w:lang w:eastAsia="zh-CN"/>
              </w:rPr>
              <w:t>，</w:t>
            </w:r>
            <w:r>
              <w:rPr>
                <w:rFonts w:hint="eastAsia" w:ascii="宋体"/>
                <w:u w:val="single"/>
                <w:lang w:eastAsia="zh-CN"/>
              </w:rPr>
              <w:t>每两年调增5%。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753" w:type="dxa"/>
            <w:gridSpan w:val="2"/>
            <w:vMerge w:val="continue"/>
            <w:vAlign w:val="center"/>
          </w:tcPr>
          <w:p>
            <w:pPr>
              <w:pStyle w:val="41"/>
              <w:spacing w:before="0" w:after="0"/>
              <w:jc w:val="center"/>
              <w:rPr>
                <w:rFonts w:ascii="宋体"/>
                <w:lang w:eastAsia="zh-CN"/>
              </w:rPr>
            </w:pPr>
          </w:p>
        </w:tc>
        <w:tc>
          <w:tcPr>
            <w:tcW w:w="1842" w:type="dxa"/>
            <w:vAlign w:val="center"/>
          </w:tcPr>
          <w:p>
            <w:pPr>
              <w:pStyle w:val="39"/>
              <w:ind w:firstLine="0"/>
              <w:jc w:val="center"/>
              <w:rPr>
                <w:rFonts w:ascii="宋体"/>
                <w:highlight w:val="yellow"/>
                <w:lang w:eastAsia="zh-CN"/>
              </w:rPr>
            </w:pPr>
            <w:r>
              <w:rPr>
                <w:rFonts w:hint="eastAsia" w:ascii="宋体" w:hAnsi="宋体"/>
                <w:lang w:eastAsia="zh-CN"/>
              </w:rPr>
              <w:t>支付方式</w:t>
            </w:r>
          </w:p>
        </w:tc>
        <w:tc>
          <w:tcPr>
            <w:tcW w:w="6236" w:type="dxa"/>
            <w:gridSpan w:val="6"/>
            <w:vAlign w:val="center"/>
          </w:tcPr>
          <w:p>
            <w:pPr>
              <w:rPr>
                <w:rFonts w:ascii="宋体"/>
                <w:highlight w:val="yellow"/>
                <w:lang w:eastAsia="zh-CN"/>
              </w:rPr>
            </w:pPr>
            <w:r>
              <w:rPr>
                <w:rFonts w:hint="eastAsia" w:ascii="宋体"/>
                <w:lang w:eastAsia="zh-CN"/>
              </w:rPr>
              <w:t>银行转账</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53" w:type="dxa"/>
            <w:gridSpan w:val="2"/>
            <w:vAlign w:val="center"/>
          </w:tcPr>
          <w:p>
            <w:pPr>
              <w:jc w:val="center"/>
              <w:rPr>
                <w:rFonts w:ascii="宋体"/>
              </w:rPr>
            </w:pPr>
            <w:r>
              <w:rPr>
                <w:rFonts w:ascii="宋体" w:hAnsi="宋体"/>
              </w:rPr>
              <w:t>*</w:t>
            </w:r>
            <w:r>
              <w:rPr>
                <w:rFonts w:hint="eastAsia" w:ascii="宋体" w:hAnsi="宋体"/>
              </w:rPr>
              <w:t>挂牌公告期</w:t>
            </w:r>
          </w:p>
        </w:tc>
        <w:tc>
          <w:tcPr>
            <w:tcW w:w="8078" w:type="dxa"/>
            <w:gridSpan w:val="7"/>
            <w:vAlign w:val="center"/>
          </w:tcPr>
          <w:p>
            <w:pPr>
              <w:pStyle w:val="39"/>
              <w:ind w:left="82" w:leftChars="34" w:firstLine="47"/>
              <w:rPr>
                <w:rFonts w:ascii="宋体"/>
                <w:bCs/>
                <w:lang w:eastAsia="zh-CN"/>
              </w:rPr>
            </w:pPr>
            <w:r>
              <w:rPr>
                <w:rFonts w:hint="eastAsia" w:ascii="宋体" w:hAnsi="宋体"/>
                <w:bCs/>
                <w:lang w:eastAsia="zh-CN"/>
              </w:rPr>
              <w:t>自公告之日起</w:t>
            </w:r>
            <w:r>
              <w:rPr>
                <w:rFonts w:hint="eastAsia" w:ascii="宋体" w:hAnsi="宋体"/>
                <w:bCs/>
                <w:color w:val="auto"/>
                <w:u w:val="single"/>
                <w:lang w:val="en-US" w:eastAsia="zh-CN"/>
              </w:rPr>
              <w:t>11</w:t>
            </w:r>
            <w:r>
              <w:rPr>
                <w:rFonts w:hint="eastAsia" w:ascii="宋体" w:hAnsi="宋体"/>
                <w:bCs/>
                <w:color w:val="auto"/>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753" w:type="dxa"/>
            <w:gridSpan w:val="2"/>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left="38" w:leftChars="16" w:firstLineChars="177"/>
              <w:rPr>
                <w:rFonts w:ascii="宋体" w:hAnsi="宋体"/>
                <w:bCs/>
                <w:lang w:eastAsia="zh-CN"/>
              </w:rPr>
            </w:pPr>
          </w:p>
        </w:tc>
        <w:tc>
          <w:tcPr>
            <w:tcW w:w="6094" w:type="dxa"/>
            <w:gridSpan w:val="5"/>
            <w:vAlign w:val="center"/>
          </w:tcPr>
          <w:p>
            <w:pPr>
              <w:pStyle w:val="39"/>
              <w:ind w:left="464" w:leftChars="17" w:hanging="423"/>
              <w:rPr>
                <w:rFonts w:ascii="宋体" w:hAnsi="宋体"/>
                <w:bCs/>
                <w:lang w:eastAsia="zh-CN"/>
              </w:rPr>
            </w:pPr>
            <w:r>
              <w:rPr>
                <w:rFonts w:hint="eastAsia" w:ascii="宋体" w:hAnsi="宋体"/>
                <w:bCs/>
                <w:lang w:eastAsia="zh-CN"/>
              </w:rPr>
              <w:t>■ 信息发布延长：</w:t>
            </w:r>
          </w:p>
          <w:p>
            <w:pPr>
              <w:pStyle w:val="39"/>
              <w:ind w:left="464" w:leftChars="17" w:hanging="423"/>
              <w:rPr>
                <w:rFonts w:ascii="宋体" w:hAnsi="宋体"/>
                <w:bCs/>
                <w:color w:val="auto"/>
                <w:lang w:eastAsia="zh-CN"/>
              </w:rPr>
            </w:pPr>
            <w:r>
              <w:rPr>
                <w:rFonts w:hint="eastAsia" w:ascii="宋体" w:hAnsi="宋体"/>
                <w:bCs/>
                <w:color w:val="auto"/>
                <w:lang w:eastAsia="zh-CN"/>
              </w:rPr>
              <w:t>首个挂牌期满结束时，如缴纳诚意金到的意向方不足（1）个，不变更挂牌条件，按照（10）个工作日为一个延长周期，最多延长（</w:t>
            </w:r>
            <w:r>
              <w:rPr>
                <w:rFonts w:ascii="宋体" w:hAnsi="宋体"/>
                <w:bCs/>
                <w:color w:val="auto"/>
                <w:lang w:eastAsia="zh-CN"/>
              </w:rPr>
              <w:t>1</w:t>
            </w:r>
            <w:r>
              <w:rPr>
                <w:rFonts w:hint="eastAsia" w:ascii="宋体" w:hAnsi="宋体"/>
                <w:bCs/>
                <w:color w:val="auto"/>
                <w:lang w:eastAsia="zh-CN"/>
              </w:rPr>
              <w:t>）个周期。</w:t>
            </w:r>
          </w:p>
          <w:p>
            <w:pPr>
              <w:pStyle w:val="39"/>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53" w:type="dxa"/>
            <w:gridSpan w:val="2"/>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8" w:type="dxa"/>
            <w:gridSpan w:val="7"/>
            <w:vAlign w:val="center"/>
          </w:tcPr>
          <w:p>
            <w:pPr>
              <w:pStyle w:val="39"/>
              <w:ind w:left="163" w:leftChars="68" w:firstLine="2"/>
              <w:rPr>
                <w:rFonts w:ascii="宋体"/>
                <w:bCs/>
                <w:lang w:eastAsia="zh-CN"/>
              </w:rPr>
            </w:pPr>
            <w:r>
              <w:rPr>
                <w:rFonts w:hint="eastAsia" w:ascii="宋体" w:hAnsi="宋体"/>
                <w:bCs/>
                <w:lang w:eastAsia="zh-CN"/>
              </w:rPr>
              <w:t>□</w:t>
            </w:r>
            <w:r>
              <w:rPr>
                <w:rFonts w:hint="eastAsia" w:ascii="宋体" w:hAnsi="宋体"/>
                <w:szCs w:val="20"/>
                <w:lang w:eastAsia="zh-CN"/>
              </w:rPr>
              <w:t xml:space="preserve"> </w:t>
            </w:r>
            <w:r>
              <w:rPr>
                <w:rFonts w:ascii="宋体" w:hAnsi="宋体"/>
                <w:bCs/>
                <w:lang w:eastAsia="zh-CN"/>
              </w:rPr>
              <w:t>A</w:t>
            </w:r>
            <w:r>
              <w:rPr>
                <w:rFonts w:hint="eastAsia" w:ascii="宋体" w:hAnsi="宋体"/>
                <w:bCs/>
                <w:lang w:eastAsia="zh-CN"/>
              </w:rPr>
              <w:t>、公告期满后，由广州产权交易所另行通知</w:t>
            </w:r>
          </w:p>
          <w:p>
            <w:pPr>
              <w:pStyle w:val="39"/>
              <w:ind w:left="163" w:leftChars="68" w:firstLine="2"/>
              <w:rPr>
                <w:rFonts w:ascii="宋体"/>
                <w:bCs/>
                <w:lang w:eastAsia="zh-CN"/>
              </w:rPr>
            </w:pPr>
            <w:r>
              <w:rPr>
                <w:rFonts w:hint="eastAsia" w:ascii="宋体" w:hAnsi="宋体"/>
                <w:szCs w:val="20"/>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ascii="宋体" w:hAnsi="宋体"/>
                <w:bCs/>
                <w:color w:val="auto"/>
                <w:u w:val="single"/>
                <w:lang w:eastAsia="zh-CN"/>
              </w:rPr>
              <w:t xml:space="preserve"> </w:t>
            </w:r>
            <w:r>
              <w:rPr>
                <w:rFonts w:hint="eastAsia" w:ascii="宋体" w:hAnsi="宋体"/>
                <w:bCs/>
                <w:color w:val="auto"/>
                <w:u w:val="single"/>
                <w:lang w:eastAsia="zh-CN"/>
              </w:rPr>
              <w:t>公告期内联系看现场，联系方式：徐小姐，</w:t>
            </w:r>
            <w:r>
              <w:rPr>
                <w:rFonts w:ascii="宋体" w:hAnsi="宋体"/>
                <w:bCs/>
                <w:color w:val="auto"/>
                <w:u w:val="single"/>
                <w:lang w:eastAsia="zh-CN"/>
              </w:rPr>
              <w:t xml:space="preserve">18316486131 </w:t>
            </w:r>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753" w:type="dxa"/>
            <w:gridSpan w:val="2"/>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9"/>
              <w:ind w:left="464" w:leftChars="17" w:hanging="423"/>
              <w:rPr>
                <w:rFonts w:ascii="宋体" w:hAnsi="宋体"/>
                <w:bCs/>
                <w:lang w:eastAsia="zh-CN"/>
              </w:rPr>
            </w:pPr>
            <w:r>
              <w:rPr>
                <w:rFonts w:hint="eastAsia" w:ascii="宋体" w:hAnsi="宋体"/>
                <w:bCs/>
                <w:lang w:eastAsia="zh-CN"/>
              </w:rPr>
              <w:t>■市属国有企业（含参照）</w:t>
            </w:r>
          </w:p>
          <w:p>
            <w:pPr>
              <w:pStyle w:val="39"/>
              <w:ind w:firstLine="463" w:firstLineChars="193"/>
              <w:rPr>
                <w:rFonts w:ascii="宋体"/>
                <w:bCs/>
                <w:lang w:eastAsia="zh-CN"/>
              </w:rPr>
            </w:pPr>
          </w:p>
        </w:tc>
        <w:tc>
          <w:tcPr>
            <w:tcW w:w="6094" w:type="dxa"/>
            <w:gridSpan w:val="5"/>
            <w:vAlign w:val="center"/>
          </w:tcPr>
          <w:p>
            <w:pPr>
              <w:pStyle w:val="39"/>
              <w:ind w:left="34" w:leftChars="14" w:firstLine="463" w:firstLineChars="193"/>
              <w:rPr>
                <w:color w:val="auto"/>
                <w:lang w:eastAsia="zh-CN"/>
              </w:rPr>
            </w:pPr>
            <w:r>
              <w:rPr>
                <w:rFonts w:hint="eastAsia"/>
                <w:color w:val="auto"/>
                <w:lang w:eastAsia="zh-CN"/>
              </w:rPr>
              <w:t>仅征集到1家符合资格且缴纳交易保证金的意向方，经广州产权交易所公示5个工作日后协议交易，交易双方以挂牌价格或双方协商的价格（该价格不得低于挂牌价格）直接签订成交文件。</w:t>
            </w:r>
          </w:p>
          <w:p>
            <w:pPr>
              <w:pStyle w:val="39"/>
              <w:ind w:left="34" w:leftChars="14" w:firstLine="463" w:firstLineChars="193"/>
              <w:rPr>
                <w:rFonts w:ascii="宋体"/>
                <w:bCs/>
                <w:color w:val="auto"/>
                <w:lang w:eastAsia="zh-CN"/>
              </w:rPr>
            </w:pPr>
            <w:r>
              <w:rPr>
                <w:rFonts w:hint="eastAsia"/>
                <w:color w:val="auto"/>
                <w:lang w:eastAsia="zh-CN"/>
              </w:rPr>
              <w:t>如征集到符合资格且缴纳交易保证金的意向方为2家或以上的，</w:t>
            </w:r>
            <w:r>
              <w:rPr>
                <w:rFonts w:hint="eastAsia" w:ascii="宋体" w:hAnsi="宋体"/>
                <w:bCs/>
                <w:color w:val="auto"/>
                <w:lang w:eastAsia="zh-CN"/>
              </w:rPr>
              <w:t>选择以下交易方式：</w:t>
            </w:r>
          </w:p>
          <w:p>
            <w:pPr>
              <w:pStyle w:val="39"/>
              <w:ind w:firstLine="463" w:firstLineChars="193"/>
              <w:rPr>
                <w:rFonts w:ascii="宋体" w:hAnsi="宋体"/>
                <w:bCs/>
                <w:lang w:eastAsia="zh-CN"/>
              </w:rPr>
            </w:pPr>
            <w:r>
              <w:rPr>
                <w:rFonts w:hint="eastAsia" w:ascii="宋体" w:hAnsi="宋体"/>
                <w:szCs w:val="20"/>
                <w:lang w:eastAsia="zh-CN"/>
              </w:rPr>
              <w:t>■</w:t>
            </w: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w:t>
            </w:r>
            <w:r>
              <w:rPr>
                <w:rFonts w:hint="eastAsia" w:ascii="宋体" w:hAnsi="宋体"/>
                <w:szCs w:val="20"/>
                <w:lang w:eastAsia="zh-CN"/>
              </w:rPr>
              <w:t>■</w:t>
            </w:r>
            <w:r>
              <w:rPr>
                <w:rFonts w:hint="eastAsia" w:ascii="宋体" w:hAnsi="宋体"/>
                <w:bCs/>
                <w:lang w:eastAsia="zh-CN"/>
              </w:rPr>
              <w:t>网络一次性报价）</w:t>
            </w:r>
          </w:p>
          <w:p>
            <w:pPr>
              <w:pStyle w:val="39"/>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9"/>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1753" w:type="dxa"/>
            <w:gridSpan w:val="2"/>
            <w:vAlign w:val="center"/>
          </w:tcPr>
          <w:p>
            <w:pPr>
              <w:pStyle w:val="41"/>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8" w:type="dxa"/>
            <w:gridSpan w:val="7"/>
            <w:vAlign w:val="center"/>
          </w:tcPr>
          <w:p>
            <w:pPr>
              <w:rPr>
                <w:rFonts w:ascii="宋体"/>
                <w:bCs/>
                <w:lang w:eastAsia="zh-CN"/>
              </w:rPr>
            </w:pPr>
          </w:p>
          <w:p>
            <w:pPr>
              <w:rPr>
                <w:rFonts w:ascii="宋体"/>
                <w:bCs/>
                <w:lang w:eastAsia="zh-CN"/>
              </w:rPr>
            </w:pPr>
          </w:p>
          <w:p>
            <w:pPr>
              <w:pStyle w:val="51"/>
              <w:numPr>
                <w:ilvl w:val="0"/>
                <w:numId w:val="2"/>
              </w:numPr>
              <w:rPr>
                <w:lang w:eastAsia="zh-CN"/>
              </w:rPr>
            </w:pPr>
            <w:r>
              <w:rPr>
                <w:rFonts w:hint="eastAsia"/>
                <w:lang w:eastAsia="zh-CN"/>
              </w:rPr>
              <w:t>出租方按出租标的现状（包括但不限于现有质量、消防状况、房屋结构、交付使用时依附于出租标的的装修装饰状况）和指定用途出租，不包括出租标的内可移动的设施、设备和物品，并承诺出租标的不存在共有、抵押、查封情况。</w:t>
            </w:r>
          </w:p>
          <w:p>
            <w:pPr>
              <w:pStyle w:val="51"/>
              <w:numPr>
                <w:ilvl w:val="0"/>
                <w:numId w:val="2"/>
              </w:numPr>
              <w:rPr>
                <w:rFonts w:ascii="宋体"/>
                <w:bCs/>
                <w:lang w:eastAsia="zh-CN"/>
              </w:rPr>
            </w:pPr>
            <w:r>
              <w:rPr>
                <w:rFonts w:hint="eastAsia" w:ascii="宋体"/>
                <w:bCs/>
                <w:color w:val="auto"/>
                <w:lang w:eastAsia="zh-CN"/>
              </w:rPr>
              <w:t>出租标的权属人</w:t>
            </w:r>
            <w:r>
              <w:rPr>
                <w:rFonts w:hint="eastAsia" w:ascii="宋体"/>
                <w:bCs/>
                <w:color w:val="auto"/>
                <w:lang w:val="en-US" w:eastAsia="zh-CN"/>
              </w:rPr>
              <w:t>广州南沙经济技术开发区工业公司</w:t>
            </w:r>
            <w:r>
              <w:rPr>
                <w:rFonts w:ascii="宋体"/>
                <w:bCs/>
                <w:color w:val="auto"/>
                <w:lang w:eastAsia="zh-CN"/>
              </w:rPr>
              <w:t>,</w:t>
            </w:r>
            <w:r>
              <w:rPr>
                <w:rFonts w:hint="eastAsia" w:ascii="宋体"/>
                <w:bCs/>
                <w:color w:val="auto"/>
                <w:lang w:val="en-US" w:eastAsia="zh-CN"/>
              </w:rPr>
              <w:t>未</w:t>
            </w:r>
            <w:r>
              <w:rPr>
                <w:rFonts w:hint="eastAsia" w:ascii="宋体"/>
                <w:bCs/>
                <w:color w:val="auto"/>
                <w:lang w:eastAsia="zh-CN"/>
              </w:rPr>
              <w:t>办理房产证，出租方的出租行为已获得授权，承租方须与出租方签订租赁合同。</w:t>
            </w:r>
          </w:p>
          <w:p>
            <w:pPr>
              <w:pStyle w:val="51"/>
              <w:numPr>
                <w:ilvl w:val="0"/>
                <w:numId w:val="2"/>
              </w:numPr>
              <w:rPr>
                <w:rFonts w:ascii="宋体"/>
                <w:bCs/>
                <w:lang w:eastAsia="zh-CN"/>
              </w:rPr>
            </w:pPr>
            <w:r>
              <w:rPr>
                <w:rFonts w:ascii="宋体"/>
                <w:bCs/>
                <w:lang w:eastAsia="zh-CN"/>
              </w:rPr>
              <w:t>出租标的未办理权属证明文件，出租方无法提供产权证，承租方不得以任何理由要求出租方提供及办理上述资料证明，承租方须自行办理经营所需证照。出租标的无办理消防验收，如承租方经营需要办理消防验收，承租方须自行出资办理，并承担相应的安全生产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1" w:type="dxa"/>
            <w:gridSpan w:val="9"/>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53" w:type="dxa"/>
            <w:gridSpan w:val="2"/>
            <w:vMerge w:val="restart"/>
            <w:vAlign w:val="center"/>
          </w:tcPr>
          <w:p>
            <w:pPr>
              <w:pStyle w:val="41"/>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1"/>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r>
              <w:rPr>
                <w:rFonts w:hint="eastAsia" w:ascii="宋体" w:hAnsi="宋体"/>
                <w:szCs w:val="20"/>
                <w:lang w:eastAsia="zh-CN"/>
              </w:rPr>
              <w:t>■</w:t>
            </w: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59" w:type="dxa"/>
            <w:gridSpan w:val="2"/>
            <w:vAlign w:val="center"/>
          </w:tcPr>
          <w:p>
            <w:pPr>
              <w:rPr>
                <w:rFonts w:ascii="宋体"/>
                <w:lang w:eastAsia="zh-CN"/>
              </w:rPr>
            </w:pPr>
            <w:r>
              <w:rPr>
                <w:rFonts w:hint="eastAsia" w:ascii="宋体" w:hAnsi="宋体"/>
                <w:bCs/>
                <w:lang w:eastAsia="zh-CN"/>
              </w:rPr>
              <w:t>□交易</w:t>
            </w:r>
            <w:r>
              <w:rPr>
                <w:rFonts w:hint="eastAsia" w:ascii="宋体"/>
                <w:lang w:eastAsia="zh-CN"/>
              </w:rPr>
              <w:t>保证金金额</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753" w:type="dxa"/>
            <w:gridSpan w:val="2"/>
            <w:vMerge w:val="continue"/>
            <w:vAlign w:val="center"/>
          </w:tcPr>
          <w:p>
            <w:pPr>
              <w:pStyle w:val="41"/>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59" w:type="dxa"/>
            <w:gridSpan w:val="2"/>
            <w:vAlign w:val="center"/>
          </w:tcPr>
          <w:p>
            <w:pPr>
              <w:rPr>
                <w:rFonts w:ascii="宋体"/>
                <w:lang w:eastAsia="zh-CN"/>
              </w:rPr>
            </w:pPr>
            <w:r>
              <w:rPr>
                <w:rFonts w:hint="eastAsia" w:ascii="宋体" w:hAnsi="宋体"/>
                <w:color w:val="auto"/>
                <w:szCs w:val="20"/>
                <w:lang w:eastAsia="zh-CN"/>
              </w:rPr>
              <w:t>■</w:t>
            </w:r>
            <w:r>
              <w:rPr>
                <w:rFonts w:hint="eastAsia" w:ascii="宋体"/>
                <w:lang w:eastAsia="zh-CN"/>
              </w:rPr>
              <w:t xml:space="preserve">诚意金金额 </w:t>
            </w:r>
            <w:r>
              <w:rPr>
                <w:rFonts w:hint="eastAsia" w:ascii="宋体"/>
                <w:u w:val="single"/>
                <w:lang w:eastAsia="zh-CN"/>
              </w:rPr>
              <w:t xml:space="preserve">  </w:t>
            </w:r>
            <w:r>
              <w:rPr>
                <w:rFonts w:hint="eastAsia" w:ascii="宋体"/>
                <w:u w:val="single"/>
                <w:lang w:val="en-US" w:eastAsia="zh-CN"/>
              </w:rPr>
              <w:t>150000</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753" w:type="dxa"/>
            <w:gridSpan w:val="2"/>
            <w:vAlign w:val="center"/>
          </w:tcPr>
          <w:p>
            <w:pPr>
              <w:rPr>
                <w:rFonts w:ascii="宋体"/>
              </w:rPr>
            </w:pPr>
            <w:r>
              <w:rPr>
                <w:rFonts w:ascii="宋体" w:hAnsi="宋体"/>
              </w:rPr>
              <w:t>*</w:t>
            </w:r>
            <w:r>
              <w:rPr>
                <w:rFonts w:hint="eastAsia"/>
              </w:rPr>
              <w:t>交纳时间</w:t>
            </w:r>
          </w:p>
        </w:tc>
        <w:tc>
          <w:tcPr>
            <w:tcW w:w="8078" w:type="dxa"/>
            <w:gridSpan w:val="7"/>
            <w:vAlign w:val="center"/>
          </w:tcPr>
          <w:p>
            <w:pPr>
              <w:rPr>
                <w:rFonts w:ascii="宋体" w:hAnsi="宋体"/>
                <w:bCs/>
                <w:lang w:eastAsia="zh-CN"/>
              </w:rPr>
            </w:pP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szCs w:val="20"/>
                <w:lang w:eastAsia="zh-CN"/>
              </w:rPr>
              <w:t>■</w:t>
            </w: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r>
              <w:rPr>
                <w:rFonts w:hint="eastAsia"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53" w:type="dxa"/>
            <w:gridSpan w:val="2"/>
            <w:vAlign w:val="center"/>
          </w:tcPr>
          <w:p>
            <w:pPr>
              <w:pStyle w:val="39"/>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8" w:type="dxa"/>
            <w:gridSpan w:val="7"/>
            <w:vAlign w:val="center"/>
          </w:tcPr>
          <w:p>
            <w:pPr>
              <w:pStyle w:val="39"/>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9"/>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753" w:type="dxa"/>
            <w:gridSpan w:val="2"/>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8" w:type="dxa"/>
            <w:gridSpan w:val="7"/>
            <w:vAlign w:val="center"/>
          </w:tcPr>
          <w:p>
            <w:pPr>
              <w:pStyle w:val="39"/>
              <w:ind w:firstLine="0"/>
              <w:rPr>
                <w:bCs/>
                <w:lang w:eastAsia="zh-CN"/>
              </w:rPr>
            </w:pPr>
            <w:r>
              <w:rPr>
                <w:rFonts w:hint="eastAsia"/>
                <w:bCs/>
                <w:lang w:eastAsia="zh-CN"/>
              </w:rPr>
              <w:t>账户名称：广州产权交易所</w:t>
            </w:r>
            <w:r>
              <w:rPr>
                <w:bCs/>
                <w:lang w:eastAsia="zh-CN"/>
              </w:rPr>
              <w:t xml:space="preserve"> </w:t>
            </w:r>
          </w:p>
          <w:p>
            <w:pPr>
              <w:pStyle w:val="39"/>
              <w:ind w:firstLine="0"/>
              <w:rPr>
                <w:lang w:eastAsia="zh-CN"/>
              </w:rPr>
            </w:pPr>
            <w:r>
              <w:rPr>
                <w:rFonts w:hint="eastAsia"/>
                <w:lang w:eastAsia="zh-CN"/>
              </w:rPr>
              <w:t>账号</w:t>
            </w:r>
            <w:r>
              <w:rPr>
                <w:lang w:eastAsia="zh-CN"/>
              </w:rPr>
              <w:t xml:space="preserve">: </w:t>
            </w:r>
            <w:r>
              <w:rPr>
                <w:bCs/>
                <w:lang w:eastAsia="zh-CN"/>
              </w:rPr>
              <w:t>1500 0015 7532 75</w:t>
            </w:r>
          </w:p>
          <w:p>
            <w:pPr>
              <w:pStyle w:val="39"/>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753" w:type="dxa"/>
            <w:gridSpan w:val="2"/>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8" w:type="dxa"/>
            <w:gridSpan w:val="7"/>
            <w:vAlign w:val="center"/>
          </w:tcPr>
          <w:p>
            <w:pPr>
              <w:rPr>
                <w:lang w:eastAsia="zh-CN"/>
              </w:rPr>
            </w:pPr>
            <w:r>
              <w:rPr>
                <w:rFonts w:hint="eastAsia"/>
                <w:lang w:eastAsia="zh-CN"/>
              </w:rPr>
              <w:t xml:space="preserve">（1）意向方向广州产权交易所递交和上传的资料须保证其真实、完整、有效； </w:t>
            </w:r>
          </w:p>
          <w:p>
            <w:pPr>
              <w:rPr>
                <w:lang w:eastAsia="zh-CN"/>
              </w:rPr>
            </w:pPr>
            <w:r>
              <w:rPr>
                <w:rFonts w:hint="eastAsia"/>
                <w:lang w:eastAsia="zh-CN"/>
              </w:rPr>
              <w:t xml:space="preserve">（2）意向方不得使用作弊、欺诈、强迫等有违公平的手续参与竞价； </w:t>
            </w:r>
          </w:p>
          <w:p>
            <w:pPr>
              <w:rPr>
                <w:lang w:eastAsia="zh-CN"/>
              </w:rPr>
            </w:pPr>
            <w:r>
              <w:rPr>
                <w:rFonts w:hint="eastAsia"/>
                <w:lang w:eastAsia="zh-CN"/>
              </w:rPr>
              <w:t xml:space="preserve">（3）意向方须按照公告和通知，按时参与广州产权交易所组织的交易活动（包括但不限于协议交易、网络竞价、评审、拍卖、招投标等）； </w:t>
            </w:r>
          </w:p>
          <w:p>
            <w:pPr>
              <w:rPr>
                <w:lang w:eastAsia="zh-CN"/>
              </w:rPr>
            </w:pPr>
            <w:r>
              <w:rPr>
                <w:rFonts w:hint="eastAsia"/>
                <w:lang w:eastAsia="zh-CN"/>
              </w:rPr>
              <w:t xml:space="preserve">（4）意向方参与竞价应保证至少有一家意向方报价，使该项目能产生有效报价；如项目存在优先权人，在未产生有效报价的情况下，优先权人应以挂牌价行权； </w:t>
            </w:r>
          </w:p>
          <w:p>
            <w:pPr>
              <w:rPr>
                <w:color w:val="auto"/>
                <w:lang w:eastAsia="zh-CN"/>
              </w:rPr>
            </w:pPr>
            <w:r>
              <w:rPr>
                <w:rFonts w:hint="eastAsia"/>
                <w:lang w:eastAsia="zh-CN"/>
              </w:rPr>
              <w:t>（5）意向方被确定为承租方后，应按照公告要求签订《成交</w:t>
            </w:r>
            <w:r>
              <w:rPr>
                <w:rFonts w:hint="eastAsia"/>
                <w:color w:val="auto"/>
                <w:lang w:eastAsia="zh-CN"/>
              </w:rPr>
              <w:t xml:space="preserve">确认书》、交易合同，并按约定足额支付交易服务费； </w:t>
            </w:r>
          </w:p>
          <w:p>
            <w:pPr>
              <w:rPr>
                <w:lang w:eastAsia="zh-CN"/>
              </w:rPr>
            </w:pPr>
            <w:r>
              <w:rPr>
                <w:rFonts w:hint="eastAsia"/>
                <w:color w:val="auto"/>
                <w:lang w:eastAsia="zh-CN"/>
              </w:rPr>
              <w:t>（6）遵守项目公告、项目须知的约定，以及广州产权交易所</w:t>
            </w:r>
            <w:r>
              <w:rPr>
                <w:rFonts w:hint="eastAsia"/>
                <w:lang w:eastAsia="zh-CN"/>
              </w:rPr>
              <w:t>操作规程和竞价实施办法等制度要求。</w:t>
            </w:r>
          </w:p>
          <w:p>
            <w:pPr>
              <w:adjustRightInd w:val="0"/>
              <w:snapToGrid w:val="0"/>
              <w:ind w:firstLine="237" w:firstLineChars="132"/>
              <w:jc w:val="both"/>
              <w:rPr>
                <w:rFonts w:ascii="宋体"/>
                <w:bCs/>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jc w:val="center"/>
        </w:trPr>
        <w:tc>
          <w:tcPr>
            <w:tcW w:w="1753" w:type="dxa"/>
            <w:gridSpan w:val="2"/>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8" w:type="dxa"/>
            <w:gridSpan w:val="7"/>
            <w:vAlign w:val="center"/>
          </w:tcPr>
          <w:p>
            <w:pPr>
              <w:rPr>
                <w:lang w:eastAsia="zh-CN"/>
              </w:rPr>
            </w:pPr>
            <w:r>
              <w:rPr>
                <w:rFonts w:hint="eastAsia"/>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rPr>
                <w:lang w:eastAsia="zh-CN"/>
              </w:rPr>
            </w:pPr>
            <w:r>
              <w:rPr>
                <w:rFonts w:hint="eastAsia"/>
                <w:lang w:eastAsia="zh-CN"/>
              </w:rPr>
              <w:t>（2）若意向方未被确认为承租方且未违反上述保证事项所述情形的，其交纳的交易保证金本金由本所于交易结束之日起5个工作日内不计息原路径退回。</w:t>
            </w:r>
          </w:p>
          <w:p>
            <w:pPr>
              <w:rPr>
                <w:color w:val="auto"/>
                <w:lang w:eastAsia="zh-CN"/>
              </w:rPr>
            </w:pPr>
            <w:r>
              <w:rPr>
                <w:rFonts w:hint="eastAsia"/>
                <w:lang w:eastAsia="zh-CN"/>
              </w:rPr>
              <w:t>（3）承租方按约定签订交易合同、支付交易服务费、首月租金后，其交纳的交易保证金余额由本所于收到出租方同意退还交易保证金的书面通知之</w:t>
            </w:r>
            <w:r>
              <w:rPr>
                <w:rFonts w:hint="eastAsia"/>
                <w:color w:val="auto"/>
                <w:lang w:eastAsia="zh-CN"/>
              </w:rPr>
              <w:t>日起3个工作日内不计息原路径退回。</w:t>
            </w:r>
          </w:p>
          <w:p>
            <w:pPr>
              <w:rPr>
                <w:rFonts w:ascii="宋体"/>
                <w:bCs/>
                <w:color w:val="FF0000"/>
                <w:sz w:val="18"/>
                <w:szCs w:val="18"/>
                <w:lang w:eastAsia="zh-CN"/>
              </w:rPr>
            </w:pPr>
            <w:r>
              <w:rPr>
                <w:rFonts w:hint="eastAsia"/>
                <w:color w:val="auto"/>
                <w:lang w:eastAsia="zh-CN"/>
              </w:rPr>
              <w:t>（4）若意向方未通过资格审核，其交纳的诚意金本金由本所在5个工作日内不计息原路径退回。意向方经资格确认后，诚意金自动转为交易保证金。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1" w:type="dxa"/>
            <w:gridSpan w:val="9"/>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53" w:type="dxa"/>
            <w:gridSpan w:val="2"/>
            <w:vMerge w:val="restart"/>
            <w:vAlign w:val="center"/>
          </w:tcPr>
          <w:p>
            <w:pPr>
              <w:pStyle w:val="41"/>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8" w:type="dxa"/>
            <w:gridSpan w:val="7"/>
            <w:vAlign w:val="center"/>
          </w:tcPr>
          <w:p>
            <w:pPr>
              <w:ind w:left="240" w:hanging="240" w:hangingChars="100"/>
              <w:jc w:val="both"/>
              <w:rPr>
                <w:rFonts w:ascii="宋体"/>
                <w:bCs/>
                <w:lang w:eastAsia="zh-CN"/>
              </w:rPr>
            </w:pPr>
            <w:r>
              <w:rPr>
                <w:rFonts w:hint="eastAsia" w:ascii="宋体"/>
                <w:bCs/>
                <w:lang w:eastAsia="zh-CN"/>
              </w:rPr>
              <w:t>1.</w:t>
            </w:r>
            <w:r>
              <w:rPr>
                <w:rFonts w:hint="eastAsia"/>
                <w:lang w:eastAsia="zh-CN"/>
              </w:rPr>
              <w:t xml:space="preserve"> </w:t>
            </w:r>
            <w:r>
              <w:rPr>
                <w:rFonts w:hint="eastAsia" w:ascii="宋体"/>
                <w:bCs/>
                <w:lang w:eastAsia="zh-CN"/>
              </w:rPr>
              <w:t>承租方须于广州产权交易所发出《签订成交文件通知书》或竞价/报价活动结束之日起2个工作日内签订《成交确认书》。如涉及出租方企务公开要求公示的，出租方将于公示结束后签订《成交确认书》。《成交确认书》自广州产权交易所、承租方、出租方三方签字盖章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1753" w:type="dxa"/>
            <w:gridSpan w:val="2"/>
            <w:vMerge w:val="continue"/>
            <w:vAlign w:val="center"/>
          </w:tcPr>
          <w:p>
            <w:pPr>
              <w:pStyle w:val="41"/>
              <w:spacing w:before="0" w:after="0"/>
              <w:jc w:val="center"/>
              <w:rPr>
                <w:rFonts w:ascii="宋体" w:hAnsi="宋体"/>
                <w:lang w:eastAsia="zh-CN"/>
              </w:rPr>
            </w:pPr>
          </w:p>
        </w:tc>
        <w:tc>
          <w:tcPr>
            <w:tcW w:w="8078" w:type="dxa"/>
            <w:gridSpan w:val="7"/>
            <w:vAlign w:val="center"/>
          </w:tcPr>
          <w:p>
            <w:pPr>
              <w:ind w:left="600" w:hanging="600" w:hangingChars="250"/>
              <w:jc w:val="both"/>
              <w:rPr>
                <w:rFonts w:ascii="宋体"/>
                <w:bCs/>
                <w:color w:val="auto"/>
                <w:lang w:eastAsia="zh-CN"/>
              </w:rPr>
            </w:pPr>
            <w:r>
              <w:rPr>
                <w:rFonts w:hint="eastAsia" w:ascii="宋体"/>
                <w:bCs/>
                <w:lang w:eastAsia="zh-CN"/>
              </w:rPr>
              <w:t>2.</w:t>
            </w:r>
            <w:r>
              <w:rPr>
                <w:rFonts w:hint="eastAsia" w:ascii="宋体" w:hAnsi="宋体"/>
                <w:bCs/>
                <w:lang w:eastAsia="zh-CN"/>
              </w:rPr>
              <w:t xml:space="preserve"> </w:t>
            </w:r>
            <w:r>
              <w:rPr>
                <w:rFonts w:hint="eastAsia" w:ascii="宋体" w:hAnsi="宋体"/>
                <w:bCs/>
                <w:color w:val="auto"/>
                <w:lang w:eastAsia="zh-CN"/>
              </w:rPr>
              <w:t>■</w:t>
            </w:r>
            <w:r>
              <w:rPr>
                <w:rFonts w:hint="eastAsia" w:ascii="宋体"/>
                <w:bCs/>
                <w:color w:val="auto"/>
                <w:lang w:eastAsia="zh-CN"/>
              </w:rPr>
              <w:t>承租方须于《成交确认书》生效之日起</w:t>
            </w:r>
            <w:r>
              <w:rPr>
                <w:rFonts w:hint="eastAsia" w:ascii="宋体"/>
                <w:bCs/>
                <w:color w:val="auto"/>
                <w:u w:val="single"/>
                <w:lang w:eastAsia="zh-CN"/>
              </w:rPr>
              <w:t xml:space="preserve"> </w:t>
            </w:r>
            <w:r>
              <w:rPr>
                <w:rFonts w:ascii="宋体"/>
                <w:bCs/>
                <w:color w:val="auto"/>
                <w:u w:val="single"/>
                <w:lang w:eastAsia="zh-CN"/>
              </w:rPr>
              <w:t>10</w:t>
            </w:r>
            <w:r>
              <w:rPr>
                <w:rFonts w:hint="eastAsia" w:ascii="宋体"/>
                <w:bCs/>
                <w:color w:val="auto"/>
                <w:u w:val="single"/>
                <w:lang w:eastAsia="zh-CN"/>
              </w:rPr>
              <w:t xml:space="preserve"> </w:t>
            </w:r>
            <w:r>
              <w:rPr>
                <w:rFonts w:hint="eastAsia" w:ascii="宋体"/>
                <w:bCs/>
                <w:color w:val="auto"/>
                <w:lang w:eastAsia="zh-CN"/>
              </w:rPr>
              <w:t>个工作日内与出租方签订租赁合同。</w:t>
            </w:r>
          </w:p>
          <w:p>
            <w:pPr>
              <w:ind w:left="600" w:leftChars="150" w:hanging="240" w:hangingChars="100"/>
              <w:jc w:val="both"/>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753" w:type="dxa"/>
            <w:gridSpan w:val="2"/>
            <w:vMerge w:val="continue"/>
            <w:vAlign w:val="center"/>
          </w:tcPr>
          <w:p>
            <w:pPr>
              <w:pStyle w:val="41"/>
              <w:spacing w:before="0" w:after="0"/>
              <w:jc w:val="center"/>
              <w:rPr>
                <w:rFonts w:ascii="宋体" w:hAnsi="宋体"/>
                <w:lang w:eastAsia="zh-CN"/>
              </w:rPr>
            </w:pPr>
          </w:p>
        </w:tc>
        <w:tc>
          <w:tcPr>
            <w:tcW w:w="807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u w:val="single"/>
                <w:lang w:eastAsia="zh-CN"/>
              </w:rPr>
              <w:t>相当于首年租金（按12个月计算）成交价格的0.5%向本所支付交易服务费。</w:t>
            </w:r>
            <w:r>
              <w:rPr>
                <w:rFonts w:hint="eastAsia" w:ascii="宋体"/>
                <w:bCs/>
                <w:lang w:eastAsia="zh-CN"/>
              </w:rPr>
              <w:t>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753" w:type="dxa"/>
            <w:gridSpan w:val="2"/>
            <w:vMerge w:val="continue"/>
            <w:vAlign w:val="center"/>
          </w:tcPr>
          <w:p>
            <w:pPr>
              <w:pStyle w:val="41"/>
              <w:spacing w:before="0" w:after="0"/>
              <w:jc w:val="center"/>
              <w:rPr>
                <w:rFonts w:ascii="宋体" w:hAnsi="宋体"/>
                <w:lang w:eastAsia="zh-CN"/>
              </w:rPr>
            </w:pPr>
          </w:p>
        </w:tc>
        <w:tc>
          <w:tcPr>
            <w:tcW w:w="8078" w:type="dxa"/>
            <w:gridSpan w:val="7"/>
            <w:vAlign w:val="center"/>
          </w:tcPr>
          <w:p>
            <w:pPr>
              <w:rPr>
                <w:rFonts w:ascii="宋体"/>
                <w:bCs/>
                <w:lang w:eastAsia="zh-CN"/>
              </w:rPr>
            </w:pPr>
            <w:r>
              <w:rPr>
                <w:rFonts w:hint="eastAsia" w:ascii="宋体"/>
                <w:bCs/>
                <w:lang w:eastAsia="zh-CN"/>
              </w:rPr>
              <w:t>4.承租方</w:t>
            </w:r>
            <w:r>
              <w:rPr>
                <w:rFonts w:ascii="宋体"/>
                <w:bCs/>
                <w:lang w:eastAsia="zh-CN"/>
              </w:rPr>
              <w:t>须按出租方提供的租赁合同版本签署。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753" w:type="dxa"/>
            <w:gridSpan w:val="2"/>
            <w:vMerge w:val="continue"/>
            <w:vAlign w:val="center"/>
          </w:tcPr>
          <w:p>
            <w:pPr>
              <w:pStyle w:val="41"/>
              <w:spacing w:before="0" w:after="0"/>
              <w:jc w:val="center"/>
              <w:rPr>
                <w:rFonts w:ascii="宋体" w:hAnsi="宋体"/>
                <w:lang w:eastAsia="zh-CN"/>
              </w:rPr>
            </w:pPr>
          </w:p>
        </w:tc>
        <w:tc>
          <w:tcPr>
            <w:tcW w:w="8078" w:type="dxa"/>
            <w:gridSpan w:val="7"/>
            <w:vAlign w:val="center"/>
          </w:tcPr>
          <w:p>
            <w:pPr>
              <w:rPr>
                <w:rFonts w:ascii="宋体"/>
                <w:bCs/>
                <w:lang w:eastAsia="zh-CN"/>
              </w:rPr>
            </w:pPr>
            <w:r>
              <w:rPr>
                <w:rFonts w:hint="eastAsia" w:ascii="宋体"/>
                <w:bCs/>
                <w:lang w:eastAsia="zh-CN"/>
              </w:rPr>
              <w:t>5.</w:t>
            </w:r>
            <w:r>
              <w:rPr>
                <w:rFonts w:hint="eastAsia"/>
                <w:lang w:eastAsia="zh-CN"/>
              </w:rPr>
              <w:t xml:space="preserve"> 意向方应仔细阅读标的信息公告，充分了解标的交易相关的披露事项。意向方应自行对标的进行必要和适当的独立调查和分析，不依赖于广州产权交易所和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1" w:type="dxa"/>
            <w:gridSpan w:val="9"/>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gridSpan w:val="2"/>
            <w:vAlign w:val="center"/>
          </w:tcPr>
          <w:p>
            <w:pPr>
              <w:pStyle w:val="41"/>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lang w:eastAsia="zh-CN"/>
              </w:rPr>
              <w:t xml:space="preserve">      </w:t>
            </w:r>
            <w:r>
              <w:rPr>
                <w:rFonts w:ascii="宋体" w:hAnsi="宋体"/>
                <w:color w:val="auto"/>
                <w:lang w:eastAsia="zh-CN"/>
              </w:rPr>
              <w:t xml:space="preserve"> </w:t>
            </w:r>
            <w:r>
              <w:rPr>
                <w:rFonts w:hint="eastAsia"/>
                <w:bCs/>
                <w:color w:val="auto"/>
                <w:lang w:eastAsia="zh-CN"/>
              </w:rPr>
              <w:t>■</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gridSpan w:val="2"/>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bCs/>
                <w:lang w:eastAsia="zh-CN"/>
              </w:rPr>
              <w:t>■</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jc w:val="center"/>
        </w:trPr>
        <w:tc>
          <w:tcPr>
            <w:tcW w:w="1753" w:type="dxa"/>
            <w:gridSpan w:val="2"/>
            <w:vMerge w:val="continue"/>
            <w:vAlign w:val="center"/>
          </w:tcPr>
          <w:p>
            <w:pPr>
              <w:pStyle w:val="41"/>
              <w:spacing w:before="0" w:after="0"/>
              <w:jc w:val="center"/>
              <w:rPr>
                <w:rFonts w:ascii="宋体"/>
                <w:b/>
                <w:lang w:eastAsia="zh-CN"/>
              </w:rPr>
            </w:pPr>
          </w:p>
        </w:tc>
        <w:tc>
          <w:tcPr>
            <w:tcW w:w="8078" w:type="dxa"/>
            <w:gridSpan w:val="7"/>
            <w:vAlign w:val="center"/>
          </w:tcPr>
          <w:p>
            <w:pPr>
              <w:rPr>
                <w:rFonts w:ascii="宋体"/>
                <w:bCs/>
                <w:lang w:eastAsia="zh-CN"/>
              </w:rPr>
            </w:pPr>
          </w:p>
          <w:p>
            <w:pPr>
              <w:rPr>
                <w:rFonts w:ascii="宋体"/>
                <w:bCs/>
                <w:lang w:eastAsia="zh-CN"/>
              </w:rPr>
            </w:pPr>
            <w:r>
              <w:rPr>
                <w:rFonts w:hint="eastAsia" w:ascii="宋体"/>
                <w:bCs/>
                <w:lang w:eastAsia="zh-CN"/>
              </w:rPr>
              <w:t>1.意向方须于公告期内（截止日17时之前）在广州产权交易所官网（www.gemas.com.cn）点击“注册用户”完成网上报名。</w:t>
            </w:r>
          </w:p>
          <w:p>
            <w:pPr>
              <w:rPr>
                <w:rFonts w:ascii="宋体"/>
                <w:bCs/>
                <w:lang w:eastAsia="zh-CN"/>
              </w:rPr>
            </w:pPr>
            <w:r>
              <w:rPr>
                <w:rFonts w:hint="eastAsia" w:ascii="宋体"/>
                <w:bCs/>
                <w:lang w:eastAsia="zh-CN"/>
              </w:rPr>
              <w:t>2.意向承租方必须为中华人民共和国境内注册成立、合法存续的法人。</w:t>
            </w:r>
          </w:p>
          <w:p>
            <w:pPr>
              <w:rPr>
                <w:rFonts w:ascii="宋体"/>
                <w:bCs/>
                <w:color w:val="auto"/>
                <w:lang w:eastAsia="zh-CN"/>
              </w:rPr>
            </w:pPr>
            <w:r>
              <w:rPr>
                <w:rFonts w:hint="eastAsia" w:ascii="宋体"/>
                <w:bCs/>
                <w:color w:val="auto"/>
                <w:lang w:eastAsia="zh-CN"/>
              </w:rPr>
              <w:t>3</w:t>
            </w:r>
            <w:r>
              <w:rPr>
                <w:rFonts w:ascii="宋体"/>
                <w:bCs/>
                <w:color w:val="auto"/>
                <w:lang w:eastAsia="zh-CN"/>
              </w:rPr>
              <w:t>.</w:t>
            </w:r>
            <w:r>
              <w:rPr>
                <w:rFonts w:hint="eastAsia" w:ascii="宋体"/>
                <w:bCs/>
                <w:color w:val="auto"/>
                <w:lang w:eastAsia="zh-CN"/>
              </w:rPr>
              <w:t>意向承租方须于信息公告期截止日17:00前(以银行到账时间为准)缴纳交易诚意金。</w:t>
            </w: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gridSpan w:val="2"/>
            <w:vMerge w:val="restart"/>
            <w:vAlign w:val="center"/>
          </w:tcPr>
          <w:p>
            <w:pPr>
              <w:pStyle w:val="41"/>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5" w:type="dxa"/>
            <w:gridSpan w:val="3"/>
            <w:vAlign w:val="center"/>
          </w:tcPr>
          <w:p>
            <w:pPr>
              <w:rPr>
                <w:rFonts w:ascii="宋体"/>
                <w:lang w:eastAsia="zh-CN"/>
              </w:rPr>
            </w:pPr>
            <w:r>
              <w:rPr>
                <w:rFonts w:hint="eastAsia" w:ascii="宋体" w:hAnsi="宋体"/>
              </w:rPr>
              <w:t>□</w:t>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gridSpan w:val="2"/>
            <w:vMerge w:val="continue"/>
            <w:vAlign w:val="center"/>
          </w:tcPr>
          <w:p>
            <w:pPr>
              <w:pStyle w:val="41"/>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5" w:type="dxa"/>
            <w:gridSpan w:val="3"/>
            <w:vAlign w:val="center"/>
          </w:tcPr>
          <w:p>
            <w:pPr>
              <w:rPr>
                <w:rFonts w:ascii="宋体"/>
                <w:lang w:eastAsia="zh-CN"/>
              </w:rPr>
            </w:pP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rPr>
              <w:t>□</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jc w:val="center"/>
        </w:trPr>
        <w:tc>
          <w:tcPr>
            <w:tcW w:w="1753" w:type="dxa"/>
            <w:gridSpan w:val="2"/>
            <w:vMerge w:val="continue"/>
            <w:vAlign w:val="center"/>
          </w:tcPr>
          <w:p>
            <w:pPr>
              <w:pStyle w:val="41"/>
              <w:spacing w:before="0" w:after="0"/>
              <w:jc w:val="center"/>
              <w:rPr>
                <w:rFonts w:ascii="宋体"/>
                <w:b/>
                <w:lang w:eastAsia="zh-CN"/>
              </w:rPr>
            </w:pPr>
          </w:p>
        </w:tc>
        <w:tc>
          <w:tcPr>
            <w:tcW w:w="8078" w:type="dxa"/>
            <w:gridSpan w:val="7"/>
            <w:vAlign w:val="center"/>
          </w:tcPr>
          <w:p>
            <w:pPr>
              <w:ind w:firstLine="480" w:firstLineChars="200"/>
              <w:rPr>
                <w:rFonts w:ascii="宋体"/>
                <w:bCs/>
                <w:color w:val="auto"/>
                <w:lang w:eastAsia="zh-CN"/>
              </w:rPr>
            </w:pPr>
            <w:r>
              <w:rPr>
                <w:rFonts w:hint="eastAsia" w:ascii="宋体"/>
                <w:bCs/>
                <w:color w:val="auto"/>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color w:val="auto"/>
                <w:lang w:eastAsia="zh-CN"/>
              </w:rPr>
            </w:pPr>
            <w:r>
              <w:rPr>
                <w:rFonts w:hint="eastAsia" w:ascii="宋体"/>
                <w:bCs/>
                <w:color w:val="auto"/>
                <w:lang w:eastAsia="zh-CN"/>
              </w:rPr>
              <w:t>意向方如被确认为承租方，须于签订成交文件时将报名登记时所上传文件的原件或加盖公章（自然人应签名确认）的复印件提交至广州产权交易所（如无特殊说明的，均应当提交原件，无需提交原件的，应提交复印件。提交复印件的，应由原件持有方签字、盖章，标注“此件与原件相符”字样。要求提供复印件的，应提供原件核对后退回）；否则，视为其违约。广州产权交易所和出租方有权单方面解除已签署的成交确认书和租赁合同等成交文件。该意向方须承担缔约过失责任，其交纳的保证金不予退回，作为违约金归广州产权交易所和出租方所有。</w:t>
            </w:r>
          </w:p>
          <w:p>
            <w:pPr>
              <w:rPr>
                <w:rFonts w:ascii="宋体"/>
                <w:bCs/>
                <w:color w:val="auto"/>
                <w:lang w:eastAsia="zh-CN"/>
              </w:rPr>
            </w:pPr>
            <w:r>
              <w:rPr>
                <w:rFonts w:hint="eastAsia" w:ascii="宋体"/>
                <w:bCs/>
                <w:color w:val="auto"/>
                <w:lang w:eastAsia="zh-CN"/>
              </w:rPr>
              <w:t>根据项目公告要求，意向方须上传以下资料（如无特殊说明的，上传的资料须为彩色扫描件或照片）：</w:t>
            </w:r>
          </w:p>
          <w:p>
            <w:pPr>
              <w:rPr>
                <w:rFonts w:ascii="宋体"/>
                <w:bCs/>
                <w:lang w:eastAsia="zh-CN"/>
              </w:rPr>
            </w:pPr>
            <w:r>
              <w:rPr>
                <w:rFonts w:hint="eastAsia" w:ascii="宋体"/>
                <w:bCs/>
                <w:lang w:eastAsia="zh-CN"/>
              </w:rPr>
              <w:t>（1）法人资格证明、法定代表人身份证、法定代表人身份证明书；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695" w:type="dxa"/>
          </w:tcPr>
          <w:p>
            <w:pPr>
              <w:rPr>
                <w:color w:val="auto"/>
                <w:lang w:eastAsia="zh-CN"/>
              </w:rPr>
            </w:pPr>
            <w:r>
              <w:rPr>
                <w:rFonts w:hint="eastAsia"/>
                <w:color w:val="auto"/>
                <w:lang w:eastAsia="zh-CN"/>
              </w:rPr>
              <w:t>承诺书</w:t>
            </w:r>
          </w:p>
        </w:tc>
        <w:tc>
          <w:tcPr>
            <w:tcW w:w="8136" w:type="dxa"/>
            <w:gridSpan w:val="8"/>
          </w:tcPr>
          <w:p>
            <w:pPr>
              <w:rPr>
                <w:color w:val="auto"/>
                <w:lang w:eastAsia="zh-CN"/>
              </w:rPr>
            </w:pPr>
            <w:r>
              <w:rPr>
                <w:rFonts w:hint="eastAsia"/>
                <w:color w:val="auto"/>
                <w:lang w:eastAsia="zh-CN"/>
              </w:rPr>
              <w:t>我方承诺如被确认为承租方，按照出租方提供的租赁合同版本签署。</w:t>
            </w:r>
          </w:p>
        </w:tc>
      </w:tr>
    </w:tbl>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4FB02E1"/>
    <w:multiLevelType w:val="multilevel"/>
    <w:tmpl w:val="74FB02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70326"/>
    <w:rsid w:val="00070D70"/>
    <w:rsid w:val="0007123F"/>
    <w:rsid w:val="000713FB"/>
    <w:rsid w:val="000722CA"/>
    <w:rsid w:val="000739B4"/>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383D"/>
    <w:rsid w:val="00125F23"/>
    <w:rsid w:val="00126540"/>
    <w:rsid w:val="00126838"/>
    <w:rsid w:val="00127493"/>
    <w:rsid w:val="001274D9"/>
    <w:rsid w:val="001328BD"/>
    <w:rsid w:val="00133A4A"/>
    <w:rsid w:val="00136223"/>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62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9D"/>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D72"/>
    <w:rsid w:val="006A670F"/>
    <w:rsid w:val="006A67FE"/>
    <w:rsid w:val="006A6CC2"/>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1FC6"/>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419"/>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464"/>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74C"/>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0724"/>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4B7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2598"/>
    <w:rsid w:val="00F327BB"/>
    <w:rsid w:val="00F330CE"/>
    <w:rsid w:val="00F332EC"/>
    <w:rsid w:val="00F36F5E"/>
    <w:rsid w:val="00F36FD9"/>
    <w:rsid w:val="00F452BA"/>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3322C38"/>
    <w:rsid w:val="044D50D2"/>
    <w:rsid w:val="093E21BF"/>
    <w:rsid w:val="0E46122F"/>
    <w:rsid w:val="10870CCF"/>
    <w:rsid w:val="121C70BF"/>
    <w:rsid w:val="14483C93"/>
    <w:rsid w:val="1A4970E1"/>
    <w:rsid w:val="1ACE2ADA"/>
    <w:rsid w:val="1F94358D"/>
    <w:rsid w:val="22D05FA2"/>
    <w:rsid w:val="23652145"/>
    <w:rsid w:val="2B1C0961"/>
    <w:rsid w:val="303F4B8B"/>
    <w:rsid w:val="360A2F39"/>
    <w:rsid w:val="3EFC06B8"/>
    <w:rsid w:val="41884E9C"/>
    <w:rsid w:val="4309005D"/>
    <w:rsid w:val="459C438B"/>
    <w:rsid w:val="492A2FE6"/>
    <w:rsid w:val="4CB1556F"/>
    <w:rsid w:val="4D9E51E7"/>
    <w:rsid w:val="52F037D4"/>
    <w:rsid w:val="54261EAE"/>
    <w:rsid w:val="54BC0CC4"/>
    <w:rsid w:val="58BB0A51"/>
    <w:rsid w:val="5DC315B3"/>
    <w:rsid w:val="5DF667EB"/>
    <w:rsid w:val="5F5A58AA"/>
    <w:rsid w:val="67165967"/>
    <w:rsid w:val="6737306B"/>
    <w:rsid w:val="6EB67770"/>
    <w:rsid w:val="744D4505"/>
    <w:rsid w:val="78D23926"/>
    <w:rsid w:val="791217F9"/>
    <w:rsid w:val="7A2B5EBE"/>
    <w:rsid w:val="7AFA3AD4"/>
    <w:rsid w:val="7B8F6598"/>
    <w:rsid w:val="7D415BD7"/>
    <w:rsid w:val="7D4826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8"/>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9"/>
    <w:qFormat/>
    <w:uiPriority w:val="99"/>
    <w:pPr>
      <w:keepNext/>
      <w:spacing w:before="240" w:after="60"/>
      <w:outlineLvl w:val="1"/>
    </w:pPr>
    <w:rPr>
      <w:rFonts w:ascii="Cambria" w:hAnsi="Cambria"/>
      <w:b/>
      <w:bCs/>
      <w:i/>
      <w:iCs/>
      <w:sz w:val="28"/>
      <w:szCs w:val="28"/>
    </w:rPr>
  </w:style>
  <w:style w:type="paragraph" w:styleId="4">
    <w:name w:val="heading 3"/>
    <w:basedOn w:val="1"/>
    <w:next w:val="1"/>
    <w:link w:val="30"/>
    <w:qFormat/>
    <w:uiPriority w:val="99"/>
    <w:pPr>
      <w:keepNext/>
      <w:spacing w:before="240" w:after="60"/>
      <w:outlineLvl w:val="2"/>
    </w:pPr>
    <w:rPr>
      <w:rFonts w:ascii="Cambria" w:hAnsi="Cambria"/>
      <w:b/>
      <w:bCs/>
      <w:sz w:val="26"/>
      <w:szCs w:val="26"/>
    </w:rPr>
  </w:style>
  <w:style w:type="paragraph" w:styleId="5">
    <w:name w:val="heading 4"/>
    <w:basedOn w:val="1"/>
    <w:next w:val="1"/>
    <w:link w:val="31"/>
    <w:qFormat/>
    <w:uiPriority w:val="99"/>
    <w:pPr>
      <w:keepNext/>
      <w:spacing w:before="240" w:after="60"/>
      <w:outlineLvl w:val="3"/>
    </w:pPr>
    <w:rPr>
      <w:b/>
      <w:bCs/>
      <w:sz w:val="28"/>
      <w:szCs w:val="28"/>
    </w:rPr>
  </w:style>
  <w:style w:type="paragraph" w:styleId="6">
    <w:name w:val="heading 5"/>
    <w:basedOn w:val="1"/>
    <w:next w:val="1"/>
    <w:link w:val="32"/>
    <w:qFormat/>
    <w:uiPriority w:val="99"/>
    <w:pPr>
      <w:spacing w:before="240" w:after="60"/>
      <w:outlineLvl w:val="4"/>
    </w:pPr>
    <w:rPr>
      <w:b/>
      <w:bCs/>
      <w:i/>
      <w:iCs/>
      <w:sz w:val="26"/>
      <w:szCs w:val="26"/>
    </w:rPr>
  </w:style>
  <w:style w:type="paragraph" w:styleId="7">
    <w:name w:val="heading 6"/>
    <w:basedOn w:val="1"/>
    <w:next w:val="1"/>
    <w:link w:val="33"/>
    <w:qFormat/>
    <w:uiPriority w:val="99"/>
    <w:pPr>
      <w:spacing w:before="240" w:after="60"/>
      <w:outlineLvl w:val="5"/>
    </w:pPr>
    <w:rPr>
      <w:b/>
      <w:bCs/>
      <w:sz w:val="22"/>
      <w:szCs w:val="22"/>
    </w:rPr>
  </w:style>
  <w:style w:type="paragraph" w:styleId="8">
    <w:name w:val="heading 7"/>
    <w:basedOn w:val="1"/>
    <w:next w:val="1"/>
    <w:link w:val="34"/>
    <w:qFormat/>
    <w:uiPriority w:val="99"/>
    <w:pPr>
      <w:spacing w:before="240" w:after="60"/>
      <w:outlineLvl w:val="6"/>
    </w:pPr>
  </w:style>
  <w:style w:type="paragraph" w:styleId="9">
    <w:name w:val="heading 8"/>
    <w:basedOn w:val="1"/>
    <w:next w:val="1"/>
    <w:link w:val="35"/>
    <w:qFormat/>
    <w:uiPriority w:val="99"/>
    <w:pPr>
      <w:spacing w:before="240" w:after="60"/>
      <w:outlineLvl w:val="7"/>
    </w:pPr>
    <w:rPr>
      <w:i/>
      <w:iCs/>
    </w:rPr>
  </w:style>
  <w:style w:type="paragraph" w:styleId="10">
    <w:name w:val="heading 9"/>
    <w:basedOn w:val="1"/>
    <w:next w:val="1"/>
    <w:link w:val="36"/>
    <w:qFormat/>
    <w:uiPriority w:val="99"/>
    <w:pPr>
      <w:spacing w:before="240" w:after="60"/>
      <w:outlineLvl w:val="8"/>
    </w:pPr>
    <w:rPr>
      <w:rFonts w:ascii="Cambria" w:hAnsi="Cambria"/>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semiHidden/>
    <w:qFormat/>
    <w:uiPriority w:val="99"/>
  </w:style>
  <w:style w:type="paragraph" w:styleId="12">
    <w:name w:val="Body Text Indent 2"/>
    <w:basedOn w:val="1"/>
    <w:link w:val="42"/>
    <w:qFormat/>
    <w:uiPriority w:val="99"/>
    <w:pPr>
      <w:spacing w:after="120" w:line="480" w:lineRule="auto"/>
      <w:ind w:left="420" w:leftChars="200"/>
    </w:pPr>
  </w:style>
  <w:style w:type="paragraph" w:styleId="13">
    <w:name w:val="Balloon Text"/>
    <w:basedOn w:val="1"/>
    <w:link w:val="37"/>
    <w:semiHidden/>
    <w:qFormat/>
    <w:uiPriority w:val="99"/>
    <w:rPr>
      <w:sz w:val="18"/>
      <w:szCs w:val="18"/>
    </w:rPr>
  </w:style>
  <w:style w:type="paragraph" w:styleId="14">
    <w:name w:val="footer"/>
    <w:basedOn w:val="1"/>
    <w:link w:val="38"/>
    <w:qFormat/>
    <w:uiPriority w:val="99"/>
    <w:pPr>
      <w:tabs>
        <w:tab w:val="center" w:pos="4153"/>
        <w:tab w:val="right" w:pos="8306"/>
      </w:tabs>
      <w:snapToGrid w:val="0"/>
    </w:pPr>
    <w:rPr>
      <w:sz w:val="18"/>
      <w:szCs w:val="18"/>
    </w:rPr>
  </w:style>
  <w:style w:type="paragraph" w:styleId="15">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9"/>
    <w:qFormat/>
    <w:uiPriority w:val="99"/>
    <w:pPr>
      <w:spacing w:after="60"/>
      <w:jc w:val="center"/>
      <w:outlineLvl w:val="1"/>
    </w:pPr>
    <w:rPr>
      <w:rFonts w:ascii="Cambria" w:hAnsi="Cambria"/>
    </w:rPr>
  </w:style>
  <w:style w:type="paragraph" w:styleId="17">
    <w:name w:val="Title"/>
    <w:basedOn w:val="1"/>
    <w:next w:val="1"/>
    <w:link w:val="48"/>
    <w:qFormat/>
    <w:uiPriority w:val="99"/>
    <w:pPr>
      <w:spacing w:before="240" w:after="60"/>
      <w:jc w:val="center"/>
      <w:outlineLvl w:val="0"/>
    </w:pPr>
    <w:rPr>
      <w:rFonts w:ascii="Cambria" w:hAnsi="Cambria"/>
      <w:b/>
      <w:bCs/>
      <w:kern w:val="28"/>
      <w:sz w:val="32"/>
      <w:szCs w:val="32"/>
    </w:rPr>
  </w:style>
  <w:style w:type="paragraph" w:styleId="18">
    <w:name w:val="annotation subject"/>
    <w:basedOn w:val="11"/>
    <w:next w:val="11"/>
    <w:link w:val="45"/>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FollowedHyperlink"/>
    <w:basedOn w:val="21"/>
    <w:semiHidden/>
    <w:unhideWhenUsed/>
    <w:locked/>
    <w:uiPriority w:val="99"/>
    <w:rPr>
      <w:color w:val="0055AA"/>
      <w:u w:val="none"/>
    </w:rPr>
  </w:style>
  <w:style w:type="character" w:styleId="25">
    <w:name w:val="Emphasis"/>
    <w:basedOn w:val="21"/>
    <w:qFormat/>
    <w:uiPriority w:val="99"/>
    <w:rPr>
      <w:rFonts w:ascii="Calibri" w:hAnsi="Calibri" w:cs="Times New Roman"/>
      <w:b/>
      <w:i/>
      <w:iCs/>
    </w:rPr>
  </w:style>
  <w:style w:type="character" w:styleId="26">
    <w:name w:val="Hyperlink"/>
    <w:basedOn w:val="21"/>
    <w:qFormat/>
    <w:uiPriority w:val="99"/>
    <w:rPr>
      <w:rFonts w:cs="Times New Roman"/>
      <w:color w:val="0000FF"/>
      <w:u w:val="single"/>
    </w:rPr>
  </w:style>
  <w:style w:type="character" w:styleId="27">
    <w:name w:val="annotation reference"/>
    <w:basedOn w:val="21"/>
    <w:semiHidden/>
    <w:qFormat/>
    <w:uiPriority w:val="99"/>
    <w:rPr>
      <w:rFonts w:cs="Times New Roman"/>
      <w:sz w:val="21"/>
      <w:szCs w:val="21"/>
    </w:rPr>
  </w:style>
  <w:style w:type="character" w:customStyle="1" w:styleId="28">
    <w:name w:val="标题 1 字符"/>
    <w:basedOn w:val="21"/>
    <w:link w:val="2"/>
    <w:qFormat/>
    <w:locked/>
    <w:uiPriority w:val="99"/>
    <w:rPr>
      <w:rFonts w:ascii="Cambria" w:hAnsi="Cambria" w:eastAsia="宋体" w:cs="Times New Roman"/>
      <w:b/>
      <w:bCs/>
      <w:kern w:val="32"/>
      <w:sz w:val="32"/>
      <w:szCs w:val="32"/>
    </w:rPr>
  </w:style>
  <w:style w:type="character" w:customStyle="1" w:styleId="29">
    <w:name w:val="标题 2 字符"/>
    <w:basedOn w:val="21"/>
    <w:link w:val="3"/>
    <w:semiHidden/>
    <w:qFormat/>
    <w:locked/>
    <w:uiPriority w:val="99"/>
    <w:rPr>
      <w:rFonts w:ascii="Cambria" w:hAnsi="Cambria" w:eastAsia="宋体" w:cs="Times New Roman"/>
      <w:b/>
      <w:bCs/>
      <w:i/>
      <w:iCs/>
      <w:sz w:val="28"/>
      <w:szCs w:val="28"/>
    </w:rPr>
  </w:style>
  <w:style w:type="character" w:customStyle="1" w:styleId="30">
    <w:name w:val="标题 3 字符"/>
    <w:basedOn w:val="21"/>
    <w:link w:val="4"/>
    <w:semiHidden/>
    <w:qFormat/>
    <w:locked/>
    <w:uiPriority w:val="99"/>
    <w:rPr>
      <w:rFonts w:ascii="Cambria" w:hAnsi="Cambria" w:eastAsia="宋体" w:cs="Times New Roman"/>
      <w:b/>
      <w:bCs/>
      <w:sz w:val="26"/>
      <w:szCs w:val="26"/>
    </w:rPr>
  </w:style>
  <w:style w:type="character" w:customStyle="1" w:styleId="31">
    <w:name w:val="标题 4 字符"/>
    <w:basedOn w:val="21"/>
    <w:link w:val="5"/>
    <w:qFormat/>
    <w:locked/>
    <w:uiPriority w:val="99"/>
    <w:rPr>
      <w:rFonts w:cs="Times New Roman"/>
      <w:b/>
      <w:bCs/>
      <w:sz w:val="28"/>
      <w:szCs w:val="28"/>
    </w:rPr>
  </w:style>
  <w:style w:type="character" w:customStyle="1" w:styleId="32">
    <w:name w:val="标题 5 字符"/>
    <w:basedOn w:val="21"/>
    <w:link w:val="6"/>
    <w:semiHidden/>
    <w:qFormat/>
    <w:locked/>
    <w:uiPriority w:val="99"/>
    <w:rPr>
      <w:rFonts w:cs="Times New Roman"/>
      <w:b/>
      <w:bCs/>
      <w:i/>
      <w:iCs/>
      <w:sz w:val="26"/>
      <w:szCs w:val="26"/>
    </w:rPr>
  </w:style>
  <w:style w:type="character" w:customStyle="1" w:styleId="33">
    <w:name w:val="标题 6 字符"/>
    <w:basedOn w:val="21"/>
    <w:link w:val="7"/>
    <w:semiHidden/>
    <w:qFormat/>
    <w:locked/>
    <w:uiPriority w:val="99"/>
    <w:rPr>
      <w:rFonts w:cs="Times New Roman"/>
      <w:b/>
      <w:bCs/>
    </w:rPr>
  </w:style>
  <w:style w:type="character" w:customStyle="1" w:styleId="34">
    <w:name w:val="标题 7 字符"/>
    <w:basedOn w:val="21"/>
    <w:link w:val="8"/>
    <w:semiHidden/>
    <w:qFormat/>
    <w:locked/>
    <w:uiPriority w:val="99"/>
    <w:rPr>
      <w:rFonts w:cs="Times New Roman"/>
      <w:sz w:val="24"/>
      <w:szCs w:val="24"/>
    </w:rPr>
  </w:style>
  <w:style w:type="character" w:customStyle="1" w:styleId="35">
    <w:name w:val="标题 8 字符"/>
    <w:basedOn w:val="21"/>
    <w:link w:val="9"/>
    <w:semiHidden/>
    <w:qFormat/>
    <w:locked/>
    <w:uiPriority w:val="99"/>
    <w:rPr>
      <w:rFonts w:cs="Times New Roman"/>
      <w:i/>
      <w:iCs/>
      <w:sz w:val="24"/>
      <w:szCs w:val="24"/>
    </w:rPr>
  </w:style>
  <w:style w:type="character" w:customStyle="1" w:styleId="36">
    <w:name w:val="标题 9 字符"/>
    <w:basedOn w:val="21"/>
    <w:link w:val="10"/>
    <w:semiHidden/>
    <w:qFormat/>
    <w:locked/>
    <w:uiPriority w:val="99"/>
    <w:rPr>
      <w:rFonts w:ascii="Cambria" w:hAnsi="Cambria" w:eastAsia="宋体" w:cs="Times New Roman"/>
    </w:rPr>
  </w:style>
  <w:style w:type="character" w:customStyle="1" w:styleId="37">
    <w:name w:val="批注框文本 字符"/>
    <w:basedOn w:val="21"/>
    <w:link w:val="13"/>
    <w:semiHidden/>
    <w:qFormat/>
    <w:locked/>
    <w:uiPriority w:val="99"/>
    <w:rPr>
      <w:rFonts w:cs="Times New Roman"/>
      <w:kern w:val="0"/>
      <w:sz w:val="2"/>
      <w:lang w:eastAsia="en-US"/>
    </w:rPr>
  </w:style>
  <w:style w:type="character" w:customStyle="1" w:styleId="38">
    <w:name w:val="页脚 字符"/>
    <w:basedOn w:val="21"/>
    <w:link w:val="14"/>
    <w:qFormat/>
    <w:locked/>
    <w:uiPriority w:val="99"/>
    <w:rPr>
      <w:rFonts w:cs="Times New Roman"/>
      <w:sz w:val="18"/>
      <w:szCs w:val="18"/>
      <w:lang w:eastAsia="en-US"/>
    </w:rPr>
  </w:style>
  <w:style w:type="paragraph" w:customStyle="1" w:styleId="39">
    <w:name w:val="1"/>
    <w:basedOn w:val="1"/>
    <w:next w:val="12"/>
    <w:qFormat/>
    <w:uiPriority w:val="0"/>
    <w:pPr>
      <w:spacing w:before="60" w:after="60"/>
      <w:ind w:firstLine="425"/>
    </w:pPr>
  </w:style>
  <w:style w:type="paragraph" w:customStyle="1" w:styleId="40">
    <w:name w:val="样式 标题 1 + 首行缩进:  2 字符"/>
    <w:basedOn w:val="2"/>
    <w:next w:val="1"/>
    <w:qFormat/>
    <w:uiPriority w:val="99"/>
    <w:pPr>
      <w:jc w:val="center"/>
      <w:outlineLvl w:val="9"/>
    </w:pPr>
  </w:style>
  <w:style w:type="paragraph" w:customStyle="1" w:styleId="41">
    <w:name w:val="正文表格"/>
    <w:basedOn w:val="1"/>
    <w:qFormat/>
    <w:uiPriority w:val="99"/>
    <w:pPr>
      <w:spacing w:before="60" w:after="60"/>
    </w:pPr>
  </w:style>
  <w:style w:type="character" w:customStyle="1" w:styleId="42">
    <w:name w:val="正文文本缩进 2 字符"/>
    <w:basedOn w:val="21"/>
    <w:link w:val="12"/>
    <w:semiHidden/>
    <w:qFormat/>
    <w:locked/>
    <w:uiPriority w:val="99"/>
    <w:rPr>
      <w:rFonts w:cs="Times New Roman"/>
      <w:kern w:val="0"/>
      <w:sz w:val="24"/>
      <w:szCs w:val="24"/>
      <w:lang w:eastAsia="en-US"/>
    </w:rPr>
  </w:style>
  <w:style w:type="character" w:customStyle="1" w:styleId="43">
    <w:name w:val="页眉 字符"/>
    <w:basedOn w:val="21"/>
    <w:link w:val="15"/>
    <w:semiHidden/>
    <w:qFormat/>
    <w:locked/>
    <w:uiPriority w:val="99"/>
    <w:rPr>
      <w:rFonts w:cs="Times New Roman"/>
      <w:kern w:val="2"/>
      <w:sz w:val="18"/>
      <w:szCs w:val="18"/>
    </w:rPr>
  </w:style>
  <w:style w:type="character" w:customStyle="1" w:styleId="44">
    <w:name w:val="批注文字 字符"/>
    <w:basedOn w:val="21"/>
    <w:link w:val="11"/>
    <w:semiHidden/>
    <w:qFormat/>
    <w:locked/>
    <w:uiPriority w:val="99"/>
    <w:rPr>
      <w:rFonts w:cs="Times New Roman"/>
      <w:kern w:val="2"/>
      <w:sz w:val="21"/>
    </w:rPr>
  </w:style>
  <w:style w:type="character" w:customStyle="1" w:styleId="45">
    <w:name w:val="批注主题 字符"/>
    <w:basedOn w:val="44"/>
    <w:link w:val="18"/>
    <w:semiHidden/>
    <w:qFormat/>
    <w:locked/>
    <w:uiPriority w:val="99"/>
    <w:rPr>
      <w:rFonts w:cs="Times New Roman"/>
      <w:b/>
      <w:bCs/>
      <w:kern w:val="2"/>
      <w:sz w:val="21"/>
    </w:rPr>
  </w:style>
  <w:style w:type="paragraph" w:customStyle="1" w:styleId="46">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7">
    <w:name w:val="style1"/>
    <w:basedOn w:val="21"/>
    <w:qFormat/>
    <w:uiPriority w:val="99"/>
    <w:rPr>
      <w:rFonts w:cs="Times New Roman"/>
    </w:rPr>
  </w:style>
  <w:style w:type="character" w:customStyle="1" w:styleId="48">
    <w:name w:val="标题 字符"/>
    <w:basedOn w:val="21"/>
    <w:link w:val="17"/>
    <w:qFormat/>
    <w:locked/>
    <w:uiPriority w:val="99"/>
    <w:rPr>
      <w:rFonts w:ascii="Cambria" w:hAnsi="Cambria" w:eastAsia="宋体" w:cs="Times New Roman"/>
      <w:b/>
      <w:bCs/>
      <w:kern w:val="28"/>
      <w:sz w:val="32"/>
      <w:szCs w:val="32"/>
    </w:rPr>
  </w:style>
  <w:style w:type="character" w:customStyle="1" w:styleId="49">
    <w:name w:val="副标题 字符"/>
    <w:basedOn w:val="21"/>
    <w:link w:val="16"/>
    <w:qFormat/>
    <w:locked/>
    <w:uiPriority w:val="99"/>
    <w:rPr>
      <w:rFonts w:ascii="Cambria" w:hAnsi="Cambria" w:eastAsia="宋体" w:cs="Times New Roman"/>
      <w:sz w:val="24"/>
      <w:szCs w:val="24"/>
    </w:rPr>
  </w:style>
  <w:style w:type="paragraph" w:styleId="50">
    <w:name w:val="No Spacing"/>
    <w:basedOn w:val="1"/>
    <w:qFormat/>
    <w:uiPriority w:val="99"/>
    <w:rPr>
      <w:szCs w:val="32"/>
    </w:rPr>
  </w:style>
  <w:style w:type="paragraph" w:styleId="51">
    <w:name w:val="List Paragraph"/>
    <w:basedOn w:val="1"/>
    <w:qFormat/>
    <w:uiPriority w:val="99"/>
    <w:pPr>
      <w:ind w:left="720"/>
      <w:contextualSpacing/>
    </w:pPr>
  </w:style>
  <w:style w:type="paragraph" w:styleId="52">
    <w:name w:val="Quote"/>
    <w:basedOn w:val="1"/>
    <w:next w:val="1"/>
    <w:link w:val="53"/>
    <w:qFormat/>
    <w:uiPriority w:val="99"/>
    <w:rPr>
      <w:i/>
    </w:rPr>
  </w:style>
  <w:style w:type="character" w:customStyle="1" w:styleId="53">
    <w:name w:val="引用 字符"/>
    <w:basedOn w:val="21"/>
    <w:link w:val="52"/>
    <w:qFormat/>
    <w:locked/>
    <w:uiPriority w:val="99"/>
    <w:rPr>
      <w:rFonts w:cs="Times New Roman"/>
      <w:i/>
      <w:sz w:val="24"/>
      <w:szCs w:val="24"/>
    </w:rPr>
  </w:style>
  <w:style w:type="paragraph" w:styleId="54">
    <w:name w:val="Intense Quote"/>
    <w:basedOn w:val="1"/>
    <w:next w:val="1"/>
    <w:link w:val="55"/>
    <w:qFormat/>
    <w:uiPriority w:val="99"/>
    <w:pPr>
      <w:ind w:left="720" w:right="720"/>
    </w:pPr>
    <w:rPr>
      <w:b/>
      <w:i/>
      <w:szCs w:val="22"/>
    </w:rPr>
  </w:style>
  <w:style w:type="character" w:customStyle="1" w:styleId="55">
    <w:name w:val="明显引用 字符"/>
    <w:basedOn w:val="21"/>
    <w:link w:val="54"/>
    <w:qFormat/>
    <w:locked/>
    <w:uiPriority w:val="99"/>
    <w:rPr>
      <w:rFonts w:cs="Times New Roman"/>
      <w:b/>
      <w:i/>
      <w:sz w:val="24"/>
    </w:rPr>
  </w:style>
  <w:style w:type="character" w:customStyle="1" w:styleId="56">
    <w:name w:val="不明显强调1"/>
    <w:basedOn w:val="21"/>
    <w:qFormat/>
    <w:uiPriority w:val="99"/>
    <w:rPr>
      <w:rFonts w:cs="Times New Roman"/>
      <w:i/>
      <w:color w:val="5A5A5A"/>
    </w:rPr>
  </w:style>
  <w:style w:type="character" w:customStyle="1" w:styleId="57">
    <w:name w:val="明显强调1"/>
    <w:basedOn w:val="21"/>
    <w:qFormat/>
    <w:uiPriority w:val="99"/>
    <w:rPr>
      <w:rFonts w:cs="Times New Roman"/>
      <w:b/>
      <w:i/>
      <w:sz w:val="24"/>
      <w:szCs w:val="24"/>
      <w:u w:val="single"/>
    </w:rPr>
  </w:style>
  <w:style w:type="character" w:customStyle="1" w:styleId="58">
    <w:name w:val="不明显参考1"/>
    <w:basedOn w:val="21"/>
    <w:qFormat/>
    <w:uiPriority w:val="99"/>
    <w:rPr>
      <w:rFonts w:cs="Times New Roman"/>
      <w:sz w:val="24"/>
      <w:szCs w:val="24"/>
      <w:u w:val="single"/>
    </w:rPr>
  </w:style>
  <w:style w:type="character" w:customStyle="1" w:styleId="59">
    <w:name w:val="明显参考1"/>
    <w:basedOn w:val="21"/>
    <w:qFormat/>
    <w:uiPriority w:val="99"/>
    <w:rPr>
      <w:rFonts w:cs="Times New Roman"/>
      <w:b/>
      <w:sz w:val="24"/>
      <w:u w:val="single"/>
    </w:rPr>
  </w:style>
  <w:style w:type="character" w:customStyle="1" w:styleId="60">
    <w:name w:val="书籍标题1"/>
    <w:basedOn w:val="21"/>
    <w:qFormat/>
    <w:uiPriority w:val="99"/>
    <w:rPr>
      <w:rFonts w:ascii="Cambria" w:hAnsi="Cambria" w:eastAsia="宋体" w:cs="Times New Roman"/>
      <w:b/>
      <w:i/>
      <w:sz w:val="24"/>
      <w:szCs w:val="24"/>
    </w:rPr>
  </w:style>
  <w:style w:type="paragraph" w:customStyle="1" w:styleId="61">
    <w:name w:val="TOC 标题1"/>
    <w:basedOn w:val="2"/>
    <w:next w:val="1"/>
    <w:qFormat/>
    <w:uiPriority w:val="99"/>
    <w:pPr>
      <w:outlineLvl w:val="9"/>
    </w:pPr>
  </w:style>
  <w:style w:type="character" w:customStyle="1" w:styleId="62">
    <w:name w:val="apple-converted-space"/>
    <w:basedOn w:val="21"/>
    <w:qFormat/>
    <w:uiPriority w:val="0"/>
  </w:style>
  <w:style w:type="character" w:styleId="63">
    <w:name w:val="Placeholder Text"/>
    <w:basedOn w:val="21"/>
    <w:semiHidden/>
    <w:qFormat/>
    <w:uiPriority w:val="99"/>
    <w:rPr>
      <w:color w:val="808080"/>
    </w:rPr>
  </w:style>
  <w:style w:type="character" w:customStyle="1" w:styleId="64">
    <w:name w:val="icon"/>
    <w:basedOn w:val="21"/>
    <w:uiPriority w:val="0"/>
  </w:style>
  <w:style w:type="character" w:customStyle="1" w:styleId="65">
    <w:name w:val="icon1"/>
    <w:basedOn w:val="21"/>
    <w:uiPriority w:val="0"/>
  </w:style>
  <w:style w:type="character" w:customStyle="1" w:styleId="66">
    <w:name w:val="icon2"/>
    <w:basedOn w:val="21"/>
    <w:uiPriority w:val="0"/>
  </w:style>
  <w:style w:type="character" w:customStyle="1" w:styleId="67">
    <w:name w:val="icon3"/>
    <w:basedOn w:val="21"/>
    <w:uiPriority w:val="0"/>
  </w:style>
  <w:style w:type="character" w:customStyle="1" w:styleId="68">
    <w:name w:val="icon4"/>
    <w:basedOn w:val="21"/>
    <w:uiPriority w:val="0"/>
  </w:style>
  <w:style w:type="character" w:customStyle="1" w:styleId="69">
    <w:name w:val="icon5"/>
    <w:basedOn w:val="21"/>
    <w:uiPriority w:val="0"/>
  </w:style>
  <w:style w:type="character" w:customStyle="1" w:styleId="70">
    <w:name w:val="icon6"/>
    <w:basedOn w:val="21"/>
    <w:uiPriority w:val="0"/>
  </w:style>
  <w:style w:type="character" w:customStyle="1" w:styleId="71">
    <w:name w:val="icon7"/>
    <w:basedOn w:val="21"/>
    <w:uiPriority w:val="0"/>
  </w:style>
  <w:style w:type="character" w:customStyle="1" w:styleId="72">
    <w:name w:val="icon8"/>
    <w:basedOn w:val="21"/>
    <w:uiPriority w:val="0"/>
  </w:style>
  <w:style w:type="character" w:customStyle="1" w:styleId="73">
    <w:name w:val="icon9"/>
    <w:basedOn w:val="21"/>
    <w:uiPriority w:val="0"/>
  </w:style>
  <w:style w:type="character" w:customStyle="1" w:styleId="74">
    <w:name w:val="icon10"/>
    <w:basedOn w:val="21"/>
    <w:uiPriority w:val="0"/>
  </w:style>
  <w:style w:type="character" w:customStyle="1" w:styleId="75">
    <w:name w:val="icon11"/>
    <w:basedOn w:val="21"/>
    <w:uiPriority w:val="0"/>
  </w:style>
  <w:style w:type="character" w:customStyle="1" w:styleId="76">
    <w:name w:val="l-btn-icon-right"/>
    <w:basedOn w:val="21"/>
    <w:uiPriority w:val="0"/>
    <w:rPr>
      <w:bdr w:val="none" w:color="auto" w:sz="0" w:space="0"/>
    </w:rPr>
  </w:style>
  <w:style w:type="character" w:customStyle="1" w:styleId="77">
    <w:name w:val="l-btn-icon-left"/>
    <w:basedOn w:val="21"/>
    <w:uiPriority w:val="0"/>
    <w:rPr>
      <w:bdr w:val="none" w:color="auto" w:sz="0" w:space="0"/>
    </w:rPr>
  </w:style>
  <w:style w:type="character" w:customStyle="1" w:styleId="78">
    <w:name w:val="up"/>
    <w:basedOn w:val="21"/>
    <w:uiPriority w:val="0"/>
  </w:style>
  <w:style w:type="character" w:customStyle="1" w:styleId="79">
    <w:name w:val="l-btn-left"/>
    <w:basedOn w:val="21"/>
    <w:uiPriority w:val="0"/>
  </w:style>
  <w:style w:type="character" w:customStyle="1" w:styleId="80">
    <w:name w:val="l-btn-left1"/>
    <w:basedOn w:val="21"/>
    <w:uiPriority w:val="0"/>
    <w:rPr>
      <w:bdr w:val="none" w:color="auto" w:sz="0" w:space="0"/>
    </w:rPr>
  </w:style>
  <w:style w:type="character" w:customStyle="1" w:styleId="81">
    <w:name w:val="l-btn-left2"/>
    <w:basedOn w:val="21"/>
    <w:uiPriority w:val="0"/>
    <w:rPr>
      <w:bdr w:val="none" w:color="auto" w:sz="0" w:space="0"/>
    </w:rPr>
  </w:style>
  <w:style w:type="character" w:customStyle="1" w:styleId="82">
    <w:name w:val="l-btn-left3"/>
    <w:basedOn w:val="21"/>
    <w:uiPriority w:val="0"/>
  </w:style>
  <w:style w:type="character" w:customStyle="1" w:styleId="83">
    <w:name w:val="l-btn-empty"/>
    <w:basedOn w:val="21"/>
    <w:uiPriority w:val="0"/>
    <w:rPr>
      <w:bdr w:val="none" w:color="auto" w:sz="0" w:space="0"/>
    </w:rPr>
  </w:style>
  <w:style w:type="character" w:customStyle="1" w:styleId="84">
    <w:name w:val="l-btn-text"/>
    <w:basedOn w:val="21"/>
    <w:uiPriority w:val="0"/>
    <w:rPr>
      <w:bdr w:val="none" w:color="auto" w:sz="0" w:space="0"/>
      <w:vertAlign w:val="baseline"/>
    </w:rPr>
  </w:style>
  <w:style w:type="character" w:customStyle="1" w:styleId="85">
    <w:name w:val="nothing"/>
    <w:basedOn w:val="21"/>
    <w:uiPriority w:val="0"/>
    <w:rPr>
      <w:color w:va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909</Words>
  <Characters>5184</Characters>
  <Lines>43</Lines>
  <Paragraphs>12</Paragraphs>
  <TotalTime>4</TotalTime>
  <ScaleCrop>false</ScaleCrop>
  <LinksUpToDate>false</LinksUpToDate>
  <CharactersWithSpaces>6081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黄永锟</cp:lastModifiedBy>
  <cp:lastPrinted>2020-05-19T04:57:00Z</cp:lastPrinted>
  <dcterms:modified xsi:type="dcterms:W3CDTF">2020-05-29T08:41:49Z</dcterms:modified>
  <dc:title>信息发布申请书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