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7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广州南沙湿地旅游发展有限公司</w:t>
      </w:r>
    </w:p>
    <w:p>
      <w:pPr>
        <w:spacing w:line="560" w:lineRule="exact"/>
        <w:ind w:left="170"/>
        <w:jc w:val="center"/>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饭餐供应项目</w:t>
      </w:r>
    </w:p>
    <w:p>
      <w:pPr>
        <w:spacing w:line="360" w:lineRule="auto"/>
        <w:ind w:left="171"/>
        <w:jc w:val="center"/>
        <w:rPr>
          <w:rFonts w:ascii="宋体" w:hAnsi="宋体" w:eastAsia="等线" w:cs="宋体"/>
          <w:b/>
          <w:bCs/>
          <w:spacing w:val="26"/>
          <w:sz w:val="44"/>
          <w:szCs w:val="44"/>
        </w:rPr>
      </w:pPr>
    </w:p>
    <w:p>
      <w:pPr>
        <w:spacing w:line="360" w:lineRule="auto"/>
        <w:ind w:left="171"/>
        <w:jc w:val="center"/>
        <w:rPr>
          <w:rFonts w:ascii="宋体" w:hAnsi="宋体" w:eastAsia="等线" w:cs="宋体"/>
          <w:b/>
          <w:bCs/>
          <w:spacing w:val="26"/>
          <w:sz w:val="44"/>
          <w:szCs w:val="44"/>
        </w:rPr>
      </w:pPr>
    </w:p>
    <w:p>
      <w:pPr>
        <w:spacing w:line="360" w:lineRule="auto"/>
        <w:rPr>
          <w:rFonts w:ascii="宋体" w:hAnsi="宋体" w:eastAsia="等线" w:cs="宋体"/>
          <w:b/>
          <w:bCs/>
          <w:spacing w:val="26"/>
          <w:sz w:val="44"/>
          <w:szCs w:val="44"/>
        </w:rPr>
      </w:pPr>
    </w:p>
    <w:p>
      <w:pPr>
        <w:spacing w:line="360" w:lineRule="auto"/>
        <w:ind w:left="171"/>
        <w:jc w:val="center"/>
        <w:rPr>
          <w:rFonts w:ascii="宋体" w:hAnsi="宋体" w:eastAsia="等线" w:cs="宋体"/>
          <w:b/>
          <w:bCs/>
          <w:spacing w:val="26"/>
          <w:sz w:val="44"/>
          <w:szCs w:val="44"/>
        </w:rPr>
      </w:pPr>
    </w:p>
    <w:p>
      <w:pPr>
        <w:spacing w:line="360" w:lineRule="auto"/>
        <w:ind w:left="171"/>
        <w:jc w:val="center"/>
        <w:rPr>
          <w:rFonts w:ascii="宋体" w:hAnsi="宋体" w:eastAsia="等线" w:cs="宋体"/>
          <w:b/>
          <w:bCs/>
          <w:spacing w:val="26"/>
          <w:sz w:val="84"/>
          <w:szCs w:val="84"/>
        </w:rPr>
      </w:pPr>
      <w:r>
        <w:rPr>
          <w:rFonts w:hint="eastAsia" w:ascii="宋体" w:hAnsi="宋体" w:eastAsia="等线" w:cs="宋体"/>
          <w:b/>
          <w:bCs/>
          <w:spacing w:val="26"/>
          <w:sz w:val="84"/>
          <w:szCs w:val="84"/>
        </w:rPr>
        <w:t>招标文件</w:t>
      </w:r>
    </w:p>
    <w:p>
      <w:pPr>
        <w:spacing w:line="360" w:lineRule="auto"/>
        <w:ind w:left="171"/>
        <w:jc w:val="center"/>
        <w:rPr>
          <w:rFonts w:ascii="宋体" w:hAnsi="宋体" w:eastAsia="等线" w:cs="宋体"/>
          <w:b/>
          <w:bCs/>
          <w:spacing w:val="26"/>
          <w:sz w:val="24"/>
        </w:rPr>
      </w:pPr>
    </w:p>
    <w:p>
      <w:pPr>
        <w:spacing w:line="360" w:lineRule="auto"/>
        <w:rPr>
          <w:rFonts w:ascii="宋体" w:hAnsi="宋体" w:eastAsia="等线" w:cs="宋体"/>
          <w:b/>
          <w:bCs/>
          <w:spacing w:val="26"/>
          <w:sz w:val="24"/>
        </w:rPr>
      </w:pPr>
    </w:p>
    <w:p>
      <w:pPr>
        <w:spacing w:line="360" w:lineRule="auto"/>
        <w:rPr>
          <w:rFonts w:ascii="宋体" w:hAnsi="宋体" w:eastAsia="等线" w:cs="宋体"/>
          <w:b/>
          <w:bCs/>
          <w:spacing w:val="26"/>
          <w:sz w:val="24"/>
        </w:rPr>
      </w:pPr>
    </w:p>
    <w:p>
      <w:pPr>
        <w:spacing w:line="360" w:lineRule="auto"/>
        <w:rPr>
          <w:rFonts w:ascii="宋体" w:hAnsi="宋体" w:eastAsia="等线" w:cs="宋体"/>
          <w:b/>
          <w:bCs/>
          <w:spacing w:val="26"/>
          <w:sz w:val="24"/>
        </w:rPr>
      </w:pPr>
    </w:p>
    <w:p>
      <w:pPr>
        <w:spacing w:line="360" w:lineRule="auto"/>
        <w:rPr>
          <w:rFonts w:ascii="宋体" w:hAnsi="宋体" w:eastAsia="等线" w:cs="宋体"/>
          <w:b/>
          <w:bCs/>
          <w:spacing w:val="26"/>
          <w:sz w:val="24"/>
        </w:rPr>
      </w:pPr>
    </w:p>
    <w:p>
      <w:pPr>
        <w:tabs>
          <w:tab w:val="left" w:pos="1050"/>
        </w:tabs>
        <w:spacing w:line="560" w:lineRule="exact"/>
        <w:ind w:firstLine="3000" w:firstLineChars="1000"/>
        <w:rPr>
          <w:rFonts w:ascii="宋体" w:hAnsi="宋体" w:eastAsia="等线" w:cs="宋体"/>
          <w:sz w:val="30"/>
          <w:szCs w:val="30"/>
        </w:rPr>
      </w:pPr>
    </w:p>
    <w:p>
      <w:pPr>
        <w:tabs>
          <w:tab w:val="left" w:pos="1050"/>
        </w:tabs>
        <w:spacing w:line="560" w:lineRule="exact"/>
        <w:ind w:firstLine="1200" w:firstLineChars="400"/>
        <w:rPr>
          <w:rFonts w:ascii="宋体" w:hAnsi="宋体" w:eastAsia="等线" w:cs="宋体"/>
          <w:sz w:val="30"/>
        </w:rPr>
      </w:pPr>
      <w:r>
        <w:rPr>
          <w:rFonts w:hint="eastAsia" w:ascii="宋体" w:hAnsi="宋体" w:eastAsia="等线" w:cs="宋体"/>
          <w:sz w:val="30"/>
          <w:szCs w:val="30"/>
        </w:rPr>
        <w:t>招  标 单 位：广州南沙湿地旅游发展有限公司</w:t>
      </w:r>
    </w:p>
    <w:p>
      <w:pPr>
        <w:spacing w:line="360" w:lineRule="auto"/>
        <w:ind w:firstLine="1200" w:firstLineChars="400"/>
        <w:rPr>
          <w:rFonts w:ascii="宋体" w:hAnsi="宋体" w:eastAsia="等线" w:cs="宋体"/>
          <w:sz w:val="30"/>
        </w:rPr>
      </w:pPr>
      <w:r>
        <w:rPr>
          <w:rFonts w:hint="eastAsia" w:ascii="宋体" w:hAnsi="宋体" w:eastAsia="等线" w:cs="宋体"/>
          <w:sz w:val="30"/>
        </w:rPr>
        <w:t xml:space="preserve">日     期：     </w:t>
      </w:r>
      <w:r>
        <w:rPr>
          <w:rFonts w:hint="eastAsia" w:ascii="宋体" w:hAnsi="宋体" w:eastAsia="等线" w:cs="宋体"/>
          <w:sz w:val="30"/>
          <w:u w:val="single"/>
        </w:rPr>
        <w:t>2020</w:t>
      </w:r>
      <w:r>
        <w:rPr>
          <w:rFonts w:hint="eastAsia" w:ascii="宋体" w:hAnsi="宋体" w:eastAsia="等线" w:cs="宋体"/>
          <w:sz w:val="30"/>
        </w:rPr>
        <w:t>年</w:t>
      </w:r>
      <w:r>
        <w:rPr>
          <w:rFonts w:hint="eastAsia" w:ascii="宋体" w:hAnsi="宋体" w:eastAsia="等线" w:cs="宋体"/>
          <w:sz w:val="30"/>
          <w:u w:val="single"/>
        </w:rPr>
        <w:t>6</w:t>
      </w:r>
      <w:r>
        <w:rPr>
          <w:rFonts w:hint="eastAsia" w:ascii="宋体" w:hAnsi="宋体" w:eastAsia="等线" w:cs="宋体"/>
          <w:sz w:val="30"/>
        </w:rPr>
        <w:t>月</w:t>
      </w:r>
    </w:p>
    <w:p>
      <w:pPr>
        <w:pStyle w:val="2"/>
      </w:pPr>
    </w:p>
    <w:p>
      <w:pPr>
        <w:pStyle w:val="2"/>
      </w:pPr>
    </w:p>
    <w:p>
      <w:pPr>
        <w:pStyle w:val="2"/>
      </w:pPr>
    </w:p>
    <w:p>
      <w:pPr>
        <w:keepNext/>
        <w:keepLines/>
        <w:spacing w:before="120" w:after="120" w:line="360" w:lineRule="auto"/>
        <w:jc w:val="center"/>
        <w:outlineLvl w:val="0"/>
        <w:rPr>
          <w:rFonts w:ascii="Arial" w:hAnsi="Arial" w:eastAsia="黑体" w:cs="Times New Roman"/>
          <w:bCs/>
          <w:kern w:val="44"/>
          <w:sz w:val="36"/>
          <w:szCs w:val="36"/>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2098" w:right="1587" w:bottom="2098" w:left="1587" w:header="851" w:footer="748" w:gutter="0"/>
          <w:pgNumType w:start="0"/>
          <w:cols w:space="720" w:num="1"/>
          <w:titlePg/>
          <w:docGrid w:linePitch="312" w:charSpace="0"/>
        </w:sectPr>
      </w:pPr>
      <w:bookmarkStart w:id="0" w:name="_第一章__投标须知"/>
      <w:bookmarkEnd w:id="0"/>
      <w:bookmarkStart w:id="1" w:name="_Toc101777609"/>
      <w:bookmarkStart w:id="2" w:name="_Toc242005118"/>
      <w:bookmarkStart w:id="3" w:name="_Toc413933283"/>
      <w:bookmarkStart w:id="4" w:name="_Toc301212624"/>
    </w:p>
    <w:p>
      <w:pPr>
        <w:keepNext/>
        <w:keepLines/>
        <w:spacing w:before="120" w:after="120" w:line="360" w:lineRule="auto"/>
        <w:jc w:val="center"/>
        <w:outlineLvl w:val="0"/>
        <w:rPr>
          <w:rFonts w:ascii="Arial" w:hAnsi="宋体" w:eastAsia="宋体" w:cs="宋体"/>
          <w:bCs/>
          <w:kern w:val="0"/>
          <w:sz w:val="36"/>
          <w:szCs w:val="44"/>
        </w:rPr>
      </w:pPr>
      <w:bookmarkStart w:id="5" w:name="_Toc24810"/>
      <w:bookmarkStart w:id="6" w:name="_Toc16238369"/>
      <w:bookmarkStart w:id="7" w:name="_Hlk15464060"/>
      <w:r>
        <w:rPr>
          <w:rFonts w:hint="eastAsia" w:ascii="Arial" w:hAnsi="Arial" w:eastAsia="黑体" w:cs="Times New Roman"/>
          <w:bCs/>
          <w:kern w:val="44"/>
          <w:sz w:val="36"/>
          <w:szCs w:val="36"/>
        </w:rPr>
        <w:t>第一章</w:t>
      </w:r>
      <w:bookmarkEnd w:id="1"/>
      <w:bookmarkEnd w:id="2"/>
      <w:bookmarkEnd w:id="3"/>
      <w:bookmarkEnd w:id="4"/>
      <w:bookmarkEnd w:id="5"/>
      <w:r>
        <w:rPr>
          <w:rFonts w:hint="eastAsia" w:ascii="Arial" w:hAnsi="Arial" w:eastAsia="黑体" w:cs="Times New Roman"/>
          <w:bCs/>
          <w:kern w:val="44"/>
          <w:sz w:val="36"/>
          <w:szCs w:val="36"/>
        </w:rPr>
        <w:t>投标邀请函</w:t>
      </w:r>
      <w:bookmarkEnd w:id="6"/>
    </w:p>
    <w:bookmarkEnd w:id="7"/>
    <w:p>
      <w:pPr>
        <w:spacing w:line="560" w:lineRule="exact"/>
        <w:rPr>
          <w:rFonts w:ascii="仿宋_GB2312" w:hAnsi="仿宋_GB2312" w:eastAsia="仿宋_GB2312" w:cs="仿宋_GB2312"/>
          <w:sz w:val="32"/>
          <w:szCs w:val="32"/>
        </w:rPr>
      </w:pPr>
      <w:bookmarkStart w:id="8" w:name="_Toc346895278"/>
      <w:bookmarkStart w:id="9" w:name="_Toc101777610"/>
      <w:bookmarkStart w:id="10" w:name="_Toc242005119"/>
      <w:bookmarkStart w:id="11" w:name="_Toc413933177"/>
      <w:bookmarkStart w:id="12" w:name="_Toc413933284"/>
      <w:bookmarkStart w:id="13" w:name="_Toc18642"/>
      <w:r>
        <w:rPr>
          <w:rFonts w:hint="eastAsia" w:ascii="仿宋_GB2312" w:hAnsi="仿宋_GB2312" w:eastAsia="仿宋_GB2312" w:cs="仿宋_GB2312"/>
          <w:sz w:val="32"/>
          <w:szCs w:val="32"/>
        </w:rPr>
        <w:t>致投标人：</w:t>
      </w:r>
    </w:p>
    <w:p>
      <w:pPr>
        <w:spacing w:line="560" w:lineRule="exact"/>
        <w:ind w:firstLine="640" w:firstLineChars="200"/>
        <w:rPr>
          <w:rFonts w:ascii="仿宋_GB2312" w:hAnsi="仿宋_GB2312" w:eastAsia="仿宋_GB2312" w:cs="仿宋_GB2312"/>
          <w:bCs/>
          <w:sz w:val="32"/>
          <w:szCs w:val="32"/>
        </w:rPr>
      </w:pPr>
      <w:bookmarkStart w:id="14" w:name="_Hlk15464359"/>
      <w:r>
        <w:rPr>
          <w:rFonts w:hint="eastAsia" w:ascii="仿宋_GB2312" w:hAnsi="仿宋_GB2312" w:eastAsia="仿宋_GB2312" w:cs="仿宋_GB2312"/>
          <w:bCs/>
          <w:sz w:val="32"/>
          <w:szCs w:val="32"/>
        </w:rPr>
        <w:t>广州南沙湿地旅游发展有限公司</w:t>
      </w:r>
      <w:bookmarkEnd w:id="14"/>
      <w:r>
        <w:rPr>
          <w:rFonts w:hint="eastAsia" w:ascii="仿宋_GB2312" w:hAnsi="仿宋_GB2312" w:eastAsia="仿宋_GB2312" w:cs="仿宋_GB2312"/>
          <w:bCs/>
          <w:sz w:val="32"/>
          <w:szCs w:val="32"/>
        </w:rPr>
        <w:t>饭餐供应项目已具备招标条件，现决定进行邀请招标，邀请贵公司参加投标。</w:t>
      </w:r>
    </w:p>
    <w:p>
      <w:pPr>
        <w:numPr>
          <w:ilvl w:val="0"/>
          <w:numId w:val="1"/>
        </w:num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招标人：广州南沙湿地旅游发展有限公司。</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二、项目名称：</w:t>
      </w:r>
      <w:r>
        <w:rPr>
          <w:rFonts w:hint="eastAsia" w:ascii="仿宋_GB2312" w:hAnsi="仿宋_GB2312" w:eastAsia="仿宋_GB2312" w:cs="仿宋_GB2312"/>
          <w:bCs/>
          <w:sz w:val="32"/>
          <w:szCs w:val="32"/>
        </w:rPr>
        <w:t>广州南沙湿地旅游发展有限公司饭餐供应项目</w:t>
      </w:r>
      <w:r>
        <w:rPr>
          <w:rFonts w:hint="eastAsia" w:ascii="仿宋_GB2312" w:hAnsi="仿宋_GB2312" w:eastAsia="仿宋_GB2312" w:cs="仿宋_GB2312"/>
          <w:sz w:val="32"/>
          <w:szCs w:val="32"/>
        </w:rPr>
        <w:t>。</w:t>
      </w:r>
    </w:p>
    <w:p>
      <w:pPr>
        <w:widowControl/>
        <w:spacing w:line="560" w:lineRule="exact"/>
        <w:ind w:firstLine="540"/>
        <w:jc w:val="left"/>
        <w:rPr>
          <w:rFonts w:ascii="仿宋_GB2312" w:hAnsi="宋体" w:eastAsia="仿宋_GB2312" w:cs="宋体"/>
          <w:kern w:val="0"/>
          <w:sz w:val="32"/>
          <w:szCs w:val="32"/>
        </w:rPr>
      </w:pPr>
      <w:r>
        <w:rPr>
          <w:rFonts w:hint="eastAsia" w:ascii="仿宋_GB2312" w:hAnsi="仿宋_GB2312" w:eastAsia="仿宋_GB2312" w:cs="仿宋_GB2312"/>
          <w:sz w:val="32"/>
          <w:szCs w:val="32"/>
        </w:rPr>
        <w:t>三、项目概况：广州南沙湿地旅游发展有限公司成立于2008年，</w:t>
      </w:r>
      <w:bookmarkStart w:id="15" w:name="_Hlk16166875"/>
      <w:r>
        <w:rPr>
          <w:rFonts w:hint="eastAsia" w:ascii="仿宋_GB2312" w:hAnsi="仿宋_GB2312" w:eastAsia="仿宋_GB2312" w:cs="仿宋_GB2312"/>
          <w:sz w:val="32"/>
          <w:szCs w:val="32"/>
        </w:rPr>
        <w:t>负责南沙湿地景区的日常经营管理，景区位于广州市南沙区万顷沙镇新垦18涌，现有员工55名，平日就餐人数约40人左右，节假日高峰期就餐人数预计70人左右，计划通过选定饭餐供应商，解决员工就餐问题。</w:t>
      </w:r>
    </w:p>
    <w:bookmarkEnd w:id="15"/>
    <w:p>
      <w:pPr>
        <w:tabs>
          <w:tab w:val="left" w:pos="1050"/>
        </w:tabs>
        <w:spacing w:line="560" w:lineRule="exact"/>
        <w:ind w:firstLine="560" w:firstLineChars="175"/>
        <w:rPr>
          <w:rFonts w:ascii="仿宋_GB2312" w:hAnsi="等线" w:eastAsia="仿宋_GB2312" w:cs="等线"/>
          <w:spacing w:val="12"/>
          <w:sz w:val="32"/>
          <w:szCs w:val="32"/>
          <w:lang w:val="zh-CN"/>
        </w:rPr>
      </w:pPr>
      <w:r>
        <w:rPr>
          <w:rFonts w:hint="eastAsia" w:ascii="仿宋_GB2312" w:hAnsi="仿宋_GB2312" w:eastAsia="仿宋_GB2312" w:cs="仿宋_GB2312"/>
          <w:sz w:val="32"/>
          <w:szCs w:val="32"/>
        </w:rPr>
        <w:t>四、</w:t>
      </w:r>
      <w:r>
        <w:rPr>
          <w:rFonts w:hint="eastAsia" w:ascii="仿宋_GB2312" w:hAnsi="等线" w:eastAsia="仿宋_GB2312" w:cs="等线"/>
          <w:spacing w:val="12"/>
          <w:sz w:val="32"/>
          <w:szCs w:val="32"/>
        </w:rPr>
        <w:t>项目内容：为招标人提供半年的饭餐供应</w:t>
      </w:r>
      <w:r>
        <w:rPr>
          <w:rFonts w:hint="eastAsia" w:ascii="仿宋_GB2312" w:hAnsi="等线" w:eastAsia="仿宋_GB2312" w:cs="等线"/>
          <w:spacing w:val="12"/>
          <w:sz w:val="32"/>
          <w:szCs w:val="32"/>
          <w:lang w:val="zh-CN"/>
        </w:rPr>
        <w:t>。</w:t>
      </w:r>
    </w:p>
    <w:p>
      <w:pPr>
        <w:tabs>
          <w:tab w:val="left" w:pos="1050"/>
        </w:tabs>
        <w:spacing w:line="560" w:lineRule="exact"/>
        <w:ind w:firstLine="560" w:firstLineChars="175"/>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本项目最高限价为：</w:t>
      </w:r>
      <w:r>
        <w:rPr>
          <w:rFonts w:ascii="仿宋_GB2312" w:hAnsi="仿宋_GB2312" w:eastAsia="仿宋_GB2312" w:cs="仿宋_GB2312"/>
          <w:sz w:val="32"/>
          <w:szCs w:val="32"/>
          <w:lang w:val="zh-CN"/>
        </w:rPr>
        <w:t>人民币</w:t>
      </w:r>
      <w:r>
        <w:rPr>
          <w:rFonts w:hint="eastAsia" w:ascii="仿宋_GB2312" w:hAnsi="仿宋_GB2312" w:eastAsia="仿宋_GB2312" w:cs="仿宋_GB2312"/>
          <w:sz w:val="32"/>
          <w:szCs w:val="32"/>
        </w:rPr>
        <w:t>30</w:t>
      </w:r>
      <w:r>
        <w:rPr>
          <w:rFonts w:ascii="仿宋_GB2312" w:hAnsi="仿宋_GB2312" w:eastAsia="仿宋_GB2312" w:cs="仿宋_GB2312"/>
          <w:sz w:val="32"/>
          <w:szCs w:val="32"/>
          <w:lang w:val="zh-CN"/>
        </w:rPr>
        <w:t>元</w:t>
      </w:r>
      <w:r>
        <w:rPr>
          <w:rFonts w:hint="eastAsia" w:ascii="仿宋_GB2312" w:hAnsi="仿宋_GB2312" w:eastAsia="仿宋_GB2312" w:cs="仿宋_GB2312"/>
          <w:sz w:val="32"/>
          <w:szCs w:val="32"/>
          <w:lang w:val="zh-CN"/>
        </w:rPr>
        <w:t>/份（</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val="zh-CN"/>
        </w:rPr>
        <w:t>）。</w:t>
      </w:r>
    </w:p>
    <w:p>
      <w:pPr>
        <w:tabs>
          <w:tab w:val="left" w:pos="0"/>
        </w:tabs>
        <w:spacing w:line="560" w:lineRule="exact"/>
        <w:ind w:firstLine="566" w:firstLineChars="177"/>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投标人资质要求：</w:t>
      </w:r>
    </w:p>
    <w:p>
      <w:pPr>
        <w:widowControl/>
        <w:spacing w:line="560" w:lineRule="exact"/>
        <w:ind w:firstLine="5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投标人必须具有有效的工商部门注册的餐饮营业执照、卫生部门下发的卫生许可证，能承担法律责任能力。</w:t>
      </w:r>
    </w:p>
    <w:p>
      <w:pPr>
        <w:tabs>
          <w:tab w:val="left" w:pos="1050"/>
        </w:tabs>
        <w:spacing w:line="560" w:lineRule="exact"/>
        <w:ind w:firstLine="560" w:firstLineChars="175"/>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七、招标文件领取：符合资格的投标人应</w:t>
      </w:r>
      <w:r>
        <w:rPr>
          <w:rFonts w:hint="eastAsia" w:ascii="仿宋_GB2312" w:hAnsi="仿宋_GB2312" w:eastAsia="仿宋_GB2312" w:cs="仿宋_GB2312"/>
          <w:color w:val="000000" w:themeColor="text1"/>
          <w:sz w:val="32"/>
          <w:szCs w:val="32"/>
        </w:rPr>
        <w:t>当在2020年6月</w:t>
      </w:r>
      <w:r>
        <w:rPr>
          <w:rFonts w:hint="eastAsia" w:ascii="仿宋_GB2312" w:hAnsi="仿宋_GB2312" w:eastAsia="仿宋_GB2312" w:cs="仿宋_GB2312"/>
          <w:color w:val="000000" w:themeColor="text1"/>
          <w:sz w:val="32"/>
          <w:szCs w:val="32"/>
          <w:lang w:val="en-US" w:eastAsia="zh-CN"/>
        </w:rPr>
        <w:t>17</w:t>
      </w:r>
      <w:r>
        <w:rPr>
          <w:rFonts w:hint="eastAsia" w:ascii="仿宋_GB2312" w:hAnsi="仿宋_GB2312" w:eastAsia="仿宋_GB2312" w:cs="仿宋_GB2312"/>
          <w:color w:val="000000" w:themeColor="text1"/>
          <w:sz w:val="32"/>
          <w:szCs w:val="32"/>
        </w:rPr>
        <w:t>日起至6月</w:t>
      </w:r>
      <w:r>
        <w:rPr>
          <w:rFonts w:hint="eastAsia" w:ascii="仿宋_GB2312" w:hAnsi="仿宋_GB2312" w:eastAsia="仿宋_GB2312" w:cs="仿宋_GB2312"/>
          <w:color w:val="000000" w:themeColor="text1"/>
          <w:sz w:val="32"/>
          <w:szCs w:val="32"/>
          <w:lang w:val="en-US" w:eastAsia="zh-CN"/>
        </w:rPr>
        <w:t>23</w:t>
      </w:r>
      <w:r>
        <w:rPr>
          <w:rFonts w:hint="eastAsia" w:ascii="仿宋_GB2312" w:hAnsi="仿宋_GB2312" w:eastAsia="仿宋_GB2312" w:cs="仿宋_GB2312"/>
          <w:color w:val="000000" w:themeColor="text1"/>
          <w:sz w:val="32"/>
          <w:szCs w:val="32"/>
        </w:rPr>
        <w:t>日自行在</w:t>
      </w:r>
      <w:r>
        <w:rPr>
          <w:rFonts w:hint="eastAsia" w:ascii="仿宋_GB2312" w:hAnsi="仿宋_GB2312" w:eastAsia="仿宋_GB2312" w:cs="仿宋_GB2312"/>
          <w:color w:val="000000" w:themeColor="text1"/>
          <w:sz w:val="32"/>
          <w:szCs w:val="32"/>
          <w:lang w:eastAsia="zh-CN"/>
        </w:rPr>
        <w:t>广州</w:t>
      </w:r>
      <w:r>
        <w:rPr>
          <w:rFonts w:hint="eastAsia" w:ascii="仿宋_GB2312" w:hAnsi="仿宋_GB2312" w:eastAsia="仿宋_GB2312" w:cs="仿宋_GB2312"/>
          <w:color w:val="000000" w:themeColor="text1"/>
          <w:sz w:val="32"/>
          <w:szCs w:val="32"/>
        </w:rPr>
        <w:t>南沙资产经营集团公司官网下载。</w:t>
      </w:r>
    </w:p>
    <w:p>
      <w:pPr>
        <w:tabs>
          <w:tab w:val="left" w:pos="1050"/>
        </w:tabs>
        <w:spacing w:line="560" w:lineRule="exact"/>
        <w:ind w:firstLine="560" w:firstLineChars="175"/>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官网网址：</w:t>
      </w:r>
      <w:r>
        <w:rPr>
          <w:rFonts w:ascii="仿宋_GB2312" w:hAnsi="仿宋_GB2312" w:eastAsia="仿宋_GB2312" w:cs="仿宋_GB2312"/>
          <w:color w:val="000000" w:themeColor="text1"/>
          <w:sz w:val="32"/>
          <w:szCs w:val="32"/>
        </w:rPr>
        <w:t>http://www.gnao.com.cn/</w:t>
      </w:r>
      <w:r>
        <w:rPr>
          <w:rFonts w:hint="eastAsia" w:ascii="仿宋_GB2312" w:hAnsi="仿宋_GB2312" w:eastAsia="仿宋_GB2312" w:cs="仿宋_GB2312"/>
          <w:color w:val="000000" w:themeColor="text1"/>
          <w:sz w:val="32"/>
          <w:szCs w:val="32"/>
        </w:rPr>
        <w:t>。</w:t>
      </w:r>
    </w:p>
    <w:p>
      <w:pPr>
        <w:tabs>
          <w:tab w:val="left" w:pos="1050"/>
        </w:tabs>
        <w:spacing w:line="560" w:lineRule="exact"/>
        <w:ind w:left="8" w:firstLine="556" w:firstLineChars="174"/>
        <w:rPr>
          <w:rFonts w:ascii="仿宋_GB2312" w:hAnsi="仿宋_GB2312" w:eastAsia="仿宋_GB2312" w:cs="仿宋_GB2312"/>
          <w:sz w:val="32"/>
          <w:szCs w:val="32"/>
        </w:rPr>
      </w:pPr>
      <w:r>
        <w:rPr>
          <w:rFonts w:hint="eastAsia" w:ascii="仿宋_GB2312" w:hAnsi="仿宋_GB2312" w:eastAsia="仿宋_GB2312" w:cs="仿宋_GB2312"/>
          <w:sz w:val="32"/>
          <w:szCs w:val="32"/>
        </w:rPr>
        <w:t>八、投标文件递交</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截止时间：2020年6月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日上午10：00分前。</w:t>
      </w:r>
    </w:p>
    <w:p>
      <w:pPr>
        <w:widowControl/>
        <w:shd w:val="clear" w:color="auto" w:fill="FFFFFF"/>
        <w:spacing w:line="600" w:lineRule="exact"/>
        <w:ind w:firstLine="640"/>
        <w:jc w:val="left"/>
        <w:rPr>
          <w:rFonts w:hint="eastAsia" w:ascii="仿宋_GB2312" w:hAnsi="仿宋_GB2312" w:eastAsia="仿宋_GB2312" w:cs="仿宋_GB2312"/>
          <w:color w:val="777777"/>
          <w:sz w:val="32"/>
          <w:szCs w:val="32"/>
          <w:highlight w:val="none"/>
        </w:rPr>
      </w:pPr>
      <w:r>
        <w:rPr>
          <w:rFonts w:hint="eastAsia" w:ascii="仿宋_GB2312" w:hAnsi="仿宋_GB2312" w:eastAsia="仿宋_GB2312" w:cs="仿宋_GB2312"/>
          <w:sz w:val="32"/>
          <w:szCs w:val="32"/>
        </w:rPr>
        <w:t>递交地点：</w:t>
      </w:r>
      <w:r>
        <w:rPr>
          <w:rFonts w:hint="eastAsia" w:ascii="仿宋_GB2312" w:hAnsi="仿宋_GB2312" w:eastAsia="仿宋_GB2312" w:cs="仿宋_GB2312"/>
          <w:color w:val="000000"/>
          <w:kern w:val="0"/>
          <w:sz w:val="32"/>
          <w:szCs w:val="32"/>
          <w:highlight w:val="none"/>
          <w:shd w:val="clear" w:color="auto" w:fill="FFFFFF"/>
          <w:lang w:bidi="ar"/>
        </w:rPr>
        <w:t>广州南沙资产经营</w:t>
      </w:r>
      <w:r>
        <w:rPr>
          <w:rFonts w:hint="eastAsia" w:ascii="仿宋_GB2312" w:hAnsi="仿宋_GB2312" w:eastAsia="仿宋_GB2312" w:cs="仿宋_GB2312"/>
          <w:color w:val="000000"/>
          <w:kern w:val="0"/>
          <w:sz w:val="32"/>
          <w:szCs w:val="32"/>
          <w:highlight w:val="none"/>
          <w:shd w:val="clear" w:color="auto" w:fill="FFFFFF"/>
          <w:lang w:val="en-US" w:eastAsia="zh-CN" w:bidi="ar"/>
        </w:rPr>
        <w:t>集团</w:t>
      </w:r>
      <w:r>
        <w:rPr>
          <w:rFonts w:hint="eastAsia" w:ascii="仿宋_GB2312" w:hAnsi="仿宋_GB2312" w:eastAsia="仿宋_GB2312" w:cs="仿宋_GB2312"/>
          <w:color w:val="000000"/>
          <w:kern w:val="0"/>
          <w:sz w:val="32"/>
          <w:szCs w:val="32"/>
          <w:highlight w:val="none"/>
          <w:shd w:val="clear" w:color="auto" w:fill="FFFFFF"/>
          <w:lang w:bidi="ar"/>
        </w:rPr>
        <w:t>有限公司（南沙金融大厦</w:t>
      </w:r>
      <w:r>
        <w:rPr>
          <w:rFonts w:hint="eastAsia" w:ascii="仿宋_GB2312" w:hAnsi="仿宋_GB2312" w:eastAsia="仿宋_GB2312" w:cs="仿宋_GB2312"/>
          <w:color w:val="000000"/>
          <w:kern w:val="0"/>
          <w:sz w:val="32"/>
          <w:szCs w:val="32"/>
          <w:highlight w:val="none"/>
          <w:shd w:val="clear" w:color="auto" w:fill="FFFFFF"/>
          <w:lang w:val="en-US" w:eastAsia="zh-CN" w:bidi="ar"/>
        </w:rPr>
        <w:t>18楼1807</w:t>
      </w:r>
      <w:r>
        <w:rPr>
          <w:rFonts w:hint="eastAsia" w:ascii="仿宋_GB2312" w:hAnsi="仿宋_GB2312" w:eastAsia="仿宋_GB2312" w:cs="仿宋_GB2312"/>
          <w:color w:val="000000"/>
          <w:kern w:val="0"/>
          <w:sz w:val="32"/>
          <w:szCs w:val="32"/>
          <w:highlight w:val="none"/>
          <w:shd w:val="clear" w:color="auto" w:fill="FFFFFF"/>
          <w:lang w:bidi="ar"/>
        </w:rPr>
        <w:t>室）地址：广州</w:t>
      </w:r>
      <w:r>
        <w:rPr>
          <w:rFonts w:hint="eastAsia" w:ascii="仿宋_GB2312" w:hAnsi="仿宋_GB2312" w:eastAsia="仿宋_GB2312" w:cs="仿宋_GB2312"/>
          <w:color w:val="000000"/>
          <w:kern w:val="0"/>
          <w:sz w:val="32"/>
          <w:szCs w:val="32"/>
          <w:highlight w:val="none"/>
          <w:shd w:val="clear" w:color="auto" w:fill="FFFFFF"/>
          <w:lang w:val="en-US" w:eastAsia="zh-CN" w:bidi="ar"/>
        </w:rPr>
        <w:t>市</w:t>
      </w:r>
      <w:r>
        <w:rPr>
          <w:rFonts w:hint="eastAsia" w:ascii="仿宋_GB2312" w:hAnsi="仿宋_GB2312" w:eastAsia="仿宋_GB2312" w:cs="仿宋_GB2312"/>
          <w:color w:val="000000"/>
          <w:kern w:val="0"/>
          <w:sz w:val="32"/>
          <w:szCs w:val="32"/>
          <w:highlight w:val="none"/>
          <w:shd w:val="clear" w:color="auto" w:fill="FFFFFF"/>
          <w:lang w:bidi="ar"/>
        </w:rPr>
        <w:t>南沙区海滨路171号。</w:t>
      </w:r>
    </w:p>
    <w:p>
      <w:pPr>
        <w:tabs>
          <w:tab w:val="left" w:pos="1050"/>
        </w:tabs>
        <w:spacing w:line="560" w:lineRule="exact"/>
        <w:ind w:firstLine="560" w:firstLineChars="17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接收人：冯小姐020-84956933</w:t>
      </w:r>
    </w:p>
    <w:p>
      <w:pPr>
        <w:shd w:val="solid" w:color="FFFFFF" w:fill="auto"/>
        <w:autoSpaceDN w:val="0"/>
        <w:spacing w:line="400" w:lineRule="exact"/>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投标人为个体工商户的，须经营者本人或其有效授权委托人（有授权委托证明书）携带本人身份证原件参与投标。</w:t>
      </w:r>
    </w:p>
    <w:p>
      <w:pPr>
        <w:shd w:val="solid" w:color="FFFFFF" w:fill="auto"/>
        <w:autoSpaceDN w:val="0"/>
        <w:spacing w:line="400" w:lineRule="exact"/>
        <w:ind w:firstLine="42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 xml:space="preserve"> 投标人为法人单位的，须法定代表人或其有效授权委托人凭法定代表人证明书（原件）、法定代表人授权委托证明书（原件）及本人身份证（原件）</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rPr>
        <w:t>提交投标文件，否则其投标文件不被招标人接收。</w:t>
      </w:r>
    </w:p>
    <w:p>
      <w:pPr>
        <w:numPr>
          <w:numId w:val="0"/>
        </w:numPr>
        <w:tabs>
          <w:tab w:val="left" w:pos="1050"/>
        </w:tabs>
        <w:spacing w:line="560" w:lineRule="exact"/>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评标</w:t>
      </w:r>
      <w:r>
        <w:rPr>
          <w:rFonts w:hint="eastAsia" w:ascii="仿宋_GB2312" w:hAnsi="仿宋_GB2312" w:eastAsia="仿宋_GB2312" w:cs="仿宋_GB2312"/>
          <w:sz w:val="32"/>
          <w:szCs w:val="32"/>
        </w:rPr>
        <w:t>时间：</w:t>
      </w:r>
      <w:r>
        <w:rPr>
          <w:rFonts w:hint="eastAsia" w:ascii="仿宋_GB2312" w:hAnsi="仿宋_GB2312" w:eastAsia="仿宋_GB2312" w:cs="仿宋_GB2312"/>
          <w:color w:val="000000" w:themeColor="text1"/>
          <w:sz w:val="32"/>
          <w:szCs w:val="32"/>
        </w:rPr>
        <w:t>2020年6月</w:t>
      </w:r>
      <w:r>
        <w:rPr>
          <w:rFonts w:hint="eastAsia" w:ascii="仿宋_GB2312" w:hAnsi="仿宋_GB2312" w:eastAsia="仿宋_GB2312" w:cs="仿宋_GB2312"/>
          <w:color w:val="000000" w:themeColor="text1"/>
          <w:sz w:val="32"/>
          <w:szCs w:val="32"/>
          <w:lang w:val="en-US" w:eastAsia="zh-CN"/>
        </w:rPr>
        <w:t>23</w:t>
      </w:r>
      <w:r>
        <w:rPr>
          <w:rFonts w:hint="eastAsia" w:ascii="仿宋_GB2312" w:hAnsi="仿宋_GB2312" w:eastAsia="仿宋_GB2312" w:cs="仿宋_GB2312"/>
          <w:color w:val="000000" w:themeColor="text1"/>
          <w:sz w:val="32"/>
          <w:szCs w:val="32"/>
        </w:rPr>
        <w:t>日上午10：00分。</w:t>
      </w:r>
    </w:p>
    <w:p>
      <w:pPr>
        <w:widowControl/>
        <w:shd w:val="clear" w:color="auto" w:fill="FFFFFF"/>
        <w:spacing w:line="600" w:lineRule="exact"/>
        <w:ind w:firstLine="1292" w:firstLineChars="404"/>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highlight w:val="none"/>
          <w:shd w:val="clear" w:color="auto" w:fill="FFFFFF"/>
          <w:lang w:bidi="ar"/>
        </w:rPr>
        <w:t>开标评标地点：广州南沙资产经营</w:t>
      </w:r>
      <w:r>
        <w:rPr>
          <w:rFonts w:hint="eastAsia" w:ascii="仿宋_GB2312" w:hAnsi="仿宋_GB2312" w:eastAsia="仿宋_GB2312" w:cs="仿宋_GB2312"/>
          <w:color w:val="000000"/>
          <w:kern w:val="0"/>
          <w:sz w:val="32"/>
          <w:szCs w:val="32"/>
          <w:highlight w:val="none"/>
          <w:shd w:val="clear" w:color="auto" w:fill="FFFFFF"/>
          <w:lang w:val="en-US" w:eastAsia="zh-CN" w:bidi="ar"/>
        </w:rPr>
        <w:t>集团</w:t>
      </w:r>
      <w:r>
        <w:rPr>
          <w:rFonts w:hint="eastAsia" w:ascii="仿宋_GB2312" w:hAnsi="仿宋_GB2312" w:eastAsia="仿宋_GB2312" w:cs="仿宋_GB2312"/>
          <w:color w:val="000000"/>
          <w:kern w:val="0"/>
          <w:sz w:val="32"/>
          <w:szCs w:val="32"/>
          <w:highlight w:val="none"/>
          <w:shd w:val="clear" w:color="auto" w:fill="FFFFFF"/>
          <w:lang w:bidi="ar"/>
        </w:rPr>
        <w:t>有限公司（南沙金融大厦</w:t>
      </w:r>
      <w:r>
        <w:rPr>
          <w:rFonts w:hint="eastAsia" w:ascii="仿宋_GB2312" w:hAnsi="仿宋_GB2312" w:eastAsia="仿宋_GB2312" w:cs="仿宋_GB2312"/>
          <w:color w:val="000000"/>
          <w:kern w:val="0"/>
          <w:sz w:val="32"/>
          <w:szCs w:val="32"/>
          <w:highlight w:val="none"/>
          <w:shd w:val="clear" w:color="auto" w:fill="FFFFFF"/>
          <w:lang w:val="en-US" w:eastAsia="zh-CN" w:bidi="ar"/>
        </w:rPr>
        <w:t>18楼1807</w:t>
      </w:r>
      <w:r>
        <w:rPr>
          <w:rFonts w:hint="eastAsia" w:ascii="仿宋_GB2312" w:hAnsi="仿宋_GB2312" w:eastAsia="仿宋_GB2312" w:cs="仿宋_GB2312"/>
          <w:color w:val="000000"/>
          <w:kern w:val="0"/>
          <w:sz w:val="32"/>
          <w:szCs w:val="32"/>
          <w:highlight w:val="none"/>
          <w:shd w:val="clear" w:color="auto" w:fill="FFFFFF"/>
          <w:lang w:bidi="ar"/>
        </w:rPr>
        <w:t>室）地址：广州</w:t>
      </w:r>
      <w:r>
        <w:rPr>
          <w:rFonts w:hint="eastAsia" w:ascii="仿宋_GB2312" w:hAnsi="仿宋_GB2312" w:eastAsia="仿宋_GB2312" w:cs="仿宋_GB2312"/>
          <w:color w:val="000000"/>
          <w:kern w:val="0"/>
          <w:sz w:val="32"/>
          <w:szCs w:val="32"/>
          <w:highlight w:val="none"/>
          <w:shd w:val="clear" w:color="auto" w:fill="FFFFFF"/>
          <w:lang w:val="en-US" w:eastAsia="zh-CN" w:bidi="ar"/>
        </w:rPr>
        <w:t>市</w:t>
      </w:r>
      <w:r>
        <w:rPr>
          <w:rFonts w:hint="eastAsia" w:ascii="仿宋_GB2312" w:hAnsi="仿宋_GB2312" w:eastAsia="仿宋_GB2312" w:cs="仿宋_GB2312"/>
          <w:color w:val="000000"/>
          <w:kern w:val="0"/>
          <w:sz w:val="32"/>
          <w:szCs w:val="32"/>
          <w:highlight w:val="none"/>
          <w:shd w:val="clear" w:color="auto" w:fill="FFFFFF"/>
          <w:lang w:bidi="ar"/>
        </w:rPr>
        <w:t>南沙区海滨路171号。</w:t>
      </w:r>
    </w:p>
    <w:p>
      <w:pPr>
        <w:tabs>
          <w:tab w:val="left" w:pos="1050"/>
        </w:tabs>
        <w:spacing w:line="560" w:lineRule="exact"/>
        <w:ind w:firstLine="560" w:firstLineChars="175"/>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请各投标人的</w:t>
      </w:r>
      <w:r>
        <w:rPr>
          <w:rFonts w:hint="eastAsia" w:ascii="仿宋_GB2312" w:hAnsi="仿宋_GB2312" w:eastAsia="仿宋_GB2312" w:cs="仿宋_GB2312"/>
          <w:sz w:val="32"/>
          <w:szCs w:val="32"/>
        </w:rPr>
        <w:t>经营者、</w:t>
      </w:r>
      <w:r>
        <w:rPr>
          <w:rFonts w:hint="eastAsia" w:ascii="仿宋_GB2312" w:hAnsi="仿宋_GB2312" w:eastAsia="仿宋_GB2312" w:cs="仿宋_GB2312"/>
          <w:color w:val="000000" w:themeColor="text1"/>
          <w:sz w:val="32"/>
          <w:szCs w:val="32"/>
        </w:rPr>
        <w:t>法定代表人或其有效授权委托人务必准时出席，并须带本人身份证以供招标人审查。</w:t>
      </w:r>
    </w:p>
    <w:p>
      <w:pPr>
        <w:tabs>
          <w:tab w:val="left" w:pos="1050"/>
        </w:tabs>
        <w:spacing w:line="560" w:lineRule="exact"/>
        <w:ind w:firstLine="560" w:firstLineChars="17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十</w:t>
      </w:r>
      <w:bookmarkStart w:id="94" w:name="_GoBack"/>
      <w:bookmarkEnd w:id="94"/>
      <w:r>
        <w:rPr>
          <w:rFonts w:hint="eastAsia" w:ascii="仿宋_GB2312" w:hAnsi="仿宋_GB2312" w:eastAsia="仿宋_GB2312" w:cs="仿宋_GB2312"/>
          <w:sz w:val="32"/>
          <w:szCs w:val="32"/>
        </w:rPr>
        <w:t>、咨询及答复：对本次邀标有任何询问，请与我司邀标联系人联系。</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人：郭先生</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84956933</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联系地址：广州市南沙区万顷沙镇新垦十八涌</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邮   编：511400</w:t>
      </w:r>
    </w:p>
    <w:p>
      <w:pPr>
        <w:tabs>
          <w:tab w:val="left" w:pos="1050"/>
        </w:tabs>
        <w:spacing w:line="560" w:lineRule="exact"/>
        <w:ind w:firstLine="900" w:firstLineChars="300"/>
        <w:rPr>
          <w:rFonts w:ascii="宋体" w:hAnsi="宋体" w:eastAsia="等线" w:cs="宋体"/>
          <w:sz w:val="30"/>
          <w:szCs w:val="30"/>
        </w:rPr>
      </w:pPr>
    </w:p>
    <w:p>
      <w:pPr>
        <w:tabs>
          <w:tab w:val="left" w:pos="1050"/>
        </w:tabs>
        <w:spacing w:line="560" w:lineRule="exact"/>
        <w:ind w:firstLine="900" w:firstLineChars="300"/>
        <w:rPr>
          <w:rFonts w:ascii="宋体" w:hAnsi="宋体" w:eastAsia="等线" w:cs="宋体"/>
          <w:sz w:val="30"/>
          <w:szCs w:val="30"/>
        </w:rPr>
      </w:pPr>
    </w:p>
    <w:p>
      <w:pPr>
        <w:tabs>
          <w:tab w:val="left" w:pos="1050"/>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广州南沙湿地旅游发展有限公司</w:t>
      </w:r>
    </w:p>
    <w:p>
      <w:pPr>
        <w:keepNext/>
        <w:keepLines/>
        <w:spacing w:after="100" w:afterAutospacing="1" w:line="360" w:lineRule="auto"/>
        <w:ind w:left="454" w:hanging="454"/>
        <w:jc w:val="center"/>
        <w:outlineLvl w:val="1"/>
        <w:rPr>
          <w:rFonts w:ascii="宋体" w:hAnsi="宋体" w:eastAsia="宋体" w:cs="Times New Roman"/>
          <w:b/>
          <w:kern w:val="28"/>
          <w:sz w:val="30"/>
          <w:szCs w:val="20"/>
        </w:rPr>
      </w:pPr>
      <w:r>
        <w:rPr>
          <w:rFonts w:hint="eastAsia" w:ascii="仿宋_GB2312" w:hAnsi="仿宋_GB2312" w:eastAsia="仿宋_GB2312" w:cs="仿宋_GB2312"/>
          <w:sz w:val="32"/>
          <w:szCs w:val="32"/>
        </w:rPr>
        <w:t xml:space="preserve">              2020年6月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widowControl/>
        <w:jc w:val="left"/>
        <w:rPr>
          <w:rFonts w:ascii="宋体" w:hAnsi="宋体" w:eastAsia="宋体" w:cs="Times New Roman"/>
          <w:b/>
          <w:kern w:val="28"/>
          <w:sz w:val="30"/>
          <w:szCs w:val="20"/>
        </w:rPr>
      </w:pPr>
      <w:r>
        <w:rPr>
          <w:rFonts w:ascii="宋体" w:hAnsi="宋体" w:eastAsia="宋体" w:cs="Times New Roman"/>
          <w:b/>
          <w:kern w:val="28"/>
          <w:sz w:val="30"/>
          <w:szCs w:val="20"/>
        </w:rPr>
        <w:br w:type="page"/>
      </w:r>
    </w:p>
    <w:p>
      <w:pPr>
        <w:keepNext/>
        <w:keepLines/>
        <w:spacing w:before="120" w:after="120" w:line="360" w:lineRule="auto"/>
        <w:jc w:val="center"/>
        <w:outlineLvl w:val="0"/>
        <w:rPr>
          <w:rFonts w:ascii="Arial" w:hAnsi="宋体" w:eastAsia="宋体" w:cs="宋体"/>
          <w:bCs/>
          <w:color w:val="000000" w:themeColor="text1"/>
          <w:kern w:val="0"/>
          <w:sz w:val="36"/>
          <w:szCs w:val="44"/>
        </w:rPr>
      </w:pPr>
      <w:bookmarkStart w:id="16" w:name="_Toc16238370"/>
      <w:r>
        <w:rPr>
          <w:rFonts w:hint="eastAsia" w:ascii="Arial" w:hAnsi="Arial" w:eastAsia="黑体" w:cs="Times New Roman"/>
          <w:bCs/>
          <w:color w:val="000000" w:themeColor="text1"/>
          <w:kern w:val="44"/>
          <w:sz w:val="36"/>
          <w:szCs w:val="36"/>
        </w:rPr>
        <w:t>第二章投标须知</w:t>
      </w:r>
      <w:bookmarkEnd w:id="16"/>
    </w:p>
    <w:bookmarkEnd w:id="8"/>
    <w:bookmarkEnd w:id="9"/>
    <w:bookmarkEnd w:id="10"/>
    <w:bookmarkEnd w:id="11"/>
    <w:bookmarkEnd w:id="12"/>
    <w:bookmarkEnd w:id="13"/>
    <w:p>
      <w:pPr>
        <w:keepNext/>
        <w:keepLines/>
        <w:spacing w:after="100" w:afterAutospacing="1" w:line="360" w:lineRule="auto"/>
        <w:ind w:left="454" w:hanging="454"/>
        <w:jc w:val="center"/>
        <w:outlineLvl w:val="1"/>
        <w:rPr>
          <w:rFonts w:ascii="仿宋_GB2312" w:hAnsi="宋体" w:eastAsia="仿宋_GB2312" w:cs="Times New Roman"/>
          <w:b/>
          <w:color w:val="000000" w:themeColor="text1"/>
          <w:kern w:val="28"/>
          <w:sz w:val="32"/>
          <w:szCs w:val="32"/>
        </w:rPr>
      </w:pPr>
      <w:bookmarkStart w:id="17" w:name="_Toc216373043"/>
      <w:bookmarkStart w:id="18" w:name="_Toc101777611"/>
      <w:bookmarkStart w:id="19" w:name="_Toc85505511"/>
      <w:bookmarkStart w:id="20" w:name="_Toc242005120"/>
      <w:bookmarkStart w:id="21" w:name="_Toc16238371"/>
      <w:bookmarkStart w:id="22" w:name="_Toc413933285"/>
      <w:bookmarkStart w:id="23" w:name="_Toc155150486"/>
      <w:bookmarkStart w:id="24" w:name="_Toc413933178"/>
      <w:bookmarkStart w:id="25" w:name="_Toc7436"/>
      <w:r>
        <w:rPr>
          <w:rFonts w:hint="eastAsia" w:ascii="仿宋_GB2312" w:hAnsi="宋体" w:eastAsia="仿宋_GB2312" w:cs="Times New Roman"/>
          <w:b/>
          <w:color w:val="000000" w:themeColor="text1"/>
          <w:kern w:val="28"/>
          <w:sz w:val="32"/>
          <w:szCs w:val="32"/>
        </w:rPr>
        <w:t>一、总 则</w:t>
      </w:r>
      <w:bookmarkEnd w:id="17"/>
      <w:bookmarkEnd w:id="18"/>
      <w:bookmarkEnd w:id="19"/>
      <w:bookmarkEnd w:id="20"/>
      <w:bookmarkEnd w:id="21"/>
      <w:bookmarkEnd w:id="22"/>
      <w:bookmarkEnd w:id="23"/>
      <w:bookmarkEnd w:id="24"/>
      <w:bookmarkEnd w:id="25"/>
    </w:p>
    <w:p>
      <w:pPr>
        <w:spacing w:line="360" w:lineRule="auto"/>
        <w:ind w:left="480"/>
        <w:rPr>
          <w:rFonts w:ascii="仿宋_GB2312" w:eastAsia="仿宋_GB2312"/>
          <w:b/>
          <w:bCs/>
          <w:sz w:val="32"/>
          <w:szCs w:val="32"/>
        </w:rPr>
      </w:pPr>
      <w:r>
        <w:rPr>
          <w:rFonts w:hint="eastAsia" w:ascii="仿宋_GB2312" w:hAnsi="宋体" w:eastAsia="仿宋_GB2312"/>
          <w:b/>
          <w:bCs/>
          <w:sz w:val="32"/>
          <w:szCs w:val="32"/>
        </w:rPr>
        <w:t>1、定义</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本招标文件使用的下列词语具有如下规定的意义：</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1.1“招标人” 指广州南沙湿地旅游发展有限公司。</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1.2“投标人” 指向招标人提交投标文件的合法当事人。</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1.3“中标人” 指其投标被招标人接受并与其签订合同的投标人。</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1.4“招标文件”指由招标人发出的所有文件及澄清补充文件（包括文本文件、电子文档、传真）。</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1.5“投标文件”指投标人根据本招标文件向招标人提交的全部文件（包括文本文件、电子文档、传真）。</w:t>
      </w:r>
    </w:p>
    <w:p>
      <w:pPr>
        <w:tabs>
          <w:tab w:val="left" w:pos="1050"/>
        </w:tabs>
        <w:spacing w:line="560" w:lineRule="exact"/>
        <w:ind w:firstLine="562" w:firstLineChars="17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2、招标说明</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2.1本招标项目按照《中华人民共和国招标投标法》等有关法律、行政法规和部门规章，采取邀请招标的办法，以便能选择有经验、有实力、社会信誉好的咨询单位承接本次招标内容咨询服务。</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2.2项目概况</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2.2.1项目名称：</w:t>
      </w:r>
      <w:r>
        <w:rPr>
          <w:rFonts w:hint="eastAsia" w:ascii="仿宋_GB2312" w:hAnsi="仿宋_GB2312" w:eastAsia="仿宋_GB2312" w:cs="仿宋_GB2312"/>
          <w:bCs/>
          <w:sz w:val="32"/>
          <w:szCs w:val="32"/>
        </w:rPr>
        <w:t>广州南沙湿地旅游发展有限公司饭餐供应项目</w:t>
      </w:r>
      <w:r>
        <w:rPr>
          <w:rFonts w:hint="eastAsia" w:ascii="仿宋_GB2312" w:hAnsi="仿宋_GB2312" w:eastAsia="仿宋_GB2312" w:cs="仿宋_GB2312"/>
          <w:sz w:val="32"/>
          <w:szCs w:val="32"/>
        </w:rPr>
        <w:t>。</w:t>
      </w:r>
    </w:p>
    <w:p>
      <w:pPr>
        <w:tabs>
          <w:tab w:val="left" w:pos="1050"/>
        </w:tabs>
        <w:spacing w:line="560" w:lineRule="exact"/>
        <w:ind w:firstLine="560" w:firstLineChars="175"/>
        <w:rPr>
          <w:rFonts w:ascii="仿宋_GB2312" w:hAnsi="仿宋_GB2312" w:eastAsia="仿宋_GB2312" w:cs="仿宋_GB2312"/>
          <w:color w:val="000000" w:themeColor="text1"/>
          <w:sz w:val="32"/>
          <w:szCs w:val="32"/>
        </w:rPr>
      </w:pPr>
      <w:r>
        <w:rPr>
          <w:rFonts w:hint="eastAsia" w:ascii="仿宋_GB2312" w:hAnsi="仿宋_GB2312" w:eastAsia="仿宋_GB2312" w:cs="仿宋_GB2312"/>
          <w:sz w:val="32"/>
          <w:szCs w:val="32"/>
        </w:rPr>
        <w:t>2.2.2 服务内容</w:t>
      </w:r>
      <w:r>
        <w:rPr>
          <w:rFonts w:hint="eastAsia" w:ascii="仿宋_GB2312" w:hAnsi="仿宋_GB2312" w:eastAsia="仿宋_GB2312" w:cs="仿宋_GB2312"/>
          <w:color w:val="000000" w:themeColor="text1"/>
          <w:sz w:val="32"/>
          <w:szCs w:val="32"/>
        </w:rPr>
        <w:t>：详见招标文件第六章</w:t>
      </w:r>
      <w:r>
        <w:rPr>
          <w:rFonts w:hint="eastAsia" w:ascii="仿宋_GB2312" w:hAnsi="仿宋_GB2312" w:eastAsia="仿宋_GB2312" w:cs="仿宋_GB2312"/>
          <w:color w:val="000000" w:themeColor="text1"/>
          <w:sz w:val="32"/>
          <w:szCs w:val="32"/>
          <w:lang w:val="zh-CN"/>
        </w:rPr>
        <w:t>任务</w:t>
      </w:r>
      <w:r>
        <w:rPr>
          <w:rFonts w:hint="eastAsia" w:ascii="仿宋_GB2312" w:hAnsi="仿宋_GB2312" w:eastAsia="仿宋_GB2312" w:cs="仿宋_GB2312"/>
          <w:color w:val="000000" w:themeColor="text1"/>
          <w:sz w:val="32"/>
          <w:szCs w:val="32"/>
        </w:rPr>
        <w:t>书。</w:t>
      </w:r>
    </w:p>
    <w:p>
      <w:pPr>
        <w:tabs>
          <w:tab w:val="left" w:pos="1050"/>
        </w:tabs>
        <w:spacing w:line="560" w:lineRule="exact"/>
        <w:ind w:firstLine="562" w:firstLineChars="17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3、投标报价</w:t>
      </w:r>
    </w:p>
    <w:p>
      <w:pPr>
        <w:tabs>
          <w:tab w:val="left" w:pos="1050"/>
        </w:tabs>
        <w:spacing w:line="560" w:lineRule="exact"/>
        <w:ind w:firstLine="560" w:firstLineChars="175"/>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本项目最高限价为：</w:t>
      </w:r>
      <w:r>
        <w:rPr>
          <w:rFonts w:ascii="仿宋_GB2312" w:hAnsi="仿宋_GB2312" w:eastAsia="仿宋_GB2312" w:cs="仿宋_GB2312"/>
          <w:sz w:val="32"/>
          <w:szCs w:val="32"/>
          <w:lang w:val="zh-CN"/>
        </w:rPr>
        <w:t>人民币</w:t>
      </w:r>
      <w:r>
        <w:rPr>
          <w:rFonts w:hint="eastAsia" w:ascii="仿宋_GB2312" w:hAnsi="仿宋_GB2312" w:eastAsia="仿宋_GB2312" w:cs="仿宋_GB2312"/>
          <w:sz w:val="32"/>
          <w:szCs w:val="32"/>
        </w:rPr>
        <w:t>30</w:t>
      </w:r>
      <w:r>
        <w:rPr>
          <w:rFonts w:ascii="仿宋_GB2312" w:hAnsi="仿宋_GB2312" w:eastAsia="仿宋_GB2312" w:cs="仿宋_GB2312"/>
          <w:sz w:val="32"/>
          <w:szCs w:val="32"/>
          <w:lang w:val="zh-CN"/>
        </w:rPr>
        <w:t>元</w:t>
      </w:r>
      <w:r>
        <w:rPr>
          <w:rFonts w:hint="eastAsia" w:ascii="仿宋_GB2312" w:hAnsi="仿宋_GB2312" w:eastAsia="仿宋_GB2312" w:cs="仿宋_GB2312"/>
          <w:sz w:val="32"/>
          <w:szCs w:val="32"/>
          <w:lang w:val="zh-CN"/>
        </w:rPr>
        <w:t>/份（</w:t>
      </w:r>
      <w:r>
        <w:rPr>
          <w:rFonts w:hint="eastAsia" w:ascii="仿宋_GB2312" w:hAnsi="仿宋_GB2312" w:eastAsia="仿宋_GB2312" w:cs="仿宋_GB2312"/>
          <w:sz w:val="32"/>
          <w:szCs w:val="32"/>
        </w:rPr>
        <w:t>含税</w:t>
      </w:r>
      <w:r>
        <w:rPr>
          <w:rFonts w:hint="eastAsia" w:ascii="仿宋_GB2312" w:hAnsi="仿宋_GB2312" w:eastAsia="仿宋_GB2312" w:cs="仿宋_GB2312"/>
          <w:sz w:val="32"/>
          <w:szCs w:val="32"/>
          <w:lang w:val="zh-CN"/>
        </w:rPr>
        <w:t>）。</w:t>
      </w:r>
    </w:p>
    <w:p>
      <w:pPr>
        <w:tabs>
          <w:tab w:val="left" w:pos="1050"/>
        </w:tabs>
        <w:spacing w:line="560" w:lineRule="exact"/>
        <w:ind w:firstLine="562" w:firstLineChars="175"/>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4、投标费用</w:t>
      </w:r>
    </w:p>
    <w:p>
      <w:pPr>
        <w:tabs>
          <w:tab w:val="left" w:pos="1050"/>
        </w:tabs>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4.1 不论投标结果如何，投标人应自行承担所有参加本项目投标的所有费用，招标人对上述费用不负任何责任。</w:t>
      </w:r>
      <w:bookmarkStart w:id="26" w:name="_Toc101777613"/>
    </w:p>
    <w:p>
      <w:p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bookmarkStart w:id="27" w:name="_Toc413933179"/>
      <w:bookmarkStart w:id="28" w:name="_Toc413933286"/>
      <w:bookmarkStart w:id="29" w:name="_Toc242005121"/>
      <w:bookmarkStart w:id="30" w:name="_Toc14845"/>
      <w:r>
        <w:rPr>
          <w:rFonts w:hint="eastAsia" w:ascii="黑体" w:hAnsi="黑体" w:eastAsia="黑体" w:cs="黑体"/>
          <w:bCs/>
          <w:color w:val="000000" w:themeColor="text1"/>
          <w:sz w:val="32"/>
          <w:szCs w:val="32"/>
          <w14:textFill>
            <w14:solidFill>
              <w14:schemeClr w14:val="tx1"/>
            </w14:solidFill>
          </w14:textFill>
        </w:rPr>
        <w:t>5、投标保证金</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1、投标人应交纳投标保证金：人民币叁仟元整。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2、不接受现金、支票及汇票方式提交的投标保证金。投标保</w:t>
      </w:r>
      <w:r>
        <w:rPr>
          <w:rFonts w:hint="eastAsia" w:ascii="仿宋_GB2312" w:hAnsi="仿宋_GB2312" w:eastAsia="仿宋_GB2312" w:cs="仿宋_GB2312"/>
          <w:sz w:val="32"/>
          <w:szCs w:val="32"/>
        </w:rPr>
        <w:t>证金一般应以投标人的名义转账，否则应出具投标人授权书。投标保证金应在投标截止日的前一个工作日到达下述账户（以银行提供的已到账名单为准）：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开户名：广州南沙湿地旅游发展有限公司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开户行：农商银行广东省广州新垦十四冲支行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银行账号：05621949000000074</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并请注明“</w:t>
      </w:r>
      <w:r>
        <w:rPr>
          <w:rFonts w:hint="eastAsia" w:ascii="仿宋_GB2312" w:hAnsi="仿宋_GB2312" w:eastAsia="仿宋_GB2312" w:cs="仿宋_GB2312"/>
          <w:bCs/>
          <w:sz w:val="32"/>
          <w:szCs w:val="32"/>
        </w:rPr>
        <w:t>广州南沙湿地旅游发展有限公司饭餐供应项目</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3、投标保证金到账情况查询电话：020-39081220；投标保证金退还情况查询电话：020-84956933。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投标时凭已盖章的银行进账单原件（原件验证完毕当场退回）及其复印件领取投标保证金收据，凭银行进账单原件、授权委托书、身份证原件递交投标文件。如投标人没带银行进账单原件，招标人有权选择拒绝其投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在确定中标单位后五个工作日内，无息退回未中标单位的投标保证金；中标单位在中标后，其投标保证金转为履约保证金，签订合同后五个工作日内无息退还履约保证金；在投标有效期内不能确定中标单位的，在投标有效期满后五个工作日内，无息退回所有投标人的投标保证金。招标失败的项目，在招标结果公告后五个工作日内，无息退回所有投标人的投标保证金。招标人将投标保证金自动划回投标人缴纳投标保证金的银行账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6、下列任何一种情况发生时，投标保证金将不予退回：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(1)投标人在招标文件中规定的投标截止日期的投标有效期内撤回其投标；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(2)中标单位无正当理由未能在规定期限内签订合同；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(3)中标单位无正当理由放弃中标的。</w:t>
      </w:r>
    </w:p>
    <w:p>
      <w:pPr>
        <w:keepNext/>
        <w:keepLines/>
        <w:spacing w:line="560" w:lineRule="exact"/>
        <w:ind w:left="454" w:hanging="454"/>
        <w:jc w:val="center"/>
        <w:outlineLvl w:val="1"/>
        <w:rPr>
          <w:rFonts w:ascii="仿宋_GB2312" w:hAnsi="宋体" w:eastAsia="仿宋_GB2312" w:cs="Times New Roman"/>
          <w:b/>
          <w:kern w:val="28"/>
          <w:sz w:val="32"/>
          <w:szCs w:val="32"/>
        </w:rPr>
      </w:pPr>
      <w:bookmarkStart w:id="31" w:name="_Toc16238372"/>
      <w:r>
        <w:rPr>
          <w:rFonts w:hint="eastAsia" w:ascii="仿宋_GB2312" w:hAnsi="宋体" w:eastAsia="仿宋_GB2312" w:cs="Times New Roman"/>
          <w:b/>
          <w:kern w:val="28"/>
          <w:sz w:val="32"/>
          <w:szCs w:val="32"/>
        </w:rPr>
        <w:t>二、招标</w:t>
      </w:r>
      <w:bookmarkStart w:id="32" w:name="_Hlt216373250"/>
      <w:r>
        <w:rPr>
          <w:rFonts w:hint="eastAsia" w:ascii="仿宋_GB2312" w:hAnsi="宋体" w:eastAsia="仿宋_GB2312" w:cs="Times New Roman"/>
          <w:b/>
          <w:kern w:val="28"/>
          <w:sz w:val="32"/>
          <w:szCs w:val="32"/>
        </w:rPr>
        <w:t>文</w:t>
      </w:r>
      <w:bookmarkEnd w:id="32"/>
      <w:r>
        <w:rPr>
          <w:rFonts w:hint="eastAsia" w:ascii="仿宋_GB2312" w:hAnsi="宋体" w:eastAsia="仿宋_GB2312" w:cs="Times New Roman"/>
          <w:b/>
          <w:kern w:val="28"/>
          <w:sz w:val="32"/>
          <w:szCs w:val="32"/>
        </w:rPr>
        <w:t>件</w:t>
      </w:r>
      <w:bookmarkEnd w:id="26"/>
      <w:bookmarkEnd w:id="27"/>
      <w:bookmarkEnd w:id="28"/>
      <w:bookmarkEnd w:id="29"/>
      <w:bookmarkEnd w:id="30"/>
      <w:bookmarkEnd w:id="31"/>
    </w:p>
    <w:p>
      <w:pPr>
        <w:spacing w:line="560" w:lineRule="exact"/>
        <w:ind w:left="480"/>
        <w:rPr>
          <w:rFonts w:ascii="仿宋_GB2312" w:eastAsia="仿宋_GB2312"/>
          <w:b/>
          <w:bCs/>
          <w:sz w:val="32"/>
          <w:szCs w:val="32"/>
        </w:rPr>
      </w:pPr>
      <w:r>
        <w:rPr>
          <w:rFonts w:hint="eastAsia" w:ascii="仿宋_GB2312" w:hAnsi="宋体" w:eastAsia="仿宋_GB2312"/>
          <w:b/>
          <w:sz w:val="32"/>
          <w:szCs w:val="32"/>
        </w:rPr>
        <w:t>6、招标文件的组成</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本招标文件包括下列文件，以及所有招标答疑文件和澄清或修改：</w:t>
      </w:r>
    </w:p>
    <w:p>
      <w:pPr>
        <w:numPr>
          <w:ilvl w:val="0"/>
          <w:numId w:val="2"/>
        </w:numPr>
        <w:spacing w:line="560" w:lineRule="exact"/>
        <w:ind w:left="-2" w:leftChars="-1" w:firstLine="1600" w:firstLineChars="500"/>
        <w:rPr>
          <w:rFonts w:ascii="仿宋_GB2312" w:hAnsi="宋体" w:eastAsia="仿宋_GB2312"/>
          <w:bCs/>
          <w:sz w:val="32"/>
          <w:szCs w:val="32"/>
        </w:rPr>
      </w:pPr>
      <w:r>
        <w:rPr>
          <w:rFonts w:hint="eastAsia" w:ascii="仿宋_GB2312" w:hAnsi="宋体" w:eastAsia="仿宋_GB2312"/>
          <w:bCs/>
          <w:sz w:val="32"/>
          <w:szCs w:val="32"/>
        </w:rPr>
        <w:t xml:space="preserve"> 投标邀请函</w:t>
      </w:r>
    </w:p>
    <w:p>
      <w:pPr>
        <w:numPr>
          <w:ilvl w:val="0"/>
          <w:numId w:val="2"/>
        </w:numPr>
        <w:spacing w:line="560" w:lineRule="exact"/>
        <w:ind w:left="-2" w:leftChars="-1" w:firstLine="1600" w:firstLineChars="500"/>
        <w:rPr>
          <w:rFonts w:ascii="仿宋_GB2312" w:eastAsia="仿宋_GB2312"/>
          <w:sz w:val="32"/>
          <w:szCs w:val="32"/>
        </w:rPr>
      </w:pPr>
      <w:r>
        <w:rPr>
          <w:rFonts w:hint="eastAsia" w:ascii="仿宋_GB2312" w:hAnsi="宋体" w:eastAsia="仿宋_GB2312"/>
          <w:sz w:val="32"/>
          <w:szCs w:val="32"/>
        </w:rPr>
        <w:t xml:space="preserve"> 投标须知</w:t>
      </w:r>
    </w:p>
    <w:p>
      <w:pPr>
        <w:spacing w:line="560" w:lineRule="exact"/>
        <w:ind w:left="-2" w:leftChars="-1" w:firstLine="1600" w:firstLineChars="500"/>
        <w:rPr>
          <w:rFonts w:ascii="仿宋_GB2312" w:eastAsia="仿宋_GB2312"/>
          <w:sz w:val="32"/>
          <w:szCs w:val="32"/>
        </w:rPr>
      </w:pPr>
      <w:r>
        <w:rPr>
          <w:rFonts w:hint="eastAsia" w:ascii="仿宋_GB2312" w:hAnsi="宋体" w:eastAsia="仿宋_GB2312"/>
          <w:bCs/>
          <w:sz w:val="32"/>
          <w:szCs w:val="32"/>
        </w:rPr>
        <w:t xml:space="preserve">第三章  </w:t>
      </w:r>
      <w:r>
        <w:rPr>
          <w:rFonts w:hint="eastAsia" w:ascii="仿宋_GB2312" w:hAnsi="宋体" w:eastAsia="仿宋_GB2312"/>
          <w:sz w:val="32"/>
          <w:szCs w:val="32"/>
        </w:rPr>
        <w:t>评标、定标及合同签订</w:t>
      </w:r>
    </w:p>
    <w:p>
      <w:pPr>
        <w:spacing w:line="560" w:lineRule="exact"/>
        <w:ind w:firstLine="1600" w:firstLineChars="500"/>
        <w:rPr>
          <w:rFonts w:ascii="仿宋_GB2312" w:hAnsi="宋体" w:eastAsia="仿宋_GB2312"/>
          <w:sz w:val="32"/>
          <w:szCs w:val="32"/>
        </w:rPr>
      </w:pPr>
      <w:r>
        <w:rPr>
          <w:rFonts w:hint="eastAsia" w:ascii="仿宋_GB2312" w:hAnsi="宋体" w:eastAsia="仿宋_GB2312"/>
          <w:sz w:val="32"/>
          <w:szCs w:val="32"/>
        </w:rPr>
        <w:t>第四章  合同条款</w:t>
      </w:r>
    </w:p>
    <w:p>
      <w:pPr>
        <w:spacing w:line="560" w:lineRule="exact"/>
        <w:ind w:firstLine="1600" w:firstLineChars="500"/>
        <w:rPr>
          <w:rFonts w:ascii="仿宋_GB2312" w:hAnsi="宋体" w:eastAsia="仿宋_GB2312"/>
          <w:sz w:val="32"/>
          <w:szCs w:val="32"/>
        </w:rPr>
      </w:pPr>
      <w:r>
        <w:rPr>
          <w:rFonts w:hint="eastAsia" w:ascii="仿宋_GB2312" w:hAnsi="宋体" w:eastAsia="仿宋_GB2312"/>
          <w:sz w:val="32"/>
          <w:szCs w:val="32"/>
        </w:rPr>
        <w:t>第五章  投标文件格式</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7、招标文件的澄清与修改</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招标文件发出后</w:t>
      </w:r>
      <w:r>
        <w:rPr>
          <w:rFonts w:hint="eastAsia" w:ascii="仿宋_GB2312" w:eastAsia="仿宋_GB2312"/>
          <w:sz w:val="32"/>
          <w:szCs w:val="32"/>
        </w:rPr>
        <w:t>,</w:t>
      </w:r>
      <w:r>
        <w:rPr>
          <w:rFonts w:hint="eastAsia" w:ascii="仿宋_GB2312" w:hAnsi="宋体" w:eastAsia="仿宋_GB2312"/>
          <w:sz w:val="32"/>
          <w:szCs w:val="32"/>
        </w:rPr>
        <w:t>在提交投标文件截止期5日前，招标人可对招标文件进行必要的澄清或修改。</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招标文件的修改将以书面形式发送给所有投标人，投标人应于收到该修改文件后24小时内，以书面形式给予确认，招标文件的修改内容作为招标文件的组成部分，具有约束作用。</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招标文件的澄清、修改、补充等内容均以书面形式明确的内容为准。当招标文件的澄清、修改、补充等在同一内容的表述不一致时，以最后发出的书面文件为准。</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pPr>
        <w:keepNext/>
        <w:keepLines/>
        <w:spacing w:line="560" w:lineRule="exact"/>
        <w:ind w:left="454" w:hanging="454"/>
        <w:jc w:val="center"/>
        <w:outlineLvl w:val="1"/>
        <w:rPr>
          <w:rFonts w:ascii="仿宋_GB2312" w:hAnsi="宋体" w:eastAsia="仿宋_GB2312" w:cs="Times New Roman"/>
          <w:b/>
          <w:kern w:val="28"/>
          <w:sz w:val="32"/>
          <w:szCs w:val="32"/>
        </w:rPr>
      </w:pPr>
      <w:bookmarkStart w:id="33" w:name="_Toc413933287"/>
      <w:bookmarkStart w:id="34" w:name="_Toc413933180"/>
      <w:bookmarkStart w:id="35" w:name="_Toc16238373"/>
      <w:bookmarkStart w:id="36" w:name="_Toc242005122"/>
      <w:bookmarkStart w:id="37" w:name="_Toc7679"/>
      <w:r>
        <w:rPr>
          <w:rFonts w:hint="eastAsia" w:ascii="仿宋_GB2312" w:hAnsi="宋体" w:eastAsia="仿宋_GB2312" w:cs="Times New Roman"/>
          <w:b/>
          <w:kern w:val="28"/>
          <w:sz w:val="32"/>
          <w:szCs w:val="32"/>
        </w:rPr>
        <w:t>三、投标文件的编制</w:t>
      </w:r>
      <w:bookmarkEnd w:id="33"/>
      <w:bookmarkEnd w:id="34"/>
      <w:bookmarkEnd w:id="35"/>
      <w:bookmarkEnd w:id="36"/>
      <w:bookmarkEnd w:id="37"/>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8、投标文件的语言及度量衡单位</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投标文件和与投标有关的所有文件均应使用中文。</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投标文件使用的度量衡单位，均采用中华人民共和国法定计量单位。</w:t>
      </w:r>
    </w:p>
    <w:p>
      <w:pPr>
        <w:spacing w:line="560" w:lineRule="exact"/>
        <w:ind w:firstLine="643" w:firstLineChars="200"/>
        <w:rPr>
          <w:rFonts w:ascii="仿宋_GB2312" w:eastAsia="仿宋_GB2312"/>
          <w:b/>
          <w:bCs/>
          <w:sz w:val="32"/>
          <w:szCs w:val="32"/>
        </w:rPr>
      </w:pPr>
      <w:bookmarkStart w:id="38" w:name="_Toc101777616"/>
      <w:r>
        <w:rPr>
          <w:rFonts w:hint="eastAsia" w:ascii="仿宋_GB2312" w:hAnsi="宋体" w:eastAsia="仿宋_GB2312"/>
          <w:b/>
          <w:bCs/>
          <w:sz w:val="32"/>
          <w:szCs w:val="32"/>
        </w:rPr>
        <w:t>9、投标文件的组成与排序</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9.1 封面</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9.2目录</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9.3 资格文件，包括：</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投标人必须具有有效的工商部门注册的餐饮营业执照、卫生部门下发的卫生许可证能承担法律责任能力。</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9.4商务文件，包括：</w:t>
      </w:r>
    </w:p>
    <w:p>
      <w:pPr>
        <w:widowControl/>
        <w:numPr>
          <w:ilvl w:val="0"/>
          <w:numId w:val="3"/>
        </w:numPr>
        <w:tabs>
          <w:tab w:val="left" w:pos="0"/>
        </w:tabs>
        <w:snapToGrid w:val="0"/>
        <w:spacing w:line="560" w:lineRule="exact"/>
        <w:ind w:left="0" w:firstLine="640"/>
        <w:jc w:val="left"/>
        <w:rPr>
          <w:rFonts w:ascii="仿宋_GB2312" w:hAnsi="宋体" w:eastAsia="仿宋_GB2312"/>
          <w:sz w:val="32"/>
          <w:szCs w:val="32"/>
        </w:rPr>
      </w:pPr>
      <w:r>
        <w:rPr>
          <w:rFonts w:hint="eastAsia" w:ascii="仿宋_GB2312" w:hAnsi="宋体" w:eastAsia="仿宋_GB2312"/>
          <w:sz w:val="32"/>
          <w:szCs w:val="32"/>
        </w:rPr>
        <w:t>投标函；</w:t>
      </w:r>
    </w:p>
    <w:p>
      <w:pPr>
        <w:widowControl/>
        <w:numPr>
          <w:ilvl w:val="0"/>
          <w:numId w:val="3"/>
        </w:numPr>
        <w:tabs>
          <w:tab w:val="left" w:pos="1134"/>
        </w:tabs>
        <w:snapToGrid w:val="0"/>
        <w:spacing w:line="560" w:lineRule="exact"/>
        <w:ind w:hanging="213"/>
        <w:jc w:val="left"/>
        <w:rPr>
          <w:rFonts w:ascii="仿宋_GB2312" w:hAnsi="宋体" w:eastAsia="仿宋_GB2312"/>
          <w:sz w:val="32"/>
          <w:szCs w:val="32"/>
        </w:rPr>
      </w:pPr>
      <w:r>
        <w:rPr>
          <w:rFonts w:hint="eastAsia" w:ascii="仿宋_GB2312" w:hAnsi="宋体" w:eastAsia="仿宋_GB2312"/>
          <w:sz w:val="32"/>
          <w:szCs w:val="32"/>
        </w:rPr>
        <w:t>投标人简介；</w:t>
      </w:r>
    </w:p>
    <w:p>
      <w:pPr>
        <w:widowControl/>
        <w:numPr>
          <w:ilvl w:val="0"/>
          <w:numId w:val="3"/>
        </w:numPr>
        <w:tabs>
          <w:tab w:val="left" w:pos="1134"/>
        </w:tabs>
        <w:snapToGrid w:val="0"/>
        <w:spacing w:line="560" w:lineRule="exact"/>
        <w:ind w:hanging="213"/>
        <w:jc w:val="left"/>
        <w:rPr>
          <w:rFonts w:ascii="仿宋_GB2312" w:hAnsi="宋体" w:eastAsia="仿宋_GB2312"/>
          <w:sz w:val="32"/>
          <w:szCs w:val="32"/>
        </w:rPr>
      </w:pPr>
      <w:r>
        <w:rPr>
          <w:rFonts w:hint="eastAsia" w:ascii="仿宋_GB2312" w:hAnsi="宋体" w:eastAsia="仿宋_GB2312"/>
          <w:sz w:val="32"/>
          <w:szCs w:val="32"/>
        </w:rPr>
        <w:t>其它证明公司现有实力的材料；</w:t>
      </w:r>
    </w:p>
    <w:p>
      <w:pPr>
        <w:widowControl/>
        <w:numPr>
          <w:ilvl w:val="0"/>
          <w:numId w:val="3"/>
        </w:numPr>
        <w:tabs>
          <w:tab w:val="left" w:pos="1134"/>
        </w:tabs>
        <w:snapToGrid w:val="0"/>
        <w:spacing w:line="560" w:lineRule="exact"/>
        <w:ind w:hanging="213"/>
        <w:jc w:val="left"/>
        <w:rPr>
          <w:rFonts w:ascii="仿宋_GB2312" w:hAnsi="宋体" w:eastAsia="仿宋_GB2312"/>
          <w:sz w:val="32"/>
          <w:szCs w:val="32"/>
        </w:rPr>
      </w:pPr>
      <w:r>
        <w:rPr>
          <w:rFonts w:hint="eastAsia" w:ascii="仿宋_GB2312" w:hAnsi="宋体" w:eastAsia="仿宋_GB2312"/>
          <w:sz w:val="32"/>
          <w:szCs w:val="32"/>
        </w:rPr>
        <w:t>投标人认为有必要提供的其它证明材料。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备注：以上证明材料必要时需提交原件核对。</w:t>
      </w:r>
    </w:p>
    <w:p>
      <w:pPr>
        <w:spacing w:line="560" w:lineRule="exact"/>
        <w:ind w:left="480"/>
        <w:rPr>
          <w:rFonts w:ascii="仿宋_GB2312" w:hAnsi="宋体" w:eastAsia="仿宋_GB2312"/>
          <w:b/>
          <w:bCs/>
          <w:sz w:val="32"/>
          <w:szCs w:val="32"/>
        </w:rPr>
      </w:pPr>
      <w:r>
        <w:rPr>
          <w:rFonts w:hint="eastAsia" w:ascii="仿宋_GB2312" w:hAnsi="宋体" w:eastAsia="仿宋_GB2312"/>
          <w:b/>
          <w:bCs/>
          <w:sz w:val="32"/>
          <w:szCs w:val="32"/>
        </w:rPr>
        <w:t>10、投标有效期</w:t>
      </w:r>
    </w:p>
    <w:p>
      <w:pPr>
        <w:spacing w:line="560" w:lineRule="exact"/>
        <w:ind w:left="480"/>
        <w:rPr>
          <w:rFonts w:ascii="仿宋_GB2312" w:hAnsi="宋体" w:eastAsia="仿宋_GB2312"/>
          <w:b/>
          <w:bCs/>
          <w:sz w:val="32"/>
          <w:szCs w:val="32"/>
        </w:rPr>
      </w:pPr>
      <w:r>
        <w:rPr>
          <w:rFonts w:hint="eastAsia" w:ascii="仿宋_GB2312" w:eastAsia="仿宋_GB2312"/>
          <w:sz w:val="32"/>
          <w:szCs w:val="32"/>
        </w:rPr>
        <w:t>投标截止之日起30天内。</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在特殊情况下，招标人在原定投标有效期内，可以根据需要以书面形式向投标人提出延长投标有效期的要求，对此要求投标人须以书面形式予以答复。</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11、投标文件的份数和签署</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投标人应提交投标文件正本1份，副本3份。</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投标文件的正本需打印，副本可以为正本的复印件，并应在投标文件封面的右上角清楚地注明“正本”或“副本”。正本和副本如有不一致之处，以正本为准。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各册独立装订的投标书必须加盖单位公章；</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如投标文件有修改，修改处应由投标人代表盖章并加盖单位公章。</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投标文件的规格：统一A4打印本(纸张大小超过A4纸的折叠成A4纸的规格)，纸质封面，封面标明文件题名、投标单位、投标时间，右上角标明正本（或副本）</w:t>
      </w:r>
      <w:r>
        <w:rPr>
          <w:rFonts w:hint="eastAsia" w:ascii="仿宋_GB2312" w:eastAsia="仿宋_GB2312"/>
          <w:sz w:val="32"/>
          <w:szCs w:val="32"/>
        </w:rPr>
        <w:t>,</w:t>
      </w:r>
      <w:r>
        <w:rPr>
          <w:rFonts w:hint="eastAsia" w:ascii="仿宋_GB2312" w:hAnsi="宋体" w:eastAsia="仿宋_GB2312"/>
          <w:sz w:val="32"/>
          <w:szCs w:val="32"/>
        </w:rPr>
        <w:t>使用书式装订，不得用活页装订，投标文件电子版一份，封面须盖单位公章。</w:t>
      </w:r>
    </w:p>
    <w:p>
      <w:pPr>
        <w:keepNext/>
        <w:keepLines/>
        <w:spacing w:line="560" w:lineRule="exact"/>
        <w:outlineLvl w:val="1"/>
        <w:rPr>
          <w:rFonts w:ascii="仿宋_GB2312" w:hAnsi="宋体" w:eastAsia="仿宋_GB2312" w:cs="Times New Roman"/>
          <w:b/>
          <w:kern w:val="28"/>
          <w:sz w:val="32"/>
          <w:szCs w:val="32"/>
        </w:rPr>
      </w:pPr>
      <w:bookmarkStart w:id="39" w:name="_Toc242005125"/>
      <w:bookmarkStart w:id="40" w:name="_Toc413933181"/>
      <w:bookmarkStart w:id="41" w:name="_Toc413933288"/>
      <w:bookmarkStart w:id="42" w:name="_Toc27242"/>
      <w:bookmarkStart w:id="43" w:name="_Toc16238374"/>
    </w:p>
    <w:p>
      <w:pPr>
        <w:pStyle w:val="2"/>
      </w:pPr>
    </w:p>
    <w:p>
      <w:pPr>
        <w:keepNext/>
        <w:keepLines/>
        <w:spacing w:line="560" w:lineRule="exact"/>
        <w:ind w:left="454" w:hanging="454"/>
        <w:jc w:val="center"/>
        <w:outlineLvl w:val="1"/>
        <w:rPr>
          <w:rFonts w:ascii="仿宋_GB2312" w:hAnsi="宋体" w:eastAsia="仿宋_GB2312" w:cs="Times New Roman"/>
          <w:b/>
          <w:kern w:val="28"/>
          <w:sz w:val="32"/>
          <w:szCs w:val="32"/>
        </w:rPr>
      </w:pPr>
      <w:r>
        <w:rPr>
          <w:rFonts w:hint="eastAsia" w:ascii="仿宋_GB2312" w:hAnsi="宋体" w:eastAsia="仿宋_GB2312" w:cs="Times New Roman"/>
          <w:b/>
          <w:kern w:val="28"/>
          <w:sz w:val="32"/>
          <w:szCs w:val="32"/>
        </w:rPr>
        <w:t>四、投标文件的提交</w:t>
      </w:r>
      <w:bookmarkEnd w:id="39"/>
      <w:bookmarkEnd w:id="40"/>
      <w:bookmarkEnd w:id="41"/>
      <w:bookmarkEnd w:id="42"/>
      <w:bookmarkEnd w:id="43"/>
    </w:p>
    <w:p>
      <w:pPr>
        <w:spacing w:line="560" w:lineRule="exact"/>
        <w:ind w:left="480"/>
        <w:rPr>
          <w:rFonts w:ascii="仿宋_GB2312" w:eastAsia="仿宋_GB2312"/>
          <w:b/>
          <w:bCs/>
          <w:sz w:val="32"/>
          <w:szCs w:val="32"/>
        </w:rPr>
      </w:pPr>
      <w:r>
        <w:rPr>
          <w:rFonts w:hint="eastAsia" w:ascii="仿宋_GB2312" w:eastAsia="仿宋_GB2312"/>
          <w:b/>
          <w:sz w:val="32"/>
          <w:szCs w:val="32"/>
        </w:rPr>
        <w:t>12、投标文件的包封、密封和标记</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投标人应按以下规定包封投标文件：</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所有投标文件合订在一起；</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投标文件的规格：大小统一为A4纸(纸张大小超过A4纸的折叠成A4纸的规格)；</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投标文件正本（1本）、副本（3本）一起包封为一包。</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投标文件的密封要求：投标人应确保投标文件密闭封装，封口加盖骑缝公章；</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投标文件的标记要求：封包上应具有以下标记：</w:t>
      </w:r>
    </w:p>
    <w:p>
      <w:pPr>
        <w:spacing w:line="560" w:lineRule="exact"/>
        <w:rPr>
          <w:rFonts w:ascii="仿宋_GB2312" w:eastAsia="仿宋_GB2312"/>
          <w:sz w:val="32"/>
          <w:szCs w:val="32"/>
          <w:shd w:val="clear" w:color="auto" w:fill="FFFFFF"/>
        </w:rPr>
      </w:pPr>
      <w:r>
        <w:rPr>
          <w:rFonts w:hint="eastAsia" w:ascii="仿宋_GB2312" w:hAnsi="宋体" w:eastAsia="仿宋_GB2312"/>
          <w:sz w:val="32"/>
          <w:szCs w:val="32"/>
        </w:rPr>
        <w:t>招标人名称：</w:t>
      </w:r>
    </w:p>
    <w:p>
      <w:pPr>
        <w:spacing w:line="560" w:lineRule="exact"/>
        <w:rPr>
          <w:rFonts w:ascii="仿宋_GB2312" w:eastAsia="仿宋_GB2312"/>
          <w:kern w:val="28"/>
          <w:sz w:val="32"/>
          <w:szCs w:val="32"/>
        </w:rPr>
      </w:pPr>
      <w:r>
        <w:rPr>
          <w:rFonts w:hint="eastAsia" w:ascii="仿宋_GB2312" w:hAnsi="宋体" w:eastAsia="仿宋_GB2312"/>
          <w:sz w:val="32"/>
          <w:szCs w:val="32"/>
        </w:rPr>
        <w:t>项目名称：</w:t>
      </w:r>
    </w:p>
    <w:p>
      <w:pPr>
        <w:spacing w:line="560" w:lineRule="exact"/>
        <w:rPr>
          <w:rFonts w:ascii="仿宋_GB2312" w:eastAsia="仿宋_GB2312"/>
          <w:sz w:val="32"/>
          <w:szCs w:val="32"/>
        </w:rPr>
      </w:pPr>
      <w:r>
        <w:rPr>
          <w:rFonts w:hint="eastAsia" w:ascii="仿宋_GB2312" w:hAnsi="宋体" w:eastAsia="仿宋_GB2312"/>
          <w:sz w:val="32"/>
          <w:szCs w:val="32"/>
        </w:rPr>
        <w:t>投标人名称：</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13、投标文件的提交</w:t>
      </w:r>
      <w:r>
        <w:rPr>
          <w:rFonts w:hint="eastAsia" w:ascii="仿宋_GB2312" w:eastAsia="仿宋_GB2312"/>
          <w:b/>
          <w:bCs/>
          <w:sz w:val="32"/>
          <w:szCs w:val="32"/>
        </w:rPr>
        <w:t>和截止时间</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投标人应按投标须知前附表所规定的时间和地点提交投标文件，并办理好送达签认手续。</w:t>
      </w:r>
    </w:p>
    <w:p>
      <w:pPr>
        <w:spacing w:line="560" w:lineRule="exact"/>
        <w:ind w:firstLine="640" w:firstLineChars="200"/>
        <w:rPr>
          <w:rFonts w:ascii="仿宋_GB2312" w:eastAsia="仿宋_GB2312"/>
          <w:b/>
          <w:bCs/>
          <w:sz w:val="32"/>
          <w:szCs w:val="32"/>
        </w:rPr>
      </w:pPr>
      <w:r>
        <w:rPr>
          <w:rFonts w:hint="eastAsia" w:ascii="仿宋_GB2312" w:eastAsia="仿宋_GB2312"/>
          <w:sz w:val="32"/>
          <w:szCs w:val="32"/>
        </w:rPr>
        <w:t>投标人所递交的投标文件不予退还。</w:t>
      </w:r>
    </w:p>
    <w:p>
      <w:pPr>
        <w:spacing w:line="560" w:lineRule="exact"/>
        <w:ind w:left="420"/>
        <w:jc w:val="left"/>
        <w:rPr>
          <w:rFonts w:ascii="仿宋_GB2312" w:eastAsia="仿宋_GB2312"/>
          <w:b/>
          <w:sz w:val="32"/>
          <w:szCs w:val="32"/>
        </w:rPr>
      </w:pPr>
      <w:r>
        <w:rPr>
          <w:rFonts w:hint="eastAsia" w:ascii="仿宋_GB2312" w:eastAsia="仿宋_GB2312"/>
          <w:b/>
          <w:sz w:val="32"/>
          <w:szCs w:val="32"/>
        </w:rPr>
        <w:t>14、投标文件的补充、修改与撤回</w:t>
      </w:r>
    </w:p>
    <w:p>
      <w:pPr>
        <w:spacing w:line="560" w:lineRule="exact"/>
        <w:ind w:firstLine="640" w:firstLineChars="200"/>
        <w:rPr>
          <w:rFonts w:ascii="仿宋_GB2312" w:eastAsia="仿宋_GB2312"/>
          <w:sz w:val="32"/>
          <w:szCs w:val="32"/>
          <w:shd w:val="clear" w:color="auto" w:fill="FFFFFF"/>
        </w:rPr>
      </w:pPr>
      <w:r>
        <w:rPr>
          <w:rFonts w:hint="eastAsia" w:ascii="仿宋_GB2312" w:hAnsi="宋体" w:eastAsia="仿宋_GB2312"/>
          <w:sz w:val="32"/>
          <w:szCs w:val="32"/>
        </w:rPr>
        <w:t>投标人在提交投标文件以后，在规定的投标截止时间之前，可以以书面形式补充修改或撤回已提交的投标文件，并以书面形式通知招标人。补充、修改的内容为投标文件的组成部分。</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在投标截止时间之后，投标人不得补充、修改投标文件。</w:t>
      </w:r>
    </w:p>
    <w:p>
      <w:pPr>
        <w:spacing w:line="360" w:lineRule="auto"/>
        <w:ind w:left="480" w:firstLine="480" w:firstLineChars="200"/>
        <w:jc w:val="left"/>
        <w:rPr>
          <w:rFonts w:eastAsia="宋体"/>
          <w:sz w:val="24"/>
          <w:szCs w:val="24"/>
        </w:rPr>
        <w:sectPr>
          <w:footerReference r:id="rId10" w:type="first"/>
          <w:footerReference r:id="rId9" w:type="default"/>
          <w:endnotePr>
            <w:numFmt w:val="decimal"/>
          </w:endnotePr>
          <w:pgSz w:w="11906" w:h="16838"/>
          <w:pgMar w:top="1247" w:right="1226" w:bottom="1247" w:left="1440" w:header="851" w:footer="748" w:gutter="0"/>
          <w:pgNumType w:start="1"/>
          <w:cols w:space="720" w:num="1"/>
          <w:titlePg/>
          <w:docGrid w:linePitch="312" w:charSpace="0"/>
        </w:sectPr>
      </w:pPr>
    </w:p>
    <w:bookmarkEnd w:id="38"/>
    <w:p>
      <w:pPr>
        <w:keepNext/>
        <w:keepLines/>
        <w:spacing w:before="120" w:after="120" w:line="360" w:lineRule="auto"/>
        <w:jc w:val="center"/>
        <w:outlineLvl w:val="0"/>
        <w:rPr>
          <w:rFonts w:ascii="Arial" w:hAnsi="Arial" w:eastAsia="黑体" w:cs="Times New Roman"/>
          <w:bCs/>
          <w:kern w:val="44"/>
          <w:sz w:val="36"/>
          <w:szCs w:val="36"/>
        </w:rPr>
      </w:pPr>
      <w:bookmarkStart w:id="44" w:name="_Toc24841"/>
      <w:bookmarkStart w:id="45" w:name="_Toc413933182"/>
      <w:bookmarkStart w:id="46" w:name="_Toc16238375"/>
      <w:bookmarkStart w:id="47" w:name="_Toc413933289"/>
      <w:bookmarkStart w:id="48" w:name="_Toc242005129"/>
      <w:bookmarkStart w:id="49" w:name="_Toc301212626"/>
      <w:r>
        <w:rPr>
          <w:rFonts w:hint="eastAsia" w:ascii="Arial" w:hAnsi="Arial" w:eastAsia="黑体" w:cs="Times New Roman"/>
          <w:bCs/>
          <w:kern w:val="44"/>
          <w:sz w:val="36"/>
          <w:szCs w:val="36"/>
        </w:rPr>
        <w:t>第三章评标、定标及合同签订</w:t>
      </w:r>
      <w:bookmarkEnd w:id="44"/>
      <w:bookmarkEnd w:id="45"/>
      <w:bookmarkEnd w:id="46"/>
      <w:bookmarkEnd w:id="47"/>
    </w:p>
    <w:p>
      <w:pPr>
        <w:keepNext/>
        <w:keepLines/>
        <w:spacing w:after="100" w:afterAutospacing="1" w:line="560" w:lineRule="exact"/>
        <w:ind w:left="454" w:hanging="454"/>
        <w:jc w:val="center"/>
        <w:outlineLvl w:val="1"/>
        <w:rPr>
          <w:rFonts w:ascii="仿宋_GB2312" w:hAnsi="宋体" w:eastAsia="仿宋_GB2312" w:cs="Times New Roman"/>
          <w:b/>
          <w:kern w:val="28"/>
          <w:sz w:val="32"/>
          <w:szCs w:val="32"/>
        </w:rPr>
      </w:pPr>
      <w:bookmarkStart w:id="50" w:name="_Toc413933183"/>
      <w:bookmarkStart w:id="51" w:name="_Toc23032"/>
      <w:bookmarkStart w:id="52" w:name="_Toc242005127"/>
      <w:bookmarkStart w:id="53" w:name="_Toc16238376"/>
      <w:bookmarkStart w:id="54" w:name="_Toc413933290"/>
      <w:r>
        <w:rPr>
          <w:rFonts w:hint="eastAsia" w:ascii="仿宋_GB2312" w:hAnsi="宋体" w:eastAsia="仿宋_GB2312" w:cs="Times New Roman"/>
          <w:b/>
          <w:kern w:val="28"/>
          <w:sz w:val="32"/>
          <w:szCs w:val="32"/>
        </w:rPr>
        <w:t>一、评标总则</w:t>
      </w:r>
      <w:bookmarkEnd w:id="50"/>
      <w:bookmarkEnd w:id="51"/>
      <w:bookmarkEnd w:id="52"/>
      <w:bookmarkEnd w:id="53"/>
      <w:bookmarkEnd w:id="54"/>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1、评标的组织</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评标由评标委员会负责。</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2、评标过程的保密</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属于对投标文件的审查、澄清、评价和比较有关的资料以及中标候选人的推荐情况，与评标有关的其他任何情况均严格保密。</w:t>
      </w:r>
    </w:p>
    <w:p>
      <w:pPr>
        <w:spacing w:line="560" w:lineRule="exact"/>
        <w:ind w:left="480"/>
        <w:rPr>
          <w:rFonts w:ascii="仿宋_GB2312" w:eastAsia="仿宋_GB2312"/>
          <w:b/>
          <w:bCs/>
          <w:sz w:val="32"/>
          <w:szCs w:val="32"/>
        </w:rPr>
      </w:pPr>
      <w:r>
        <w:rPr>
          <w:rFonts w:hint="eastAsia" w:ascii="仿宋_GB2312" w:eastAsia="仿宋_GB2312"/>
          <w:b/>
          <w:sz w:val="32"/>
          <w:szCs w:val="32"/>
        </w:rPr>
        <w:t>3、投标文件的澄清</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为有助于投标文件的审查、评价和比较，评标委员会可以以书面形式要求投标人对投标文件含义不明确的内容作必要的澄清或说明，投标人应书面形式进行澄清或说明，但不得超出投标文件的范围或改变投标文件的实质性内容。凡属于评标委员会在评标中发现的计算错误并进行核实的修改不在此列。</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4、定标</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招标人根据评标报告，最终审定中标人。</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招标人将于中标候选人公示结束后确定排名第一的中标候选人为中标人。</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排名第一的中标候选人放弃中标、因不可抗力提出不能履行合同，招标人可以确定排名第二的中标候选人为中标人。</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排名第二的中标候选人出现前款所列的情形的，招标人可以确定排名第三的中标候选人为中标人。以此类推，如所有中标候选人均出现前款所列的情形，则本次招标失败。</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招标人评定中标后，向中标的投标人发出书面的中标通知书。</w:t>
      </w:r>
    </w:p>
    <w:p>
      <w:pPr>
        <w:spacing w:line="560" w:lineRule="exact"/>
        <w:ind w:left="480"/>
        <w:rPr>
          <w:rFonts w:ascii="仿宋_GB2312" w:eastAsia="仿宋_GB2312"/>
          <w:b/>
          <w:bCs/>
          <w:sz w:val="32"/>
          <w:szCs w:val="32"/>
        </w:rPr>
      </w:pPr>
      <w:r>
        <w:rPr>
          <w:rFonts w:hint="eastAsia" w:ascii="仿宋_GB2312" w:hAnsi="宋体" w:eastAsia="仿宋_GB2312"/>
          <w:b/>
          <w:bCs/>
          <w:sz w:val="32"/>
          <w:szCs w:val="32"/>
        </w:rPr>
        <w:t>5、合同签订</w:t>
      </w:r>
    </w:p>
    <w:p>
      <w:pPr>
        <w:spacing w:line="560" w:lineRule="exact"/>
        <w:ind w:firstLine="640" w:firstLineChars="200"/>
        <w:rPr>
          <w:rFonts w:ascii="仿宋_GB2312" w:eastAsia="仿宋_GB2312"/>
          <w:sz w:val="32"/>
          <w:szCs w:val="32"/>
        </w:rPr>
      </w:pPr>
      <w:r>
        <w:rPr>
          <w:rFonts w:hint="eastAsia" w:ascii="仿宋_GB2312" w:hAnsi="宋体" w:eastAsia="仿宋_GB2312"/>
          <w:sz w:val="32"/>
          <w:szCs w:val="32"/>
        </w:rPr>
        <w:t>5.1招标人与中标人应于中标通知书发出之日起</w:t>
      </w:r>
      <w:r>
        <w:rPr>
          <w:rFonts w:hint="eastAsia" w:ascii="仿宋_GB2312" w:hAnsi="宋体" w:eastAsia="仿宋_GB2312"/>
          <w:b/>
          <w:bCs/>
          <w:sz w:val="32"/>
          <w:szCs w:val="32"/>
        </w:rPr>
        <w:t>10个日历日内</w:t>
      </w:r>
      <w:r>
        <w:rPr>
          <w:rFonts w:hint="eastAsia" w:ascii="仿宋_GB2312" w:hAnsi="宋体" w:eastAsia="仿宋_GB2312"/>
          <w:sz w:val="32"/>
          <w:szCs w:val="32"/>
        </w:rPr>
        <w:t>，按照招标文件和中标人的投标文件商定、签订合同，招标人与中标人不得再订立背离招标文件实质性内容的其他协议。</w:t>
      </w:r>
    </w:p>
    <w:p>
      <w:pPr>
        <w:spacing w:line="560" w:lineRule="exact"/>
        <w:ind w:firstLine="640" w:firstLineChars="200"/>
        <w:rPr>
          <w:rFonts w:ascii="仿宋_GB2312" w:hAnsi="宋体" w:eastAsia="仿宋_GB2312"/>
          <w:color w:val="2E75B5" w:themeColor="accent5" w:themeShade="BF"/>
          <w:sz w:val="32"/>
          <w:szCs w:val="32"/>
          <w:lang w:val="zh-CN"/>
        </w:rPr>
      </w:pPr>
      <w:r>
        <w:rPr>
          <w:rFonts w:hint="eastAsia" w:ascii="仿宋_GB2312" w:hAnsi="宋体" w:eastAsia="仿宋_GB2312"/>
          <w:color w:val="000000" w:themeColor="text1"/>
          <w:sz w:val="32"/>
          <w:szCs w:val="32"/>
        </w:rPr>
        <w:t>5.2</w:t>
      </w:r>
      <w:r>
        <w:rPr>
          <w:rFonts w:hint="eastAsia" w:ascii="仿宋_GB2312" w:hAnsi="仿宋_GB2312" w:eastAsia="仿宋_GB2312" w:cs="仿宋_GB2312"/>
          <w:color w:val="000000" w:themeColor="text1"/>
          <w:sz w:val="32"/>
          <w:szCs w:val="32"/>
        </w:rPr>
        <w:t>中标人如不按本招标文件本章第5.1款的规定与招标人订立合同，如将合同转包、转让的，则招标人将废除授标。</w:t>
      </w:r>
      <w:bookmarkStart w:id="55" w:name="_Toc221688758"/>
      <w:bookmarkStart w:id="56" w:name="_Toc242005128"/>
    </w:p>
    <w:p>
      <w:pPr>
        <w:keepNext/>
        <w:keepLines/>
        <w:spacing w:after="100" w:afterAutospacing="1" w:line="560" w:lineRule="exact"/>
        <w:jc w:val="center"/>
        <w:outlineLvl w:val="1"/>
        <w:rPr>
          <w:rFonts w:ascii="仿宋_GB2312" w:hAnsi="宋体" w:eastAsia="仿宋_GB2312" w:cs="Times New Roman"/>
          <w:b/>
          <w:kern w:val="28"/>
          <w:sz w:val="32"/>
          <w:szCs w:val="32"/>
        </w:rPr>
      </w:pPr>
      <w:bookmarkStart w:id="57" w:name="_Toc16238377"/>
      <w:bookmarkStart w:id="58" w:name="_Toc18296"/>
      <w:bookmarkStart w:id="59" w:name="_Toc413933291"/>
      <w:bookmarkStart w:id="60" w:name="_Toc413933184"/>
      <w:r>
        <w:rPr>
          <w:rFonts w:hint="eastAsia" w:ascii="仿宋_GB2312" w:hAnsi="宋体" w:eastAsia="仿宋_GB2312" w:cs="Times New Roman"/>
          <w:b/>
          <w:kern w:val="28"/>
          <w:sz w:val="32"/>
          <w:szCs w:val="32"/>
        </w:rPr>
        <w:t>二、评标方法</w:t>
      </w:r>
      <w:bookmarkEnd w:id="55"/>
      <w:bookmarkEnd w:id="56"/>
      <w:bookmarkEnd w:id="57"/>
      <w:bookmarkEnd w:id="58"/>
      <w:bookmarkEnd w:id="59"/>
      <w:bookmarkEnd w:id="60"/>
    </w:p>
    <w:p>
      <w:pPr>
        <w:spacing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6．评标委员会及其职责</w:t>
      </w:r>
    </w:p>
    <w:p>
      <w:pPr>
        <w:spacing w:line="560" w:lineRule="exact"/>
        <w:ind w:firstLine="640" w:firstLineChars="200"/>
        <w:rPr>
          <w:rFonts w:ascii="仿宋_GB2312" w:hAnsi="等线" w:eastAsia="仿宋_GB2312" w:cs="Times New Roman"/>
          <w:sz w:val="32"/>
          <w:szCs w:val="32"/>
        </w:rPr>
      </w:pPr>
      <w:r>
        <w:rPr>
          <w:rFonts w:hint="eastAsia" w:ascii="仿宋_GB2312" w:hAnsi="宋体" w:eastAsia="仿宋_GB2312" w:cs="Times New Roman"/>
          <w:sz w:val="32"/>
          <w:szCs w:val="32"/>
        </w:rPr>
        <w:t>6.1评标委员会由招标人依据公司招标管理规定组建</w:t>
      </w:r>
      <w:r>
        <w:rPr>
          <w:rFonts w:hint="eastAsia" w:ascii="仿宋_GB2312" w:hAnsi="宋体" w:eastAsia="仿宋_GB2312" w:cs="Times New Roman"/>
          <w:sz w:val="32"/>
          <w:szCs w:val="32"/>
          <w:u w:val="single"/>
        </w:rPr>
        <w:t xml:space="preserve"> 5 </w:t>
      </w:r>
      <w:r>
        <w:rPr>
          <w:rFonts w:hint="eastAsia" w:ascii="仿宋_GB2312" w:hAnsi="宋体" w:eastAsia="仿宋_GB2312" w:cs="Times New Roman"/>
          <w:sz w:val="32"/>
          <w:szCs w:val="32"/>
        </w:rPr>
        <w:t>名专家，负责评标活动。</w:t>
      </w:r>
    </w:p>
    <w:p>
      <w:pPr>
        <w:spacing w:line="560" w:lineRule="exact"/>
        <w:ind w:firstLine="640" w:firstLineChars="200"/>
        <w:rPr>
          <w:rFonts w:ascii="仿宋_GB2312" w:hAnsi="等线" w:eastAsia="仿宋_GB2312" w:cs="Times New Roman"/>
          <w:sz w:val="32"/>
          <w:szCs w:val="32"/>
        </w:rPr>
      </w:pPr>
      <w:r>
        <w:rPr>
          <w:rFonts w:hint="eastAsia" w:ascii="仿宋_GB2312" w:hAnsi="宋体" w:eastAsia="仿宋_GB2312" w:cs="Times New Roman"/>
          <w:sz w:val="32"/>
          <w:szCs w:val="32"/>
        </w:rPr>
        <w:t>6.2评标委员会应坚持“公开、公正、公平、诚信、科学、择优”的原则，根据评标办法，对投标文件进行认真评审，完成评标报告；向招标人报告评审意见，推荐综合得分由高至低排序的前一～三名为第一中标候选人、第二中标候选人和第三中标候选人。</w:t>
      </w:r>
    </w:p>
    <w:p>
      <w:pPr>
        <w:spacing w:beforeLines="50"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7.评标依据</w:t>
      </w:r>
    </w:p>
    <w:p>
      <w:pPr>
        <w:tabs>
          <w:tab w:val="left" w:pos="1620"/>
        </w:tabs>
        <w:snapToGrid w:val="0"/>
        <w:spacing w:line="560" w:lineRule="exact"/>
        <w:ind w:firstLine="640" w:firstLineChars="200"/>
        <w:rPr>
          <w:rFonts w:ascii="仿宋_GB2312" w:hAnsi="等线" w:eastAsia="仿宋_GB2312" w:cs="Times New Roman"/>
          <w:kern w:val="0"/>
          <w:sz w:val="32"/>
          <w:szCs w:val="32"/>
        </w:rPr>
      </w:pPr>
      <w:r>
        <w:rPr>
          <w:rFonts w:hint="eastAsia" w:ascii="仿宋_GB2312" w:hAnsi="宋体" w:eastAsia="仿宋_GB2312" w:cs="Times New Roman"/>
          <w:kern w:val="0"/>
          <w:sz w:val="32"/>
          <w:szCs w:val="32"/>
        </w:rPr>
        <w:t>7</w:t>
      </w:r>
      <w:r>
        <w:rPr>
          <w:rFonts w:hint="eastAsia" w:ascii="仿宋_GB2312" w:hAnsi="等线" w:eastAsia="仿宋_GB2312" w:cs="Times New Roman"/>
          <w:kern w:val="0"/>
          <w:sz w:val="32"/>
          <w:szCs w:val="32"/>
        </w:rPr>
        <w:t>.</w:t>
      </w:r>
      <w:r>
        <w:rPr>
          <w:rFonts w:hint="eastAsia" w:ascii="仿宋_GB2312" w:hAnsi="宋体" w:eastAsia="仿宋_GB2312" w:cs="Times New Roman"/>
          <w:kern w:val="0"/>
          <w:sz w:val="32"/>
          <w:szCs w:val="32"/>
        </w:rPr>
        <w:t>1本招标项目的招标文件；</w:t>
      </w:r>
    </w:p>
    <w:p>
      <w:pPr>
        <w:tabs>
          <w:tab w:val="left" w:pos="1620"/>
        </w:tabs>
        <w:snapToGrid w:val="0"/>
        <w:spacing w:line="560" w:lineRule="exact"/>
        <w:ind w:firstLine="640" w:firstLineChars="200"/>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7</w:t>
      </w:r>
      <w:r>
        <w:rPr>
          <w:rFonts w:hint="eastAsia" w:ascii="仿宋_GB2312" w:hAnsi="等线" w:eastAsia="仿宋_GB2312" w:cs="Times New Roman"/>
          <w:kern w:val="0"/>
          <w:sz w:val="32"/>
          <w:szCs w:val="32"/>
        </w:rPr>
        <w:t>.</w:t>
      </w:r>
      <w:r>
        <w:rPr>
          <w:rFonts w:hint="eastAsia" w:ascii="仿宋_GB2312" w:hAnsi="宋体" w:eastAsia="仿宋_GB2312" w:cs="Times New Roman"/>
          <w:kern w:val="0"/>
          <w:sz w:val="32"/>
          <w:szCs w:val="32"/>
        </w:rPr>
        <w:t>2各级行政主管部门颁发的有关招投标相关法律法规；</w:t>
      </w:r>
    </w:p>
    <w:p>
      <w:pPr>
        <w:tabs>
          <w:tab w:val="left" w:pos="1620"/>
        </w:tabs>
        <w:snapToGrid w:val="0"/>
        <w:spacing w:line="560" w:lineRule="exact"/>
        <w:ind w:firstLine="640" w:firstLineChars="200"/>
        <w:rPr>
          <w:rFonts w:ascii="仿宋_GB2312" w:hAnsi="等线" w:eastAsia="仿宋_GB2312" w:cs="Times New Roman"/>
          <w:kern w:val="0"/>
          <w:sz w:val="32"/>
          <w:szCs w:val="32"/>
        </w:rPr>
      </w:pPr>
      <w:r>
        <w:rPr>
          <w:rFonts w:hint="eastAsia" w:ascii="仿宋_GB2312" w:hAnsi="宋体" w:eastAsia="仿宋_GB2312" w:cs="Times New Roman"/>
          <w:kern w:val="0"/>
          <w:sz w:val="32"/>
          <w:szCs w:val="32"/>
        </w:rPr>
        <w:t>7.3 招标人依法制定的公司招投标相关管理办法。</w:t>
      </w:r>
    </w:p>
    <w:p>
      <w:pPr>
        <w:spacing w:beforeLines="50" w:line="560" w:lineRule="exact"/>
        <w:ind w:firstLine="482" w:firstLineChars="150"/>
        <w:rPr>
          <w:rFonts w:ascii="仿宋_GB2312" w:hAnsi="等线" w:eastAsia="仿宋_GB2312" w:cs="Times New Roman"/>
          <w:b/>
          <w:sz w:val="32"/>
          <w:szCs w:val="32"/>
        </w:rPr>
      </w:pPr>
      <w:r>
        <w:rPr>
          <w:rFonts w:hint="eastAsia" w:ascii="仿宋_GB2312" w:hAnsi="等线" w:eastAsia="仿宋_GB2312" w:cs="Times New Roman"/>
          <w:b/>
          <w:sz w:val="32"/>
          <w:szCs w:val="32"/>
        </w:rPr>
        <w:t xml:space="preserve"> 8. 评标专家守则</w:t>
      </w:r>
    </w:p>
    <w:p>
      <w:pPr>
        <w:spacing w:line="560" w:lineRule="exact"/>
        <w:ind w:firstLine="480" w:firstLineChars="150"/>
        <w:rPr>
          <w:rFonts w:ascii="仿宋_GB2312" w:hAnsi="等线" w:eastAsia="仿宋_GB2312" w:cs="Times New Roman"/>
          <w:sz w:val="32"/>
          <w:szCs w:val="32"/>
        </w:rPr>
      </w:pPr>
      <w:r>
        <w:rPr>
          <w:rFonts w:hint="eastAsia" w:ascii="仿宋_GB2312" w:hAnsi="等线" w:eastAsia="仿宋_GB2312" w:cs="Times New Roman"/>
          <w:sz w:val="32"/>
          <w:szCs w:val="32"/>
        </w:rPr>
        <w:t xml:space="preserve"> 所有参加评标的专家必须遵守国家、地方政府制定的有关招标投标的法则、规定，遵守有关招标投标的保密制度；如有违反者，给予行政处分。</w:t>
      </w:r>
    </w:p>
    <w:p>
      <w:pPr>
        <w:spacing w:beforeLines="50"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9. 开、评标程序</w:t>
      </w:r>
    </w:p>
    <w:p>
      <w:pPr>
        <w:snapToGrid w:val="0"/>
        <w:spacing w:line="560" w:lineRule="exact"/>
        <w:ind w:firstLine="697" w:firstLineChars="218"/>
        <w:rPr>
          <w:rFonts w:ascii="仿宋_GB2312" w:hAnsi="等线" w:eastAsia="仿宋_GB2312" w:cs="Times New Roman"/>
          <w:sz w:val="32"/>
          <w:szCs w:val="32"/>
        </w:rPr>
      </w:pPr>
      <w:r>
        <w:rPr>
          <w:rFonts w:hint="eastAsia" w:ascii="仿宋_GB2312" w:hAnsi="等线" w:eastAsia="仿宋_GB2312" w:cs="Times New Roman"/>
          <w:sz w:val="32"/>
          <w:szCs w:val="32"/>
        </w:rPr>
        <w:t>9.1开标程序：</w:t>
      </w:r>
    </w:p>
    <w:p>
      <w:pPr>
        <w:snapToGrid w:val="0"/>
        <w:spacing w:line="560" w:lineRule="exact"/>
        <w:ind w:firstLine="697" w:firstLineChars="218"/>
        <w:rPr>
          <w:rFonts w:ascii="仿宋_GB2312" w:hAnsi="等线" w:eastAsia="仿宋_GB2312" w:cs="Times New Roman"/>
          <w:sz w:val="32"/>
          <w:szCs w:val="32"/>
        </w:rPr>
      </w:pPr>
      <w:r>
        <w:rPr>
          <w:rFonts w:hint="eastAsia" w:ascii="仿宋_GB2312" w:hAnsi="宋体" w:eastAsia="仿宋_GB2312" w:cs="Times New Roman"/>
          <w:sz w:val="32"/>
          <w:szCs w:val="32"/>
        </w:rPr>
        <w:t>9.1.1开标由招标人代表主持；</w:t>
      </w:r>
    </w:p>
    <w:p>
      <w:pPr>
        <w:spacing w:line="560" w:lineRule="exact"/>
        <w:ind w:firstLine="697" w:firstLineChars="218"/>
        <w:rPr>
          <w:rFonts w:ascii="仿宋_GB2312" w:eastAsia="仿宋_GB2312"/>
          <w:sz w:val="32"/>
          <w:szCs w:val="32"/>
        </w:rPr>
      </w:pPr>
      <w:r>
        <w:rPr>
          <w:rFonts w:hint="eastAsia" w:ascii="仿宋_GB2312" w:hAnsi="宋体" w:eastAsia="仿宋_GB2312"/>
          <w:sz w:val="32"/>
          <w:szCs w:val="32"/>
        </w:rPr>
        <w:t>9.1.2 由招标人代表检查投标文件的密封情况；</w:t>
      </w:r>
    </w:p>
    <w:p>
      <w:pPr>
        <w:spacing w:line="560" w:lineRule="exact"/>
        <w:ind w:firstLine="697" w:firstLineChars="218"/>
        <w:rPr>
          <w:rFonts w:ascii="仿宋_GB2312" w:hAnsi="宋体" w:eastAsia="仿宋_GB2312"/>
          <w:sz w:val="32"/>
          <w:szCs w:val="32"/>
        </w:rPr>
      </w:pPr>
      <w:r>
        <w:rPr>
          <w:rFonts w:hint="eastAsia" w:ascii="仿宋_GB2312" w:hAnsi="宋体" w:eastAsia="仿宋_GB2312"/>
          <w:sz w:val="32"/>
          <w:szCs w:val="32"/>
        </w:rPr>
        <w:t>9.1.3投标截止期前，投标人为个体工商户的，须经营者本人或其有效授权委托人（有授权委托证明书）携带本人身份证原件参与投标。投标人为法人单位的，须法定代表人或其有效授权委托人凭法定代表人证明书（原件）、法定代表人授权委托证明书（原件）及本人身份证（原件），各投标人递交投标文件至招标文件规定的投标地点。招标人进行检验确认有效后，才接收其投标文件；</w:t>
      </w:r>
    </w:p>
    <w:p>
      <w:pPr>
        <w:spacing w:line="560" w:lineRule="exact"/>
        <w:ind w:firstLine="697" w:firstLineChars="218"/>
        <w:rPr>
          <w:rFonts w:ascii="仿宋_GB2312" w:eastAsia="仿宋_GB2312"/>
          <w:sz w:val="32"/>
          <w:szCs w:val="32"/>
        </w:rPr>
      </w:pPr>
      <w:r>
        <w:rPr>
          <w:rFonts w:hint="eastAsia" w:ascii="仿宋_GB2312" w:hAnsi="宋体" w:eastAsia="仿宋_GB2312"/>
          <w:sz w:val="32"/>
          <w:szCs w:val="32"/>
        </w:rPr>
        <w:t>9.1.4开标，由招标人宣读a、投标人名称；b、标书密封情况；c、投标报价等主要内容以及开标记录表中的其他必要内容；</w:t>
      </w:r>
    </w:p>
    <w:p>
      <w:pPr>
        <w:spacing w:line="560" w:lineRule="exact"/>
        <w:ind w:firstLine="697" w:firstLineChars="218"/>
        <w:rPr>
          <w:rFonts w:ascii="仿宋_GB2312" w:eastAsia="仿宋_GB2312"/>
          <w:sz w:val="32"/>
          <w:szCs w:val="32"/>
        </w:rPr>
      </w:pPr>
      <w:r>
        <w:rPr>
          <w:rFonts w:hint="eastAsia" w:ascii="仿宋_GB2312" w:hAnsi="宋体" w:eastAsia="仿宋_GB2312"/>
          <w:sz w:val="32"/>
          <w:szCs w:val="32"/>
        </w:rPr>
        <w:t>9.1.5招标人对开标过程进行记录，并存档备查，投标人在开标记录上签字；</w:t>
      </w:r>
    </w:p>
    <w:p>
      <w:pPr>
        <w:spacing w:line="560" w:lineRule="exact"/>
        <w:ind w:firstLine="697" w:firstLineChars="218"/>
        <w:rPr>
          <w:rFonts w:ascii="仿宋_GB2312" w:hAnsi="仿宋_GB2312" w:eastAsia="仿宋_GB2312" w:cs="仿宋_GB2312"/>
          <w:color w:val="000000" w:themeColor="text1"/>
          <w:sz w:val="32"/>
          <w:szCs w:val="32"/>
        </w:rPr>
      </w:pPr>
      <w:r>
        <w:rPr>
          <w:rFonts w:hint="eastAsia" w:ascii="仿宋_GB2312" w:hAnsi="宋体" w:eastAsia="仿宋_GB2312" w:cs="Times New Roman"/>
          <w:sz w:val="32"/>
          <w:szCs w:val="32"/>
        </w:rPr>
        <w:t>9.2</w:t>
      </w:r>
      <w:r>
        <w:rPr>
          <w:rFonts w:hint="eastAsia" w:ascii="仿宋_GB2312" w:hAnsi="仿宋_GB2312" w:eastAsia="仿宋_GB2312" w:cs="仿宋_GB2312"/>
          <w:color w:val="000000" w:themeColor="text1"/>
          <w:sz w:val="32"/>
          <w:szCs w:val="32"/>
        </w:rPr>
        <w:t>若出现本章《否决性条款汇总》（附件1中第一点）所述情况，招标人将拒绝接收其投标文件；</w:t>
      </w:r>
    </w:p>
    <w:p>
      <w:pPr>
        <w:snapToGrid w:val="0"/>
        <w:spacing w:line="560" w:lineRule="exact"/>
        <w:ind w:firstLine="697" w:firstLineChars="218"/>
        <w:rPr>
          <w:rFonts w:ascii="仿宋_GB2312" w:hAnsi="宋体" w:eastAsia="仿宋_GB2312" w:cs="Times New Roman"/>
          <w:sz w:val="32"/>
          <w:szCs w:val="32"/>
        </w:rPr>
      </w:pPr>
      <w:r>
        <w:rPr>
          <w:rFonts w:hint="eastAsia" w:ascii="仿宋_GB2312" w:hAnsi="宋体" w:eastAsia="仿宋_GB2312" w:cs="Times New Roman"/>
          <w:sz w:val="32"/>
          <w:szCs w:val="32"/>
        </w:rPr>
        <w:t>9.3招标人将上述符合要求的投标文件，送至评标委员会进行评审。</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9.4评标程序：</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9.4.1投标文件符合性审查；</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9.4.2投标文件综合评审；</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9.4.3计算投标人总得分；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9.4.4完成评标报告，向招标人推荐中标候选人。</w:t>
      </w:r>
    </w:p>
    <w:p>
      <w:pPr>
        <w:tabs>
          <w:tab w:val="left" w:pos="720"/>
        </w:tabs>
        <w:snapToGrid w:val="0"/>
        <w:spacing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10. 投标文件的有效性</w:t>
      </w:r>
    </w:p>
    <w:p>
      <w:pPr>
        <w:widowControl/>
        <w:tabs>
          <w:tab w:val="left" w:pos="1134"/>
        </w:tabs>
        <w:snapToGrid w:val="0"/>
        <w:spacing w:line="560" w:lineRule="exact"/>
        <w:ind w:left="567"/>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详见本章《否决性条款汇总》的规定。</w:t>
      </w:r>
    </w:p>
    <w:p>
      <w:pPr>
        <w:tabs>
          <w:tab w:val="left" w:pos="720"/>
        </w:tabs>
        <w:snapToGrid w:val="0"/>
        <w:spacing w:line="560" w:lineRule="exact"/>
        <w:ind w:firstLine="480" w:firstLineChars="150"/>
        <w:rPr>
          <w:rFonts w:ascii="仿宋_GB2312" w:hAnsi="等线" w:eastAsia="仿宋_GB2312" w:cs="Times New Roman"/>
          <w:sz w:val="32"/>
          <w:szCs w:val="32"/>
        </w:rPr>
      </w:pPr>
      <w:r>
        <w:rPr>
          <w:rFonts w:hint="eastAsia" w:ascii="仿宋_GB2312" w:hAnsi="等线" w:eastAsia="仿宋_GB2312" w:cs="Times New Roman"/>
          <w:sz w:val="32"/>
          <w:szCs w:val="32"/>
        </w:rPr>
        <w:t>投标文件实质上响应招标文件要求的标准：投标文件中没有出现任一种属于招标文件所列出的废标或无效标情形。</w:t>
      </w:r>
    </w:p>
    <w:p>
      <w:pPr>
        <w:tabs>
          <w:tab w:val="left" w:pos="720"/>
        </w:tabs>
        <w:snapToGrid w:val="0"/>
        <w:spacing w:line="560" w:lineRule="exact"/>
        <w:ind w:firstLine="643" w:firstLineChars="200"/>
        <w:rPr>
          <w:rFonts w:ascii="仿宋_GB2312" w:hAnsi="等线" w:eastAsia="仿宋_GB2312" w:cs="Times New Roman"/>
          <w:sz w:val="32"/>
          <w:szCs w:val="32"/>
        </w:rPr>
      </w:pPr>
      <w:r>
        <w:rPr>
          <w:rFonts w:hint="eastAsia" w:ascii="仿宋_GB2312" w:hAnsi="等线" w:eastAsia="仿宋_GB2312" w:cs="Times New Roman"/>
          <w:b/>
          <w:sz w:val="32"/>
          <w:szCs w:val="32"/>
        </w:rPr>
        <w:t>11．评标细则</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11.1 由评委对投标文件的符合性进行审查</w:t>
      </w:r>
      <w:r>
        <w:rPr>
          <w:rFonts w:hint="eastAsia" w:ascii="仿宋_GB2312" w:hAnsi="等线" w:eastAsia="仿宋_GB2312" w:cs="Times New Roman"/>
          <w:color w:val="000000" w:themeColor="text1"/>
          <w:sz w:val="32"/>
          <w:szCs w:val="32"/>
        </w:rPr>
        <w:t>（详见本章《否决性条款汇总》（附件1第二点）</w:t>
      </w:r>
      <w:r>
        <w:rPr>
          <w:rFonts w:hint="eastAsia" w:ascii="仿宋_GB2312" w:hAnsi="等线" w:eastAsia="仿宋_GB2312" w:cs="Times New Roman"/>
          <w:sz w:val="32"/>
          <w:szCs w:val="32"/>
        </w:rPr>
        <w:t>，对通过符合性审查的投标文件再进行综合评审。符合性审查不进行详细打分，标准只有通过与不通过之分。评委对各投标文件评审时，对每个不通过评审的具体项目须在评标报告中详细说明。若通过符合性审查的投标人不足3名时，应重新组织招标。</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11.2报价的算术复核</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投标文件符合性审查后综合评审前，评标委员会将对确定为实质上响应招标文件要求的投标文件中的报价进行复核，出现以下情况时，应如下处理：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当投标人用数字表示的金额与用文字表示的数额不一致时，以文字数额为准。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11.3综合评审采用百分制评分法，主要对投标人的报价（30分）、商务部分（40分）、管理部分（30分）三个方面进行评分。每方面得分权重由招标人在招标文件中确定，但不得超出上述分值范围。同时，招标人须在招标文件中详细列出每子项的具体评分标准（详见本章《评分内容及标准》（附件2））。</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11.4综合评分要求</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11.4.1评委应严格按照本评标办法对投标文件独立进行评议，作出个人评价。</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11.4.2评委按照个人评议情况对各分项内容进行各自记名打分。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11.4.3投标人的综合得分为各评委的评分的算术平均分（分数出现小数点时，保留小数点后二位，第三位小数四舍五入）。</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11.5计算投标人的总得分（满分为100分）</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11.6评审过程中，评标委员会可在必要时安排投标人对有关细节加以澄清，但这种澄清不应使其它投标人处于不公平的地位。</w:t>
      </w:r>
    </w:p>
    <w:p>
      <w:pPr>
        <w:spacing w:line="560" w:lineRule="exac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11.7评标委员会依据有关法律、法规和招标文件的规定对投标文件进行评审。</w:t>
      </w:r>
    </w:p>
    <w:p>
      <w:pPr>
        <w:spacing w:line="560" w:lineRule="exact"/>
        <w:ind w:firstLine="643" w:firstLineChars="200"/>
        <w:rPr>
          <w:rFonts w:ascii="仿宋_GB2312" w:hAnsi="等线" w:eastAsia="仿宋_GB2312" w:cs="Times New Roman"/>
          <w:sz w:val="32"/>
          <w:szCs w:val="32"/>
        </w:rPr>
      </w:pPr>
      <w:r>
        <w:rPr>
          <w:rFonts w:hint="eastAsia" w:ascii="仿宋_GB2312" w:hAnsi="等线" w:eastAsia="仿宋_GB2312" w:cs="Times New Roman"/>
          <w:b/>
          <w:sz w:val="32"/>
          <w:szCs w:val="32"/>
        </w:rPr>
        <w:t>12．推荐中标候选人</w:t>
      </w:r>
    </w:p>
    <w:p>
      <w:pPr>
        <w:tabs>
          <w:tab w:val="left" w:pos="720"/>
        </w:tabs>
        <w:snapToGrid w:val="0"/>
        <w:spacing w:line="560" w:lineRule="exact"/>
        <w:ind w:firstLine="495"/>
        <w:rPr>
          <w:rFonts w:ascii="仿宋_GB2312" w:hAnsi="Courier New" w:eastAsia="仿宋_GB2312" w:cs="Times New Roman"/>
          <w:sz w:val="32"/>
          <w:szCs w:val="32"/>
        </w:rPr>
      </w:pPr>
      <w:r>
        <w:rPr>
          <w:rFonts w:hint="eastAsia" w:ascii="仿宋_GB2312" w:hAnsi="Courier New" w:eastAsia="仿宋_GB2312" w:cs="Times New Roman"/>
          <w:sz w:val="32"/>
          <w:szCs w:val="32"/>
        </w:rPr>
        <w:t>以上评审完成后，按投标人的总得分从高到低进行排序，如果总分相同的，按中标候选人数量规定，由评标委员会采用随机抽取(摇珠)方式，确定中标候选人的排序。评标委员会编写评标报告，并全体签字确认，推荐满足招标文件要求且总得分排序的名次最高者为第一中标候选人，推荐满足招标文件要求且总得分排序的名次次高者为第二中标候选人，推荐满足招标文件要求且总得分排序第三高者为第三中标候选人。</w:t>
      </w:r>
    </w:p>
    <w:p>
      <w:pPr>
        <w:spacing w:beforeLines="50" w:line="560" w:lineRule="exact"/>
        <w:ind w:firstLine="643" w:firstLineChars="200"/>
        <w:rPr>
          <w:rFonts w:ascii="仿宋_GB2312" w:hAnsi="等线" w:eastAsia="仿宋_GB2312" w:cs="Times New Roman"/>
          <w:b/>
          <w:sz w:val="32"/>
          <w:szCs w:val="32"/>
        </w:rPr>
      </w:pPr>
      <w:r>
        <w:rPr>
          <w:rFonts w:hint="eastAsia" w:ascii="仿宋_GB2312" w:hAnsi="等线" w:eastAsia="仿宋_GB2312" w:cs="Times New Roman"/>
          <w:b/>
          <w:sz w:val="32"/>
          <w:szCs w:val="32"/>
        </w:rPr>
        <w:t>13．审定中标人</w:t>
      </w:r>
    </w:p>
    <w:p>
      <w:pPr>
        <w:tabs>
          <w:tab w:val="left" w:pos="720"/>
        </w:tabs>
        <w:snapToGrid w:val="0"/>
        <w:spacing w:line="560" w:lineRule="exact"/>
        <w:ind w:firstLine="495"/>
        <w:rPr>
          <w:rFonts w:ascii="仿宋_GB2312" w:hAnsi="Courier New" w:eastAsia="仿宋_GB2312" w:cs="Times New Roman"/>
          <w:sz w:val="32"/>
          <w:szCs w:val="32"/>
        </w:rPr>
      </w:pPr>
      <w:r>
        <w:rPr>
          <w:rFonts w:hint="eastAsia" w:ascii="仿宋_GB2312" w:hAnsi="Courier New" w:eastAsia="仿宋_GB2312" w:cs="Times New Roman"/>
          <w:sz w:val="32"/>
          <w:szCs w:val="32"/>
        </w:rPr>
        <w:t>招标人根据评标委员会递交的评标报告，最终依法审定中标人。但在签订合同前的任何时候，评委、招标人以及其他人员发现投标人在招标过程有弄虚作假行为、虚报资料情况，一经查实，立即取消其中标人资格。</w:t>
      </w:r>
    </w:p>
    <w:p>
      <w:pPr>
        <w:keepNext/>
        <w:keepLines/>
        <w:spacing w:after="100" w:afterAutospacing="1" w:line="560" w:lineRule="exact"/>
        <w:ind w:left="454" w:hanging="454"/>
        <w:jc w:val="left"/>
        <w:outlineLvl w:val="1"/>
        <w:rPr>
          <w:rFonts w:ascii="仿宋_GB2312" w:hAnsi="宋体" w:eastAsia="仿宋_GB2312" w:cs="Times New Roman"/>
          <w:b/>
          <w:kern w:val="28"/>
          <w:sz w:val="32"/>
          <w:szCs w:val="32"/>
        </w:rPr>
      </w:pPr>
      <w:r>
        <w:rPr>
          <w:rFonts w:hint="eastAsia" w:ascii="仿宋_GB2312" w:hAnsi="Courier New" w:eastAsia="仿宋_GB2312" w:cs="Times New Roman"/>
          <w:sz w:val="32"/>
          <w:szCs w:val="32"/>
        </w:rPr>
        <w:br w:type="page"/>
      </w:r>
      <w:bookmarkStart w:id="61" w:name="_Toc16238378"/>
      <w:r>
        <w:rPr>
          <w:rFonts w:hint="eastAsia" w:ascii="宋体" w:hAnsi="宋体" w:eastAsia="宋体" w:cs="Times New Roman"/>
          <w:b/>
          <w:kern w:val="28"/>
          <w:sz w:val="30"/>
          <w:szCs w:val="20"/>
        </w:rPr>
        <w:t>附件1：</w:t>
      </w:r>
      <w:bookmarkEnd w:id="61"/>
    </w:p>
    <w:p>
      <w:pPr>
        <w:keepNext/>
        <w:keepLines/>
        <w:spacing w:after="100" w:afterAutospacing="1" w:line="560" w:lineRule="exact"/>
        <w:ind w:left="454" w:hanging="454"/>
        <w:jc w:val="center"/>
        <w:outlineLvl w:val="1"/>
        <w:rPr>
          <w:rFonts w:ascii="仿宋_GB2312" w:hAnsi="宋体" w:eastAsia="仿宋_GB2312" w:cs="Times New Roman"/>
          <w:b/>
          <w:kern w:val="28"/>
          <w:sz w:val="32"/>
          <w:szCs w:val="32"/>
        </w:rPr>
      </w:pPr>
      <w:bookmarkStart w:id="62" w:name="_Toc16238379"/>
      <w:r>
        <w:rPr>
          <w:rFonts w:hint="eastAsia" w:ascii="仿宋_GB2312" w:hAnsi="宋体" w:eastAsia="仿宋_GB2312" w:cs="Times New Roman"/>
          <w:b/>
          <w:kern w:val="28"/>
          <w:sz w:val="32"/>
          <w:szCs w:val="32"/>
        </w:rPr>
        <w:t>否决性条款汇总</w:t>
      </w:r>
      <w:bookmarkEnd w:id="62"/>
    </w:p>
    <w:p>
      <w:pPr>
        <w:tabs>
          <w:tab w:val="left" w:pos="720"/>
        </w:tabs>
        <w:snapToGrid w:val="0"/>
        <w:spacing w:line="560" w:lineRule="exact"/>
        <w:rPr>
          <w:rFonts w:ascii="仿宋_GB2312" w:hAnsi="Courier New" w:eastAsia="仿宋_GB2312" w:cs="Times New Roman"/>
          <w:position w:val="12"/>
          <w:sz w:val="32"/>
          <w:szCs w:val="32"/>
        </w:rPr>
      </w:pPr>
    </w:p>
    <w:p>
      <w:pPr>
        <w:tabs>
          <w:tab w:val="left" w:pos="720"/>
        </w:tabs>
        <w:snapToGrid w:val="0"/>
        <w:spacing w:line="560" w:lineRule="exact"/>
        <w:ind w:firstLine="495"/>
        <w:rPr>
          <w:rFonts w:ascii="仿宋_GB2312" w:hAnsi="Courier New" w:eastAsia="仿宋_GB2312" w:cs="Times New Roman"/>
          <w:sz w:val="32"/>
          <w:szCs w:val="32"/>
        </w:rPr>
      </w:pPr>
      <w:r>
        <w:rPr>
          <w:rFonts w:hint="eastAsia" w:ascii="仿宋_GB2312" w:hAnsi="Courier New" w:eastAsia="仿宋_GB2312" w:cs="Times New Roman"/>
          <w:sz w:val="32"/>
          <w:szCs w:val="32"/>
        </w:rPr>
        <w:t>否决性条款是指招标文件中规定的不予受理投标或者作无效标、废标以及不合格标处理等否定投标文件效力的条款。</w:t>
      </w:r>
    </w:p>
    <w:p>
      <w:pPr>
        <w:widowControl/>
        <w:ind w:firstLine="640" w:firstLineChars="200"/>
        <w:jc w:val="left"/>
        <w:rPr>
          <w:rFonts w:ascii="楷体_GB2312" w:hAnsi="Courier New" w:eastAsia="楷体_GB2312" w:cs="Times New Roman"/>
          <w:position w:val="12"/>
          <w:sz w:val="32"/>
          <w:szCs w:val="32"/>
        </w:rPr>
      </w:pPr>
      <w:r>
        <w:rPr>
          <w:rFonts w:hint="eastAsia" w:ascii="楷体_GB2312" w:hAnsi="Courier New" w:eastAsia="楷体_GB2312" w:cs="Times New Roman"/>
          <w:position w:val="12"/>
          <w:sz w:val="32"/>
          <w:szCs w:val="32"/>
        </w:rPr>
        <w:t>一、若出现以下情况，招标人将拒绝接收其投标文件：</w:t>
      </w:r>
    </w:p>
    <w:p>
      <w:pPr>
        <w:spacing w:line="560" w:lineRule="exact"/>
        <w:ind w:firstLine="684" w:firstLineChars="214"/>
        <w:rPr>
          <w:rFonts w:ascii="仿宋_GB2312" w:eastAsia="仿宋_GB2312"/>
          <w:sz w:val="32"/>
          <w:szCs w:val="32"/>
        </w:rPr>
      </w:pPr>
      <w:r>
        <w:rPr>
          <w:rFonts w:hint="eastAsia" w:ascii="仿宋_GB2312" w:hAnsi="宋体" w:eastAsia="仿宋_GB2312"/>
          <w:sz w:val="32"/>
          <w:szCs w:val="32"/>
        </w:rPr>
        <w:t>1、在投标截止期后逾期或未在指定地点或指定方式递交投标文件的；</w:t>
      </w:r>
    </w:p>
    <w:p>
      <w:pPr>
        <w:spacing w:line="560" w:lineRule="exact"/>
        <w:ind w:firstLine="684" w:firstLineChars="214"/>
        <w:rPr>
          <w:rFonts w:ascii="仿宋_GB2312" w:eastAsia="仿宋_GB2312"/>
          <w:sz w:val="32"/>
          <w:szCs w:val="32"/>
        </w:rPr>
      </w:pPr>
      <w:r>
        <w:rPr>
          <w:rFonts w:hint="eastAsia" w:ascii="仿宋_GB2312" w:hAnsi="宋体" w:eastAsia="仿宋_GB2312"/>
          <w:sz w:val="32"/>
          <w:szCs w:val="32"/>
        </w:rPr>
        <w:t>2、投标文件未按招标文件要求密封或未在密封处盖章的；</w:t>
      </w:r>
    </w:p>
    <w:p>
      <w:pPr>
        <w:spacing w:line="560" w:lineRule="exact"/>
        <w:ind w:firstLine="684" w:firstLineChars="214"/>
        <w:rPr>
          <w:rFonts w:ascii="仿宋_GB2312" w:eastAsia="仿宋_GB2312"/>
          <w:sz w:val="32"/>
          <w:szCs w:val="32"/>
        </w:rPr>
      </w:pPr>
      <w:r>
        <w:rPr>
          <w:rFonts w:hint="eastAsia" w:ascii="仿宋_GB2312" w:hAnsi="宋体" w:eastAsia="仿宋_GB2312"/>
          <w:sz w:val="32"/>
          <w:szCs w:val="32"/>
        </w:rPr>
        <w:t>3、投标人代表未准时出席开标会或未按要求签到的；</w:t>
      </w:r>
    </w:p>
    <w:p>
      <w:pPr>
        <w:spacing w:line="560" w:lineRule="exact"/>
        <w:ind w:firstLine="684" w:firstLineChars="214"/>
        <w:rPr>
          <w:rFonts w:ascii="仿宋_GB2312" w:hAnsi="宋体" w:eastAsia="仿宋_GB2312"/>
          <w:sz w:val="32"/>
          <w:szCs w:val="32"/>
        </w:rPr>
      </w:pPr>
      <w:r>
        <w:rPr>
          <w:rFonts w:hint="eastAsia" w:ascii="仿宋_GB2312" w:hAnsi="宋体" w:eastAsia="仿宋_GB2312"/>
          <w:sz w:val="32"/>
          <w:szCs w:val="32"/>
        </w:rPr>
        <w:t>4、在投标截止期前，不符合以下条件的：投标人为个体工商户的，须经营者本人或其有效授权委托人（有授权委托证明书）携带本人身份证原件参与投标。投标人为法人单位的，须法定代表人或其有效授权委托人凭法定代表人证明书（原件）、法定代表人授权委托证明书（原件）及本人身份证（原件）,提交投标文件。</w:t>
      </w:r>
    </w:p>
    <w:p>
      <w:pPr>
        <w:widowControl/>
        <w:ind w:firstLine="640" w:firstLineChars="200"/>
        <w:jc w:val="left"/>
        <w:rPr>
          <w:rFonts w:ascii="楷体_GB2312" w:hAnsi="Courier New" w:eastAsia="楷体_GB2312" w:cs="Times New Roman"/>
          <w:position w:val="12"/>
          <w:sz w:val="32"/>
          <w:szCs w:val="32"/>
        </w:rPr>
      </w:pPr>
    </w:p>
    <w:p>
      <w:pPr>
        <w:widowControl/>
        <w:ind w:firstLine="640" w:firstLineChars="200"/>
        <w:jc w:val="left"/>
        <w:rPr>
          <w:rFonts w:ascii="楷体_GB2312" w:hAnsi="Courier New" w:eastAsia="楷体_GB2312" w:cs="Times New Roman"/>
          <w:position w:val="12"/>
          <w:sz w:val="32"/>
          <w:szCs w:val="32"/>
        </w:rPr>
      </w:pPr>
      <w:r>
        <w:rPr>
          <w:rFonts w:hint="eastAsia" w:ascii="楷体_GB2312" w:hAnsi="Courier New" w:eastAsia="楷体_GB2312" w:cs="Times New Roman"/>
          <w:position w:val="12"/>
          <w:sz w:val="32"/>
          <w:szCs w:val="32"/>
        </w:rPr>
        <w:t>二、若出现不符合《符合性审查表》中所述情况，作废标处理。</w:t>
      </w: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p>
    <w:p>
      <w:pPr>
        <w:tabs>
          <w:tab w:val="left" w:pos="1470"/>
        </w:tabs>
        <w:spacing w:line="360" w:lineRule="auto"/>
        <w:jc w:val="center"/>
        <w:rPr>
          <w:rFonts w:ascii="等线" w:hAnsi="等线" w:eastAsia="等线" w:cs="Times New Roman"/>
          <w:b/>
          <w:sz w:val="28"/>
          <w:szCs w:val="44"/>
        </w:rPr>
      </w:pPr>
      <w:r>
        <w:rPr>
          <w:rFonts w:hint="eastAsia" w:ascii="等线" w:hAnsi="等线" w:eastAsia="等线" w:cs="Times New Roman"/>
          <w:b/>
          <w:sz w:val="28"/>
          <w:szCs w:val="44"/>
        </w:rPr>
        <w:t>符合性审查表</w:t>
      </w:r>
    </w:p>
    <w:tbl>
      <w:tblPr>
        <w:tblStyle w:val="38"/>
        <w:tblpPr w:leftFromText="180" w:rightFromText="180" w:vertAnchor="text" w:horzAnchor="margin" w:tblpXSpec="center" w:tblpY="7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4486"/>
        <w:gridCol w:w="1113"/>
        <w:gridCol w:w="1114"/>
        <w:gridCol w:w="111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553" w:type="dxa"/>
            <w:vAlign w:val="center"/>
          </w:tcPr>
          <w:p>
            <w:pPr>
              <w:jc w:val="center"/>
              <w:rPr>
                <w:rFonts w:ascii="仿宋_GB2312" w:hAnsi="等线" w:eastAsia="仿宋_GB2312" w:cs="Times New Roman"/>
                <w:sz w:val="24"/>
                <w:szCs w:val="24"/>
              </w:rPr>
            </w:pPr>
            <w:r>
              <w:rPr>
                <w:rFonts w:hint="eastAsia" w:ascii="仿宋_GB2312" w:hAnsi="宋体" w:eastAsia="仿宋_GB2312" w:cs="Times New Roman"/>
                <w:sz w:val="24"/>
                <w:szCs w:val="24"/>
              </w:rPr>
              <w:t>序号</w:t>
            </w:r>
          </w:p>
        </w:tc>
        <w:tc>
          <w:tcPr>
            <w:tcW w:w="4486" w:type="dxa"/>
            <w:tcBorders>
              <w:tl2br w:val="single" w:color="auto" w:sz="4" w:space="0"/>
            </w:tcBorders>
          </w:tcPr>
          <w:p>
            <w:pPr>
              <w:rPr>
                <w:rFonts w:ascii="仿宋_GB2312" w:hAnsi="等线" w:eastAsia="仿宋_GB2312" w:cs="Times New Roman"/>
                <w:sz w:val="24"/>
                <w:szCs w:val="24"/>
              </w:rPr>
            </w:pPr>
            <w:r>
              <w:rPr>
                <w:rFonts w:hint="eastAsia" w:ascii="仿宋_GB2312" w:hAnsi="宋体" w:eastAsia="仿宋_GB2312" w:cs="Times New Roman"/>
                <w:sz w:val="24"/>
                <w:szCs w:val="24"/>
              </w:rPr>
              <w:t xml:space="preserve">                        投标单位</w:t>
            </w:r>
          </w:p>
          <w:p>
            <w:pPr>
              <w:rPr>
                <w:rFonts w:ascii="仿宋_GB2312" w:hAnsi="等线" w:eastAsia="仿宋_GB2312" w:cs="Times New Roman"/>
                <w:sz w:val="24"/>
                <w:szCs w:val="24"/>
              </w:rPr>
            </w:pPr>
          </w:p>
          <w:p>
            <w:pPr>
              <w:rPr>
                <w:rFonts w:ascii="仿宋_GB2312" w:hAnsi="等线" w:eastAsia="仿宋_GB2312" w:cs="Times New Roman"/>
                <w:sz w:val="24"/>
                <w:szCs w:val="24"/>
              </w:rPr>
            </w:pPr>
            <w:r>
              <w:rPr>
                <w:rFonts w:hint="eastAsia" w:ascii="仿宋_GB2312" w:hAnsi="宋体" w:eastAsia="仿宋_GB2312" w:cs="Times New Roman"/>
                <w:sz w:val="24"/>
                <w:szCs w:val="24"/>
              </w:rPr>
              <w:t>评审内容</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53" w:type="dxa"/>
            <w:vAlign w:val="center"/>
          </w:tcPr>
          <w:p>
            <w:pPr>
              <w:jc w:val="center"/>
              <w:rPr>
                <w:rFonts w:ascii="仿宋_GB2312" w:hAnsi="等线" w:eastAsia="仿宋_GB2312" w:cs="Times New Roman"/>
                <w:sz w:val="24"/>
                <w:szCs w:val="24"/>
              </w:rPr>
            </w:pPr>
            <w:r>
              <w:rPr>
                <w:rFonts w:hint="eastAsia" w:ascii="仿宋_GB2312" w:hAnsi="宋体" w:eastAsia="仿宋_GB2312" w:cs="Times New Roman"/>
                <w:sz w:val="24"/>
                <w:szCs w:val="24"/>
              </w:rPr>
              <w:t>1</w:t>
            </w:r>
          </w:p>
        </w:tc>
        <w:tc>
          <w:tcPr>
            <w:tcW w:w="4486" w:type="dxa"/>
            <w:vAlign w:val="center"/>
          </w:tcPr>
          <w:p>
            <w:pPr>
              <w:rPr>
                <w:rFonts w:ascii="仿宋_GB2312" w:hAnsi="Courier New" w:eastAsia="仿宋_GB2312" w:cs="Times New Roman"/>
                <w:sz w:val="24"/>
                <w:szCs w:val="24"/>
              </w:rPr>
            </w:pPr>
            <w:r>
              <w:rPr>
                <w:rFonts w:hint="eastAsia" w:ascii="仿宋_GB2312" w:hAnsi="Courier New" w:eastAsia="仿宋_GB2312" w:cs="Times New Roman"/>
                <w:sz w:val="24"/>
                <w:szCs w:val="24"/>
              </w:rPr>
              <w:t>投标人具有有效的工商部门注册的餐饮营业执照；</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53" w:type="dxa"/>
            <w:vAlign w:val="center"/>
          </w:tcPr>
          <w:p>
            <w:pPr>
              <w:jc w:val="center"/>
              <w:rPr>
                <w:rFonts w:ascii="仿宋_GB2312" w:hAnsi="等线" w:eastAsia="仿宋_GB2312" w:cs="Times New Roman"/>
                <w:sz w:val="24"/>
                <w:szCs w:val="24"/>
              </w:rPr>
            </w:pPr>
            <w:r>
              <w:rPr>
                <w:rFonts w:hint="eastAsia" w:ascii="仿宋_GB2312" w:hAnsi="宋体" w:eastAsia="仿宋_GB2312" w:cs="Times New Roman"/>
                <w:sz w:val="24"/>
                <w:szCs w:val="24"/>
              </w:rPr>
              <w:t>2</w:t>
            </w:r>
          </w:p>
        </w:tc>
        <w:tc>
          <w:tcPr>
            <w:tcW w:w="4486" w:type="dxa"/>
            <w:vAlign w:val="center"/>
          </w:tcPr>
          <w:p>
            <w:pPr>
              <w:rPr>
                <w:rFonts w:ascii="仿宋_GB2312" w:hAnsi="Courier New" w:eastAsia="仿宋_GB2312" w:cs="Times New Roman"/>
                <w:sz w:val="24"/>
                <w:szCs w:val="24"/>
              </w:rPr>
            </w:pPr>
            <w:r>
              <w:rPr>
                <w:rFonts w:hint="eastAsia" w:ascii="仿宋_GB2312" w:hAnsi="Courier New" w:eastAsia="仿宋_GB2312" w:cs="Times New Roman"/>
                <w:sz w:val="24"/>
                <w:szCs w:val="24"/>
              </w:rPr>
              <w:t>投标人具卫生部门下发的卫生许可证；</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53"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3</w:t>
            </w:r>
          </w:p>
        </w:tc>
        <w:tc>
          <w:tcPr>
            <w:tcW w:w="4486" w:type="dxa"/>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投标文件密封性</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53"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4</w:t>
            </w:r>
          </w:p>
        </w:tc>
        <w:tc>
          <w:tcPr>
            <w:tcW w:w="4486" w:type="dxa"/>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是否按招标文件缴纳投标保证金</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53" w:type="dxa"/>
            <w:vAlign w:val="center"/>
          </w:tcPr>
          <w:p>
            <w:pPr>
              <w:jc w:val="center"/>
              <w:rPr>
                <w:rFonts w:ascii="仿宋_GB2312" w:hAnsi="宋体" w:eastAsia="仿宋_GB2312" w:cs="Times New Roman"/>
                <w:sz w:val="24"/>
                <w:szCs w:val="24"/>
              </w:rPr>
            </w:pPr>
            <w:r>
              <w:rPr>
                <w:rFonts w:hint="eastAsia" w:ascii="仿宋_GB2312" w:hAnsi="宋体" w:eastAsia="仿宋_GB2312" w:cs="Times New Roman"/>
                <w:sz w:val="24"/>
                <w:szCs w:val="24"/>
              </w:rPr>
              <w:t>5</w:t>
            </w:r>
          </w:p>
        </w:tc>
        <w:tc>
          <w:tcPr>
            <w:tcW w:w="4486" w:type="dxa"/>
            <w:vAlign w:val="center"/>
          </w:tcPr>
          <w:p>
            <w:pPr>
              <w:rPr>
                <w:rFonts w:ascii="仿宋_GB2312" w:hAnsi="宋体" w:eastAsia="仿宋_GB2312" w:cs="Times New Roman"/>
                <w:sz w:val="24"/>
                <w:szCs w:val="24"/>
              </w:rPr>
            </w:pPr>
            <w:r>
              <w:rPr>
                <w:rFonts w:hint="eastAsia" w:ascii="仿宋_GB2312" w:hAnsi="宋体" w:eastAsia="仿宋_GB2312" w:cs="Times New Roman"/>
                <w:sz w:val="24"/>
                <w:szCs w:val="24"/>
              </w:rPr>
              <w:t>项目报价不超过本项目最高限价</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exact"/>
        </w:trPr>
        <w:tc>
          <w:tcPr>
            <w:tcW w:w="5039" w:type="dxa"/>
            <w:gridSpan w:val="2"/>
            <w:vAlign w:val="center"/>
          </w:tcPr>
          <w:p>
            <w:pPr>
              <w:rPr>
                <w:rFonts w:ascii="仿宋_GB2312" w:hAnsi="宋体" w:eastAsia="仿宋_GB2312" w:cs="Times New Roman"/>
                <w:sz w:val="24"/>
                <w:szCs w:val="24"/>
              </w:rPr>
            </w:pPr>
            <w:r>
              <w:rPr>
                <w:rFonts w:hint="eastAsia" w:ascii="宋体" w:hAnsi="宋体"/>
                <w:color w:val="000000"/>
              </w:rPr>
              <w:t xml:space="preserve">结论：1.每一项符合的打“○”，不符合的打“×”。出现一个“×”的结论为不通过，全部条件满足的为通过。      </w:t>
            </w: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c>
          <w:tcPr>
            <w:tcW w:w="1113" w:type="dxa"/>
            <w:vAlign w:val="center"/>
          </w:tcPr>
          <w:p>
            <w:pPr>
              <w:rPr>
                <w:rFonts w:ascii="仿宋_GB2312" w:hAnsi="等线" w:eastAsia="仿宋_GB2312" w:cs="Times New Roman"/>
                <w:szCs w:val="21"/>
              </w:rPr>
            </w:pPr>
          </w:p>
        </w:tc>
        <w:tc>
          <w:tcPr>
            <w:tcW w:w="1114" w:type="dxa"/>
            <w:vAlign w:val="center"/>
          </w:tcPr>
          <w:p>
            <w:pPr>
              <w:rPr>
                <w:rFonts w:ascii="仿宋_GB2312" w:hAnsi="等线" w:eastAsia="仿宋_GB2312" w:cs="Times New Roman"/>
                <w:szCs w:val="21"/>
              </w:rPr>
            </w:pPr>
          </w:p>
        </w:tc>
      </w:tr>
    </w:tbl>
    <w:p>
      <w:pPr>
        <w:tabs>
          <w:tab w:val="left" w:pos="720"/>
        </w:tabs>
        <w:snapToGrid w:val="0"/>
        <w:spacing w:beforeLines="50"/>
        <w:rPr>
          <w:rFonts w:ascii="宋体" w:hAnsi="Courier New" w:eastAsia="等线" w:cs="Times New Roman"/>
          <w:szCs w:val="21"/>
        </w:rPr>
      </w:pPr>
    </w:p>
    <w:p>
      <w:pPr>
        <w:tabs>
          <w:tab w:val="left" w:pos="720"/>
        </w:tabs>
        <w:snapToGrid w:val="0"/>
        <w:rPr>
          <w:rFonts w:ascii="仿宋_GB2312" w:hAnsi="Courier New" w:eastAsia="仿宋_GB2312" w:cs="Times New Roman"/>
          <w:sz w:val="24"/>
          <w:szCs w:val="24"/>
        </w:rPr>
      </w:pPr>
    </w:p>
    <w:p>
      <w:pPr>
        <w:tabs>
          <w:tab w:val="left" w:pos="720"/>
        </w:tabs>
        <w:snapToGrid w:val="0"/>
        <w:spacing w:line="480" w:lineRule="auto"/>
        <w:ind w:firstLine="720" w:firstLineChars="300"/>
        <w:rPr>
          <w:rFonts w:ascii="仿宋_GB2312" w:hAnsi="Courier New" w:eastAsia="仿宋_GB2312" w:cs="Times New Roman"/>
          <w:position w:val="12"/>
          <w:sz w:val="24"/>
          <w:szCs w:val="24"/>
        </w:rPr>
      </w:pPr>
      <w:r>
        <w:rPr>
          <w:rFonts w:hint="eastAsia" w:ascii="仿宋_GB2312" w:hAnsi="Courier New" w:eastAsia="仿宋_GB2312" w:cs="Times New Roman"/>
          <w:sz w:val="24"/>
          <w:szCs w:val="24"/>
        </w:rPr>
        <w:t>评委签名：                                             日期：</w:t>
      </w:r>
    </w:p>
    <w:p>
      <w:pPr>
        <w:tabs>
          <w:tab w:val="left" w:pos="1470"/>
        </w:tabs>
        <w:spacing w:line="360" w:lineRule="auto"/>
        <w:rPr>
          <w:rFonts w:ascii="仿宋_GB2312" w:hAnsi="等线" w:eastAsia="仿宋_GB2312" w:cs="Times New Roman"/>
          <w:b/>
          <w:sz w:val="28"/>
          <w:szCs w:val="44"/>
        </w:rPr>
      </w:pPr>
    </w:p>
    <w:p>
      <w:pPr>
        <w:keepNext/>
        <w:keepLines/>
        <w:spacing w:line="500" w:lineRule="exact"/>
        <w:ind w:left="454" w:hanging="454"/>
        <w:jc w:val="left"/>
        <w:outlineLvl w:val="1"/>
        <w:rPr>
          <w:rFonts w:ascii="宋体" w:hAnsi="宋体" w:eastAsia="宋体" w:cs="Times New Roman"/>
          <w:b/>
          <w:kern w:val="28"/>
          <w:sz w:val="24"/>
          <w:szCs w:val="24"/>
        </w:rPr>
      </w:pPr>
      <w:r>
        <w:rPr>
          <w:rFonts w:ascii="等线" w:hAnsi="等线" w:eastAsia="等线" w:cs="Times New Roman"/>
          <w:sz w:val="28"/>
          <w:szCs w:val="44"/>
        </w:rPr>
        <w:br w:type="page"/>
      </w:r>
      <w:bookmarkStart w:id="63" w:name="_Toc16238380"/>
      <w:bookmarkStart w:id="64" w:name="_Hlk511829045"/>
      <w:r>
        <w:rPr>
          <w:rFonts w:hint="eastAsia" w:ascii="宋体" w:hAnsi="宋体" w:eastAsia="宋体" w:cs="Times New Roman"/>
          <w:b/>
          <w:kern w:val="28"/>
          <w:sz w:val="24"/>
          <w:szCs w:val="24"/>
        </w:rPr>
        <w:t>附件2</w:t>
      </w:r>
      <w:bookmarkEnd w:id="63"/>
    </w:p>
    <w:p>
      <w:pPr>
        <w:keepNext/>
        <w:keepLines/>
        <w:spacing w:after="100" w:afterAutospacing="1" w:line="360" w:lineRule="auto"/>
        <w:ind w:left="454" w:hanging="454"/>
        <w:jc w:val="center"/>
        <w:outlineLvl w:val="1"/>
        <w:rPr>
          <w:rFonts w:ascii="宋体" w:hAnsi="宋体" w:eastAsia="宋体" w:cs="Times New Roman"/>
          <w:b/>
          <w:kern w:val="28"/>
          <w:sz w:val="30"/>
          <w:szCs w:val="20"/>
        </w:rPr>
      </w:pPr>
      <w:bookmarkStart w:id="65" w:name="_Toc27139"/>
      <w:bookmarkStart w:id="66" w:name="_Toc346895286"/>
      <w:bookmarkStart w:id="67" w:name="_Toc359572271"/>
      <w:bookmarkStart w:id="68" w:name="_Toc413933185"/>
      <w:bookmarkStart w:id="69" w:name="_Toc413933292"/>
      <w:bookmarkStart w:id="70" w:name="_Toc16238381"/>
      <w:bookmarkStart w:id="71" w:name="_Hlk511807344"/>
      <w:r>
        <w:rPr>
          <w:rFonts w:hint="eastAsia" w:ascii="宋体" w:hAnsi="宋体" w:eastAsia="宋体" w:cs="Times New Roman"/>
          <w:b/>
          <w:kern w:val="28"/>
          <w:sz w:val="30"/>
          <w:szCs w:val="20"/>
        </w:rPr>
        <w:t>评分内容及标准</w:t>
      </w:r>
      <w:bookmarkEnd w:id="65"/>
      <w:bookmarkEnd w:id="66"/>
      <w:bookmarkEnd w:id="67"/>
      <w:bookmarkEnd w:id="68"/>
      <w:bookmarkEnd w:id="69"/>
      <w:bookmarkEnd w:id="70"/>
    </w:p>
    <w:tbl>
      <w:tblPr>
        <w:tblStyle w:val="38"/>
        <w:tblW w:w="9640"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1276"/>
        <w:gridCol w:w="567"/>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blHeader/>
        </w:trPr>
        <w:tc>
          <w:tcPr>
            <w:tcW w:w="993" w:type="dxa"/>
            <w:vAlign w:val="center"/>
          </w:tcPr>
          <w:p>
            <w:pPr>
              <w:jc w:val="center"/>
              <w:rPr>
                <w:rFonts w:ascii="宋体" w:hAnsi="等线" w:eastAsia="等线" w:cs="Times New Roman"/>
                <w:bCs/>
                <w:szCs w:val="21"/>
              </w:rPr>
            </w:pPr>
            <w:r>
              <w:rPr>
                <w:rFonts w:hint="eastAsia" w:ascii="宋体" w:hAnsi="宋体" w:eastAsia="等线" w:cs="Times New Roman"/>
                <w:bCs/>
                <w:szCs w:val="21"/>
              </w:rPr>
              <w:t>评审内容</w:t>
            </w:r>
          </w:p>
        </w:tc>
        <w:tc>
          <w:tcPr>
            <w:tcW w:w="1276" w:type="dxa"/>
            <w:vAlign w:val="center"/>
          </w:tcPr>
          <w:p>
            <w:pPr>
              <w:jc w:val="center"/>
              <w:rPr>
                <w:rFonts w:ascii="宋体" w:hAnsi="等线" w:eastAsia="等线" w:cs="Times New Roman"/>
                <w:bCs/>
                <w:szCs w:val="21"/>
              </w:rPr>
            </w:pPr>
            <w:r>
              <w:rPr>
                <w:rFonts w:hint="eastAsia" w:ascii="宋体" w:hAnsi="宋体" w:eastAsia="等线" w:cs="Times New Roman"/>
                <w:bCs/>
                <w:szCs w:val="21"/>
              </w:rPr>
              <w:t>评审项目</w:t>
            </w:r>
          </w:p>
        </w:tc>
        <w:tc>
          <w:tcPr>
            <w:tcW w:w="567" w:type="dxa"/>
            <w:vAlign w:val="center"/>
          </w:tcPr>
          <w:p>
            <w:pPr>
              <w:jc w:val="center"/>
              <w:rPr>
                <w:rFonts w:ascii="宋体" w:hAnsi="等线" w:eastAsia="等线" w:cs="Times New Roman"/>
                <w:bCs/>
                <w:szCs w:val="21"/>
              </w:rPr>
            </w:pPr>
            <w:r>
              <w:rPr>
                <w:rFonts w:hint="eastAsia" w:ascii="宋体" w:hAnsi="宋体" w:eastAsia="等线" w:cs="Times New Roman"/>
                <w:bCs/>
                <w:szCs w:val="21"/>
              </w:rPr>
              <w:t>分数</w:t>
            </w:r>
          </w:p>
        </w:tc>
        <w:tc>
          <w:tcPr>
            <w:tcW w:w="6804" w:type="dxa"/>
            <w:vAlign w:val="center"/>
          </w:tcPr>
          <w:p>
            <w:pPr>
              <w:jc w:val="center"/>
              <w:rPr>
                <w:rFonts w:ascii="宋体" w:hAnsi="等线" w:eastAsia="等线" w:cs="Times New Roman"/>
                <w:bCs/>
                <w:szCs w:val="21"/>
              </w:rPr>
            </w:pPr>
            <w:r>
              <w:rPr>
                <w:rFonts w:hint="eastAsia" w:ascii="宋体" w:hAnsi="宋体" w:eastAsia="等线" w:cs="Times New Roman"/>
                <w:bCs/>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6" w:hRule="atLeast"/>
        </w:trPr>
        <w:tc>
          <w:tcPr>
            <w:tcW w:w="993" w:type="dxa"/>
            <w:vAlign w:val="center"/>
          </w:tcPr>
          <w:p>
            <w:pPr>
              <w:jc w:val="center"/>
              <w:rPr>
                <w:rFonts w:ascii="宋体" w:hAnsi="宋体" w:eastAsia="宋体" w:cs="宋体"/>
                <w:sz w:val="18"/>
                <w:szCs w:val="18"/>
              </w:rPr>
            </w:pPr>
            <w:r>
              <w:rPr>
                <w:rFonts w:hint="eastAsia" w:ascii="宋体" w:hAnsi="宋体" w:eastAsia="宋体" w:cs="宋体"/>
                <w:sz w:val="18"/>
                <w:szCs w:val="18"/>
              </w:rPr>
              <w:t>报价</w:t>
            </w:r>
          </w:p>
          <w:p>
            <w:pPr>
              <w:jc w:val="center"/>
              <w:rPr>
                <w:rFonts w:ascii="宋体" w:hAnsi="宋体" w:eastAsia="宋体" w:cs="宋体"/>
                <w:sz w:val="18"/>
                <w:szCs w:val="18"/>
              </w:rPr>
            </w:pPr>
            <w:r>
              <w:rPr>
                <w:rFonts w:hint="eastAsia" w:ascii="宋体" w:hAnsi="宋体" w:eastAsia="宋体" w:cs="宋体"/>
                <w:kern w:val="0"/>
                <w:sz w:val="18"/>
                <w:szCs w:val="18"/>
              </w:rPr>
              <w:t>（30分）</w:t>
            </w:r>
          </w:p>
        </w:tc>
        <w:tc>
          <w:tcPr>
            <w:tcW w:w="1276" w:type="dxa"/>
            <w:vAlign w:val="center"/>
          </w:tcPr>
          <w:p>
            <w:pPr>
              <w:tabs>
                <w:tab w:val="left" w:pos="720"/>
                <w:tab w:val="left" w:pos="1080"/>
              </w:tabs>
              <w:jc w:val="center"/>
              <w:rPr>
                <w:rFonts w:ascii="宋体" w:hAnsi="宋体" w:eastAsia="宋体" w:cs="宋体"/>
                <w:sz w:val="18"/>
                <w:szCs w:val="18"/>
              </w:rPr>
            </w:pPr>
            <w:r>
              <w:rPr>
                <w:rFonts w:hint="eastAsia" w:ascii="宋体" w:hAnsi="宋体" w:eastAsia="宋体" w:cs="宋体"/>
                <w:sz w:val="18"/>
                <w:szCs w:val="18"/>
              </w:rPr>
              <w:t>服务报价</w:t>
            </w:r>
          </w:p>
        </w:tc>
        <w:tc>
          <w:tcPr>
            <w:tcW w:w="567" w:type="dxa"/>
            <w:vAlign w:val="center"/>
          </w:tcPr>
          <w:p>
            <w:pPr>
              <w:tabs>
                <w:tab w:val="left" w:pos="720"/>
                <w:tab w:val="left" w:pos="1080"/>
              </w:tabs>
              <w:jc w:val="center"/>
              <w:rPr>
                <w:rFonts w:ascii="宋体" w:hAnsi="宋体" w:eastAsia="宋体" w:cs="宋体"/>
                <w:sz w:val="18"/>
                <w:szCs w:val="18"/>
              </w:rPr>
            </w:pPr>
            <w:r>
              <w:rPr>
                <w:rFonts w:hint="eastAsia" w:ascii="宋体" w:hAnsi="宋体" w:eastAsia="宋体" w:cs="宋体"/>
                <w:sz w:val="18"/>
                <w:szCs w:val="18"/>
              </w:rPr>
              <w:t>30</w:t>
            </w:r>
          </w:p>
        </w:tc>
        <w:tc>
          <w:tcPr>
            <w:tcW w:w="6804" w:type="dxa"/>
            <w:vAlign w:val="center"/>
          </w:tcPr>
          <w:p>
            <w:pPr>
              <w:ind w:left="178" w:leftChars="85" w:firstLine="360" w:firstLineChars="200"/>
              <w:jc w:val="left"/>
              <w:rPr>
                <w:rFonts w:ascii="宋体" w:hAnsi="宋体" w:eastAsia="宋体" w:cs="宋体"/>
                <w:sz w:val="18"/>
                <w:szCs w:val="18"/>
              </w:rPr>
            </w:pPr>
            <w:r>
              <w:rPr>
                <w:rFonts w:hint="eastAsia" w:ascii="宋体" w:hAnsi="宋体" w:eastAsia="宋体" w:cs="宋体"/>
                <w:sz w:val="18"/>
                <w:szCs w:val="18"/>
              </w:rPr>
              <w:t>所有投标人有效报价的最低价为基准价，报价等于基准价得30分，报价与基准价相比较，投标人报价比基准价每高1％扣0.2分。非整百分比差率采用插入法计分,保留小数点后两位,差率=(投标报价-基准价)/基准价。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8" w:hRule="atLeast"/>
        </w:trPr>
        <w:tc>
          <w:tcPr>
            <w:tcW w:w="993"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商务</w:t>
            </w:r>
          </w:p>
          <w:p>
            <w:pPr>
              <w:jc w:val="center"/>
              <w:rPr>
                <w:rFonts w:ascii="宋体" w:hAnsi="宋体" w:eastAsia="宋体" w:cs="宋体"/>
                <w:sz w:val="18"/>
                <w:szCs w:val="18"/>
              </w:rPr>
            </w:pPr>
            <w:r>
              <w:rPr>
                <w:rFonts w:hint="eastAsia" w:ascii="宋体" w:hAnsi="宋体" w:eastAsia="宋体" w:cs="宋体"/>
                <w:kern w:val="0"/>
                <w:sz w:val="18"/>
                <w:szCs w:val="18"/>
              </w:rPr>
              <w:t>（40分）</w:t>
            </w:r>
          </w:p>
        </w:tc>
        <w:tc>
          <w:tcPr>
            <w:tcW w:w="1276" w:type="dxa"/>
            <w:vAlign w:val="center"/>
          </w:tcPr>
          <w:p>
            <w:pPr>
              <w:jc w:val="center"/>
              <w:rPr>
                <w:rFonts w:ascii="宋体" w:hAnsi="宋体" w:eastAsia="宋体" w:cs="宋体"/>
                <w:sz w:val="18"/>
                <w:szCs w:val="18"/>
              </w:rPr>
            </w:pPr>
            <w:r>
              <w:rPr>
                <w:rFonts w:hint="eastAsia" w:ascii="宋体" w:hAnsi="宋体" w:eastAsia="宋体" w:cs="宋体"/>
                <w:sz w:val="18"/>
                <w:szCs w:val="18"/>
              </w:rPr>
              <w:t>企业资历</w:t>
            </w:r>
          </w:p>
        </w:tc>
        <w:tc>
          <w:tcPr>
            <w:tcW w:w="567" w:type="dxa"/>
            <w:vAlign w:val="center"/>
          </w:tcPr>
          <w:p>
            <w:pPr>
              <w:jc w:val="center"/>
              <w:rPr>
                <w:rFonts w:ascii="宋体" w:hAnsi="宋体" w:eastAsia="宋体" w:cs="宋体"/>
                <w:sz w:val="18"/>
                <w:szCs w:val="18"/>
              </w:rPr>
            </w:pPr>
            <w:r>
              <w:rPr>
                <w:rFonts w:hint="eastAsia" w:ascii="宋体" w:hAnsi="宋体" w:eastAsia="宋体" w:cs="宋体"/>
                <w:sz w:val="18"/>
                <w:szCs w:val="18"/>
              </w:rPr>
              <w:t>20</w:t>
            </w:r>
          </w:p>
        </w:tc>
        <w:tc>
          <w:tcPr>
            <w:tcW w:w="6804" w:type="dxa"/>
            <w:vAlign w:val="center"/>
          </w:tcPr>
          <w:p>
            <w:pPr>
              <w:tabs>
                <w:tab w:val="left" w:pos="1050"/>
              </w:tabs>
              <w:ind w:left="178" w:leftChars="85" w:firstLine="360" w:firstLineChars="200"/>
              <w:jc w:val="left"/>
              <w:rPr>
                <w:rFonts w:ascii="宋体" w:hAnsi="宋体" w:eastAsia="宋体" w:cs="宋体"/>
                <w:sz w:val="18"/>
                <w:szCs w:val="18"/>
              </w:rPr>
            </w:pPr>
            <w:r>
              <w:rPr>
                <w:rFonts w:hint="eastAsia" w:ascii="宋体" w:hAnsi="宋体" w:eastAsia="宋体" w:cs="宋体"/>
                <w:sz w:val="18"/>
                <w:szCs w:val="18"/>
              </w:rPr>
              <w:t>近3年（2017年起至现在）有为100人及以上单位供餐服务项目（需提供合同或相关证明）者得20分；50-99人得10分；其余不得分；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993" w:type="dxa"/>
            <w:vMerge w:val="continue"/>
            <w:vAlign w:val="center"/>
          </w:tcPr>
          <w:p>
            <w:pPr>
              <w:jc w:val="center"/>
              <w:rPr>
                <w:rFonts w:ascii="宋体" w:hAnsi="宋体" w:eastAsia="宋体" w:cs="宋体"/>
                <w:sz w:val="18"/>
                <w:szCs w:val="18"/>
              </w:rPr>
            </w:pPr>
          </w:p>
        </w:tc>
        <w:tc>
          <w:tcPr>
            <w:tcW w:w="1276"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企业业绩</w:t>
            </w:r>
          </w:p>
        </w:tc>
        <w:tc>
          <w:tcPr>
            <w:tcW w:w="567"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6804" w:type="dxa"/>
            <w:vAlign w:val="center"/>
          </w:tcPr>
          <w:p>
            <w:pPr>
              <w:tabs>
                <w:tab w:val="left" w:pos="6720"/>
              </w:tabs>
              <w:ind w:left="216" w:right="73" w:rightChars="35"/>
              <w:jc w:val="left"/>
              <w:rPr>
                <w:rFonts w:ascii="宋体" w:hAnsi="宋体" w:eastAsia="宋体" w:cs="宋体"/>
                <w:sz w:val="18"/>
                <w:szCs w:val="18"/>
              </w:rPr>
            </w:pPr>
            <w:r>
              <w:rPr>
                <w:rFonts w:hint="eastAsia" w:ascii="宋体" w:hAnsi="宋体" w:eastAsia="宋体" w:cs="宋体"/>
                <w:sz w:val="18"/>
                <w:szCs w:val="18"/>
              </w:rPr>
              <w:t xml:space="preserve">   有为机关、事业单位、国有企业提供一定周期送餐服务或饭堂承包服务的（提供合同复印件），有一项得</w:t>
            </w:r>
            <w:r>
              <w:rPr>
                <w:rFonts w:ascii="宋体" w:hAnsi="宋体" w:eastAsia="宋体" w:cs="宋体"/>
                <w:sz w:val="18"/>
                <w:szCs w:val="18"/>
              </w:rPr>
              <w:t>5分，每增加一项加1分，10分满分，无则0分。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atLeast"/>
        </w:trPr>
        <w:tc>
          <w:tcPr>
            <w:tcW w:w="993" w:type="dxa"/>
            <w:vMerge w:val="continue"/>
            <w:vAlign w:val="center"/>
          </w:tcPr>
          <w:p>
            <w:pPr>
              <w:jc w:val="center"/>
              <w:rPr>
                <w:rFonts w:ascii="宋体" w:hAnsi="宋体" w:eastAsia="宋体" w:cs="宋体"/>
                <w:sz w:val="18"/>
                <w:szCs w:val="18"/>
              </w:rPr>
            </w:pPr>
          </w:p>
        </w:tc>
        <w:tc>
          <w:tcPr>
            <w:tcW w:w="1276" w:type="dxa"/>
            <w:vMerge w:val="continue"/>
            <w:vAlign w:val="center"/>
          </w:tcPr>
          <w:p>
            <w:pPr>
              <w:jc w:val="center"/>
              <w:rPr>
                <w:rFonts w:ascii="宋体" w:hAnsi="宋体" w:eastAsia="宋体" w:cs="宋体"/>
                <w:sz w:val="18"/>
                <w:szCs w:val="18"/>
              </w:rPr>
            </w:pPr>
          </w:p>
        </w:tc>
        <w:tc>
          <w:tcPr>
            <w:tcW w:w="567"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c>
          <w:tcPr>
            <w:tcW w:w="6804" w:type="dxa"/>
            <w:vAlign w:val="center"/>
          </w:tcPr>
          <w:p>
            <w:pPr>
              <w:widowControl/>
              <w:spacing w:line="440" w:lineRule="atLeast"/>
              <w:jc w:val="left"/>
              <w:rPr>
                <w:rFonts w:ascii="宋体" w:hAnsi="宋体" w:eastAsia="宋体" w:cs="宋体"/>
                <w:sz w:val="18"/>
                <w:szCs w:val="18"/>
              </w:rPr>
            </w:pPr>
            <w:r>
              <w:rPr>
                <w:rFonts w:hint="eastAsia" w:ascii="宋体" w:hAnsi="宋体" w:eastAsia="宋体" w:cs="宋体"/>
                <w:sz w:val="18"/>
                <w:szCs w:val="18"/>
              </w:rPr>
              <w:t xml:space="preserve">   有区级或以上的获奖名菜（2个以上，得10分，1个得5分）；（提供证明）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93"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管理</w:t>
            </w:r>
          </w:p>
          <w:p>
            <w:pPr>
              <w:jc w:val="center"/>
              <w:rPr>
                <w:rFonts w:ascii="宋体" w:hAnsi="宋体" w:eastAsia="宋体" w:cs="宋体"/>
                <w:sz w:val="18"/>
                <w:szCs w:val="18"/>
              </w:rPr>
            </w:pPr>
            <w:r>
              <w:rPr>
                <w:rFonts w:hint="eastAsia" w:ascii="宋体" w:hAnsi="宋体" w:eastAsia="宋体" w:cs="宋体"/>
                <w:sz w:val="18"/>
                <w:szCs w:val="18"/>
              </w:rPr>
              <w:t>（30分）</w:t>
            </w:r>
          </w:p>
        </w:tc>
        <w:tc>
          <w:tcPr>
            <w:tcW w:w="1276" w:type="dxa"/>
            <w:vAlign w:val="center"/>
          </w:tcPr>
          <w:p>
            <w:pPr>
              <w:jc w:val="center"/>
              <w:rPr>
                <w:rFonts w:ascii="宋体" w:hAnsi="宋体" w:eastAsia="宋体" w:cs="宋体"/>
                <w:sz w:val="18"/>
                <w:szCs w:val="18"/>
              </w:rPr>
            </w:pPr>
            <w:r>
              <w:rPr>
                <w:rFonts w:hint="eastAsia" w:ascii="宋体" w:hAnsi="宋体" w:eastAsia="宋体" w:cs="宋体"/>
                <w:sz w:val="18"/>
                <w:szCs w:val="18"/>
              </w:rPr>
              <w:t>管理服务承诺</w:t>
            </w:r>
          </w:p>
        </w:tc>
        <w:tc>
          <w:tcPr>
            <w:tcW w:w="567" w:type="dxa"/>
            <w:vAlign w:val="center"/>
          </w:tcPr>
          <w:p>
            <w:pPr>
              <w:jc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10</w:t>
            </w:r>
          </w:p>
        </w:tc>
        <w:tc>
          <w:tcPr>
            <w:tcW w:w="6804" w:type="dxa"/>
            <w:vAlign w:val="center"/>
          </w:tcPr>
          <w:p>
            <w:pPr>
              <w:ind w:left="216" w:leftChars="103" w:right="73" w:rightChars="35"/>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1、服务目标和各项管理服务承诺指标；</w:t>
            </w:r>
          </w:p>
          <w:p>
            <w:pPr>
              <w:ind w:left="216" w:leftChars="103" w:right="73" w:rightChars="35"/>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2、相应的达标保障措施和不达标改善措施。</w:t>
            </w:r>
          </w:p>
          <w:p>
            <w:pPr>
              <w:pStyle w:val="2"/>
            </w:pPr>
            <w:r>
              <w:rPr>
                <w:rFonts w:hint="eastAsia" w:ascii="宋体" w:hAnsi="宋体" w:eastAsia="宋体" w:cs="宋体"/>
                <w:color w:val="000000" w:themeColor="text1"/>
                <w:sz w:val="18"/>
                <w:szCs w:val="18"/>
              </w:rPr>
              <w:t xml:space="preserve"> （优秀10分，良好5分，一般2分）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93" w:type="dxa"/>
            <w:vMerge w:val="continue"/>
            <w:vAlign w:val="center"/>
          </w:tcPr>
          <w:p>
            <w:pPr>
              <w:jc w:val="center"/>
              <w:rPr>
                <w:rFonts w:ascii="宋体" w:hAnsi="宋体" w:eastAsia="宋体" w:cs="宋体"/>
                <w:sz w:val="18"/>
                <w:szCs w:val="18"/>
              </w:rPr>
            </w:pPr>
          </w:p>
        </w:tc>
        <w:tc>
          <w:tcPr>
            <w:tcW w:w="1276" w:type="dxa"/>
            <w:vAlign w:val="center"/>
          </w:tcPr>
          <w:p>
            <w:pPr>
              <w:jc w:val="center"/>
              <w:rPr>
                <w:rFonts w:ascii="宋体" w:hAnsi="宋体" w:eastAsia="宋体" w:cs="宋体"/>
                <w:sz w:val="18"/>
                <w:szCs w:val="18"/>
              </w:rPr>
            </w:pPr>
            <w:r>
              <w:rPr>
                <w:rFonts w:hint="eastAsia" w:ascii="宋体" w:hAnsi="宋体" w:eastAsia="宋体" w:cs="宋体"/>
                <w:sz w:val="18"/>
                <w:szCs w:val="18"/>
              </w:rPr>
              <w:t>服务方案及相关制度</w:t>
            </w:r>
          </w:p>
        </w:tc>
        <w:tc>
          <w:tcPr>
            <w:tcW w:w="567" w:type="dxa"/>
            <w:vAlign w:val="center"/>
          </w:tcPr>
          <w:p>
            <w:pPr>
              <w:jc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10</w:t>
            </w:r>
          </w:p>
        </w:tc>
        <w:tc>
          <w:tcPr>
            <w:tcW w:w="6804" w:type="dxa"/>
            <w:vAlign w:val="center"/>
          </w:tcPr>
          <w:p>
            <w:pPr>
              <w:ind w:left="216" w:leftChars="103" w:right="73" w:rightChars="35"/>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1、餐饮安全管理制度（食品卫生安全管理、消防安全管理）食品中毒应急预案等（优秀5分，良好3分，一般1分）； </w:t>
            </w:r>
          </w:p>
          <w:p>
            <w:pPr>
              <w:ind w:left="216" w:leftChars="103" w:right="73" w:rightChars="35"/>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2、紧急供餐应急预案、临时加餐应急预案等（优秀5分，良好3分，一般1分）。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93" w:type="dxa"/>
            <w:vMerge w:val="continue"/>
            <w:vAlign w:val="center"/>
          </w:tcPr>
          <w:p>
            <w:pPr>
              <w:jc w:val="center"/>
              <w:rPr>
                <w:rFonts w:ascii="宋体" w:hAnsi="宋体" w:eastAsia="宋体" w:cs="宋体"/>
                <w:sz w:val="18"/>
                <w:szCs w:val="18"/>
              </w:rPr>
            </w:pPr>
          </w:p>
        </w:tc>
        <w:tc>
          <w:tcPr>
            <w:tcW w:w="1276" w:type="dxa"/>
            <w:vAlign w:val="center"/>
          </w:tcPr>
          <w:p>
            <w:pPr>
              <w:jc w:val="center"/>
              <w:rPr>
                <w:rFonts w:ascii="宋体" w:hAnsi="宋体" w:eastAsia="宋体" w:cs="宋体"/>
                <w:sz w:val="18"/>
                <w:szCs w:val="18"/>
              </w:rPr>
            </w:pPr>
            <w:r>
              <w:rPr>
                <w:rFonts w:hint="eastAsia" w:ascii="宋体" w:hAnsi="宋体" w:eastAsia="宋体" w:cs="宋体"/>
                <w:sz w:val="18"/>
                <w:szCs w:val="18"/>
              </w:rPr>
              <w:t>卫生等级</w:t>
            </w:r>
          </w:p>
        </w:tc>
        <w:tc>
          <w:tcPr>
            <w:tcW w:w="567" w:type="dxa"/>
            <w:vAlign w:val="center"/>
          </w:tcPr>
          <w:p>
            <w:pPr>
              <w:jc w:val="center"/>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10</w:t>
            </w:r>
          </w:p>
        </w:tc>
        <w:tc>
          <w:tcPr>
            <w:tcW w:w="6804" w:type="dxa"/>
            <w:vAlign w:val="center"/>
          </w:tcPr>
          <w:p>
            <w:pPr>
              <w:ind w:left="216" w:leftChars="103" w:right="73" w:rightChars="35"/>
              <w:jc w:val="left"/>
              <w:rPr>
                <w:rFonts w:ascii="宋体" w:hAnsi="宋体" w:eastAsia="宋体" w:cs="宋体"/>
                <w:color w:val="000000" w:themeColor="text1"/>
                <w:sz w:val="18"/>
                <w:szCs w:val="18"/>
              </w:rPr>
            </w:pPr>
            <w:r>
              <w:rPr>
                <w:rFonts w:hint="eastAsia" w:ascii="宋体" w:hAnsi="宋体" w:eastAsia="宋体" w:cs="宋体"/>
                <w:color w:val="000000" w:themeColor="text1"/>
                <w:sz w:val="18"/>
                <w:szCs w:val="18"/>
              </w:rPr>
              <w:t>卫生等级为C级的得3分，B级或以上的得满分。</w:t>
            </w:r>
          </w:p>
        </w:tc>
      </w:tr>
      <w:bookmarkEnd w:id="48"/>
      <w:bookmarkEnd w:id="49"/>
      <w:bookmarkEnd w:id="64"/>
      <w:bookmarkEnd w:id="71"/>
    </w:tbl>
    <w:p>
      <w:pPr>
        <w:rPr>
          <w:rFonts w:ascii="宋体" w:hAnsi="宋体" w:eastAsia="宋体" w:cs="宋体"/>
          <w:b/>
          <w:bCs/>
          <w:sz w:val="28"/>
          <w:szCs w:val="28"/>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spacing w:before="120" w:after="120" w:line="360" w:lineRule="auto"/>
        <w:jc w:val="center"/>
        <w:outlineLvl w:val="0"/>
        <w:rPr>
          <w:rFonts w:ascii="黑体" w:hAnsi="黑体" w:eastAsia="黑体" w:cs="Times New Roman"/>
          <w:b/>
          <w:bCs/>
          <w:kern w:val="44"/>
          <w:sz w:val="44"/>
          <w:szCs w:val="44"/>
          <w:lang w:val="zh-CN"/>
        </w:rPr>
      </w:pPr>
      <w:bookmarkStart w:id="72" w:name="_Toc413933293"/>
      <w:bookmarkStart w:id="73" w:name="_Toc16238382"/>
      <w:bookmarkStart w:id="74" w:name="_Toc413933186"/>
      <w:bookmarkStart w:id="75" w:name="_Toc9582"/>
    </w:p>
    <w:p>
      <w:pPr>
        <w:keepNext/>
        <w:keepLines/>
        <w:spacing w:before="120" w:after="120" w:line="360" w:lineRule="auto"/>
        <w:jc w:val="center"/>
        <w:outlineLvl w:val="0"/>
        <w:rPr>
          <w:rFonts w:ascii="黑体" w:hAnsi="黑体" w:eastAsia="黑体" w:cs="Times New Roman"/>
          <w:b/>
          <w:bCs/>
          <w:kern w:val="44"/>
          <w:sz w:val="44"/>
          <w:szCs w:val="44"/>
          <w:lang w:val="zh-CN"/>
        </w:rPr>
      </w:pPr>
      <w:r>
        <w:rPr>
          <w:rFonts w:hint="eastAsia" w:ascii="黑体" w:hAnsi="黑体" w:eastAsia="黑体" w:cs="Times New Roman"/>
          <w:b/>
          <w:bCs/>
          <w:kern w:val="44"/>
          <w:sz w:val="44"/>
          <w:szCs w:val="44"/>
          <w:lang w:val="zh-CN"/>
        </w:rPr>
        <w:t>第四章合同条款</w:t>
      </w:r>
      <w:bookmarkEnd w:id="72"/>
      <w:bookmarkEnd w:id="73"/>
      <w:bookmarkEnd w:id="74"/>
      <w:bookmarkEnd w:id="75"/>
    </w:p>
    <w:p>
      <w:pPr>
        <w:jc w:val="center"/>
        <w:rPr>
          <w:rFonts w:ascii="楷体_GB2312" w:hAnsi="等线" w:eastAsia="楷体_GB2312" w:cs="Times New Roman"/>
          <w:b/>
          <w:bCs/>
          <w:sz w:val="44"/>
        </w:rPr>
      </w:pPr>
      <w:bookmarkStart w:id="76" w:name="_Toc413933187"/>
      <w:bookmarkStart w:id="77" w:name="_Toc413933294"/>
      <w:r>
        <w:rPr>
          <w:rFonts w:hint="eastAsia" w:ascii="仿宋_GB2312" w:hAnsi="宋体" w:eastAsia="仿宋_GB2312"/>
          <w:b/>
          <w:color w:val="000000" w:themeColor="text1"/>
          <w:sz w:val="32"/>
          <w:szCs w:val="32"/>
        </w:rPr>
        <w:t>公司饭餐供应合同</w:t>
      </w:r>
    </w:p>
    <w:p>
      <w:pPr>
        <w:spacing w:line="360" w:lineRule="auto"/>
        <w:rPr>
          <w:rFonts w:ascii="仿宋_GB2312" w:hAnsi="宋体" w:eastAsia="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甲方：                             乙方：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地   址:                           地   址: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联系人及联系方式:                  联系人及联系方式: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420" w:leftChars="200" w:firstLine="640" w:firstLineChars="20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乙双方根据《中华人民共和国合同法》及有关法律、法规规定，在平等自愿、协商一致、诚实信用的基础上，就甲方饭餐供应项目相关事宜与乙方达成一致意见。为了明确双方的权利和义务，特签订本合同，共同遵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color w:val="000000" w:themeColor="text1"/>
          <w:sz w:val="32"/>
          <w:szCs w:val="32"/>
        </w:rPr>
      </w:pP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项目名称：</w:t>
      </w:r>
      <w:r>
        <w:rPr>
          <w:rFonts w:hint="eastAsia" w:ascii="仿宋_GB2312" w:hAnsi="宋体" w:eastAsia="仿宋_GB2312"/>
          <w:sz w:val="32"/>
          <w:szCs w:val="32"/>
        </w:rPr>
        <w:t>广州南沙湿地旅游发展有限公司饭餐供应项目</w:t>
      </w: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日常管理经营模式</w:t>
      </w:r>
    </w:p>
    <w:p>
      <w:pPr>
        <w:pStyle w:val="151"/>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甲方园区不可生火做饭，仅提供分餐场地。</w:t>
      </w:r>
    </w:p>
    <w:p>
      <w:pPr>
        <w:pStyle w:val="151"/>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乙方提供厨房，以及日常设施的保养、维护。</w:t>
      </w:r>
    </w:p>
    <w:p>
      <w:pPr>
        <w:pStyle w:val="151"/>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乙方负责所有盛饭菜器具，以及米、肉类、蔬菜、调味品</w:t>
      </w:r>
    </w:p>
    <w:p>
      <w:pPr>
        <w:pStyle w:val="151"/>
        <w:keepNext w:val="0"/>
        <w:keepLines w:val="0"/>
        <w:pageBreakBefore w:val="0"/>
        <w:widowControl w:val="0"/>
        <w:numPr>
          <w:numId w:val="0"/>
        </w:numPr>
        <w:kinsoku/>
        <w:wordWrap/>
        <w:overflowPunct/>
        <w:topLinePunct w:val="0"/>
        <w:autoSpaceDE/>
        <w:autoSpaceDN/>
        <w:bidi w:val="0"/>
        <w:adjustRightInd/>
        <w:snapToGrid/>
        <w:spacing w:line="240" w:lineRule="auto"/>
        <w:ind w:left="840" w:left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等原材料的采购。</w:t>
      </w:r>
    </w:p>
    <w:p>
      <w:pPr>
        <w:pStyle w:val="151"/>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乙方指定专人负责联系甲方日常就餐人数的统计工作。</w:t>
      </w: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公司用餐时间及标准</w:t>
      </w:r>
    </w:p>
    <w:p>
      <w:pPr>
        <w:pStyle w:val="15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一般按照午餐11：50 --- 12：15，每天中午订餐时间为:10：30。每餐标准：两荤一素一汤，主荤标准</w:t>
      </w:r>
      <w:r>
        <w:rPr>
          <w:rFonts w:ascii="仿宋_GB2312" w:hAnsi="宋体" w:eastAsia="仿宋_GB2312"/>
          <w:color w:val="000000" w:themeColor="text1"/>
          <w:sz w:val="32"/>
          <w:szCs w:val="32"/>
        </w:rPr>
        <w:t>:100g</w:t>
      </w:r>
      <w:r>
        <w:rPr>
          <w:rFonts w:hint="eastAsia" w:ascii="仿宋_GB2312" w:hAnsi="宋体" w:eastAsia="仿宋_GB2312"/>
          <w:color w:val="000000" w:themeColor="text1"/>
          <w:sz w:val="32"/>
          <w:szCs w:val="32"/>
        </w:rPr>
        <w:t>以上（肉类占</w:t>
      </w:r>
      <w:r>
        <w:rPr>
          <w:rFonts w:ascii="仿宋_GB2312" w:hAnsi="宋体" w:eastAsia="仿宋_GB2312"/>
          <w:color w:val="000000" w:themeColor="text1"/>
          <w:sz w:val="32"/>
          <w:szCs w:val="32"/>
        </w:rPr>
        <w:t>80%</w:t>
      </w:r>
      <w:r>
        <w:rPr>
          <w:rFonts w:hint="eastAsia" w:ascii="仿宋_GB2312" w:hAnsi="宋体" w:eastAsia="仿宋_GB2312"/>
          <w:color w:val="000000" w:themeColor="text1"/>
          <w:sz w:val="32"/>
          <w:szCs w:val="32"/>
        </w:rPr>
        <w:t>，菜类占</w:t>
      </w:r>
      <w:r>
        <w:rPr>
          <w:rFonts w:ascii="仿宋_GB2312" w:hAnsi="宋体" w:eastAsia="仿宋_GB2312"/>
          <w:color w:val="000000" w:themeColor="text1"/>
          <w:sz w:val="32"/>
          <w:szCs w:val="32"/>
        </w:rPr>
        <w:t>20%</w:t>
      </w:r>
      <w:r>
        <w:rPr>
          <w:rFonts w:hint="eastAsia" w:ascii="仿宋_GB2312" w:hAnsi="宋体" w:eastAsia="仿宋_GB2312"/>
          <w:color w:val="000000" w:themeColor="text1"/>
          <w:sz w:val="32"/>
          <w:szCs w:val="32"/>
        </w:rPr>
        <w:t>）荤菜标准</w:t>
      </w:r>
      <w:r>
        <w:rPr>
          <w:rFonts w:ascii="仿宋_GB2312" w:hAnsi="宋体" w:eastAsia="仿宋_GB2312"/>
          <w:color w:val="000000" w:themeColor="text1"/>
          <w:sz w:val="32"/>
          <w:szCs w:val="32"/>
        </w:rPr>
        <w:t>:100g</w:t>
      </w:r>
      <w:r>
        <w:rPr>
          <w:rFonts w:hint="eastAsia" w:ascii="仿宋_GB2312" w:hAnsi="宋体" w:eastAsia="仿宋_GB2312"/>
          <w:color w:val="000000" w:themeColor="text1"/>
          <w:sz w:val="32"/>
          <w:szCs w:val="32"/>
        </w:rPr>
        <w:t>以上（肉类占</w:t>
      </w:r>
      <w:r>
        <w:rPr>
          <w:rFonts w:ascii="仿宋_GB2312" w:hAnsi="宋体" w:eastAsia="仿宋_GB2312"/>
          <w:color w:val="000000" w:themeColor="text1"/>
          <w:sz w:val="32"/>
          <w:szCs w:val="32"/>
        </w:rPr>
        <w:t>50%</w:t>
      </w:r>
      <w:r>
        <w:rPr>
          <w:rFonts w:hint="eastAsia" w:ascii="仿宋_GB2312" w:hAnsi="宋体" w:eastAsia="仿宋_GB2312"/>
          <w:color w:val="000000" w:themeColor="text1"/>
          <w:sz w:val="32"/>
          <w:szCs w:val="32"/>
        </w:rPr>
        <w:t> 菜类占</w:t>
      </w:r>
      <w:r>
        <w:rPr>
          <w:rFonts w:ascii="仿宋_GB2312" w:hAnsi="宋体" w:eastAsia="仿宋_GB2312"/>
          <w:color w:val="000000" w:themeColor="text1"/>
          <w:sz w:val="32"/>
          <w:szCs w:val="32"/>
        </w:rPr>
        <w:t>50%</w:t>
      </w:r>
      <w:r>
        <w:rPr>
          <w:rFonts w:hint="eastAsia" w:ascii="仿宋_GB2312" w:hAnsi="宋体" w:eastAsia="仿宋_GB2312"/>
          <w:color w:val="000000" w:themeColor="text1"/>
          <w:sz w:val="32"/>
          <w:szCs w:val="32"/>
        </w:rPr>
        <w:t>）素菜标准</w:t>
      </w:r>
      <w:r>
        <w:rPr>
          <w:rFonts w:ascii="仿宋_GB2312" w:hAnsi="宋体" w:eastAsia="仿宋_GB2312"/>
          <w:color w:val="000000" w:themeColor="text1"/>
          <w:sz w:val="32"/>
          <w:szCs w:val="32"/>
        </w:rPr>
        <w:t>:150 g</w:t>
      </w:r>
      <w:r>
        <w:rPr>
          <w:rFonts w:hint="eastAsia" w:ascii="仿宋_GB2312" w:hAnsi="宋体" w:eastAsia="仿宋_GB2312"/>
          <w:color w:val="000000" w:themeColor="text1"/>
          <w:sz w:val="32"/>
          <w:szCs w:val="32"/>
        </w:rPr>
        <w:t>以上。固定餐标为：</w:t>
      </w:r>
      <w:r>
        <w:rPr>
          <w:rFonts w:hint="eastAsia" w:ascii="仿宋_GB2312" w:hAnsi="宋体" w:eastAsia="仿宋_GB2312"/>
          <w:color w:val="000000" w:themeColor="text1"/>
          <w:sz w:val="32"/>
          <w:szCs w:val="32"/>
          <w:u w:val="single"/>
        </w:rPr>
        <w:t xml:space="preserve">    </w:t>
      </w:r>
      <w:r>
        <w:rPr>
          <w:rFonts w:hint="eastAsia" w:ascii="仿宋_GB2312" w:hAnsi="宋体" w:eastAsia="仿宋_GB2312"/>
          <w:color w:val="000000" w:themeColor="text1"/>
          <w:sz w:val="32"/>
          <w:szCs w:val="32"/>
        </w:rPr>
        <w:t>元/份 。</w:t>
      </w:r>
    </w:p>
    <w:p>
      <w:pPr>
        <w:pStyle w:val="15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每月更新菜单(张贴餐厅公告栏)，米、油使用甲方指定品牌或同等品质品牌。</w:t>
      </w:r>
    </w:p>
    <w:p>
      <w:pPr>
        <w:pStyle w:val="15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若甲方突发性增加订餐数量，应提前30分钟告知乙方。</w:t>
      </w:r>
    </w:p>
    <w:p>
      <w:pPr>
        <w:pStyle w:val="151"/>
        <w:keepNext w:val="0"/>
        <w:keepLines w:val="0"/>
        <w:pageBreakBefore w:val="0"/>
        <w:widowControl w:val="0"/>
        <w:numPr>
          <w:ilvl w:val="2"/>
          <w:numId w:val="6"/>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在合作期内，每天一餐，不间断供餐。</w:t>
      </w: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乙方应配备的设备设施</w:t>
      </w:r>
    </w:p>
    <w:p>
      <w:pPr>
        <w:pStyle w:val="151"/>
        <w:keepNext w:val="0"/>
        <w:keepLines w:val="0"/>
        <w:pageBreakBefore w:val="0"/>
        <w:widowControl w:val="0"/>
        <w:numPr>
          <w:ilvl w:val="2"/>
          <w:numId w:val="7"/>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乙方需配备符合食品卫生安全运输饭餐的车辆（例如：保温餐车）。</w:t>
      </w:r>
    </w:p>
    <w:p>
      <w:pPr>
        <w:pStyle w:val="151"/>
        <w:keepNext w:val="0"/>
        <w:keepLines w:val="0"/>
        <w:pageBreakBefore w:val="0"/>
        <w:widowControl w:val="0"/>
        <w:numPr>
          <w:ilvl w:val="2"/>
          <w:numId w:val="7"/>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乙方工作人员定期作健康体检(健康证1年有效)确保身体健康，无传染病。若乙方工作人员健康不符合餐饮业健康标准要求，甲方有权拒绝乙方人员进入餐厅工作。</w:t>
      </w:r>
    </w:p>
    <w:p>
      <w:pPr>
        <w:pStyle w:val="151"/>
        <w:keepNext w:val="0"/>
        <w:keepLines w:val="0"/>
        <w:pageBreakBefore w:val="0"/>
        <w:widowControl w:val="0"/>
        <w:numPr>
          <w:ilvl w:val="2"/>
          <w:numId w:val="7"/>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乙方需配备不锈钢餐盘、汤碗、储备少量临时打包需要的饭盒筷子。</w:t>
      </w:r>
    </w:p>
    <w:p>
      <w:pPr>
        <w:pStyle w:val="151"/>
        <w:keepNext w:val="0"/>
        <w:keepLines w:val="0"/>
        <w:pageBreakBefore w:val="0"/>
        <w:widowControl w:val="0"/>
        <w:numPr>
          <w:ilvl w:val="2"/>
          <w:numId w:val="7"/>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乙方需配备高温消毒碗柜，用于就餐餐具、筷子消毒。</w:t>
      </w:r>
    </w:p>
    <w:p>
      <w:pPr>
        <w:pStyle w:val="151"/>
        <w:keepNext w:val="0"/>
        <w:keepLines w:val="0"/>
        <w:pageBreakBefore w:val="0"/>
        <w:widowControl w:val="0"/>
        <w:numPr>
          <w:ilvl w:val="2"/>
          <w:numId w:val="7"/>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乙方人员分饭需佩戴手套、厨师帽、厨师服等符合食品卫生派发人员的卫生防护。</w:t>
      </w: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甲乙双方的权利义务</w:t>
      </w:r>
    </w:p>
    <w:p>
      <w:pPr>
        <w:pStyle w:val="151"/>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甲方的权利义务：</w:t>
      </w:r>
    </w:p>
    <w:p>
      <w:pPr>
        <w:pStyle w:val="151"/>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甲方按照本合同约定监督乙方日常经营管理（如卫生、安全、治安、消防），防止食物中毒事故，一旦发生类似事故，经卫生部门审查后确认系乙方责任则甲方有权追究乙方的责任。</w:t>
      </w:r>
    </w:p>
    <w:p>
      <w:pPr>
        <w:pStyle w:val="151"/>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因乙方工作人员失职影响到甲方的正常工作(特殊情况除外)甲方有权追究乙方的责任。</w:t>
      </w:r>
    </w:p>
    <w:p>
      <w:pPr>
        <w:pStyle w:val="151"/>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甲方有权对乙方安全卫生、服务等情况进行监督检查，如乙方未达到标准，甲方有权要求乙方进行整改和完善。</w:t>
      </w:r>
    </w:p>
    <w:p>
      <w:pPr>
        <w:pStyle w:val="151"/>
        <w:keepNext w:val="0"/>
        <w:keepLines w:val="0"/>
        <w:pageBreakBefore w:val="0"/>
        <w:widowControl w:val="0"/>
        <w:numPr>
          <w:ilvl w:val="0"/>
          <w:numId w:val="9"/>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乙方所购食品及原材料必须有相关的食品卫生检验证明以备卫生检疫单位检查，若违反规定，一切后果由乙方负责。</w:t>
      </w:r>
    </w:p>
    <w:p>
      <w:pPr>
        <w:pStyle w:val="151"/>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乙方的权利和义务：</w:t>
      </w:r>
    </w:p>
    <w:p>
      <w:pPr>
        <w:pStyle w:val="151"/>
        <w:keepNext w:val="0"/>
        <w:keepLines w:val="0"/>
        <w:pageBreakBefore w:val="0"/>
        <w:widowControl w:val="0"/>
        <w:numPr>
          <w:ilvl w:val="3"/>
          <w:numId w:val="10"/>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乙方负责饭餐供应的管理，包含但不限于配餐人员安排、菜肴的搭配与制作、不锈钢餐具、餐厅环境的清洁与消毒。</w:t>
      </w:r>
    </w:p>
    <w:p>
      <w:pPr>
        <w:pStyle w:val="151"/>
        <w:keepNext w:val="0"/>
        <w:keepLines w:val="0"/>
        <w:pageBreakBefore w:val="0"/>
        <w:widowControl w:val="0"/>
        <w:numPr>
          <w:ilvl w:val="3"/>
          <w:numId w:val="10"/>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乙方有权要求甲方就餐人员严格遵守管理制度，依次排队提供餐券用餐。</w:t>
      </w:r>
    </w:p>
    <w:p>
      <w:pPr>
        <w:pStyle w:val="151"/>
        <w:keepNext w:val="0"/>
        <w:keepLines w:val="0"/>
        <w:pageBreakBefore w:val="0"/>
        <w:widowControl w:val="0"/>
        <w:numPr>
          <w:ilvl w:val="3"/>
          <w:numId w:val="10"/>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就餐时间11:50—12:15 ，餐后清洗不锈钢餐具、消毒，并做好消除蚊、蝇、鼠害等工作；送至甲方现场餐具必须经过高温消毒。</w:t>
      </w:r>
    </w:p>
    <w:p>
      <w:pPr>
        <w:pStyle w:val="151"/>
        <w:keepNext w:val="0"/>
        <w:keepLines w:val="0"/>
        <w:pageBreakBefore w:val="0"/>
        <w:widowControl w:val="0"/>
        <w:numPr>
          <w:ilvl w:val="3"/>
          <w:numId w:val="10"/>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提供给甲方饭餐均需留样24小时，以备检查。</w:t>
      </w: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违约责任</w:t>
      </w:r>
    </w:p>
    <w:p>
      <w:pPr>
        <w:pStyle w:val="151"/>
        <w:keepNext w:val="0"/>
        <w:keepLines w:val="0"/>
        <w:pageBreakBefore w:val="0"/>
        <w:widowControl w:val="0"/>
        <w:numPr>
          <w:ilvl w:val="0"/>
          <w:numId w:val="11"/>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乙方提供不洁食品造成甲方人员食物中毒的，由乙方负责赔偿并承担所有法律后果，赔偿金额视具体情况定。</w:t>
      </w:r>
    </w:p>
    <w:p>
      <w:pPr>
        <w:pStyle w:val="151"/>
        <w:keepNext w:val="0"/>
        <w:keepLines w:val="0"/>
        <w:pageBreakBefore w:val="0"/>
        <w:widowControl w:val="0"/>
        <w:numPr>
          <w:ilvl w:val="0"/>
          <w:numId w:val="11"/>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乙方在履行本合同的过程中，若明显违反合同约定，无法达到合同约定的供餐标准和供餐时间要求，经甲方书面通告后，乙方仍不改正，甲方有权单方解除合同。</w:t>
      </w:r>
    </w:p>
    <w:p>
      <w:pPr>
        <w:pStyle w:val="151"/>
        <w:keepNext w:val="0"/>
        <w:keepLines w:val="0"/>
        <w:pageBreakBefore w:val="0"/>
        <w:widowControl w:val="0"/>
        <w:numPr>
          <w:ilvl w:val="0"/>
          <w:numId w:val="11"/>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本合同正式生效后任何一方不准无理由解除合同，如确需提前终止合同，应提前30天书面通知对方，双方协商同意后，方可解除合同。</w:t>
      </w:r>
    </w:p>
    <w:p>
      <w:pPr>
        <w:pStyle w:val="151"/>
        <w:keepNext w:val="0"/>
        <w:keepLines w:val="0"/>
        <w:pageBreakBefore w:val="0"/>
        <w:widowControl w:val="0"/>
        <w:kinsoku/>
        <w:wordWrap/>
        <w:overflowPunct/>
        <w:topLinePunct w:val="0"/>
        <w:autoSpaceDE/>
        <w:autoSpaceDN/>
        <w:bidi w:val="0"/>
        <w:adjustRightInd/>
        <w:snapToGrid/>
        <w:spacing w:line="240" w:lineRule="auto"/>
        <w:ind w:left="1260" w:firstLine="0" w:firstLineChars="0"/>
        <w:textAlignment w:val="auto"/>
        <w:rPr>
          <w:rFonts w:ascii="仿宋_GB2312" w:hAnsi="宋体" w:eastAsia="仿宋_GB2312"/>
          <w:color w:val="000000" w:themeColor="text1"/>
          <w:sz w:val="32"/>
          <w:szCs w:val="32"/>
        </w:rPr>
      </w:pP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合作期限及结算方式</w:t>
      </w:r>
    </w:p>
    <w:p>
      <w:pPr>
        <w:pStyle w:val="151"/>
        <w:keepNext w:val="0"/>
        <w:keepLines w:val="0"/>
        <w:pageBreakBefore w:val="0"/>
        <w:widowControl w:val="0"/>
        <w:numPr>
          <w:ilvl w:val="0"/>
          <w:numId w:val="12"/>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本合同有效期自20____年__月__日起至__年__月__日，合同期满自动终止，若双方希望继续合作，需提前1个月书面告知。</w:t>
      </w:r>
    </w:p>
    <w:p>
      <w:pPr>
        <w:pStyle w:val="151"/>
        <w:keepNext w:val="0"/>
        <w:keepLines w:val="0"/>
        <w:pageBreakBefore w:val="0"/>
        <w:widowControl w:val="0"/>
        <w:numPr>
          <w:ilvl w:val="0"/>
          <w:numId w:val="12"/>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甲方按月支付就餐费用，每月_____日前由乙方出具正规发票，甲方以</w:t>
      </w:r>
      <w:r>
        <w:rPr>
          <w:rFonts w:hint="eastAsia" w:ascii="仿宋_GB2312" w:hAnsi="宋体" w:eastAsia="仿宋_GB2312"/>
          <w:color w:val="000000" w:themeColor="text1"/>
          <w:sz w:val="32"/>
          <w:szCs w:val="32"/>
          <w:u w:val="single"/>
        </w:rPr>
        <w:t xml:space="preserve">   对公转帐方式    </w:t>
      </w:r>
      <w:r>
        <w:rPr>
          <w:rFonts w:hint="eastAsia" w:ascii="仿宋_GB2312" w:hAnsi="宋体" w:eastAsia="仿宋_GB2312"/>
          <w:color w:val="000000" w:themeColor="text1"/>
          <w:sz w:val="32"/>
          <w:szCs w:val="32"/>
        </w:rPr>
        <w:t>结算上月餐费。</w:t>
      </w:r>
    </w:p>
    <w:p>
      <w:pPr>
        <w:pStyle w:val="151"/>
        <w:keepNext w:val="0"/>
        <w:keepLines w:val="0"/>
        <w:pageBreakBefore w:val="0"/>
        <w:widowControl w:val="0"/>
        <w:kinsoku/>
        <w:wordWrap/>
        <w:overflowPunct/>
        <w:topLinePunct w:val="0"/>
        <w:autoSpaceDE/>
        <w:autoSpaceDN/>
        <w:bidi w:val="0"/>
        <w:adjustRightInd/>
        <w:snapToGrid/>
        <w:spacing w:line="240" w:lineRule="auto"/>
        <w:ind w:left="420" w:firstLine="0" w:firstLineChars="0"/>
        <w:textAlignment w:val="auto"/>
        <w:rPr>
          <w:rFonts w:ascii="仿宋_GB2312" w:hAnsi="宋体" w:eastAsia="仿宋_GB2312"/>
          <w:color w:val="000000" w:themeColor="text1"/>
          <w:sz w:val="32"/>
          <w:szCs w:val="32"/>
        </w:rPr>
      </w:pPr>
    </w:p>
    <w:p>
      <w:pPr>
        <w:pStyle w:val="151"/>
        <w:keepNext w:val="0"/>
        <w:keepLines w:val="0"/>
        <w:pageBreakBefore w:val="0"/>
        <w:widowControl w:val="0"/>
        <w:numPr>
          <w:ilvl w:val="0"/>
          <w:numId w:val="4"/>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其它条款</w:t>
      </w:r>
    </w:p>
    <w:p>
      <w:pPr>
        <w:pStyle w:val="151"/>
        <w:keepNext w:val="0"/>
        <w:keepLines w:val="0"/>
        <w:pageBreakBefore w:val="0"/>
        <w:widowControl w:val="0"/>
        <w:numPr>
          <w:ilvl w:val="0"/>
          <w:numId w:val="13"/>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本合同履行过程中发生争议时，双方应协商解决，协商不成时，可向合同履行地人民法院起诉。</w:t>
      </w:r>
    </w:p>
    <w:p>
      <w:pPr>
        <w:pStyle w:val="151"/>
        <w:keepNext w:val="0"/>
        <w:keepLines w:val="0"/>
        <w:pageBreakBefore w:val="0"/>
        <w:widowControl w:val="0"/>
        <w:numPr>
          <w:ilvl w:val="0"/>
          <w:numId w:val="13"/>
        </w:numPr>
        <w:kinsoku/>
        <w:wordWrap/>
        <w:overflowPunct/>
        <w:topLinePunct w:val="0"/>
        <w:autoSpaceDE/>
        <w:autoSpaceDN/>
        <w:bidi w:val="0"/>
        <w:adjustRightInd/>
        <w:snapToGrid/>
        <w:spacing w:line="240" w:lineRule="auto"/>
        <w:ind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本合同如有遗漏之处，可在补充协议中明确，补充协议作为本合同的组成部分，具有同等的法律效力。</w:t>
      </w:r>
    </w:p>
    <w:p>
      <w:pPr>
        <w:pStyle w:val="151"/>
        <w:keepNext w:val="0"/>
        <w:keepLines w:val="0"/>
        <w:pageBreakBefore w:val="0"/>
        <w:widowControl w:val="0"/>
        <w:kinsoku/>
        <w:wordWrap/>
        <w:overflowPunct/>
        <w:topLinePunct w:val="0"/>
        <w:autoSpaceDE/>
        <w:autoSpaceDN/>
        <w:bidi w:val="0"/>
        <w:adjustRightInd/>
        <w:snapToGrid/>
        <w:spacing w:line="240" w:lineRule="auto"/>
        <w:ind w:left="360" w:firstLine="0" w:firstLineChars="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本合同一式四份，甲方执三份，乙方执一份，本合同自甲、乙双方签字盖章之日起正式生效。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eastAsia="仿宋_GB2312"/>
          <w:color w:val="000000" w:themeColor="text1"/>
          <w:sz w:val="32"/>
          <w:szCs w:val="32"/>
        </w:rPr>
      </w:pPr>
    </w:p>
    <w:p>
      <w:pPr>
        <w:pStyle w:val="2"/>
      </w:pP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甲方(发包方)：                          乙方(承包方)：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法定代表人：                             法定代表人：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委托代理人：                             委托代理人：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150"/>
        <w:textAlignment w:val="auto"/>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日期:                                    日期:</w:t>
      </w:r>
    </w:p>
    <w:p>
      <w:pPr>
        <w:spacing w:after="120"/>
        <w:ind w:firstLine="420"/>
        <w:rPr>
          <w:rFonts w:ascii="仿宋_GB2312" w:eastAsia="仿宋_GB2312"/>
          <w:sz w:val="32"/>
          <w:szCs w:val="32"/>
          <w:lang w:val="zh-CN"/>
        </w:rPr>
      </w:pPr>
    </w:p>
    <w:p>
      <w:pPr>
        <w:spacing w:after="120"/>
        <w:ind w:firstLine="420"/>
        <w:rPr>
          <w:rFonts w:ascii="仿宋_GB2312" w:eastAsia="仿宋_GB2312"/>
          <w:sz w:val="32"/>
          <w:szCs w:val="32"/>
          <w:lang w:val="zh-CN"/>
        </w:rPr>
      </w:pPr>
    </w:p>
    <w:p>
      <w:pPr>
        <w:spacing w:after="120"/>
        <w:ind w:firstLine="420"/>
        <w:rPr>
          <w:rFonts w:ascii="仿宋_GB2312" w:eastAsia="仿宋_GB2312"/>
          <w:sz w:val="32"/>
          <w:szCs w:val="32"/>
          <w:lang w:val="zh-CN"/>
        </w:rPr>
      </w:pPr>
    </w:p>
    <w:p>
      <w:pPr>
        <w:spacing w:after="120"/>
        <w:ind w:firstLine="420"/>
        <w:rPr>
          <w:rFonts w:ascii="仿宋_GB2312" w:eastAsia="仿宋_GB2312"/>
          <w:sz w:val="32"/>
          <w:szCs w:val="32"/>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spacing w:after="120"/>
        <w:ind w:firstLine="420"/>
        <w:rPr>
          <w:rFonts w:eastAsia="宋体"/>
          <w:lang w:val="zh-CN"/>
        </w:rPr>
      </w:pPr>
    </w:p>
    <w:p>
      <w:pPr>
        <w:keepNext/>
        <w:keepLines/>
        <w:spacing w:before="120" w:after="120" w:line="360" w:lineRule="auto"/>
        <w:jc w:val="center"/>
        <w:outlineLvl w:val="0"/>
        <w:rPr>
          <w:rFonts w:ascii="黑体" w:hAnsi="黑体" w:eastAsia="黑体" w:cs="Times New Roman"/>
          <w:kern w:val="44"/>
          <w:sz w:val="44"/>
          <w:szCs w:val="44"/>
          <w:lang w:val="zh-CN"/>
        </w:rPr>
      </w:pPr>
      <w:bookmarkStart w:id="78" w:name="_Toc16238383"/>
      <w:bookmarkStart w:id="79" w:name="_Toc7540"/>
    </w:p>
    <w:p>
      <w:pPr>
        <w:keepNext/>
        <w:keepLines/>
        <w:spacing w:before="120" w:after="120" w:line="360" w:lineRule="auto"/>
        <w:jc w:val="center"/>
        <w:outlineLvl w:val="0"/>
        <w:rPr>
          <w:rFonts w:ascii="黑体" w:hAnsi="黑体" w:eastAsia="黑体" w:cs="Times New Roman"/>
          <w:kern w:val="44"/>
          <w:sz w:val="44"/>
          <w:szCs w:val="44"/>
          <w:lang w:val="zh-CN"/>
        </w:rPr>
      </w:pPr>
    </w:p>
    <w:p>
      <w:pPr>
        <w:keepNext/>
        <w:keepLines/>
        <w:spacing w:before="120" w:after="120" w:line="360" w:lineRule="auto"/>
        <w:jc w:val="center"/>
        <w:outlineLvl w:val="0"/>
        <w:rPr>
          <w:rFonts w:ascii="黑体" w:hAnsi="黑体" w:eastAsia="黑体" w:cs="Times New Roman"/>
          <w:kern w:val="44"/>
          <w:sz w:val="44"/>
          <w:szCs w:val="44"/>
          <w:lang w:val="zh-CN"/>
        </w:rPr>
      </w:pPr>
    </w:p>
    <w:p>
      <w:pPr>
        <w:keepNext/>
        <w:keepLines/>
        <w:spacing w:before="120" w:after="120" w:line="360" w:lineRule="auto"/>
        <w:jc w:val="center"/>
        <w:outlineLvl w:val="0"/>
        <w:rPr>
          <w:rFonts w:ascii="黑体" w:hAnsi="黑体" w:eastAsia="黑体" w:cs="Times New Roman"/>
          <w:kern w:val="44"/>
          <w:sz w:val="44"/>
          <w:szCs w:val="44"/>
          <w:lang w:val="zh-CN"/>
        </w:rPr>
      </w:pPr>
    </w:p>
    <w:p>
      <w:pPr>
        <w:keepNext/>
        <w:keepLines/>
        <w:spacing w:before="120" w:after="120" w:line="360" w:lineRule="auto"/>
        <w:jc w:val="center"/>
        <w:outlineLvl w:val="0"/>
        <w:rPr>
          <w:rFonts w:ascii="黑体" w:hAnsi="黑体" w:eastAsia="黑体" w:cs="Times New Roman"/>
          <w:kern w:val="44"/>
          <w:sz w:val="44"/>
          <w:szCs w:val="44"/>
          <w:lang w:val="zh-CN"/>
        </w:rPr>
      </w:pPr>
    </w:p>
    <w:p>
      <w:pPr>
        <w:keepNext/>
        <w:keepLines/>
        <w:spacing w:before="120" w:after="120" w:line="360" w:lineRule="auto"/>
        <w:jc w:val="center"/>
        <w:outlineLvl w:val="0"/>
        <w:rPr>
          <w:rFonts w:ascii="黑体" w:hAnsi="黑体" w:eastAsia="黑体" w:cs="Times New Roman"/>
          <w:kern w:val="44"/>
          <w:sz w:val="44"/>
          <w:szCs w:val="44"/>
          <w:lang w:val="zh-CN"/>
        </w:rPr>
      </w:pPr>
    </w:p>
    <w:p>
      <w:pPr>
        <w:keepNext/>
        <w:keepLines/>
        <w:spacing w:before="120" w:after="120" w:line="360" w:lineRule="auto"/>
        <w:jc w:val="center"/>
        <w:outlineLvl w:val="0"/>
        <w:rPr>
          <w:rFonts w:ascii="黑体" w:hAnsi="黑体" w:eastAsia="黑体" w:cs="Times New Roman"/>
          <w:kern w:val="44"/>
          <w:sz w:val="44"/>
          <w:szCs w:val="44"/>
          <w:lang w:val="zh-CN"/>
        </w:rPr>
      </w:pPr>
    </w:p>
    <w:p>
      <w:pPr>
        <w:pStyle w:val="2"/>
        <w:rPr>
          <w:lang w:val="zh-CN"/>
        </w:rPr>
      </w:pPr>
    </w:p>
    <w:p>
      <w:pPr>
        <w:keepNext/>
        <w:keepLines/>
        <w:spacing w:before="120" w:after="120" w:line="360" w:lineRule="auto"/>
        <w:jc w:val="center"/>
        <w:outlineLvl w:val="0"/>
        <w:rPr>
          <w:rFonts w:ascii="黑体" w:hAnsi="黑体" w:eastAsia="黑体" w:cs="Times New Roman"/>
          <w:kern w:val="44"/>
          <w:sz w:val="44"/>
          <w:szCs w:val="44"/>
          <w:lang w:val="zh-CN"/>
        </w:rPr>
        <w:sectPr>
          <w:headerReference r:id="rId11" w:type="default"/>
          <w:footerReference r:id="rId12" w:type="default"/>
          <w:endnotePr>
            <w:numFmt w:val="decimal"/>
          </w:endnotePr>
          <w:pgSz w:w="11906" w:h="16838"/>
          <w:pgMar w:top="1247" w:right="1287" w:bottom="1247" w:left="1287" w:header="851" w:footer="907" w:gutter="0"/>
          <w:cols w:space="720" w:num="1"/>
          <w:docGrid w:linePitch="312" w:charSpace="0"/>
        </w:sectPr>
      </w:pPr>
      <w:r>
        <w:rPr>
          <w:rFonts w:hint="eastAsia" w:ascii="黑体" w:hAnsi="黑体" w:eastAsia="黑体" w:cs="Times New Roman"/>
          <w:kern w:val="44"/>
          <w:sz w:val="44"/>
          <w:szCs w:val="44"/>
          <w:lang w:val="zh-CN"/>
        </w:rPr>
        <w:t>第五章投标文件格式</w:t>
      </w:r>
      <w:bookmarkEnd w:id="76"/>
      <w:bookmarkEnd w:id="77"/>
      <w:bookmarkEnd w:id="78"/>
      <w:bookmarkEnd w:id="79"/>
    </w:p>
    <w:p>
      <w:pPr>
        <w:spacing w:line="360" w:lineRule="auto"/>
        <w:outlineLvl w:val="1"/>
        <w:rPr>
          <w:rFonts w:ascii="宋体" w:eastAsia="宋体"/>
          <w:b/>
          <w:sz w:val="24"/>
          <w:szCs w:val="24"/>
        </w:rPr>
      </w:pPr>
      <w:bookmarkStart w:id="80" w:name="_Toc359572274"/>
      <w:bookmarkStart w:id="81" w:name="_Toc10574"/>
      <w:bookmarkStart w:id="82" w:name="_Toc15425"/>
      <w:bookmarkStart w:id="83" w:name="_Toc413933188"/>
      <w:bookmarkStart w:id="84" w:name="_Toc346895296"/>
      <w:bookmarkStart w:id="85" w:name="_Toc16238384"/>
      <w:bookmarkStart w:id="86" w:name="_Toc413933295"/>
      <w:r>
        <w:rPr>
          <w:rFonts w:hint="eastAsia" w:ascii="宋体" w:hAnsi="宋体" w:eastAsia="宋体"/>
          <w:b/>
          <w:sz w:val="24"/>
          <w:szCs w:val="24"/>
        </w:rPr>
        <w:t>附件</w:t>
      </w:r>
      <w:r>
        <w:rPr>
          <w:rFonts w:ascii="宋体" w:hAnsi="宋体" w:eastAsia="宋体"/>
          <w:b/>
          <w:sz w:val="24"/>
          <w:szCs w:val="24"/>
        </w:rPr>
        <w:t>1</w:t>
      </w:r>
      <w:r>
        <w:rPr>
          <w:rFonts w:hint="eastAsia" w:ascii="宋体" w:hAnsi="宋体" w:eastAsia="宋体"/>
          <w:b/>
          <w:sz w:val="24"/>
          <w:szCs w:val="24"/>
        </w:rPr>
        <w:t>：</w:t>
      </w:r>
      <w:bookmarkEnd w:id="80"/>
      <w:bookmarkEnd w:id="81"/>
      <w:bookmarkEnd w:id="82"/>
      <w:bookmarkEnd w:id="83"/>
      <w:bookmarkEnd w:id="84"/>
      <w:bookmarkEnd w:id="85"/>
      <w:bookmarkEnd w:id="86"/>
    </w:p>
    <w:p>
      <w:pPr>
        <w:widowControl/>
        <w:shd w:val="clear" w:color="auto" w:fill="FFFFFF"/>
        <w:spacing w:line="270" w:lineRule="atLeast"/>
        <w:jc w:val="center"/>
        <w:rPr>
          <w:sz w:val="18"/>
          <w:szCs w:val="18"/>
        </w:rPr>
      </w:pPr>
      <w:bookmarkStart w:id="87" w:name="_Toc9379"/>
      <w:bookmarkStart w:id="88" w:name="_Toc413933297"/>
      <w:bookmarkStart w:id="89" w:name="_Toc16238386"/>
      <w:bookmarkStart w:id="90" w:name="_Toc413933190"/>
      <w:bookmarkStart w:id="91" w:name="_Toc3495"/>
      <w:bookmarkStart w:id="92" w:name="_Toc359572276"/>
      <w:bookmarkStart w:id="93" w:name="_Toc346895298"/>
      <w:r>
        <w:rPr>
          <w:rFonts w:hint="eastAsia"/>
          <w:b/>
          <w:bCs/>
          <w:sz w:val="32"/>
          <w:szCs w:val="32"/>
        </w:rPr>
        <w:t>投</w:t>
      </w:r>
      <w:r>
        <w:rPr>
          <w:rFonts w:hint="eastAsia"/>
          <w:b/>
          <w:bCs/>
          <w:sz w:val="32"/>
        </w:rPr>
        <w:t> </w:t>
      </w:r>
      <w:r>
        <w:rPr>
          <w:rFonts w:hint="eastAsia"/>
          <w:b/>
          <w:bCs/>
          <w:sz w:val="32"/>
          <w:szCs w:val="32"/>
        </w:rPr>
        <w:t> 标</w:t>
      </w:r>
      <w:r>
        <w:rPr>
          <w:rFonts w:hint="eastAsia"/>
          <w:b/>
          <w:bCs/>
          <w:sz w:val="32"/>
        </w:rPr>
        <w:t> </w:t>
      </w:r>
      <w:r>
        <w:rPr>
          <w:rFonts w:hint="eastAsia"/>
          <w:b/>
          <w:bCs/>
          <w:sz w:val="32"/>
          <w:szCs w:val="32"/>
        </w:rPr>
        <w:t> 函</w:t>
      </w:r>
    </w:p>
    <w:p>
      <w:pPr>
        <w:widowControl/>
        <w:shd w:val="clear" w:color="auto" w:fill="FFFFFF"/>
        <w:spacing w:line="400" w:lineRule="atLeast"/>
        <w:jc w:val="left"/>
      </w:pPr>
    </w:p>
    <w:p>
      <w:pPr>
        <w:widowControl/>
        <w:shd w:val="clear" w:color="auto" w:fill="FFFFFF"/>
        <w:spacing w:line="400" w:lineRule="atLeast"/>
        <w:jc w:val="left"/>
      </w:pPr>
      <w:r>
        <w:rPr>
          <w:rFonts w:hint="eastAsia"/>
        </w:rPr>
        <w:t>广州南沙湿地旅游发展有限公司：   </w:t>
      </w:r>
    </w:p>
    <w:p>
      <w:pPr>
        <w:widowControl/>
        <w:shd w:val="clear" w:color="auto" w:fill="FFFFFF"/>
        <w:spacing w:line="400" w:lineRule="atLeast"/>
        <w:ind w:firstLine="480"/>
        <w:jc w:val="left"/>
      </w:pPr>
    </w:p>
    <w:p>
      <w:pPr>
        <w:widowControl/>
        <w:shd w:val="clear" w:color="auto" w:fill="FFFFFF"/>
        <w:spacing w:line="400" w:lineRule="atLeast"/>
        <w:ind w:firstLine="480"/>
        <w:jc w:val="left"/>
        <w:rPr>
          <w:sz w:val="18"/>
          <w:szCs w:val="18"/>
        </w:rPr>
      </w:pPr>
      <w:r>
        <w:rPr>
          <w:rFonts w:hint="eastAsia"/>
          <w:u w:val="single"/>
        </w:rPr>
        <w:t>                                   </w:t>
      </w:r>
      <w:r>
        <w:rPr>
          <w:rFonts w:hint="eastAsia"/>
        </w:rPr>
        <w:t>（投标人名称）自愿针对上述项目进行投标，正式授权</w:t>
      </w:r>
      <w:r>
        <w:rPr>
          <w:rFonts w:hint="eastAsia"/>
          <w:u w:val="single"/>
        </w:rPr>
        <w:t>            （</w:t>
      </w:r>
      <w:r>
        <w:rPr>
          <w:rFonts w:hint="eastAsia"/>
        </w:rPr>
        <w:t>代表姓名）职务</w:t>
      </w:r>
      <w:r>
        <w:rPr>
          <w:rFonts w:hint="eastAsia"/>
          <w:u w:val="single"/>
        </w:rPr>
        <w:t>             </w:t>
      </w:r>
      <w:r>
        <w:rPr>
          <w:rFonts w:hint="eastAsia"/>
        </w:rPr>
        <w:t>代表我公司递交投标文件，投标文件中所有关于投标人资格的文件、证明、陈述均是真实的、准确的。若有违背，我公司承担由此而产生的一切后果。</w:t>
      </w:r>
    </w:p>
    <w:p>
      <w:pPr>
        <w:widowControl/>
        <w:shd w:val="clear" w:color="auto" w:fill="FFFFFF"/>
        <w:spacing w:line="400" w:lineRule="atLeast"/>
        <w:ind w:firstLine="480"/>
        <w:jc w:val="left"/>
        <w:rPr>
          <w:sz w:val="18"/>
          <w:szCs w:val="18"/>
        </w:rPr>
      </w:pPr>
      <w:r>
        <w:rPr>
          <w:rFonts w:hint="eastAsia"/>
        </w:rPr>
        <w:t>我代表</w:t>
      </w:r>
      <w:r>
        <w:rPr>
          <w:rFonts w:hint="eastAsia"/>
          <w:u w:val="single"/>
        </w:rPr>
        <w:t>                                   </w:t>
      </w:r>
      <w:r>
        <w:rPr>
          <w:rFonts w:hint="eastAsia"/>
        </w:rPr>
        <w:t>（投标人全称），在此宣布并同意如下：</w:t>
      </w:r>
      <w:r>
        <w:rPr>
          <w:rFonts w:hint="eastAsia"/>
        </w:rPr>
        <w:br w:type="textWrapping"/>
      </w:r>
      <w:r>
        <w:rPr>
          <w:rFonts w:hint="eastAsia"/>
        </w:rPr>
        <w:t>      1、投标人已经详细阅读了全部招标文件内容，我们完全理解并接受招标文件的一切规定和要求，承诺按规定要求实施并完成上述项目内容，同时放弃对招标文件有不明及误解的权利。</w:t>
      </w:r>
    </w:p>
    <w:p>
      <w:pPr>
        <w:widowControl/>
        <w:shd w:val="clear" w:color="auto" w:fill="FFFFFF"/>
        <w:spacing w:line="400" w:lineRule="atLeast"/>
        <w:ind w:firstLine="480"/>
        <w:jc w:val="left"/>
        <w:rPr>
          <w:sz w:val="18"/>
          <w:szCs w:val="18"/>
        </w:rPr>
      </w:pPr>
      <w:r>
        <w:rPr>
          <w:rFonts w:hint="eastAsia"/>
        </w:rPr>
        <w:t>2 、我们承认投标书附件为我们投标文件的组成部分。</w:t>
      </w:r>
    </w:p>
    <w:p>
      <w:pPr>
        <w:widowControl/>
        <w:shd w:val="clear" w:color="auto" w:fill="FFFFFF"/>
        <w:spacing w:line="400" w:lineRule="atLeast"/>
        <w:ind w:firstLine="480"/>
        <w:jc w:val="left"/>
        <w:rPr>
          <w:sz w:val="18"/>
          <w:szCs w:val="18"/>
        </w:rPr>
      </w:pPr>
      <w:r>
        <w:rPr>
          <w:rFonts w:hint="eastAsia"/>
        </w:rPr>
        <w:t>3、 我公司投标报价为</w:t>
      </w:r>
      <w:r>
        <w:rPr>
          <w:rFonts w:hint="eastAsia"/>
          <w:u w:val="single"/>
        </w:rPr>
        <w:t>           元人民币（大写：    元整）</w:t>
      </w:r>
      <w:r>
        <w:rPr>
          <w:rFonts w:hint="eastAsia"/>
        </w:rPr>
        <w:t>，该投标报价为我方根据本项目的实际情况及管理水平，经过详细测算得出，本报价在投标有效期和合同有效期内不调整。</w:t>
      </w:r>
    </w:p>
    <w:p>
      <w:pPr>
        <w:widowControl/>
        <w:shd w:val="clear" w:color="auto" w:fill="FFFFFF"/>
        <w:spacing w:line="400" w:lineRule="atLeast"/>
        <w:ind w:firstLine="480"/>
        <w:jc w:val="left"/>
        <w:rPr>
          <w:sz w:val="18"/>
          <w:szCs w:val="18"/>
        </w:rPr>
      </w:pPr>
      <w:r>
        <w:rPr>
          <w:rFonts w:hint="eastAsia"/>
        </w:rPr>
        <w:t>4 、如果有幸中标，我方将按招标文件的具体规定与招标人签订合同，并严格履行合同责任和义务。</w:t>
      </w:r>
    </w:p>
    <w:p>
      <w:pPr>
        <w:widowControl/>
        <w:shd w:val="clear" w:color="auto" w:fill="FFFFFF"/>
        <w:spacing w:line="400" w:lineRule="atLeast"/>
        <w:ind w:firstLine="480"/>
        <w:jc w:val="left"/>
        <w:rPr>
          <w:sz w:val="18"/>
          <w:szCs w:val="18"/>
        </w:rPr>
      </w:pPr>
      <w:r>
        <w:rPr>
          <w:rFonts w:hint="eastAsia"/>
        </w:rPr>
        <w:t>5、 在整个招标过程中，若有违规行为，贵方可按招标文件规定处置，我方完全接受。</w:t>
      </w:r>
    </w:p>
    <w:p>
      <w:pPr>
        <w:widowControl/>
        <w:shd w:val="clear" w:color="auto" w:fill="FFFFFF"/>
        <w:spacing w:line="400" w:lineRule="atLeast"/>
        <w:ind w:firstLine="480"/>
        <w:jc w:val="left"/>
        <w:rPr>
          <w:sz w:val="18"/>
          <w:szCs w:val="18"/>
        </w:rPr>
      </w:pPr>
      <w:r>
        <w:rPr>
          <w:rFonts w:hint="eastAsia"/>
        </w:rPr>
        <w:t>6、同意提供按照贵方可能要求的与其投标有关的一切数据或资料，完全理解贵方不一定接受最低价的投标或受到任何投标书的约束。</w:t>
      </w:r>
    </w:p>
    <w:p>
      <w:pPr>
        <w:widowControl/>
        <w:shd w:val="clear" w:color="auto" w:fill="FFFFFF"/>
        <w:spacing w:line="400" w:lineRule="atLeast"/>
        <w:ind w:firstLine="480"/>
        <w:jc w:val="left"/>
        <w:rPr>
          <w:sz w:val="18"/>
          <w:szCs w:val="18"/>
        </w:rPr>
      </w:pPr>
      <w:r>
        <w:rPr>
          <w:rFonts w:hint="eastAsia"/>
        </w:rPr>
        <w:t> </w:t>
      </w:r>
    </w:p>
    <w:p>
      <w:pPr>
        <w:widowControl/>
        <w:shd w:val="clear" w:color="auto" w:fill="FFFFFF"/>
        <w:spacing w:line="400" w:lineRule="atLeast"/>
        <w:ind w:firstLine="480"/>
        <w:jc w:val="left"/>
        <w:rPr>
          <w:sz w:val="18"/>
          <w:szCs w:val="18"/>
        </w:rPr>
      </w:pPr>
      <w:r>
        <w:rPr>
          <w:rFonts w:hint="eastAsia"/>
        </w:rPr>
        <w:t>投标人(盖章)：</w:t>
      </w:r>
    </w:p>
    <w:p>
      <w:pPr>
        <w:widowControl/>
        <w:shd w:val="clear" w:color="auto" w:fill="FFFFFF"/>
        <w:spacing w:line="400" w:lineRule="atLeast"/>
        <w:ind w:firstLine="480"/>
        <w:jc w:val="left"/>
        <w:rPr>
          <w:sz w:val="18"/>
          <w:szCs w:val="18"/>
        </w:rPr>
      </w:pPr>
      <w:r>
        <w:rPr>
          <w:rFonts w:hint="eastAsia"/>
        </w:rPr>
        <w:t> </w:t>
      </w:r>
    </w:p>
    <w:p>
      <w:pPr>
        <w:widowControl/>
        <w:shd w:val="clear" w:color="auto" w:fill="FFFFFF"/>
        <w:spacing w:line="400" w:lineRule="atLeast"/>
        <w:ind w:firstLine="480"/>
        <w:jc w:val="left"/>
        <w:rPr>
          <w:sz w:val="18"/>
          <w:szCs w:val="18"/>
        </w:rPr>
      </w:pPr>
      <w:r>
        <w:rPr>
          <w:rFonts w:hint="eastAsia"/>
        </w:rPr>
        <w:t>法定代表人(签字)：</w:t>
      </w:r>
    </w:p>
    <w:p>
      <w:pPr>
        <w:widowControl/>
        <w:shd w:val="clear" w:color="auto" w:fill="FFFFFF"/>
        <w:spacing w:line="400" w:lineRule="atLeast"/>
        <w:ind w:firstLine="480"/>
        <w:jc w:val="left"/>
        <w:rPr>
          <w:sz w:val="18"/>
          <w:szCs w:val="18"/>
        </w:rPr>
      </w:pPr>
      <w:r>
        <w:rPr>
          <w:rFonts w:hint="eastAsia"/>
        </w:rPr>
        <w:t>授权代表(签字)：</w:t>
      </w:r>
    </w:p>
    <w:p>
      <w:pPr>
        <w:widowControl/>
        <w:shd w:val="clear" w:color="auto" w:fill="FFFFFF"/>
        <w:spacing w:line="400" w:lineRule="atLeast"/>
        <w:jc w:val="left"/>
        <w:rPr>
          <w:sz w:val="18"/>
          <w:szCs w:val="18"/>
        </w:rPr>
      </w:pPr>
      <w:r>
        <w:rPr>
          <w:rFonts w:hint="eastAsia"/>
        </w:rPr>
        <w:t xml:space="preserve">                                                                                        </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widowControl/>
        <w:shd w:val="clear" w:color="auto" w:fill="FFFFFF"/>
        <w:spacing w:line="400" w:lineRule="atLeast"/>
        <w:jc w:val="center"/>
        <w:rPr>
          <w:sz w:val="18"/>
          <w:szCs w:val="18"/>
        </w:rPr>
      </w:pPr>
      <w:r>
        <w:rPr>
          <w:rFonts w:hint="eastAsia"/>
          <w:b/>
          <w:bCs/>
          <w:sz w:val="32"/>
          <w:szCs w:val="32"/>
        </w:rPr>
        <w:t> </w:t>
      </w:r>
    </w:p>
    <w:p>
      <w:pPr>
        <w:spacing w:line="360" w:lineRule="auto"/>
        <w:outlineLvl w:val="1"/>
        <w:rPr>
          <w:rFonts w:ascii="宋体" w:hAnsi="宋体" w:eastAsia="宋体"/>
          <w:b/>
          <w:sz w:val="24"/>
          <w:szCs w:val="24"/>
        </w:rPr>
      </w:pPr>
    </w:p>
    <w:p>
      <w:pPr>
        <w:spacing w:line="360" w:lineRule="auto"/>
        <w:outlineLvl w:val="1"/>
        <w:rPr>
          <w:rFonts w:ascii="宋体" w:hAnsi="宋体" w:eastAsia="宋体"/>
          <w:b/>
          <w:sz w:val="24"/>
          <w:szCs w:val="24"/>
        </w:rPr>
      </w:pPr>
    </w:p>
    <w:p>
      <w:pPr>
        <w:spacing w:line="360" w:lineRule="auto"/>
        <w:outlineLvl w:val="1"/>
        <w:rPr>
          <w:rFonts w:ascii="宋体" w:hAnsi="宋体" w:eastAsia="宋体"/>
          <w:b/>
          <w:sz w:val="24"/>
          <w:szCs w:val="24"/>
        </w:rPr>
      </w:pPr>
    </w:p>
    <w:p>
      <w:pPr>
        <w:spacing w:line="360" w:lineRule="auto"/>
        <w:outlineLvl w:val="1"/>
        <w:rPr>
          <w:rFonts w:ascii="宋体" w:hAnsi="宋体" w:eastAsia="宋体"/>
          <w:b/>
          <w:sz w:val="24"/>
          <w:szCs w:val="24"/>
        </w:rPr>
      </w:pPr>
    </w:p>
    <w:p>
      <w:pPr>
        <w:spacing w:line="360" w:lineRule="auto"/>
        <w:outlineLvl w:val="1"/>
        <w:rPr>
          <w:rFonts w:ascii="宋体" w:hAnsi="宋体" w:eastAsia="宋体"/>
          <w:b/>
          <w:sz w:val="24"/>
          <w:szCs w:val="24"/>
        </w:rPr>
      </w:pPr>
    </w:p>
    <w:p>
      <w:pPr>
        <w:spacing w:line="360" w:lineRule="auto"/>
        <w:outlineLvl w:val="1"/>
        <w:rPr>
          <w:rFonts w:ascii="宋体" w:hAnsi="宋体" w:eastAsia="宋体"/>
          <w:b/>
          <w:sz w:val="24"/>
          <w:szCs w:val="24"/>
        </w:rPr>
      </w:pPr>
    </w:p>
    <w:p>
      <w:pPr>
        <w:spacing w:line="360" w:lineRule="auto"/>
        <w:outlineLvl w:val="1"/>
        <w:rPr>
          <w:rFonts w:ascii="宋体" w:hAnsi="宋体" w:eastAsia="宋体"/>
          <w:b/>
          <w:sz w:val="24"/>
          <w:szCs w:val="24"/>
        </w:rPr>
      </w:pPr>
    </w:p>
    <w:p>
      <w:pPr>
        <w:spacing w:line="360" w:lineRule="auto"/>
        <w:outlineLvl w:val="1"/>
        <w:rPr>
          <w:rFonts w:ascii="宋体" w:hAnsi="宋体" w:eastAsia="宋体"/>
          <w:b/>
          <w:sz w:val="24"/>
          <w:szCs w:val="24"/>
        </w:rPr>
      </w:pPr>
    </w:p>
    <w:p>
      <w:pPr>
        <w:widowControl/>
        <w:shd w:val="clear" w:color="auto" w:fill="FFFFFF"/>
        <w:spacing w:line="400" w:lineRule="atLeast"/>
        <w:jc w:val="left"/>
      </w:pPr>
      <w:r>
        <w:rPr>
          <w:rFonts w:hint="eastAsia"/>
        </w:rPr>
        <w:t>附件2：</w:t>
      </w:r>
    </w:p>
    <w:p>
      <w:pPr>
        <w:widowControl/>
        <w:shd w:val="clear" w:color="auto" w:fill="FFFFFF"/>
        <w:spacing w:line="400" w:lineRule="atLeast"/>
        <w:jc w:val="center"/>
        <w:rPr>
          <w:sz w:val="18"/>
          <w:szCs w:val="18"/>
        </w:rPr>
      </w:pPr>
      <w:r>
        <w:rPr>
          <w:rFonts w:hint="eastAsia"/>
          <w:b/>
          <w:bCs/>
          <w:sz w:val="32"/>
          <w:szCs w:val="32"/>
        </w:rPr>
        <w:t>授权委托书</w:t>
      </w:r>
    </w:p>
    <w:p>
      <w:pPr>
        <w:widowControl/>
        <w:shd w:val="clear" w:color="auto" w:fill="FFFFFF"/>
        <w:jc w:val="left"/>
        <w:rPr>
          <w:rFonts w:ascii="仿宋_GB2312" w:eastAsia="仿宋_GB2312"/>
          <w:sz w:val="32"/>
          <w:szCs w:val="32"/>
        </w:rPr>
      </w:pPr>
      <w:r>
        <w:rPr>
          <w:rFonts w:hint="eastAsia"/>
        </w:rPr>
        <w:t> </w:t>
      </w:r>
    </w:p>
    <w:p>
      <w:pPr>
        <w:widowControl/>
        <w:shd w:val="clear" w:color="auto" w:fill="FFFFFF"/>
        <w:spacing w:line="270" w:lineRule="atLeast"/>
        <w:ind w:firstLine="480"/>
        <w:jc w:val="left"/>
        <w:rPr>
          <w:rFonts w:ascii="仿宋_GB2312" w:eastAsia="仿宋_GB2312"/>
          <w:sz w:val="32"/>
          <w:szCs w:val="32"/>
        </w:rPr>
      </w:pPr>
      <w:r>
        <w:rPr>
          <w:rFonts w:hint="eastAsia" w:ascii="仿宋_GB2312" w:eastAsia="仿宋_GB2312"/>
          <w:sz w:val="32"/>
          <w:szCs w:val="32"/>
        </w:rPr>
        <w:t>本人</w:t>
      </w:r>
      <w:r>
        <w:rPr>
          <w:rFonts w:hint="eastAsia" w:eastAsia="仿宋_GB2312"/>
          <w:sz w:val="32"/>
          <w:szCs w:val="32"/>
          <w:u w:val="single"/>
        </w:rPr>
        <w:t>        </w:t>
      </w:r>
      <w:r>
        <w:rPr>
          <w:rFonts w:hint="eastAsia" w:ascii="仿宋_GB2312" w:eastAsia="仿宋_GB2312"/>
          <w:sz w:val="32"/>
          <w:szCs w:val="32"/>
        </w:rPr>
        <w:t>（姓名）系</w:t>
      </w:r>
      <w:r>
        <w:rPr>
          <w:rFonts w:hint="eastAsia" w:eastAsia="仿宋_GB2312"/>
          <w:sz w:val="32"/>
          <w:szCs w:val="32"/>
          <w:u w:val="single"/>
        </w:rPr>
        <w:t>                      </w:t>
      </w:r>
      <w:r>
        <w:rPr>
          <w:rFonts w:hint="eastAsia" w:ascii="仿宋_GB2312" w:eastAsia="仿宋_GB2312"/>
          <w:sz w:val="32"/>
          <w:szCs w:val="32"/>
        </w:rPr>
        <w:t>（投标人名称）的法定代表人（经营者），现委托本单位人员</w:t>
      </w:r>
      <w:r>
        <w:rPr>
          <w:rFonts w:hint="eastAsia" w:eastAsia="仿宋_GB2312"/>
          <w:sz w:val="32"/>
          <w:szCs w:val="32"/>
          <w:u w:val="single"/>
        </w:rPr>
        <w:t>       </w:t>
      </w:r>
      <w:r>
        <w:rPr>
          <w:rFonts w:hint="eastAsia" w:ascii="仿宋_GB2312" w:eastAsia="仿宋_GB2312"/>
          <w:sz w:val="32"/>
          <w:szCs w:val="32"/>
        </w:rPr>
        <w:t>（姓名）为我方代理人。代理人根据授权，以我方名义签署、澄清、说明、补正、递交、撤回、修改</w:t>
      </w:r>
      <w:r>
        <w:rPr>
          <w:rFonts w:hint="eastAsia" w:ascii="仿宋_GB2312" w:eastAsia="仿宋_GB2312"/>
          <w:sz w:val="32"/>
          <w:szCs w:val="32"/>
          <w:u w:val="single"/>
        </w:rPr>
        <w:t>广州南沙湿地旅游发展有限公司饭餐供应项目</w:t>
      </w:r>
      <w:r>
        <w:rPr>
          <w:rFonts w:hint="eastAsia" w:ascii="仿宋_GB2312" w:eastAsia="仿宋_GB2312"/>
          <w:sz w:val="32"/>
          <w:szCs w:val="32"/>
        </w:rPr>
        <w:t>（项目名称）投标文件、参加投标开标有关事宜，其法律后果由我方承担。</w:t>
      </w:r>
    </w:p>
    <w:p>
      <w:pPr>
        <w:widowControl/>
        <w:shd w:val="clear" w:color="auto" w:fill="FFFFFF"/>
        <w:spacing w:line="270" w:lineRule="atLeast"/>
        <w:ind w:firstLine="480"/>
        <w:jc w:val="left"/>
        <w:rPr>
          <w:rFonts w:ascii="仿宋_GB2312" w:eastAsia="仿宋_GB2312"/>
          <w:sz w:val="32"/>
          <w:szCs w:val="32"/>
        </w:rPr>
      </w:pPr>
      <w:r>
        <w:rPr>
          <w:rFonts w:hint="eastAsia" w:ascii="仿宋_GB2312" w:eastAsia="仿宋_GB2312"/>
          <w:sz w:val="32"/>
          <w:szCs w:val="32"/>
        </w:rPr>
        <w:t>委托期限：从本授权委托书签署之日起至开标结束为止，代理人无转委托权。</w:t>
      </w:r>
    </w:p>
    <w:p>
      <w:pPr>
        <w:widowControl/>
        <w:shd w:val="clear" w:color="auto" w:fill="FFFFFF"/>
        <w:spacing w:line="270" w:lineRule="atLeast"/>
        <w:ind w:firstLine="480"/>
        <w:jc w:val="left"/>
        <w:rPr>
          <w:rFonts w:ascii="仿宋_GB2312" w:eastAsia="仿宋_GB2312"/>
          <w:sz w:val="32"/>
          <w:szCs w:val="32"/>
        </w:rPr>
      </w:pPr>
      <w:r>
        <w:rPr>
          <w:rFonts w:hint="eastAsia" w:ascii="仿宋_GB2312" w:eastAsia="仿宋_GB2312"/>
          <w:sz w:val="32"/>
          <w:szCs w:val="32"/>
        </w:rPr>
        <w:t xml:space="preserve"> 附：(1)法定代表人（经营者）身份证</w:t>
      </w:r>
      <w:r>
        <w:rPr>
          <w:rFonts w:hint="eastAsia" w:ascii="仿宋_GB2312" w:eastAsia="仿宋_GB2312"/>
          <w:bCs/>
          <w:sz w:val="32"/>
          <w:szCs w:val="32"/>
        </w:rPr>
        <w:t>原件</w:t>
      </w:r>
      <w:r>
        <w:rPr>
          <w:rFonts w:hint="eastAsia" w:ascii="仿宋_GB2312" w:eastAsia="仿宋_GB2312"/>
          <w:sz w:val="32"/>
          <w:szCs w:val="32"/>
        </w:rPr>
        <w:t>和法定代表人（经营者）身份证复印件</w:t>
      </w:r>
    </w:p>
    <w:p>
      <w:pPr>
        <w:widowControl/>
        <w:shd w:val="clear" w:color="auto" w:fill="FFFFFF"/>
        <w:spacing w:line="270" w:lineRule="atLeast"/>
        <w:ind w:left="1318" w:hanging="360"/>
        <w:jc w:val="left"/>
        <w:rPr>
          <w:rFonts w:ascii="仿宋_GB2312" w:eastAsia="仿宋_GB2312"/>
          <w:sz w:val="32"/>
          <w:szCs w:val="32"/>
        </w:rPr>
      </w:pPr>
      <w:r>
        <w:rPr>
          <w:rFonts w:hint="eastAsia" w:ascii="仿宋_GB2312" w:eastAsia="仿宋_GB2312"/>
          <w:sz w:val="32"/>
          <w:szCs w:val="32"/>
        </w:rPr>
        <w:t xml:space="preserve"> (2)委托代理人身份证原件及复印件</w:t>
      </w:r>
    </w:p>
    <w:p>
      <w:pPr>
        <w:widowControl/>
        <w:shd w:val="clear" w:color="auto" w:fill="FFFFFF"/>
        <w:spacing w:line="270" w:lineRule="atLeast"/>
        <w:jc w:val="left"/>
        <w:rPr>
          <w:rFonts w:ascii="仿宋_GB2312" w:eastAsia="仿宋_GB2312"/>
          <w:sz w:val="32"/>
          <w:szCs w:val="32"/>
        </w:rPr>
      </w:pPr>
      <w:r>
        <w:rPr>
          <w:rFonts w:hint="eastAsia" w:eastAsia="仿宋_GB2312"/>
          <w:sz w:val="32"/>
          <w:szCs w:val="32"/>
        </w:rPr>
        <w:t> </w:t>
      </w:r>
    </w:p>
    <w:p>
      <w:pPr>
        <w:widowControl/>
        <w:shd w:val="clear" w:color="auto" w:fill="FFFFFF"/>
        <w:spacing w:line="270" w:lineRule="atLeast"/>
        <w:ind w:firstLine="840"/>
        <w:jc w:val="left"/>
        <w:rPr>
          <w:rFonts w:ascii="仿宋_GB2312" w:eastAsia="仿宋_GB2312"/>
          <w:sz w:val="32"/>
          <w:szCs w:val="32"/>
        </w:rPr>
      </w:pPr>
      <w:r>
        <w:rPr>
          <w:rFonts w:hint="eastAsia" w:ascii="仿宋_GB2312" w:eastAsia="仿宋_GB2312"/>
          <w:sz w:val="32"/>
          <w:szCs w:val="32"/>
        </w:rPr>
        <w:t>投标人（盖单位章）：</w:t>
      </w:r>
    </w:p>
    <w:p>
      <w:pPr>
        <w:widowControl/>
        <w:shd w:val="clear" w:color="auto" w:fill="FFFFFF"/>
        <w:spacing w:line="270" w:lineRule="atLeast"/>
        <w:ind w:firstLine="480"/>
        <w:jc w:val="left"/>
        <w:rPr>
          <w:rFonts w:ascii="仿宋_GB2312" w:eastAsia="仿宋_GB2312"/>
          <w:sz w:val="32"/>
          <w:szCs w:val="32"/>
        </w:rPr>
      </w:pPr>
      <w:r>
        <w:rPr>
          <w:rFonts w:hint="eastAsia" w:eastAsia="仿宋_GB2312"/>
          <w:sz w:val="32"/>
          <w:szCs w:val="32"/>
        </w:rPr>
        <w:t> </w:t>
      </w:r>
    </w:p>
    <w:p>
      <w:pPr>
        <w:widowControl/>
        <w:shd w:val="clear" w:color="auto" w:fill="FFFFFF"/>
        <w:spacing w:line="270" w:lineRule="atLeast"/>
        <w:ind w:firstLine="840"/>
        <w:jc w:val="left"/>
        <w:rPr>
          <w:rFonts w:ascii="仿宋_GB2312" w:eastAsia="仿宋_GB2312"/>
          <w:sz w:val="32"/>
          <w:szCs w:val="32"/>
        </w:rPr>
      </w:pPr>
      <w:r>
        <w:rPr>
          <w:rFonts w:hint="eastAsia" w:ascii="仿宋_GB2312" w:eastAsia="仿宋_GB2312"/>
          <w:sz w:val="32"/>
          <w:szCs w:val="32"/>
        </w:rPr>
        <w:t>法定代表人（经营者）（签字）：</w:t>
      </w:r>
      <w:r>
        <w:rPr>
          <w:rFonts w:hint="eastAsia" w:eastAsia="仿宋_GB2312"/>
          <w:sz w:val="32"/>
          <w:szCs w:val="32"/>
          <w:u w:val="single"/>
        </w:rPr>
        <w:t>             </w:t>
      </w:r>
    </w:p>
    <w:p>
      <w:pPr>
        <w:widowControl/>
        <w:shd w:val="clear" w:color="auto" w:fill="FFFFFF"/>
        <w:spacing w:line="270" w:lineRule="atLeast"/>
        <w:ind w:firstLine="840"/>
        <w:jc w:val="left"/>
        <w:rPr>
          <w:rFonts w:ascii="仿宋_GB2312" w:eastAsia="仿宋_GB2312"/>
          <w:sz w:val="32"/>
          <w:szCs w:val="32"/>
        </w:rPr>
      </w:pPr>
      <w:r>
        <w:rPr>
          <w:rFonts w:hint="eastAsia" w:ascii="仿宋_GB2312" w:eastAsia="仿宋_GB2312"/>
          <w:sz w:val="32"/>
          <w:szCs w:val="32"/>
        </w:rPr>
        <w:t>委托代理人（签字）：</w:t>
      </w:r>
      <w:r>
        <w:rPr>
          <w:rFonts w:hint="eastAsia" w:eastAsia="仿宋_GB2312"/>
          <w:sz w:val="32"/>
          <w:szCs w:val="32"/>
          <w:u w:val="single"/>
        </w:rPr>
        <w:t>                    </w:t>
      </w:r>
    </w:p>
    <w:p>
      <w:pPr>
        <w:widowControl/>
        <w:shd w:val="clear" w:color="auto" w:fill="FFFFFF"/>
        <w:spacing w:line="270" w:lineRule="atLeast"/>
        <w:ind w:firstLine="840"/>
        <w:jc w:val="left"/>
        <w:rPr>
          <w:rFonts w:ascii="仿宋_GB2312" w:eastAsia="仿宋_GB2312"/>
          <w:sz w:val="32"/>
          <w:szCs w:val="32"/>
        </w:rPr>
      </w:pPr>
      <w:r>
        <w:rPr>
          <w:rFonts w:hint="eastAsia" w:ascii="仿宋_GB2312" w:eastAsia="仿宋_GB2312"/>
          <w:sz w:val="32"/>
          <w:szCs w:val="32"/>
        </w:rPr>
        <w:t>联系电话：</w:t>
      </w:r>
      <w:r>
        <w:rPr>
          <w:rFonts w:hint="eastAsia" w:eastAsia="仿宋_GB2312"/>
          <w:sz w:val="32"/>
          <w:szCs w:val="32"/>
          <w:u w:val="single"/>
        </w:rPr>
        <w:t>             </w:t>
      </w:r>
      <w:r>
        <w:rPr>
          <w:rFonts w:hint="eastAsia" w:ascii="仿宋_GB2312" w:eastAsia="仿宋_GB2312"/>
          <w:sz w:val="32"/>
          <w:szCs w:val="32"/>
        </w:rPr>
        <w:t>（固定电话）</w:t>
      </w:r>
      <w:r>
        <w:rPr>
          <w:rFonts w:hint="eastAsia" w:eastAsia="仿宋_GB2312"/>
          <w:sz w:val="32"/>
          <w:szCs w:val="32"/>
          <w:u w:val="single"/>
        </w:rPr>
        <w:t>          </w:t>
      </w:r>
      <w:r>
        <w:rPr>
          <w:rFonts w:hint="eastAsia" w:ascii="仿宋_GB2312" w:eastAsia="仿宋_GB2312"/>
          <w:sz w:val="32"/>
          <w:szCs w:val="32"/>
        </w:rPr>
        <w:t>（移动电话）</w:t>
      </w:r>
      <w:r>
        <w:rPr>
          <w:rFonts w:hint="eastAsia" w:eastAsia="仿宋_GB2312"/>
          <w:sz w:val="32"/>
          <w:szCs w:val="32"/>
          <w:u w:val="single"/>
        </w:rPr>
        <w:t>        </w:t>
      </w:r>
    </w:p>
    <w:p>
      <w:pPr>
        <w:widowControl/>
        <w:shd w:val="clear" w:color="auto" w:fill="FFFFFF"/>
        <w:spacing w:line="270" w:lineRule="atLeast"/>
        <w:ind w:firstLine="5760"/>
        <w:jc w:val="left"/>
        <w:rPr>
          <w:rFonts w:eastAsia="仿宋_GB2312"/>
          <w:sz w:val="32"/>
          <w:szCs w:val="32"/>
          <w:u w:val="single"/>
        </w:rPr>
      </w:pPr>
    </w:p>
    <w:p>
      <w:pPr>
        <w:widowControl/>
        <w:shd w:val="clear" w:color="auto" w:fill="FFFFFF"/>
        <w:spacing w:line="270" w:lineRule="atLeast"/>
        <w:ind w:firstLine="5760"/>
        <w:jc w:val="left"/>
        <w:rPr>
          <w:rFonts w:ascii="仿宋_GB2312" w:eastAsia="仿宋_GB2312"/>
          <w:sz w:val="32"/>
          <w:szCs w:val="32"/>
        </w:rPr>
      </w:pPr>
      <w:r>
        <w:rPr>
          <w:rFonts w:hint="eastAsia" w:eastAsia="仿宋_GB2312"/>
          <w:sz w:val="32"/>
          <w:szCs w:val="32"/>
          <w:u w:val="single"/>
        </w:rPr>
        <w:t>      </w:t>
      </w:r>
      <w:r>
        <w:rPr>
          <w:rFonts w:hint="eastAsia" w:ascii="仿宋_GB2312" w:eastAsia="仿宋_GB2312"/>
          <w:sz w:val="32"/>
          <w:szCs w:val="32"/>
        </w:rPr>
        <w:t>年</w:t>
      </w:r>
      <w:r>
        <w:rPr>
          <w:rFonts w:hint="eastAsia" w:eastAsia="仿宋_GB2312"/>
          <w:sz w:val="32"/>
          <w:szCs w:val="32"/>
          <w:u w:val="single"/>
        </w:rPr>
        <w:t>    </w:t>
      </w:r>
      <w:r>
        <w:rPr>
          <w:rFonts w:hint="eastAsia" w:ascii="仿宋_GB2312" w:eastAsia="仿宋_GB2312"/>
          <w:sz w:val="32"/>
          <w:szCs w:val="32"/>
        </w:rPr>
        <w:t>月</w:t>
      </w:r>
      <w:r>
        <w:rPr>
          <w:rFonts w:hint="eastAsia" w:eastAsia="仿宋_GB2312"/>
          <w:sz w:val="32"/>
          <w:szCs w:val="32"/>
          <w:u w:val="single"/>
        </w:rPr>
        <w:t>    </w:t>
      </w:r>
      <w:r>
        <w:rPr>
          <w:rFonts w:hint="eastAsia" w:ascii="仿宋_GB2312" w:eastAsia="仿宋_GB2312"/>
          <w:sz w:val="32"/>
          <w:szCs w:val="32"/>
        </w:rPr>
        <w:t>日</w:t>
      </w:r>
    </w:p>
    <w:p>
      <w:pPr>
        <w:widowControl/>
        <w:shd w:val="clear" w:color="auto" w:fill="FFFFFF"/>
        <w:spacing w:line="270" w:lineRule="atLeast"/>
        <w:ind w:firstLine="5760"/>
        <w:jc w:val="left"/>
        <w:rPr>
          <w:rFonts w:ascii="仿宋_GB2312" w:eastAsia="仿宋_GB2312"/>
          <w:sz w:val="32"/>
          <w:szCs w:val="32"/>
        </w:rPr>
      </w:pPr>
      <w:r>
        <w:rPr>
          <w:rFonts w:hint="eastAsia" w:eastAsia="仿宋_GB2312"/>
          <w:sz w:val="32"/>
          <w:szCs w:val="32"/>
        </w:rPr>
        <w:t> </w:t>
      </w:r>
    </w:p>
    <w:p>
      <w:pPr>
        <w:widowControl/>
        <w:shd w:val="clear" w:color="auto" w:fill="FFFFFF"/>
        <w:ind w:firstLine="480"/>
        <w:jc w:val="left"/>
        <w:rPr>
          <w:rFonts w:ascii="仿宋_GB2312" w:eastAsia="仿宋_GB2312"/>
          <w:sz w:val="24"/>
          <w:szCs w:val="24"/>
        </w:rPr>
      </w:pPr>
      <w:r>
        <w:rPr>
          <w:rFonts w:hint="eastAsia" w:ascii="仿宋_GB2312" w:eastAsia="仿宋_GB2312"/>
          <w:sz w:val="24"/>
          <w:szCs w:val="24"/>
        </w:rPr>
        <w:t>注：</w:t>
      </w:r>
    </w:p>
    <w:p>
      <w:pPr>
        <w:widowControl/>
        <w:shd w:val="clear" w:color="auto" w:fill="FFFFFF"/>
        <w:ind w:firstLine="480"/>
        <w:jc w:val="left"/>
        <w:rPr>
          <w:rFonts w:ascii="仿宋_GB2312" w:eastAsia="仿宋_GB2312"/>
          <w:sz w:val="24"/>
          <w:szCs w:val="24"/>
        </w:rPr>
      </w:pPr>
      <w:r>
        <w:rPr>
          <w:rFonts w:hint="eastAsia" w:ascii="仿宋_GB2312" w:eastAsia="仿宋_GB2312"/>
          <w:sz w:val="24"/>
          <w:szCs w:val="24"/>
        </w:rPr>
        <w:t>（1）法定代表人（经营者）不亲自投标而委托代理人投标适用。</w:t>
      </w:r>
    </w:p>
    <w:p>
      <w:pPr>
        <w:widowControl/>
        <w:shd w:val="clear" w:color="auto" w:fill="FFFFFF"/>
        <w:ind w:left="420"/>
        <w:jc w:val="left"/>
        <w:rPr>
          <w:rFonts w:ascii="仿宋_GB2312" w:eastAsia="仿宋_GB2312"/>
          <w:sz w:val="24"/>
          <w:szCs w:val="24"/>
        </w:rPr>
      </w:pPr>
      <w:r>
        <w:rPr>
          <w:rFonts w:hint="eastAsia" w:ascii="仿宋_GB2312" w:eastAsia="仿宋_GB2312"/>
          <w:sz w:val="24"/>
          <w:szCs w:val="24"/>
        </w:rPr>
        <w:t>（2）法定代表人（经营者）委托他人投标的，委托代理人应是投标人本单位的人员。</w:t>
      </w:r>
    </w:p>
    <w:p>
      <w:pPr>
        <w:widowControl/>
        <w:shd w:val="clear" w:color="auto" w:fill="FFFFFF"/>
        <w:ind w:left="420"/>
        <w:jc w:val="left"/>
        <w:rPr>
          <w:rFonts w:ascii="仿宋_GB2312" w:eastAsia="仿宋_GB2312"/>
          <w:sz w:val="24"/>
          <w:szCs w:val="24"/>
        </w:rPr>
      </w:pPr>
      <w:r>
        <w:rPr>
          <w:rFonts w:hint="eastAsia" w:ascii="仿宋_GB2312" w:eastAsia="仿宋_GB2312"/>
          <w:sz w:val="24"/>
          <w:szCs w:val="24"/>
        </w:rPr>
        <w:t>（3）委托代理人在递交投标文件时，应携带委托代理人身份证</w:t>
      </w:r>
      <w:r>
        <w:rPr>
          <w:rFonts w:hint="eastAsia" w:ascii="仿宋_GB2312" w:eastAsia="仿宋_GB2312"/>
          <w:bCs/>
          <w:sz w:val="24"/>
          <w:szCs w:val="24"/>
        </w:rPr>
        <w:t>原件</w:t>
      </w:r>
      <w:r>
        <w:rPr>
          <w:rFonts w:hint="eastAsia" w:ascii="仿宋_GB2312" w:eastAsia="仿宋_GB2312"/>
          <w:sz w:val="24"/>
          <w:szCs w:val="24"/>
        </w:rPr>
        <w:t>。</w:t>
      </w:r>
    </w:p>
    <w:p>
      <w:pPr>
        <w:widowControl/>
        <w:shd w:val="clear" w:color="auto" w:fill="FFFFFF"/>
        <w:ind w:left="420"/>
        <w:jc w:val="left"/>
        <w:rPr>
          <w:rFonts w:ascii="仿宋_GB2312" w:eastAsia="仿宋_GB2312"/>
          <w:sz w:val="24"/>
          <w:szCs w:val="24"/>
        </w:rPr>
      </w:pPr>
      <w:r>
        <w:rPr>
          <w:rFonts w:hint="eastAsia" w:ascii="仿宋_GB2312" w:eastAsia="仿宋_GB2312"/>
          <w:sz w:val="24"/>
          <w:szCs w:val="24"/>
        </w:rPr>
        <w:t>（4）委托代理人提供的证件、证明不齐或不符合要求的，投标文件不予接收。</w:t>
      </w:r>
    </w:p>
    <w:bookmarkEnd w:id="87"/>
    <w:bookmarkEnd w:id="88"/>
    <w:bookmarkEnd w:id="89"/>
    <w:bookmarkEnd w:id="90"/>
    <w:bookmarkEnd w:id="91"/>
    <w:bookmarkEnd w:id="92"/>
    <w:bookmarkEnd w:id="93"/>
    <w:p>
      <w:pPr>
        <w:pStyle w:val="2"/>
        <w:rPr>
          <w:rFonts w:ascii="仿宋_GB2312" w:eastAsia="仿宋_GB2312"/>
          <w:sz w:val="32"/>
          <w:szCs w:val="32"/>
        </w:rPr>
      </w:pPr>
    </w:p>
    <w:sectPr>
      <w:headerReference r:id="rId13" w:type="default"/>
      <w:footerReference r:id="rId14" w:type="default"/>
      <w:endnotePr>
        <w:numFmt w:val="decimal"/>
      </w:endnotePr>
      <w:pgSz w:w="11906" w:h="16838"/>
      <w:pgMar w:top="1247" w:right="1287" w:bottom="1247" w:left="1440" w:header="851"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Calisto MT">
    <w:altName w:val="Segoe Print"/>
    <w:panose1 w:val="02040603050505030304"/>
    <w:charset w:val="00"/>
    <w:family w:val="roman"/>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2">
    <w:altName w:val="Times New Roman"/>
    <w:panose1 w:val="00000000000000000000"/>
    <w:charset w:val="00"/>
    <w:family w:val="roma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pict>
        <v:shape id="_x0000_s1029" o:spid="_x0000_s1029" o:spt="202" type="#_x0000_t202" style="position:absolute;left:0pt;margin-left:225pt;margin-top:-2.55pt;height:12.9pt;width:19.3pt;mso-position-horizontal-relative:margin;z-index:251656192;mso-width-relative:page;mso-height-relative:page;" filled="f" stroked="f" coordsize="21600,21600" o:gfxdata="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hBea2QAAAAkBAAAPAAAAAAAAAAEAIAAAACIAAABkcnMvZG93bnJldi54bWxQ&#10;SwECFAAUAAAACACHTuJAGnOdUvYBAADEAwAADgAAAAAAAAABACAAAAAoAQAAZHJzL2Uyb0RvYy54&#10;bWxQSwUGAAAAAAYABgBZAQAAkAU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pict>
        <v:shape id="_x0000_s1026" o:spid="_x0000_s1026" o:spt="202" type="#_x0000_t202" style="position:absolute;left:0pt;margin-top:0pt;height:14.2pt;width:5.55pt;mso-position-horizontal:center;mso-position-horizontal-relative:margin;mso-wrap-style:none;z-index:251658240;mso-width-relative:page;mso-height-relative:page;" filled="f" stroked="f" coordsize="21600,21600" o:gfxdata="UEsDBAoAAAAAAIdO4kAAAAAAAAAAAAAAAAAEAAAAZHJzL1BLAwQUAAAACACHTuJAraDpe9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aDpe9AA&#10;AAADAQAADwAAAAAAAAABACAAAAAiAAAAZHJzL2Rvd25yZXYueG1sUEsBAhQAFAAAAAgAh07iQHXS&#10;VdvuAQAAswMAAA4AAAAAAAAAAQAgAAAAHwEAAGRycy9lMm9Eb2MueG1sUEsFBgAAAAAGAAYAWQEA&#10;AH8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pict>
        <v:shape id="_x0000_s1028" o:spid="_x0000_s1028" o:spt="202" type="#_x0000_t202" style="position:absolute;left:0pt;margin-left:209.55pt;margin-top:-11.1pt;height:25.7pt;width:26.1pt;mso-position-horizontal-relative:margin;z-index:251659264;mso-width-relative:page;mso-height-relative:page;" filled="f" stroked="f" coordsize="21600,21600" o:gfxdata="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ITy42QAAAAoBAAAPAAAAAAAAAAEAIAAAACIAAABkcnMvZG93bnJldi54bWxQ&#10;SwECFAAUAAAACACHTuJA/dsoCvYBAADEAwAADgAAAAAAAAABACAAAAAoAQAAZHJzL2Uyb0RvYy54&#10;bWxQSwUGAAAAAAYABgBZAQAAkAU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pict>
        <v:shape id="_x0000_s1027" o:spid="_x0000_s1027" o:spt="202" type="#_x0000_t202" style="position:absolute;left:0pt;margin-left:209.55pt;margin-top:-11.1pt;height:25.7pt;width:26.1pt;mso-position-horizontal-relative:margin;z-index:251657216;mso-width-relative:page;mso-height-relative:page;" filled="f" stroked="f" coordsize="21600,21600" o:gfxdata="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EhPLjZAAAACgEAAA8AAAAAAAAAAQAgAAAAIgAAAGRycy9kb3ducmV2LnhtbFBL&#10;AQIUABQAAAAIAIdO4kDSZxBs9QEAAMQDAAAOAAAAAAAAAAEAIAAAACgBAABkcnMvZTJvRG9jLnht&#10;bFBLBQYAAAAABgAGAFkBAACPBQAAAAA=&#10;">
          <v:path/>
          <v:fill on="f" focussize="0,0"/>
          <v:stroke on="f" joinstyle="miter"/>
          <v:imagedata o:title=""/>
          <o:lock v:ext="edit"/>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19E0BD"/>
    <w:multiLevelType w:val="singleLevel"/>
    <w:tmpl w:val="9C19E0BD"/>
    <w:lvl w:ilvl="0" w:tentative="0">
      <w:start w:val="1"/>
      <w:numFmt w:val="chineseCounting"/>
      <w:suff w:val="space"/>
      <w:lvlText w:val="第%1章"/>
      <w:lvlJc w:val="left"/>
      <w:rPr>
        <w:rFonts w:hint="eastAsia"/>
      </w:rPr>
    </w:lvl>
  </w:abstractNum>
  <w:abstractNum w:abstractNumId="1">
    <w:nsid w:val="0B5145A5"/>
    <w:multiLevelType w:val="multilevel"/>
    <w:tmpl w:val="0B5145A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4955C3"/>
    <w:multiLevelType w:val="multilevel"/>
    <w:tmpl w:val="184955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677CCA"/>
    <w:multiLevelType w:val="multilevel"/>
    <w:tmpl w:val="1B677CCA"/>
    <w:lvl w:ilvl="0" w:tentative="0">
      <w:start w:val="1"/>
      <w:numFmt w:val="decimal"/>
      <w:lvlText w:val="(%1)"/>
      <w:lvlJc w:val="left"/>
      <w:pPr>
        <w:ind w:left="780" w:hanging="4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D8954DB"/>
    <w:multiLevelType w:val="multilevel"/>
    <w:tmpl w:val="1D8954DB"/>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2E0068DD"/>
    <w:multiLevelType w:val="multilevel"/>
    <w:tmpl w:val="2E0068DD"/>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42F45E29"/>
    <w:multiLevelType w:val="multilevel"/>
    <w:tmpl w:val="42F45E29"/>
    <w:lvl w:ilvl="0" w:tentative="0">
      <w:start w:val="1"/>
      <w:numFmt w:val="decimal"/>
      <w:lvlText w:val="%1)"/>
      <w:lvlJc w:val="left"/>
      <w:pPr>
        <w:ind w:left="1470" w:hanging="420"/>
      </w:p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7">
    <w:nsid w:val="4ACA7697"/>
    <w:multiLevelType w:val="multilevel"/>
    <w:tmpl w:val="4ACA7697"/>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5A215719"/>
    <w:multiLevelType w:val="singleLevel"/>
    <w:tmpl w:val="5A215719"/>
    <w:lvl w:ilvl="0" w:tentative="0">
      <w:start w:val="1"/>
      <w:numFmt w:val="chineseCounting"/>
      <w:suff w:val="nothing"/>
      <w:lvlText w:val="%1、"/>
      <w:lvlJc w:val="left"/>
    </w:lvl>
  </w:abstractNum>
  <w:abstractNum w:abstractNumId="9">
    <w:nsid w:val="704F5030"/>
    <w:multiLevelType w:val="multilevel"/>
    <w:tmpl w:val="704F503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6CD5B32"/>
    <w:multiLevelType w:val="multilevel"/>
    <w:tmpl w:val="76CD5B3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9B85476"/>
    <w:multiLevelType w:val="multilevel"/>
    <w:tmpl w:val="79B85476"/>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7B454B14"/>
    <w:multiLevelType w:val="multilevel"/>
    <w:tmpl w:val="7B454B14"/>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8"/>
  </w:num>
  <w:num w:numId="2">
    <w:abstractNumId w:val="0"/>
  </w:num>
  <w:num w:numId="3">
    <w:abstractNumId w:val="3"/>
  </w:num>
  <w:num w:numId="4">
    <w:abstractNumId w:val="9"/>
  </w:num>
  <w:num w:numId="5">
    <w:abstractNumId w:val="12"/>
  </w:num>
  <w:num w:numId="6">
    <w:abstractNumId w:val="2"/>
  </w:num>
  <w:num w:numId="7">
    <w:abstractNumId w:val="1"/>
  </w:num>
  <w:num w:numId="8">
    <w:abstractNumId w:val="5"/>
  </w:num>
  <w:num w:numId="9">
    <w:abstractNumId w:val="6"/>
  </w:num>
  <w:num w:numId="10">
    <w:abstractNumId w:val="10"/>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4B4D"/>
    <w:rsid w:val="0000479E"/>
    <w:rsid w:val="000107F4"/>
    <w:rsid w:val="000108C5"/>
    <w:rsid w:val="000353A2"/>
    <w:rsid w:val="000426AC"/>
    <w:rsid w:val="00052F7C"/>
    <w:rsid w:val="00084B24"/>
    <w:rsid w:val="00085AAC"/>
    <w:rsid w:val="000A1435"/>
    <w:rsid w:val="000B3E98"/>
    <w:rsid w:val="000B622C"/>
    <w:rsid w:val="000C5ECB"/>
    <w:rsid w:val="000C6769"/>
    <w:rsid w:val="000F23F3"/>
    <w:rsid w:val="0011365C"/>
    <w:rsid w:val="00114DA3"/>
    <w:rsid w:val="00122047"/>
    <w:rsid w:val="00127A29"/>
    <w:rsid w:val="001418A2"/>
    <w:rsid w:val="001522C3"/>
    <w:rsid w:val="00164BE9"/>
    <w:rsid w:val="00167ECE"/>
    <w:rsid w:val="0018284F"/>
    <w:rsid w:val="001A25A2"/>
    <w:rsid w:val="001A670F"/>
    <w:rsid w:val="001C7DC6"/>
    <w:rsid w:val="001D0016"/>
    <w:rsid w:val="001E45D3"/>
    <w:rsid w:val="001E5BEC"/>
    <w:rsid w:val="001F6888"/>
    <w:rsid w:val="002349AC"/>
    <w:rsid w:val="00245266"/>
    <w:rsid w:val="00250598"/>
    <w:rsid w:val="00252A31"/>
    <w:rsid w:val="002556B0"/>
    <w:rsid w:val="00257E3C"/>
    <w:rsid w:val="002607ED"/>
    <w:rsid w:val="00263961"/>
    <w:rsid w:val="00271B4C"/>
    <w:rsid w:val="00274BEE"/>
    <w:rsid w:val="002952A7"/>
    <w:rsid w:val="002B1310"/>
    <w:rsid w:val="002C0E55"/>
    <w:rsid w:val="002D11F6"/>
    <w:rsid w:val="002D184A"/>
    <w:rsid w:val="002D2F6E"/>
    <w:rsid w:val="002D6CA0"/>
    <w:rsid w:val="002E595D"/>
    <w:rsid w:val="002F0F5C"/>
    <w:rsid w:val="002F35EC"/>
    <w:rsid w:val="00311219"/>
    <w:rsid w:val="00311A3A"/>
    <w:rsid w:val="00312906"/>
    <w:rsid w:val="00315155"/>
    <w:rsid w:val="0031699D"/>
    <w:rsid w:val="00331AAD"/>
    <w:rsid w:val="003347B9"/>
    <w:rsid w:val="00340EF0"/>
    <w:rsid w:val="0034675C"/>
    <w:rsid w:val="00350B6D"/>
    <w:rsid w:val="00391A74"/>
    <w:rsid w:val="003B4AF0"/>
    <w:rsid w:val="003C00D7"/>
    <w:rsid w:val="003E13C2"/>
    <w:rsid w:val="003E62B7"/>
    <w:rsid w:val="004169C8"/>
    <w:rsid w:val="004567B3"/>
    <w:rsid w:val="004705BC"/>
    <w:rsid w:val="004818C8"/>
    <w:rsid w:val="00496DC1"/>
    <w:rsid w:val="004A273F"/>
    <w:rsid w:val="004C4318"/>
    <w:rsid w:val="004C7771"/>
    <w:rsid w:val="004D3415"/>
    <w:rsid w:val="004F0C59"/>
    <w:rsid w:val="0052081F"/>
    <w:rsid w:val="00526FA7"/>
    <w:rsid w:val="00531FB7"/>
    <w:rsid w:val="00536E41"/>
    <w:rsid w:val="005447D6"/>
    <w:rsid w:val="0054705E"/>
    <w:rsid w:val="005505EA"/>
    <w:rsid w:val="005559F5"/>
    <w:rsid w:val="00584ED8"/>
    <w:rsid w:val="00585ADD"/>
    <w:rsid w:val="005922A6"/>
    <w:rsid w:val="005B2EF1"/>
    <w:rsid w:val="005B5D2B"/>
    <w:rsid w:val="005D2FFD"/>
    <w:rsid w:val="005D4B08"/>
    <w:rsid w:val="005E4CAB"/>
    <w:rsid w:val="00607FC8"/>
    <w:rsid w:val="00610906"/>
    <w:rsid w:val="00620896"/>
    <w:rsid w:val="00634DF7"/>
    <w:rsid w:val="00645F04"/>
    <w:rsid w:val="0065499A"/>
    <w:rsid w:val="00685E91"/>
    <w:rsid w:val="006B4DD6"/>
    <w:rsid w:val="006C35AD"/>
    <w:rsid w:val="006C68B0"/>
    <w:rsid w:val="006F134E"/>
    <w:rsid w:val="006F3464"/>
    <w:rsid w:val="00717B63"/>
    <w:rsid w:val="00730068"/>
    <w:rsid w:val="00731C63"/>
    <w:rsid w:val="00732881"/>
    <w:rsid w:val="007347C1"/>
    <w:rsid w:val="007456B4"/>
    <w:rsid w:val="00755066"/>
    <w:rsid w:val="007709F4"/>
    <w:rsid w:val="00771F0F"/>
    <w:rsid w:val="0077471A"/>
    <w:rsid w:val="007864CC"/>
    <w:rsid w:val="007954F7"/>
    <w:rsid w:val="007965D7"/>
    <w:rsid w:val="007A0DC3"/>
    <w:rsid w:val="007A61DC"/>
    <w:rsid w:val="007B46CA"/>
    <w:rsid w:val="007C7004"/>
    <w:rsid w:val="007D1071"/>
    <w:rsid w:val="007D331F"/>
    <w:rsid w:val="008066B3"/>
    <w:rsid w:val="00814E57"/>
    <w:rsid w:val="0083321F"/>
    <w:rsid w:val="0085115F"/>
    <w:rsid w:val="00881EF4"/>
    <w:rsid w:val="0088224A"/>
    <w:rsid w:val="008C61F0"/>
    <w:rsid w:val="008D3C6B"/>
    <w:rsid w:val="008E3CFC"/>
    <w:rsid w:val="008E7308"/>
    <w:rsid w:val="008F4086"/>
    <w:rsid w:val="008F6CE9"/>
    <w:rsid w:val="009109E4"/>
    <w:rsid w:val="0093119C"/>
    <w:rsid w:val="00933D04"/>
    <w:rsid w:val="0093711B"/>
    <w:rsid w:val="00954E63"/>
    <w:rsid w:val="00960274"/>
    <w:rsid w:val="0097718D"/>
    <w:rsid w:val="00992DB0"/>
    <w:rsid w:val="009942A6"/>
    <w:rsid w:val="009A5985"/>
    <w:rsid w:val="009B7E75"/>
    <w:rsid w:val="009C3525"/>
    <w:rsid w:val="009C639E"/>
    <w:rsid w:val="009D350D"/>
    <w:rsid w:val="009F50F3"/>
    <w:rsid w:val="00A07E1D"/>
    <w:rsid w:val="00A211F2"/>
    <w:rsid w:val="00A40B87"/>
    <w:rsid w:val="00A41930"/>
    <w:rsid w:val="00A71DD4"/>
    <w:rsid w:val="00A72082"/>
    <w:rsid w:val="00A74B4D"/>
    <w:rsid w:val="00A776FF"/>
    <w:rsid w:val="00A90CAC"/>
    <w:rsid w:val="00A953EA"/>
    <w:rsid w:val="00AB3948"/>
    <w:rsid w:val="00AE04B9"/>
    <w:rsid w:val="00B020A8"/>
    <w:rsid w:val="00B0378E"/>
    <w:rsid w:val="00B078AA"/>
    <w:rsid w:val="00B11DBE"/>
    <w:rsid w:val="00B35A89"/>
    <w:rsid w:val="00B5254B"/>
    <w:rsid w:val="00B57279"/>
    <w:rsid w:val="00B573E0"/>
    <w:rsid w:val="00B636FC"/>
    <w:rsid w:val="00B657CC"/>
    <w:rsid w:val="00B66A8C"/>
    <w:rsid w:val="00BB7B9B"/>
    <w:rsid w:val="00BD3CD3"/>
    <w:rsid w:val="00BD40E4"/>
    <w:rsid w:val="00BD782A"/>
    <w:rsid w:val="00C25689"/>
    <w:rsid w:val="00C47FEB"/>
    <w:rsid w:val="00C643E4"/>
    <w:rsid w:val="00CA288D"/>
    <w:rsid w:val="00CA4388"/>
    <w:rsid w:val="00CB760C"/>
    <w:rsid w:val="00CD5D42"/>
    <w:rsid w:val="00D00733"/>
    <w:rsid w:val="00D018E1"/>
    <w:rsid w:val="00D40642"/>
    <w:rsid w:val="00D415BE"/>
    <w:rsid w:val="00D976CA"/>
    <w:rsid w:val="00DA20F7"/>
    <w:rsid w:val="00DA2F86"/>
    <w:rsid w:val="00DA3B20"/>
    <w:rsid w:val="00DD7101"/>
    <w:rsid w:val="00DF00A3"/>
    <w:rsid w:val="00E0332E"/>
    <w:rsid w:val="00E07878"/>
    <w:rsid w:val="00E30F30"/>
    <w:rsid w:val="00E50316"/>
    <w:rsid w:val="00E57FE3"/>
    <w:rsid w:val="00E6237D"/>
    <w:rsid w:val="00E63CDE"/>
    <w:rsid w:val="00E67557"/>
    <w:rsid w:val="00E675EA"/>
    <w:rsid w:val="00E71695"/>
    <w:rsid w:val="00E835D0"/>
    <w:rsid w:val="00E87FA5"/>
    <w:rsid w:val="00EA1243"/>
    <w:rsid w:val="00EA7F99"/>
    <w:rsid w:val="00EB0FC3"/>
    <w:rsid w:val="00EB3BC1"/>
    <w:rsid w:val="00EC4C77"/>
    <w:rsid w:val="00EC7CBD"/>
    <w:rsid w:val="00ED7CD4"/>
    <w:rsid w:val="00EF2FF8"/>
    <w:rsid w:val="00F040BB"/>
    <w:rsid w:val="00F13EF6"/>
    <w:rsid w:val="00F22207"/>
    <w:rsid w:val="00F2241A"/>
    <w:rsid w:val="00F248CB"/>
    <w:rsid w:val="00F303CD"/>
    <w:rsid w:val="00F3281C"/>
    <w:rsid w:val="00F342E0"/>
    <w:rsid w:val="00F427FD"/>
    <w:rsid w:val="00F52226"/>
    <w:rsid w:val="00F575CF"/>
    <w:rsid w:val="00F62387"/>
    <w:rsid w:val="00F70CC2"/>
    <w:rsid w:val="00F720AC"/>
    <w:rsid w:val="00F81B0B"/>
    <w:rsid w:val="00F91F27"/>
    <w:rsid w:val="00FC28CD"/>
    <w:rsid w:val="00FC4ABB"/>
    <w:rsid w:val="00FD2253"/>
    <w:rsid w:val="00FD5CA6"/>
    <w:rsid w:val="02334131"/>
    <w:rsid w:val="037C631D"/>
    <w:rsid w:val="03CB77AC"/>
    <w:rsid w:val="05006B6A"/>
    <w:rsid w:val="057A19C4"/>
    <w:rsid w:val="06111ADA"/>
    <w:rsid w:val="06F227A2"/>
    <w:rsid w:val="07E81BFB"/>
    <w:rsid w:val="084E6625"/>
    <w:rsid w:val="09365DA8"/>
    <w:rsid w:val="0A7301D1"/>
    <w:rsid w:val="0D3F6C83"/>
    <w:rsid w:val="0F9463BC"/>
    <w:rsid w:val="10F761E6"/>
    <w:rsid w:val="122A7AEF"/>
    <w:rsid w:val="12392024"/>
    <w:rsid w:val="13804CE2"/>
    <w:rsid w:val="155572B6"/>
    <w:rsid w:val="15C10580"/>
    <w:rsid w:val="16C30175"/>
    <w:rsid w:val="18D91926"/>
    <w:rsid w:val="1A3D7FDE"/>
    <w:rsid w:val="1C4E5595"/>
    <w:rsid w:val="1D4C5403"/>
    <w:rsid w:val="1D55666A"/>
    <w:rsid w:val="21DE109B"/>
    <w:rsid w:val="223B7593"/>
    <w:rsid w:val="241C3D37"/>
    <w:rsid w:val="256209BD"/>
    <w:rsid w:val="25875BE9"/>
    <w:rsid w:val="27AE5E0C"/>
    <w:rsid w:val="281A705F"/>
    <w:rsid w:val="2C5F7E7F"/>
    <w:rsid w:val="2E297161"/>
    <w:rsid w:val="32EC20C3"/>
    <w:rsid w:val="34A70DBB"/>
    <w:rsid w:val="35FB1D38"/>
    <w:rsid w:val="373F59DF"/>
    <w:rsid w:val="3A8B4E9B"/>
    <w:rsid w:val="3E5D3CAA"/>
    <w:rsid w:val="415F5E81"/>
    <w:rsid w:val="429C2D82"/>
    <w:rsid w:val="46307DC4"/>
    <w:rsid w:val="491C20BB"/>
    <w:rsid w:val="49D014FD"/>
    <w:rsid w:val="4AB810E5"/>
    <w:rsid w:val="4BD303FA"/>
    <w:rsid w:val="4BD83C34"/>
    <w:rsid w:val="4CD53508"/>
    <w:rsid w:val="506706E2"/>
    <w:rsid w:val="51DC6409"/>
    <w:rsid w:val="52C8383E"/>
    <w:rsid w:val="56C22CF5"/>
    <w:rsid w:val="5D966B73"/>
    <w:rsid w:val="5E250E43"/>
    <w:rsid w:val="5F1A7E62"/>
    <w:rsid w:val="5F754635"/>
    <w:rsid w:val="626D4154"/>
    <w:rsid w:val="63725AFB"/>
    <w:rsid w:val="651D04B4"/>
    <w:rsid w:val="66773EAC"/>
    <w:rsid w:val="66846CA7"/>
    <w:rsid w:val="66E275CE"/>
    <w:rsid w:val="679F1BA4"/>
    <w:rsid w:val="6A675EC5"/>
    <w:rsid w:val="6A9254F8"/>
    <w:rsid w:val="6B491F6A"/>
    <w:rsid w:val="6D330D4A"/>
    <w:rsid w:val="72CD1170"/>
    <w:rsid w:val="75064FCC"/>
    <w:rsid w:val="75DE6EF9"/>
    <w:rsid w:val="76971642"/>
    <w:rsid w:val="797D1DD8"/>
    <w:rsid w:val="7B146421"/>
    <w:rsid w:val="7B415CA8"/>
    <w:rsid w:val="7C6132B8"/>
    <w:rsid w:val="7DD7258A"/>
    <w:rsid w:val="7FB14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5"/>
    <w:link w:val="83"/>
    <w:qFormat/>
    <w:uiPriority w:val="99"/>
    <w:pPr>
      <w:keepNext/>
      <w:keepLines/>
      <w:spacing w:after="120" w:line="360" w:lineRule="auto"/>
      <w:outlineLvl w:val="0"/>
    </w:pPr>
    <w:rPr>
      <w:rFonts w:ascii="Times New Roman" w:hAnsi="Times New Roman" w:eastAsia="宋体" w:cs="Times New Roman"/>
      <w:kern w:val="44"/>
      <w:sz w:val="44"/>
      <w:szCs w:val="44"/>
      <w:lang w:val="zh-CN"/>
    </w:rPr>
  </w:style>
  <w:style w:type="paragraph" w:styleId="6">
    <w:name w:val="heading 2"/>
    <w:basedOn w:val="1"/>
    <w:next w:val="7"/>
    <w:link w:val="84"/>
    <w:qFormat/>
    <w:uiPriority w:val="99"/>
    <w:pPr>
      <w:keepNext/>
      <w:keepLines/>
      <w:spacing w:after="100" w:afterAutospacing="1" w:line="360" w:lineRule="auto"/>
      <w:ind w:left="454" w:hanging="454"/>
      <w:jc w:val="center"/>
      <w:outlineLvl w:val="1"/>
    </w:pPr>
    <w:rPr>
      <w:rFonts w:ascii="宋体" w:hAnsi="宋体" w:eastAsia="宋体" w:cs="Times New Roman"/>
      <w:b/>
      <w:kern w:val="28"/>
      <w:sz w:val="30"/>
      <w:szCs w:val="20"/>
    </w:rPr>
  </w:style>
  <w:style w:type="paragraph" w:styleId="8">
    <w:name w:val="heading 3"/>
    <w:basedOn w:val="1"/>
    <w:next w:val="7"/>
    <w:link w:val="85"/>
    <w:qFormat/>
    <w:uiPriority w:val="99"/>
    <w:pPr>
      <w:keepNext/>
      <w:keepLines/>
      <w:spacing w:beforeLines="50" w:afterLines="50" w:line="360" w:lineRule="auto"/>
      <w:jc w:val="center"/>
      <w:outlineLvl w:val="2"/>
    </w:pPr>
    <w:rPr>
      <w:rFonts w:ascii="Times New Roman" w:hAnsi="Times New Roman" w:eastAsia="宋体" w:cs="Times New Roman"/>
      <w:b/>
      <w:bCs/>
      <w:kern w:val="0"/>
      <w:sz w:val="32"/>
      <w:szCs w:val="32"/>
      <w:lang w:val="zh-CN"/>
    </w:rPr>
  </w:style>
  <w:style w:type="paragraph" w:styleId="9">
    <w:name w:val="heading 4"/>
    <w:basedOn w:val="8"/>
    <w:next w:val="7"/>
    <w:link w:val="86"/>
    <w:qFormat/>
    <w:uiPriority w:val="99"/>
    <w:pPr>
      <w:ind w:left="284" w:hanging="284"/>
      <w:outlineLvl w:val="3"/>
    </w:pPr>
    <w:rPr>
      <w:rFonts w:ascii="Cambria" w:hAnsi="Cambria"/>
      <w:sz w:val="28"/>
      <w:szCs w:val="28"/>
    </w:rPr>
  </w:style>
  <w:style w:type="paragraph" w:styleId="10">
    <w:name w:val="heading 5"/>
    <w:basedOn w:val="9"/>
    <w:next w:val="7"/>
    <w:link w:val="60"/>
    <w:qFormat/>
    <w:uiPriority w:val="99"/>
    <w:pPr>
      <w:spacing w:line="240" w:lineRule="exact"/>
      <w:outlineLvl w:val="4"/>
    </w:pPr>
    <w:rPr>
      <w:rFonts w:ascii="Times New Roman" w:hAnsi="Times New Roman"/>
    </w:rPr>
  </w:style>
  <w:style w:type="paragraph" w:styleId="11">
    <w:name w:val="heading 6"/>
    <w:basedOn w:val="1"/>
    <w:next w:val="1"/>
    <w:link w:val="77"/>
    <w:qFormat/>
    <w:uiPriority w:val="99"/>
    <w:pPr>
      <w:keepNext/>
      <w:keepLines/>
      <w:spacing w:before="240" w:after="64" w:line="319" w:lineRule="auto"/>
      <w:outlineLvl w:val="5"/>
    </w:pPr>
    <w:rPr>
      <w:rFonts w:ascii="Cambria" w:hAnsi="Cambria" w:eastAsia="宋体" w:cs="Times New Roman"/>
      <w:b/>
      <w:bCs/>
      <w:kern w:val="0"/>
      <w:sz w:val="24"/>
      <w:szCs w:val="24"/>
      <w:lang w:val="zh-CN"/>
    </w:rPr>
  </w:style>
  <w:style w:type="paragraph" w:styleId="12">
    <w:name w:val="heading 7"/>
    <w:basedOn w:val="1"/>
    <w:next w:val="7"/>
    <w:link w:val="80"/>
    <w:qFormat/>
    <w:uiPriority w:val="99"/>
    <w:pPr>
      <w:keepNext/>
      <w:keepLines/>
      <w:spacing w:before="240" w:after="64" w:line="319" w:lineRule="auto"/>
      <w:outlineLvl w:val="6"/>
    </w:pPr>
    <w:rPr>
      <w:rFonts w:ascii="Times New Roman" w:hAnsi="Times New Roman" w:eastAsia="宋体" w:cs="Times New Roman"/>
      <w:b/>
      <w:bCs/>
      <w:kern w:val="0"/>
      <w:sz w:val="24"/>
      <w:szCs w:val="24"/>
      <w:lang w:val="zh-CN"/>
    </w:rPr>
  </w:style>
  <w:style w:type="paragraph" w:styleId="13">
    <w:name w:val="heading 8"/>
    <w:basedOn w:val="1"/>
    <w:next w:val="7"/>
    <w:link w:val="56"/>
    <w:qFormat/>
    <w:uiPriority w:val="99"/>
    <w:pPr>
      <w:keepNext/>
      <w:keepLines/>
      <w:spacing w:before="240" w:after="64" w:line="319" w:lineRule="auto"/>
      <w:outlineLvl w:val="7"/>
    </w:pPr>
    <w:rPr>
      <w:rFonts w:ascii="Cambria" w:hAnsi="Cambria" w:eastAsia="宋体" w:cs="Times New Roman"/>
      <w:kern w:val="0"/>
      <w:sz w:val="24"/>
      <w:szCs w:val="24"/>
      <w:lang w:val="zh-CN"/>
    </w:rPr>
  </w:style>
  <w:style w:type="paragraph" w:styleId="14">
    <w:name w:val="heading 9"/>
    <w:basedOn w:val="1"/>
    <w:next w:val="7"/>
    <w:link w:val="59"/>
    <w:qFormat/>
    <w:uiPriority w:val="99"/>
    <w:pPr>
      <w:keepNext/>
      <w:keepLines/>
      <w:spacing w:before="240" w:after="64" w:line="319" w:lineRule="auto"/>
      <w:outlineLvl w:val="8"/>
    </w:pPr>
    <w:rPr>
      <w:rFonts w:ascii="Cambria" w:hAnsi="Cambria" w:eastAsia="宋体" w:cs="Times New Roman"/>
      <w:kern w:val="0"/>
      <w:sz w:val="20"/>
      <w:szCs w:val="21"/>
      <w:lang w:val="zh-CN"/>
    </w:rPr>
  </w:style>
  <w:style w:type="character" w:default="1" w:styleId="39">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1"/>
    <w:unhideWhenUsed/>
    <w:qFormat/>
    <w:uiPriority w:val="99"/>
    <w:pPr>
      <w:spacing w:after="120"/>
    </w:pPr>
    <w:rPr>
      <w:rFonts w:ascii="等线" w:hAnsi="等线" w:eastAsia="等线" w:cs="Times New Roman"/>
    </w:rPr>
  </w:style>
  <w:style w:type="paragraph" w:styleId="4">
    <w:name w:val="Title"/>
    <w:basedOn w:val="1"/>
    <w:link w:val="82"/>
    <w:qFormat/>
    <w:uiPriority w:val="10"/>
    <w:pPr>
      <w:spacing w:before="120" w:after="60"/>
      <w:jc w:val="center"/>
    </w:pPr>
    <w:rPr>
      <w:rFonts w:ascii="Cambria" w:hAnsi="Cambria"/>
      <w:b/>
      <w:bCs/>
      <w:sz w:val="32"/>
      <w:szCs w:val="32"/>
    </w:rPr>
  </w:style>
  <w:style w:type="paragraph" w:styleId="5">
    <w:name w:val="Body Text First Indent"/>
    <w:basedOn w:val="2"/>
    <w:link w:val="72"/>
    <w:qFormat/>
    <w:uiPriority w:val="99"/>
    <w:pPr>
      <w:ind w:firstLine="420"/>
    </w:pPr>
    <w:rPr>
      <w:rFonts w:eastAsia="宋体" w:asciiTheme="minorHAnsi" w:hAnsiTheme="minorHAnsi" w:cstheme="minorBidi"/>
    </w:rPr>
  </w:style>
  <w:style w:type="paragraph" w:styleId="7">
    <w:name w:val="Normal Indent"/>
    <w:basedOn w:val="1"/>
    <w:qFormat/>
    <w:uiPriority w:val="99"/>
    <w:pPr>
      <w:ind w:firstLine="420"/>
    </w:pPr>
    <w:rPr>
      <w:rFonts w:ascii="Times New Roman" w:hAnsi="Times New Roman" w:eastAsia="宋体" w:cs="Times New Roman"/>
      <w:szCs w:val="20"/>
    </w:rPr>
  </w:style>
  <w:style w:type="paragraph" w:styleId="15">
    <w:name w:val="toc 7"/>
    <w:basedOn w:val="1"/>
    <w:next w:val="1"/>
    <w:qFormat/>
    <w:uiPriority w:val="99"/>
    <w:pPr>
      <w:ind w:left="1260"/>
      <w:jc w:val="left"/>
    </w:pPr>
    <w:rPr>
      <w:rFonts w:ascii="Times New Roman" w:hAnsi="Times New Roman" w:eastAsia="宋体" w:cs="Times New Roman"/>
      <w:sz w:val="18"/>
      <w:szCs w:val="18"/>
    </w:rPr>
  </w:style>
  <w:style w:type="paragraph" w:styleId="16">
    <w:name w:val="Document Map"/>
    <w:basedOn w:val="1"/>
    <w:link w:val="91"/>
    <w:qFormat/>
    <w:uiPriority w:val="99"/>
    <w:pPr>
      <w:shd w:val="clear" w:color="auto" w:fill="000080"/>
    </w:pPr>
    <w:rPr>
      <w:sz w:val="16"/>
      <w:szCs w:val="16"/>
    </w:rPr>
  </w:style>
  <w:style w:type="paragraph" w:styleId="17">
    <w:name w:val="annotation text"/>
    <w:basedOn w:val="1"/>
    <w:link w:val="76"/>
    <w:qFormat/>
    <w:uiPriority w:val="99"/>
    <w:pPr>
      <w:jc w:val="left"/>
    </w:pPr>
    <w:rPr>
      <w:rFonts w:eastAsia="宋体"/>
    </w:rPr>
  </w:style>
  <w:style w:type="paragraph" w:styleId="18">
    <w:name w:val="Body Text Indent"/>
    <w:basedOn w:val="1"/>
    <w:link w:val="94"/>
    <w:qFormat/>
    <w:uiPriority w:val="99"/>
    <w:pPr>
      <w:spacing w:after="120"/>
      <w:ind w:left="420" w:leftChars="200"/>
    </w:pPr>
  </w:style>
  <w:style w:type="paragraph" w:styleId="19">
    <w:name w:val="List Bullet 2"/>
    <w:basedOn w:val="1"/>
    <w:qFormat/>
    <w:uiPriority w:val="99"/>
    <w:pPr>
      <w:widowControl/>
      <w:tabs>
        <w:tab w:val="left" w:pos="720"/>
      </w:tabs>
      <w:ind w:left="720" w:hanging="360"/>
      <w:jc w:val="left"/>
    </w:pPr>
    <w:rPr>
      <w:rFonts w:ascii="Times New Roman" w:hAnsi="Times New Roman" w:eastAsia="宋体" w:cs="Times New Roman"/>
      <w:kern w:val="0"/>
      <w:sz w:val="20"/>
      <w:szCs w:val="20"/>
    </w:rPr>
  </w:style>
  <w:style w:type="paragraph" w:styleId="20">
    <w:name w:val="toc 5"/>
    <w:basedOn w:val="1"/>
    <w:next w:val="1"/>
    <w:qFormat/>
    <w:uiPriority w:val="99"/>
    <w:pPr>
      <w:ind w:left="840"/>
      <w:jc w:val="left"/>
    </w:pPr>
    <w:rPr>
      <w:rFonts w:ascii="Times New Roman" w:hAnsi="Times New Roman" w:eastAsia="宋体" w:cs="Times New Roman"/>
      <w:sz w:val="18"/>
      <w:szCs w:val="18"/>
    </w:rPr>
  </w:style>
  <w:style w:type="paragraph" w:styleId="21">
    <w:name w:val="toc 3"/>
    <w:basedOn w:val="1"/>
    <w:next w:val="1"/>
    <w:qFormat/>
    <w:uiPriority w:val="99"/>
    <w:pPr>
      <w:ind w:left="840" w:leftChars="400"/>
    </w:pPr>
    <w:rPr>
      <w:rFonts w:ascii="Times New Roman" w:hAnsi="Times New Roman" w:eastAsia="宋体" w:cs="Times New Roman"/>
      <w:szCs w:val="20"/>
    </w:rPr>
  </w:style>
  <w:style w:type="paragraph" w:styleId="22">
    <w:name w:val="Plain Text"/>
    <w:basedOn w:val="1"/>
    <w:link w:val="75"/>
    <w:qFormat/>
    <w:uiPriority w:val="99"/>
    <w:pPr>
      <w:widowControl/>
      <w:jc w:val="left"/>
    </w:pPr>
    <w:rPr>
      <w:rFonts w:ascii="宋体" w:hAnsi="Courier New" w:cs="Courier New"/>
      <w:szCs w:val="21"/>
    </w:rPr>
  </w:style>
  <w:style w:type="paragraph" w:styleId="23">
    <w:name w:val="toc 8"/>
    <w:basedOn w:val="1"/>
    <w:next w:val="1"/>
    <w:qFormat/>
    <w:uiPriority w:val="99"/>
    <w:pPr>
      <w:ind w:left="1470"/>
      <w:jc w:val="left"/>
    </w:pPr>
    <w:rPr>
      <w:rFonts w:ascii="Times New Roman" w:hAnsi="Times New Roman" w:eastAsia="宋体" w:cs="Times New Roman"/>
      <w:sz w:val="18"/>
      <w:szCs w:val="18"/>
    </w:rPr>
  </w:style>
  <w:style w:type="paragraph" w:styleId="24">
    <w:name w:val="Date"/>
    <w:basedOn w:val="1"/>
    <w:next w:val="1"/>
    <w:link w:val="64"/>
    <w:qFormat/>
    <w:uiPriority w:val="99"/>
  </w:style>
  <w:style w:type="paragraph" w:styleId="25">
    <w:name w:val="Body Text Indent 2"/>
    <w:basedOn w:val="1"/>
    <w:link w:val="66"/>
    <w:qFormat/>
    <w:uiPriority w:val="99"/>
    <w:pPr>
      <w:ind w:firstLine="720" w:firstLineChars="225"/>
    </w:pPr>
  </w:style>
  <w:style w:type="paragraph" w:styleId="26">
    <w:name w:val="endnote text"/>
    <w:basedOn w:val="1"/>
    <w:link w:val="74"/>
    <w:qFormat/>
    <w:uiPriority w:val="99"/>
    <w:pPr>
      <w:snapToGrid w:val="0"/>
      <w:jc w:val="left"/>
    </w:pPr>
  </w:style>
  <w:style w:type="paragraph" w:styleId="27">
    <w:name w:val="Balloon Text"/>
    <w:basedOn w:val="1"/>
    <w:link w:val="57"/>
    <w:qFormat/>
    <w:uiPriority w:val="99"/>
    <w:rPr>
      <w:sz w:val="16"/>
      <w:szCs w:val="16"/>
    </w:rPr>
  </w:style>
  <w:style w:type="paragraph" w:styleId="28">
    <w:name w:val="footer"/>
    <w:basedOn w:val="1"/>
    <w:link w:val="55"/>
    <w:unhideWhenUsed/>
    <w:qFormat/>
    <w:uiPriority w:val="0"/>
    <w:pPr>
      <w:tabs>
        <w:tab w:val="center" w:pos="4153"/>
        <w:tab w:val="right" w:pos="8306"/>
      </w:tabs>
      <w:snapToGrid w:val="0"/>
      <w:jc w:val="left"/>
    </w:pPr>
    <w:rPr>
      <w:rFonts w:ascii="等线" w:hAnsi="等线" w:eastAsia="等线" w:cs="Times New Roman"/>
      <w:sz w:val="18"/>
      <w:szCs w:val="18"/>
    </w:rPr>
  </w:style>
  <w:style w:type="paragraph" w:styleId="29">
    <w:name w:val="header"/>
    <w:basedOn w:val="1"/>
    <w:link w:val="54"/>
    <w:unhideWhenUsed/>
    <w:qFormat/>
    <w:uiPriority w:val="0"/>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paragraph" w:styleId="30">
    <w:name w:val="toc 1"/>
    <w:basedOn w:val="1"/>
    <w:next w:val="1"/>
    <w:qFormat/>
    <w:uiPriority w:val="39"/>
    <w:rPr>
      <w:rFonts w:ascii="Times New Roman" w:hAnsi="Times New Roman" w:eastAsia="宋体" w:cs="Times New Roman"/>
      <w:szCs w:val="20"/>
    </w:rPr>
  </w:style>
  <w:style w:type="paragraph" w:styleId="31">
    <w:name w:val="toc 4"/>
    <w:basedOn w:val="1"/>
    <w:next w:val="1"/>
    <w:qFormat/>
    <w:uiPriority w:val="99"/>
    <w:pPr>
      <w:ind w:left="630"/>
      <w:jc w:val="left"/>
    </w:pPr>
    <w:rPr>
      <w:rFonts w:ascii="Times New Roman" w:hAnsi="Times New Roman" w:eastAsia="宋体" w:cs="Times New Roman"/>
      <w:sz w:val="18"/>
      <w:szCs w:val="18"/>
    </w:rPr>
  </w:style>
  <w:style w:type="paragraph" w:styleId="32">
    <w:name w:val="toc 6"/>
    <w:basedOn w:val="1"/>
    <w:next w:val="1"/>
    <w:qFormat/>
    <w:uiPriority w:val="99"/>
    <w:pPr>
      <w:ind w:left="1050"/>
      <w:jc w:val="left"/>
    </w:pPr>
    <w:rPr>
      <w:rFonts w:ascii="Times New Roman" w:hAnsi="Times New Roman" w:eastAsia="宋体" w:cs="Times New Roman"/>
      <w:sz w:val="18"/>
      <w:szCs w:val="18"/>
    </w:rPr>
  </w:style>
  <w:style w:type="paragraph" w:styleId="33">
    <w:name w:val="Body Text Indent 3"/>
    <w:basedOn w:val="1"/>
    <w:link w:val="58"/>
    <w:qFormat/>
    <w:uiPriority w:val="99"/>
    <w:pPr>
      <w:spacing w:after="120"/>
      <w:ind w:left="420" w:leftChars="200"/>
    </w:pPr>
    <w:rPr>
      <w:sz w:val="16"/>
      <w:szCs w:val="16"/>
    </w:rPr>
  </w:style>
  <w:style w:type="paragraph" w:styleId="34">
    <w:name w:val="toc 2"/>
    <w:basedOn w:val="1"/>
    <w:next w:val="1"/>
    <w:qFormat/>
    <w:uiPriority w:val="39"/>
    <w:pPr>
      <w:tabs>
        <w:tab w:val="right" w:leader="dot" w:pos="8820"/>
      </w:tabs>
      <w:snapToGrid w:val="0"/>
      <w:spacing w:line="360" w:lineRule="auto"/>
      <w:jc w:val="left"/>
    </w:pPr>
    <w:rPr>
      <w:rFonts w:ascii="Times New Roman" w:hAnsi="Times New Roman" w:eastAsia="宋体" w:cs="Times New Roman"/>
      <w:sz w:val="24"/>
      <w:szCs w:val="24"/>
    </w:rPr>
  </w:style>
  <w:style w:type="paragraph" w:styleId="35">
    <w:name w:val="toc 9"/>
    <w:basedOn w:val="1"/>
    <w:next w:val="1"/>
    <w:qFormat/>
    <w:uiPriority w:val="99"/>
    <w:pPr>
      <w:ind w:left="1680"/>
      <w:jc w:val="left"/>
    </w:pPr>
    <w:rPr>
      <w:rFonts w:ascii="Times New Roman" w:hAnsi="Times New Roman" w:eastAsia="宋体" w:cs="Times New Roman"/>
      <w:sz w:val="18"/>
      <w:szCs w:val="18"/>
    </w:rPr>
  </w:style>
  <w:style w:type="paragraph" w:styleId="36">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7">
    <w:name w:val="annotation subject"/>
    <w:basedOn w:val="17"/>
    <w:next w:val="17"/>
    <w:link w:val="95"/>
    <w:qFormat/>
    <w:uiPriority w:val="99"/>
    <w:rPr>
      <w:rFonts w:eastAsiaTheme="minorEastAsia"/>
      <w:b/>
      <w:bCs/>
    </w:rPr>
  </w:style>
  <w:style w:type="character" w:styleId="40">
    <w:name w:val="Strong"/>
    <w:qFormat/>
    <w:uiPriority w:val="99"/>
    <w:rPr>
      <w:rFonts w:cs="Times New Roman"/>
      <w:b/>
    </w:rPr>
  </w:style>
  <w:style w:type="character" w:styleId="41">
    <w:name w:val="page number"/>
    <w:qFormat/>
    <w:uiPriority w:val="0"/>
    <w:rPr>
      <w:rFonts w:cs="Times New Roman"/>
    </w:rPr>
  </w:style>
  <w:style w:type="character" w:styleId="42">
    <w:name w:val="FollowedHyperlink"/>
    <w:semiHidden/>
    <w:unhideWhenUsed/>
    <w:qFormat/>
    <w:uiPriority w:val="99"/>
    <w:rPr>
      <w:color w:val="954F72"/>
      <w:u w:val="single"/>
    </w:rPr>
  </w:style>
  <w:style w:type="character" w:styleId="43">
    <w:name w:val="Hyperlink"/>
    <w:qFormat/>
    <w:uiPriority w:val="99"/>
    <w:rPr>
      <w:rFonts w:cs="Times New Roman"/>
      <w:color w:val="0000FF"/>
      <w:u w:val="single"/>
    </w:rPr>
  </w:style>
  <w:style w:type="character" w:styleId="44">
    <w:name w:val="annotation reference"/>
    <w:qFormat/>
    <w:uiPriority w:val="99"/>
    <w:rPr>
      <w:rFonts w:cs="Times New Roman"/>
      <w:sz w:val="21"/>
    </w:rPr>
  </w:style>
  <w:style w:type="character" w:customStyle="1" w:styleId="45">
    <w:name w:val="标题 1 字符"/>
    <w:basedOn w:val="39"/>
    <w:qFormat/>
    <w:uiPriority w:val="9"/>
    <w:rPr>
      <w:b/>
      <w:bCs/>
      <w:kern w:val="44"/>
      <w:sz w:val="44"/>
      <w:szCs w:val="44"/>
    </w:rPr>
  </w:style>
  <w:style w:type="character" w:customStyle="1" w:styleId="46">
    <w:name w:val="标题 2 字符"/>
    <w:basedOn w:val="39"/>
    <w:semiHidden/>
    <w:qFormat/>
    <w:uiPriority w:val="9"/>
    <w:rPr>
      <w:rFonts w:asciiTheme="majorHAnsi" w:hAnsiTheme="majorHAnsi" w:eastAsiaTheme="majorEastAsia" w:cstheme="majorBidi"/>
      <w:b/>
      <w:bCs/>
      <w:sz w:val="32"/>
      <w:szCs w:val="32"/>
    </w:rPr>
  </w:style>
  <w:style w:type="character" w:customStyle="1" w:styleId="47">
    <w:name w:val="标题 3 字符"/>
    <w:basedOn w:val="39"/>
    <w:semiHidden/>
    <w:qFormat/>
    <w:uiPriority w:val="9"/>
    <w:rPr>
      <w:b/>
      <w:bCs/>
      <w:sz w:val="32"/>
      <w:szCs w:val="32"/>
    </w:rPr>
  </w:style>
  <w:style w:type="character" w:customStyle="1" w:styleId="48">
    <w:name w:val="标题 4 字符"/>
    <w:basedOn w:val="39"/>
    <w:semiHidden/>
    <w:qFormat/>
    <w:uiPriority w:val="9"/>
    <w:rPr>
      <w:rFonts w:asciiTheme="majorHAnsi" w:hAnsiTheme="majorHAnsi" w:eastAsiaTheme="majorEastAsia" w:cstheme="majorBidi"/>
      <w:b/>
      <w:bCs/>
      <w:sz w:val="28"/>
      <w:szCs w:val="28"/>
    </w:rPr>
  </w:style>
  <w:style w:type="character" w:customStyle="1" w:styleId="49">
    <w:name w:val="标题 5 字符"/>
    <w:basedOn w:val="39"/>
    <w:semiHidden/>
    <w:qFormat/>
    <w:uiPriority w:val="9"/>
    <w:rPr>
      <w:b/>
      <w:bCs/>
      <w:sz w:val="28"/>
      <w:szCs w:val="28"/>
    </w:rPr>
  </w:style>
  <w:style w:type="character" w:customStyle="1" w:styleId="50">
    <w:name w:val="标题 6 字符"/>
    <w:basedOn w:val="39"/>
    <w:semiHidden/>
    <w:qFormat/>
    <w:uiPriority w:val="9"/>
    <w:rPr>
      <w:rFonts w:asciiTheme="majorHAnsi" w:hAnsiTheme="majorHAnsi" w:eastAsiaTheme="majorEastAsia" w:cstheme="majorBidi"/>
      <w:b/>
      <w:bCs/>
      <w:sz w:val="24"/>
      <w:szCs w:val="24"/>
    </w:rPr>
  </w:style>
  <w:style w:type="character" w:customStyle="1" w:styleId="51">
    <w:name w:val="标题 7 字符"/>
    <w:basedOn w:val="39"/>
    <w:semiHidden/>
    <w:qFormat/>
    <w:uiPriority w:val="9"/>
    <w:rPr>
      <w:b/>
      <w:bCs/>
      <w:sz w:val="24"/>
      <w:szCs w:val="24"/>
    </w:rPr>
  </w:style>
  <w:style w:type="character" w:customStyle="1" w:styleId="52">
    <w:name w:val="标题 8 字符"/>
    <w:basedOn w:val="39"/>
    <w:semiHidden/>
    <w:qFormat/>
    <w:uiPriority w:val="9"/>
    <w:rPr>
      <w:rFonts w:asciiTheme="majorHAnsi" w:hAnsiTheme="majorHAnsi" w:eastAsiaTheme="majorEastAsia" w:cstheme="majorBidi"/>
      <w:sz w:val="24"/>
      <w:szCs w:val="24"/>
    </w:rPr>
  </w:style>
  <w:style w:type="character" w:customStyle="1" w:styleId="53">
    <w:name w:val="标题 9 字符"/>
    <w:basedOn w:val="39"/>
    <w:semiHidden/>
    <w:qFormat/>
    <w:uiPriority w:val="9"/>
    <w:rPr>
      <w:rFonts w:asciiTheme="majorHAnsi" w:hAnsiTheme="majorHAnsi" w:eastAsiaTheme="majorEastAsia" w:cstheme="majorBidi"/>
      <w:szCs w:val="21"/>
    </w:rPr>
  </w:style>
  <w:style w:type="character" w:customStyle="1" w:styleId="54">
    <w:name w:val="页眉 Char1"/>
    <w:basedOn w:val="39"/>
    <w:link w:val="29"/>
    <w:qFormat/>
    <w:uiPriority w:val="0"/>
    <w:rPr>
      <w:rFonts w:ascii="等线" w:hAnsi="等线" w:eastAsia="等线" w:cs="Times New Roman"/>
      <w:sz w:val="18"/>
      <w:szCs w:val="18"/>
    </w:rPr>
  </w:style>
  <w:style w:type="character" w:customStyle="1" w:styleId="55">
    <w:name w:val="页脚 Char1"/>
    <w:basedOn w:val="39"/>
    <w:link w:val="28"/>
    <w:qFormat/>
    <w:uiPriority w:val="0"/>
    <w:rPr>
      <w:rFonts w:ascii="等线" w:hAnsi="等线" w:eastAsia="等线" w:cs="Times New Roman"/>
      <w:sz w:val="18"/>
      <w:szCs w:val="18"/>
    </w:rPr>
  </w:style>
  <w:style w:type="character" w:customStyle="1" w:styleId="56">
    <w:name w:val="标题 8 Char"/>
    <w:link w:val="13"/>
    <w:qFormat/>
    <w:uiPriority w:val="99"/>
    <w:rPr>
      <w:rFonts w:ascii="Cambria" w:hAnsi="Cambria" w:eastAsia="宋体" w:cs="Times New Roman"/>
      <w:kern w:val="0"/>
      <w:sz w:val="24"/>
      <w:szCs w:val="24"/>
      <w:lang w:val="zh-CN" w:eastAsia="zh-CN"/>
    </w:rPr>
  </w:style>
  <w:style w:type="character" w:customStyle="1" w:styleId="57">
    <w:name w:val="批注框文本 Char"/>
    <w:link w:val="27"/>
    <w:qFormat/>
    <w:uiPriority w:val="99"/>
    <w:rPr>
      <w:sz w:val="16"/>
      <w:szCs w:val="16"/>
    </w:rPr>
  </w:style>
  <w:style w:type="character" w:customStyle="1" w:styleId="58">
    <w:name w:val="正文文本缩进 3 Char"/>
    <w:link w:val="33"/>
    <w:qFormat/>
    <w:uiPriority w:val="99"/>
    <w:rPr>
      <w:sz w:val="16"/>
      <w:szCs w:val="16"/>
    </w:rPr>
  </w:style>
  <w:style w:type="character" w:customStyle="1" w:styleId="59">
    <w:name w:val="标题 9 Char"/>
    <w:link w:val="14"/>
    <w:qFormat/>
    <w:uiPriority w:val="99"/>
    <w:rPr>
      <w:rFonts w:ascii="Cambria" w:hAnsi="Cambria" w:eastAsia="宋体" w:cs="Times New Roman"/>
      <w:kern w:val="0"/>
      <w:sz w:val="20"/>
      <w:szCs w:val="21"/>
      <w:lang w:val="zh-CN" w:eastAsia="zh-CN"/>
    </w:rPr>
  </w:style>
  <w:style w:type="character" w:customStyle="1" w:styleId="60">
    <w:name w:val="标题 5 Char"/>
    <w:link w:val="10"/>
    <w:qFormat/>
    <w:uiPriority w:val="99"/>
    <w:rPr>
      <w:rFonts w:ascii="Times New Roman" w:hAnsi="Times New Roman" w:eastAsia="宋体" w:cs="Times New Roman"/>
      <w:b/>
      <w:bCs/>
      <w:kern w:val="0"/>
      <w:sz w:val="28"/>
      <w:szCs w:val="28"/>
      <w:lang w:val="zh-CN" w:eastAsia="zh-CN"/>
    </w:rPr>
  </w:style>
  <w:style w:type="character" w:customStyle="1" w:styleId="61">
    <w:name w:val="图表 Char1 Char Char Char"/>
    <w:link w:val="62"/>
    <w:qFormat/>
    <w:locked/>
    <w:uiPriority w:val="99"/>
    <w:rPr>
      <w:rFonts w:eastAsia="华文中宋"/>
      <w:kern w:val="24"/>
      <w:sz w:val="24"/>
    </w:rPr>
  </w:style>
  <w:style w:type="paragraph" w:customStyle="1" w:styleId="62">
    <w:name w:val="图表 Char1 Char"/>
    <w:basedOn w:val="1"/>
    <w:link w:val="61"/>
    <w:qFormat/>
    <w:uiPriority w:val="99"/>
    <w:pPr>
      <w:snapToGrid w:val="0"/>
      <w:spacing w:line="360" w:lineRule="auto"/>
      <w:ind w:firstLine="200" w:firstLineChars="200"/>
      <w:jc w:val="center"/>
    </w:pPr>
    <w:rPr>
      <w:rFonts w:eastAsia="华文中宋"/>
      <w:kern w:val="24"/>
      <w:sz w:val="24"/>
    </w:rPr>
  </w:style>
  <w:style w:type="character" w:customStyle="1" w:styleId="63">
    <w:name w:val="Comment Text Char"/>
    <w:semiHidden/>
    <w:qFormat/>
    <w:uiPriority w:val="99"/>
    <w:rPr>
      <w:szCs w:val="20"/>
    </w:rPr>
  </w:style>
  <w:style w:type="character" w:customStyle="1" w:styleId="64">
    <w:name w:val="日期 Char"/>
    <w:link w:val="24"/>
    <w:qFormat/>
    <w:uiPriority w:val="99"/>
  </w:style>
  <w:style w:type="character" w:customStyle="1" w:styleId="65">
    <w:name w:val="正文文本 Char1"/>
    <w:qFormat/>
    <w:uiPriority w:val="99"/>
    <w:rPr>
      <w:szCs w:val="20"/>
    </w:rPr>
  </w:style>
  <w:style w:type="character" w:customStyle="1" w:styleId="66">
    <w:name w:val="正文文本缩进 2 Char"/>
    <w:link w:val="25"/>
    <w:qFormat/>
    <w:uiPriority w:val="99"/>
  </w:style>
  <w:style w:type="character" w:customStyle="1" w:styleId="67">
    <w:name w:val="textcontents"/>
    <w:qFormat/>
    <w:uiPriority w:val="99"/>
    <w:rPr>
      <w:rFonts w:cs="Times New Roman"/>
    </w:rPr>
  </w:style>
  <w:style w:type="character" w:customStyle="1" w:styleId="68">
    <w:name w:val="标题 1 Char Char"/>
    <w:qFormat/>
    <w:uiPriority w:val="99"/>
    <w:rPr>
      <w:rFonts w:ascii="Arial" w:hAnsi="Arial" w:eastAsia="宋体"/>
      <w:b/>
      <w:kern w:val="44"/>
      <w:sz w:val="36"/>
      <w:lang w:val="en-US" w:eastAsia="zh-CN"/>
    </w:rPr>
  </w:style>
  <w:style w:type="character" w:customStyle="1" w:styleId="69">
    <w:name w:val="纯文本 Char"/>
    <w:qFormat/>
    <w:locked/>
    <w:uiPriority w:val="99"/>
    <w:rPr>
      <w:rFonts w:ascii="宋体" w:hAnsi="Courier New" w:eastAsia="宋体"/>
      <w:sz w:val="21"/>
      <w:lang w:val="en-US" w:eastAsia="zh-CN"/>
    </w:rPr>
  </w:style>
  <w:style w:type="character" w:customStyle="1" w:styleId="70">
    <w:name w:val="标题 Char Char"/>
    <w:qFormat/>
    <w:uiPriority w:val="99"/>
    <w:rPr>
      <w:rFonts w:ascii="Arial" w:hAnsi="Arial" w:eastAsia="宋体"/>
      <w:b/>
      <w:kern w:val="2"/>
      <w:sz w:val="44"/>
      <w:lang w:val="en-US" w:eastAsia="zh-CN"/>
    </w:rPr>
  </w:style>
  <w:style w:type="character" w:customStyle="1" w:styleId="71">
    <w:name w:val="页脚 Char"/>
    <w:qFormat/>
    <w:uiPriority w:val="0"/>
    <w:rPr>
      <w:sz w:val="18"/>
      <w:szCs w:val="18"/>
    </w:rPr>
  </w:style>
  <w:style w:type="character" w:customStyle="1" w:styleId="72">
    <w:name w:val="正文首行缩进 Char1"/>
    <w:link w:val="5"/>
    <w:qFormat/>
    <w:uiPriority w:val="99"/>
    <w:rPr>
      <w:rFonts w:eastAsia="宋体"/>
    </w:rPr>
  </w:style>
  <w:style w:type="character" w:customStyle="1" w:styleId="73">
    <w:name w:val="正文文本 Char"/>
    <w:qFormat/>
    <w:locked/>
    <w:uiPriority w:val="99"/>
    <w:rPr>
      <w:rFonts w:eastAsia="宋体"/>
      <w:kern w:val="2"/>
      <w:sz w:val="21"/>
      <w:lang w:val="en-US" w:eastAsia="zh-CN"/>
    </w:rPr>
  </w:style>
  <w:style w:type="character" w:customStyle="1" w:styleId="74">
    <w:name w:val="尾注文本 Char1"/>
    <w:link w:val="26"/>
    <w:qFormat/>
    <w:uiPriority w:val="99"/>
  </w:style>
  <w:style w:type="character" w:customStyle="1" w:styleId="75">
    <w:name w:val="纯文本 Char1"/>
    <w:link w:val="22"/>
    <w:qFormat/>
    <w:uiPriority w:val="99"/>
    <w:rPr>
      <w:rFonts w:ascii="宋体" w:hAnsi="Courier New" w:cs="Courier New"/>
      <w:szCs w:val="21"/>
    </w:rPr>
  </w:style>
  <w:style w:type="character" w:customStyle="1" w:styleId="76">
    <w:name w:val="批注文字 Char"/>
    <w:link w:val="17"/>
    <w:qFormat/>
    <w:locked/>
    <w:uiPriority w:val="99"/>
    <w:rPr>
      <w:rFonts w:eastAsia="宋体"/>
    </w:rPr>
  </w:style>
  <w:style w:type="character" w:customStyle="1" w:styleId="77">
    <w:name w:val="标题 6 Char"/>
    <w:link w:val="11"/>
    <w:qFormat/>
    <w:uiPriority w:val="99"/>
    <w:rPr>
      <w:rFonts w:ascii="Cambria" w:hAnsi="Cambria" w:eastAsia="宋体" w:cs="Times New Roman"/>
      <w:b/>
      <w:bCs/>
      <w:kern w:val="0"/>
      <w:sz w:val="24"/>
      <w:szCs w:val="24"/>
      <w:lang w:val="zh-CN" w:eastAsia="zh-CN"/>
    </w:rPr>
  </w:style>
  <w:style w:type="character" w:customStyle="1" w:styleId="78">
    <w:name w:val="图（居中） Char Char"/>
    <w:link w:val="79"/>
    <w:qFormat/>
    <w:locked/>
    <w:uiPriority w:val="99"/>
    <w:rPr>
      <w:rFonts w:ascii="Verdana" w:hAnsi="Verdana" w:eastAsia="华文仿宋"/>
      <w:sz w:val="28"/>
    </w:rPr>
  </w:style>
  <w:style w:type="paragraph" w:customStyle="1" w:styleId="79">
    <w:name w:val="图（居中）"/>
    <w:basedOn w:val="1"/>
    <w:link w:val="78"/>
    <w:qFormat/>
    <w:uiPriority w:val="99"/>
    <w:pPr>
      <w:adjustRightInd w:val="0"/>
      <w:spacing w:after="120" w:line="360" w:lineRule="auto"/>
      <w:jc w:val="center"/>
      <w:textAlignment w:val="baseline"/>
    </w:pPr>
    <w:rPr>
      <w:rFonts w:ascii="Verdana" w:hAnsi="Verdana" w:eastAsia="华文仿宋"/>
      <w:sz w:val="28"/>
    </w:rPr>
  </w:style>
  <w:style w:type="character" w:customStyle="1" w:styleId="80">
    <w:name w:val="标题 7 Char"/>
    <w:link w:val="12"/>
    <w:qFormat/>
    <w:uiPriority w:val="99"/>
    <w:rPr>
      <w:rFonts w:ascii="Times New Roman" w:hAnsi="Times New Roman" w:eastAsia="宋体" w:cs="Times New Roman"/>
      <w:b/>
      <w:bCs/>
      <w:kern w:val="0"/>
      <w:sz w:val="24"/>
      <w:szCs w:val="24"/>
      <w:lang w:val="zh-CN" w:eastAsia="zh-CN"/>
    </w:rPr>
  </w:style>
  <w:style w:type="character" w:customStyle="1" w:styleId="81">
    <w:name w:val="Char Char2"/>
    <w:qFormat/>
    <w:uiPriority w:val="99"/>
    <w:rPr>
      <w:rFonts w:eastAsia="宋体"/>
      <w:kern w:val="2"/>
      <w:sz w:val="21"/>
      <w:lang w:val="en-US" w:eastAsia="zh-CN"/>
    </w:rPr>
  </w:style>
  <w:style w:type="character" w:customStyle="1" w:styleId="82">
    <w:name w:val="标题 Char"/>
    <w:link w:val="4"/>
    <w:qFormat/>
    <w:uiPriority w:val="10"/>
    <w:rPr>
      <w:rFonts w:ascii="Cambria" w:hAnsi="Cambria"/>
      <w:b/>
      <w:bCs/>
      <w:sz w:val="32"/>
      <w:szCs w:val="32"/>
    </w:rPr>
  </w:style>
  <w:style w:type="character" w:customStyle="1" w:styleId="83">
    <w:name w:val="标题 1 Char"/>
    <w:link w:val="3"/>
    <w:qFormat/>
    <w:uiPriority w:val="99"/>
    <w:rPr>
      <w:rFonts w:ascii="Times New Roman" w:hAnsi="Times New Roman" w:eastAsia="宋体" w:cs="Times New Roman"/>
      <w:b/>
      <w:bCs/>
      <w:kern w:val="44"/>
      <w:sz w:val="44"/>
      <w:szCs w:val="44"/>
      <w:lang w:val="zh-CN" w:eastAsia="zh-CN"/>
    </w:rPr>
  </w:style>
  <w:style w:type="character" w:customStyle="1" w:styleId="84">
    <w:name w:val="标题 2 Char"/>
    <w:link w:val="6"/>
    <w:qFormat/>
    <w:locked/>
    <w:uiPriority w:val="99"/>
    <w:rPr>
      <w:rFonts w:ascii="宋体" w:hAnsi="宋体" w:eastAsia="宋体" w:cs="Times New Roman"/>
      <w:b/>
      <w:kern w:val="28"/>
      <w:sz w:val="30"/>
      <w:szCs w:val="20"/>
    </w:rPr>
  </w:style>
  <w:style w:type="character" w:customStyle="1" w:styleId="85">
    <w:name w:val="标题 3 Char"/>
    <w:link w:val="8"/>
    <w:qFormat/>
    <w:uiPriority w:val="99"/>
    <w:rPr>
      <w:rFonts w:ascii="Times New Roman" w:hAnsi="Times New Roman" w:eastAsia="宋体" w:cs="Times New Roman"/>
      <w:b/>
      <w:bCs/>
      <w:kern w:val="0"/>
      <w:sz w:val="32"/>
      <w:szCs w:val="32"/>
      <w:lang w:val="zh-CN" w:eastAsia="zh-CN"/>
    </w:rPr>
  </w:style>
  <w:style w:type="character" w:customStyle="1" w:styleId="86">
    <w:name w:val="标题 4 Char"/>
    <w:link w:val="9"/>
    <w:qFormat/>
    <w:uiPriority w:val="99"/>
    <w:rPr>
      <w:rFonts w:ascii="Cambria" w:hAnsi="Cambria" w:eastAsia="宋体" w:cs="Times New Roman"/>
      <w:b/>
      <w:bCs/>
      <w:kern w:val="0"/>
      <w:sz w:val="28"/>
      <w:szCs w:val="28"/>
      <w:lang w:val="zh-CN" w:eastAsia="zh-CN"/>
    </w:rPr>
  </w:style>
  <w:style w:type="character" w:customStyle="1" w:styleId="87">
    <w:name w:val="文一 Char Char"/>
    <w:link w:val="88"/>
    <w:qFormat/>
    <w:locked/>
    <w:uiPriority w:val="99"/>
    <w:rPr>
      <w:rFonts w:eastAsia="宋体"/>
      <w:snapToGrid w:val="0"/>
      <w:spacing w:val="4"/>
      <w:sz w:val="24"/>
    </w:rPr>
  </w:style>
  <w:style w:type="paragraph" w:customStyle="1" w:styleId="88">
    <w:name w:val="文一"/>
    <w:basedOn w:val="1"/>
    <w:link w:val="87"/>
    <w:qFormat/>
    <w:uiPriority w:val="99"/>
    <w:pPr>
      <w:topLinePunct/>
      <w:adjustRightInd w:val="0"/>
      <w:snapToGrid w:val="0"/>
      <w:spacing w:line="360" w:lineRule="auto"/>
      <w:ind w:firstLine="200" w:firstLineChars="200"/>
    </w:pPr>
    <w:rPr>
      <w:rFonts w:eastAsia="宋体"/>
      <w:snapToGrid w:val="0"/>
      <w:spacing w:val="4"/>
      <w:sz w:val="24"/>
    </w:rPr>
  </w:style>
  <w:style w:type="character" w:customStyle="1" w:styleId="89">
    <w:name w:val="尾注文本 Char"/>
    <w:qFormat/>
    <w:locked/>
    <w:uiPriority w:val="99"/>
    <w:rPr>
      <w:rFonts w:ascii="宋体" w:hAnsi="宋体" w:eastAsia="宋体"/>
      <w:kern w:val="2"/>
      <w:sz w:val="21"/>
      <w:lang w:val="en-US" w:eastAsia="zh-CN"/>
    </w:rPr>
  </w:style>
  <w:style w:type="character" w:customStyle="1" w:styleId="90">
    <w:name w:val="正文首行缩进 Char"/>
    <w:qFormat/>
    <w:locked/>
    <w:uiPriority w:val="99"/>
    <w:rPr>
      <w:rFonts w:eastAsia="宋体"/>
      <w:kern w:val="2"/>
      <w:sz w:val="21"/>
      <w:lang w:val="en-US" w:eastAsia="zh-CN"/>
    </w:rPr>
  </w:style>
  <w:style w:type="character" w:customStyle="1" w:styleId="91">
    <w:name w:val="文档结构图 Char"/>
    <w:link w:val="16"/>
    <w:qFormat/>
    <w:uiPriority w:val="99"/>
    <w:rPr>
      <w:sz w:val="16"/>
      <w:szCs w:val="16"/>
      <w:shd w:val="clear" w:color="auto" w:fill="000080"/>
    </w:rPr>
  </w:style>
  <w:style w:type="character" w:customStyle="1" w:styleId="92">
    <w:name w:val="表格文字 Char Char"/>
    <w:link w:val="93"/>
    <w:qFormat/>
    <w:locked/>
    <w:uiPriority w:val="99"/>
    <w:rPr>
      <w:rFonts w:eastAsia="仿宋_GB2312"/>
    </w:rPr>
  </w:style>
  <w:style w:type="paragraph" w:customStyle="1" w:styleId="93">
    <w:name w:val="表格文字"/>
    <w:basedOn w:val="1"/>
    <w:link w:val="92"/>
    <w:qFormat/>
    <w:uiPriority w:val="99"/>
    <w:rPr>
      <w:rFonts w:eastAsia="仿宋_GB2312"/>
    </w:rPr>
  </w:style>
  <w:style w:type="character" w:customStyle="1" w:styleId="94">
    <w:name w:val="正文文本缩进 Char"/>
    <w:link w:val="18"/>
    <w:qFormat/>
    <w:uiPriority w:val="99"/>
  </w:style>
  <w:style w:type="character" w:customStyle="1" w:styleId="95">
    <w:name w:val="批注主题 Char"/>
    <w:link w:val="37"/>
    <w:qFormat/>
    <w:uiPriority w:val="99"/>
    <w:rPr>
      <w:b/>
      <w:bCs/>
    </w:rPr>
  </w:style>
  <w:style w:type="character" w:customStyle="1" w:styleId="96">
    <w:name w:val="页眉 Char"/>
    <w:qFormat/>
    <w:uiPriority w:val="0"/>
    <w:rPr>
      <w:sz w:val="18"/>
      <w:szCs w:val="18"/>
    </w:rPr>
  </w:style>
  <w:style w:type="character" w:customStyle="1" w:styleId="97">
    <w:name w:val="表格文字 Char"/>
    <w:qFormat/>
    <w:uiPriority w:val="99"/>
    <w:rPr>
      <w:rFonts w:ascii="宋体" w:hAnsi="Courier New" w:eastAsia="宋体"/>
      <w:kern w:val="2"/>
      <w:sz w:val="21"/>
      <w:lang w:val="en-US" w:eastAsia="zh-CN"/>
    </w:rPr>
  </w:style>
  <w:style w:type="character" w:customStyle="1" w:styleId="98">
    <w:name w:val="标题 Char1"/>
    <w:qFormat/>
    <w:uiPriority w:val="10"/>
    <w:rPr>
      <w:rFonts w:ascii="Cambria" w:hAnsi="Cambria" w:eastAsia="宋体" w:cs="Times New Roman"/>
      <w:b/>
      <w:bCs/>
      <w:sz w:val="32"/>
      <w:szCs w:val="32"/>
    </w:rPr>
  </w:style>
  <w:style w:type="character" w:customStyle="1" w:styleId="99">
    <w:name w:val="批注框文本 字符"/>
    <w:basedOn w:val="39"/>
    <w:semiHidden/>
    <w:qFormat/>
    <w:uiPriority w:val="99"/>
    <w:rPr>
      <w:sz w:val="18"/>
      <w:szCs w:val="18"/>
    </w:rPr>
  </w:style>
  <w:style w:type="character" w:customStyle="1" w:styleId="100">
    <w:name w:val="批注文字 字符"/>
    <w:basedOn w:val="39"/>
    <w:semiHidden/>
    <w:qFormat/>
    <w:uiPriority w:val="99"/>
  </w:style>
  <w:style w:type="character" w:customStyle="1" w:styleId="101">
    <w:name w:val="正文文本 Char2"/>
    <w:basedOn w:val="39"/>
    <w:link w:val="2"/>
    <w:qFormat/>
    <w:uiPriority w:val="99"/>
    <w:rPr>
      <w:rFonts w:ascii="等线" w:hAnsi="等线" w:eastAsia="等线" w:cs="Times New Roman"/>
    </w:rPr>
  </w:style>
  <w:style w:type="character" w:customStyle="1" w:styleId="102">
    <w:name w:val="正文文本首行缩进 字符1"/>
    <w:basedOn w:val="101"/>
    <w:semiHidden/>
    <w:qFormat/>
    <w:uiPriority w:val="99"/>
    <w:rPr>
      <w:rFonts w:ascii="等线" w:hAnsi="等线" w:eastAsia="等线" w:cs="Times New Roman"/>
    </w:rPr>
  </w:style>
  <w:style w:type="character" w:customStyle="1" w:styleId="103">
    <w:name w:val="正文首行缩进 字符"/>
    <w:basedOn w:val="101"/>
    <w:semiHidden/>
    <w:qFormat/>
    <w:uiPriority w:val="99"/>
    <w:rPr>
      <w:rFonts w:ascii="等线" w:hAnsi="等线" w:eastAsia="等线" w:cs="Times New Roman"/>
    </w:rPr>
  </w:style>
  <w:style w:type="character" w:customStyle="1" w:styleId="104">
    <w:name w:val="日期 字符"/>
    <w:basedOn w:val="39"/>
    <w:semiHidden/>
    <w:qFormat/>
    <w:uiPriority w:val="99"/>
  </w:style>
  <w:style w:type="character" w:customStyle="1" w:styleId="105">
    <w:name w:val="正文文本缩进 字符"/>
    <w:basedOn w:val="39"/>
    <w:semiHidden/>
    <w:qFormat/>
    <w:uiPriority w:val="99"/>
  </w:style>
  <w:style w:type="character" w:customStyle="1" w:styleId="106">
    <w:name w:val="纯文本 字符"/>
    <w:basedOn w:val="39"/>
    <w:semiHidden/>
    <w:qFormat/>
    <w:uiPriority w:val="99"/>
    <w:rPr>
      <w:rFonts w:hAnsi="Courier New" w:cs="Courier New" w:asciiTheme="minorEastAsia"/>
    </w:rPr>
  </w:style>
  <w:style w:type="character" w:customStyle="1" w:styleId="107">
    <w:name w:val="文档结构图 字符"/>
    <w:basedOn w:val="39"/>
    <w:semiHidden/>
    <w:qFormat/>
    <w:uiPriority w:val="99"/>
    <w:rPr>
      <w:rFonts w:ascii="Microsoft YaHei UI" w:eastAsia="Microsoft YaHei UI"/>
      <w:sz w:val="18"/>
      <w:szCs w:val="18"/>
    </w:rPr>
  </w:style>
  <w:style w:type="character" w:customStyle="1" w:styleId="108">
    <w:name w:val="标题 字符"/>
    <w:basedOn w:val="39"/>
    <w:qFormat/>
    <w:uiPriority w:val="10"/>
    <w:rPr>
      <w:rFonts w:asciiTheme="majorHAnsi" w:hAnsiTheme="majorHAnsi" w:eastAsiaTheme="majorEastAsia" w:cstheme="majorBidi"/>
      <w:b/>
      <w:bCs/>
      <w:sz w:val="32"/>
      <w:szCs w:val="32"/>
    </w:rPr>
  </w:style>
  <w:style w:type="character" w:customStyle="1" w:styleId="109">
    <w:name w:val="正文文本缩进 3 字符"/>
    <w:basedOn w:val="39"/>
    <w:semiHidden/>
    <w:qFormat/>
    <w:uiPriority w:val="99"/>
    <w:rPr>
      <w:sz w:val="16"/>
      <w:szCs w:val="16"/>
    </w:rPr>
  </w:style>
  <w:style w:type="character" w:customStyle="1" w:styleId="110">
    <w:name w:val="尾注文本 字符"/>
    <w:basedOn w:val="39"/>
    <w:semiHidden/>
    <w:qFormat/>
    <w:uiPriority w:val="99"/>
  </w:style>
  <w:style w:type="character" w:customStyle="1" w:styleId="111">
    <w:name w:val="正文文本缩进 2 字符"/>
    <w:basedOn w:val="39"/>
    <w:semiHidden/>
    <w:qFormat/>
    <w:uiPriority w:val="99"/>
  </w:style>
  <w:style w:type="character" w:customStyle="1" w:styleId="112">
    <w:name w:val="批注主题 字符"/>
    <w:basedOn w:val="100"/>
    <w:semiHidden/>
    <w:qFormat/>
    <w:uiPriority w:val="99"/>
    <w:rPr>
      <w:b/>
      <w:bCs/>
    </w:rPr>
  </w:style>
  <w:style w:type="paragraph" w:customStyle="1" w:styleId="113">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4">
    <w:name w:val="xl38"/>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15">
    <w:name w:val="xl3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6">
    <w:name w:val="默认段落字体 Para Char"/>
    <w:basedOn w:val="1"/>
    <w:qFormat/>
    <w:uiPriority w:val="99"/>
    <w:rPr>
      <w:rFonts w:ascii="Times New Roman" w:hAnsi="Times New Roman" w:eastAsia="宋体" w:cs="Times New Roman"/>
      <w:sz w:val="30"/>
      <w:szCs w:val="24"/>
    </w:rPr>
  </w:style>
  <w:style w:type="paragraph" w:customStyle="1" w:styleId="117">
    <w:name w:val="xl2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18">
    <w:name w:val="xl30"/>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19">
    <w:name w:val="_Style 1"/>
    <w:basedOn w:val="1"/>
    <w:qFormat/>
    <w:uiPriority w:val="34"/>
    <w:pPr>
      <w:ind w:firstLine="420" w:firstLineChars="200"/>
    </w:pPr>
    <w:rPr>
      <w:rFonts w:ascii="Times New Roman" w:hAnsi="Times New Roman" w:eastAsia="宋体" w:cs="Times New Roman"/>
      <w:szCs w:val="20"/>
    </w:rPr>
  </w:style>
  <w:style w:type="paragraph" w:customStyle="1" w:styleId="120">
    <w:name w:val="Blockquote"/>
    <w:basedOn w:val="1"/>
    <w:qFormat/>
    <w:uiPriority w:val="99"/>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paragraph" w:customStyle="1" w:styleId="121">
    <w:name w:val="1 Char Char Char Char Char Char Char"/>
    <w:basedOn w:val="1"/>
    <w:qFormat/>
    <w:uiPriority w:val="99"/>
    <w:rPr>
      <w:rFonts w:ascii="Times New Roman" w:hAnsi="Times New Roman" w:eastAsia="宋体" w:cs="Times New Roman"/>
      <w:sz w:val="30"/>
      <w:szCs w:val="20"/>
    </w:rPr>
  </w:style>
  <w:style w:type="paragraph" w:customStyle="1" w:styleId="122">
    <w:name w:val="Char11"/>
    <w:basedOn w:val="1"/>
    <w:qFormat/>
    <w:uiPriority w:val="99"/>
    <w:rPr>
      <w:rFonts w:ascii="Times New Roman" w:hAnsi="Times New Roman" w:eastAsia="宋体" w:cs="Times New Roman"/>
      <w:sz w:val="30"/>
      <w:szCs w:val="24"/>
    </w:rPr>
  </w:style>
  <w:style w:type="paragraph" w:customStyle="1" w:styleId="12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4">
    <w:name w:val="Char1"/>
    <w:basedOn w:val="1"/>
    <w:qFormat/>
    <w:uiPriority w:val="99"/>
    <w:pPr>
      <w:snapToGrid w:val="0"/>
      <w:spacing w:line="420" w:lineRule="auto"/>
    </w:pPr>
    <w:rPr>
      <w:rFonts w:ascii="Times New Roman" w:hAnsi="Times New Roman" w:eastAsia="宋体" w:cs="Times New Roman"/>
      <w:szCs w:val="21"/>
    </w:rPr>
  </w:style>
  <w:style w:type="paragraph" w:customStyle="1" w:styleId="12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27">
    <w:name w:val="xl2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28">
    <w:name w:val="列表段落1"/>
    <w:basedOn w:val="1"/>
    <w:qFormat/>
    <w:uiPriority w:val="99"/>
    <w:pPr>
      <w:ind w:firstLine="420" w:firstLineChars="200"/>
    </w:pPr>
    <w:rPr>
      <w:rFonts w:ascii="Times New Roman" w:hAnsi="Times New Roman" w:eastAsia="宋体" w:cs="Times New Roman"/>
      <w:szCs w:val="20"/>
    </w:rPr>
  </w:style>
  <w:style w:type="paragraph" w:customStyle="1" w:styleId="129">
    <w:name w:val="1"/>
    <w:basedOn w:val="1"/>
    <w:next w:val="22"/>
    <w:qFormat/>
    <w:uiPriority w:val="99"/>
    <w:rPr>
      <w:rFonts w:ascii="宋体" w:hAnsi="Courier New" w:eastAsia="宋体" w:cs="Times New Roman"/>
      <w:szCs w:val="20"/>
    </w:rPr>
  </w:style>
  <w:style w:type="paragraph" w:customStyle="1" w:styleId="130">
    <w:name w:val="xl3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3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2">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3">
    <w:name w:val="xl24"/>
    <w:basedOn w:val="1"/>
    <w:qFormat/>
    <w:uiPriority w:val="99"/>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34">
    <w:name w:val="_Style 41"/>
    <w:basedOn w:val="1"/>
    <w:qFormat/>
    <w:uiPriority w:val="99"/>
    <w:rPr>
      <w:rFonts w:ascii="宋体" w:hAnsi="CG Times (W1)" w:eastAsia="宋体" w:cs="Times New Roman"/>
      <w:kern w:val="0"/>
      <w:szCs w:val="20"/>
    </w:rPr>
  </w:style>
  <w:style w:type="paragraph" w:customStyle="1" w:styleId="135">
    <w:name w:val="xl2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36">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137">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138">
    <w:name w:val="样式"/>
    <w:basedOn w:val="1"/>
    <w:next w:val="18"/>
    <w:qFormat/>
    <w:uiPriority w:val="99"/>
    <w:pPr>
      <w:jc w:val="center"/>
    </w:pPr>
    <w:rPr>
      <w:rFonts w:ascii="宋体" w:hAnsi="宋体" w:eastAsia="宋体" w:cs="Times New Roman"/>
      <w:color w:val="FF0000"/>
      <w:sz w:val="24"/>
      <w:szCs w:val="24"/>
    </w:rPr>
  </w:style>
  <w:style w:type="paragraph" w:customStyle="1" w:styleId="13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0">
    <w:name w:val="font5"/>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141">
    <w:name w:val="xl37"/>
    <w:basedOn w:val="1"/>
    <w:qFormat/>
    <w:uiPriority w:val="99"/>
    <w:pPr>
      <w:widowControl/>
      <w:pBdr>
        <w:left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42">
    <w:name w:val="修订1"/>
    <w:qFormat/>
    <w:uiPriority w:val="99"/>
    <w:rPr>
      <w:rFonts w:ascii="Times New Roman" w:hAnsi="Times New Roman" w:eastAsia="宋体" w:cs="Times New Roman"/>
      <w:kern w:val="2"/>
      <w:sz w:val="21"/>
      <w:lang w:val="en-US" w:eastAsia="zh-CN" w:bidi="ar-SA"/>
    </w:rPr>
  </w:style>
  <w:style w:type="paragraph" w:customStyle="1" w:styleId="143">
    <w:name w:val="样式2"/>
    <w:basedOn w:val="6"/>
    <w:qFormat/>
    <w:uiPriority w:val="99"/>
    <w:pPr>
      <w:spacing w:before="260" w:after="260" w:afterAutospacing="0" w:line="415" w:lineRule="auto"/>
      <w:ind w:left="0" w:firstLine="0"/>
    </w:pPr>
    <w:rPr>
      <w:rFonts w:ascii="Arial" w:eastAsia="华文中宋"/>
      <w:sz w:val="36"/>
      <w:szCs w:val="36"/>
    </w:rPr>
  </w:style>
  <w:style w:type="paragraph" w:customStyle="1" w:styleId="144">
    <w:name w:val="2"/>
    <w:basedOn w:val="1"/>
    <w:qFormat/>
    <w:uiPriority w:val="99"/>
    <w:rPr>
      <w:rFonts w:ascii="2" w:hAnsi="2" w:eastAsia="宋体" w:cs="Times New Roman"/>
      <w:szCs w:val="20"/>
    </w:rPr>
  </w:style>
  <w:style w:type="paragraph" w:customStyle="1" w:styleId="145">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6">
    <w:name w:val="WPS Plain"/>
    <w:qFormat/>
    <w:uiPriority w:val="99"/>
    <w:rPr>
      <w:rFonts w:ascii="Times New Roman" w:hAnsi="Times New Roman" w:eastAsia="宋体" w:cs="Times New Roman"/>
      <w:lang w:val="en-US" w:eastAsia="zh-CN" w:bidi="ar-SA"/>
    </w:rPr>
  </w:style>
  <w:style w:type="paragraph" w:customStyle="1" w:styleId="147">
    <w:name w:val="Char Char Char Char"/>
    <w:basedOn w:val="1"/>
    <w:qFormat/>
    <w:uiPriority w:val="99"/>
    <w:rPr>
      <w:rFonts w:ascii="Times New Roman" w:hAnsi="Times New Roman" w:eastAsia="宋体" w:cs="Times New Roman"/>
      <w:sz w:val="24"/>
      <w:szCs w:val="24"/>
    </w:rPr>
  </w:style>
  <w:style w:type="paragraph" w:customStyle="1" w:styleId="148">
    <w:name w:val="标正文"/>
    <w:basedOn w:val="1"/>
    <w:qFormat/>
    <w:uiPriority w:val="99"/>
    <w:rPr>
      <w:rFonts w:ascii="仿宋_GB2312" w:hAnsi="Times New Roman" w:eastAsia="仿宋_GB2312" w:cs="Times New Roman"/>
      <w:sz w:val="32"/>
      <w:szCs w:val="24"/>
    </w:rPr>
  </w:style>
  <w:style w:type="paragraph" w:customStyle="1" w:styleId="149">
    <w:name w:val="xl3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0">
    <w:name w:val="修订2"/>
    <w:hidden/>
    <w:unhideWhenUsed/>
    <w:qFormat/>
    <w:uiPriority w:val="99"/>
    <w:rPr>
      <w:rFonts w:ascii="Times New Roman" w:hAnsi="Times New Roman" w:eastAsia="宋体" w:cs="Times New Roman"/>
      <w:kern w:val="2"/>
      <w:sz w:val="21"/>
      <w:lang w:val="en-US" w:eastAsia="zh-CN" w:bidi="ar-SA"/>
    </w:rPr>
  </w:style>
  <w:style w:type="paragraph" w:styleId="151">
    <w:name w:val="List Paragraph"/>
    <w:basedOn w:val="1"/>
    <w:qFormat/>
    <w:uiPriority w:val="34"/>
    <w:pPr>
      <w:ind w:firstLine="420" w:firstLineChars="200"/>
    </w:pPr>
  </w:style>
  <w:style w:type="character" w:customStyle="1" w:styleId="152">
    <w:name w:val="bjh-strong2"/>
    <w:qFormat/>
    <w:uiPriority w:val="0"/>
    <w:rPr>
      <w:b/>
      <w:bCs/>
      <w:color w:val="333333"/>
      <w:sz w:val="27"/>
      <w:szCs w:val="27"/>
    </w:rPr>
  </w:style>
  <w:style w:type="character" w:customStyle="1" w:styleId="153">
    <w:name w:val="未处理的提及1"/>
    <w:basedOn w:val="39"/>
    <w:semiHidden/>
    <w:unhideWhenUsed/>
    <w:qFormat/>
    <w:uiPriority w:val="99"/>
    <w:rPr>
      <w:color w:val="605E5C"/>
      <w:shd w:val="clear" w:color="auto" w:fill="E1DFDD"/>
    </w:rPr>
  </w:style>
  <w:style w:type="character" w:customStyle="1" w:styleId="154">
    <w:name w:val="xdrichtextbox2"/>
    <w:basedOn w:val="3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1578</Words>
  <Characters>9000</Characters>
  <Lines>75</Lines>
  <Paragraphs>21</Paragraphs>
  <TotalTime>1</TotalTime>
  <ScaleCrop>false</ScaleCrop>
  <LinksUpToDate>false</LinksUpToDate>
  <CharactersWithSpaces>10557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2019-08-09T07:37:00Z</dcterms:created>
  <dc:creator>gnao zc</dc:creator>
  <cp:lastModifiedBy>悠悠</cp:lastModifiedBy>
  <cp:lastPrinted>2020-06-15T02:40:00Z</cp:lastPrinted>
  <dcterms:modified xsi:type="dcterms:W3CDTF">2020-06-17T02:33:41Z</dcterms:modified>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