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b/>
          <w:sz w:val="52"/>
          <w:szCs w:val="52"/>
        </w:rPr>
      </w:pPr>
      <w:r>
        <w:rPr>
          <w:rFonts w:hint="eastAsia" w:ascii="方正小标宋简体" w:eastAsia="方正小标宋简体"/>
          <w:b/>
          <w:sz w:val="52"/>
          <w:szCs w:val="52"/>
        </w:rPr>
        <w:t>南沙湿地二期导视系统</w:t>
      </w:r>
    </w:p>
    <w:p>
      <w:pPr>
        <w:jc w:val="center"/>
        <w:rPr>
          <w:rFonts w:hint="eastAsia" w:ascii="方正小标宋简体" w:eastAsia="方正小标宋简体"/>
          <w:b/>
          <w:sz w:val="52"/>
          <w:szCs w:val="52"/>
        </w:rPr>
      </w:pPr>
      <w:r>
        <w:rPr>
          <w:rFonts w:hint="eastAsia" w:ascii="方正小标宋简体" w:eastAsia="方正小标宋简体"/>
          <w:b/>
          <w:sz w:val="52"/>
          <w:szCs w:val="52"/>
        </w:rPr>
        <w:t>采购及安装项目</w:t>
      </w:r>
    </w:p>
    <w:p>
      <w:pPr>
        <w:jc w:val="center"/>
        <w:rPr>
          <w:rFonts w:hint="eastAsia" w:ascii="方正小标宋简体" w:eastAsia="方正小标宋简体"/>
          <w:b/>
          <w:sz w:val="44"/>
          <w:szCs w:val="44"/>
        </w:rPr>
      </w:pPr>
    </w:p>
    <w:p>
      <w:pPr>
        <w:jc w:val="center"/>
        <w:rPr>
          <w:rFonts w:hint="eastAsia" w:ascii="方正小标宋简体" w:eastAsia="方正小标宋简体"/>
          <w:b/>
          <w:sz w:val="44"/>
          <w:szCs w:val="44"/>
        </w:rPr>
      </w:pPr>
    </w:p>
    <w:p>
      <w:pPr>
        <w:jc w:val="center"/>
        <w:rPr>
          <w:rFonts w:hint="eastAsia" w:ascii="方正小标宋简体" w:eastAsia="方正小标宋简体"/>
          <w:b/>
          <w:sz w:val="84"/>
          <w:szCs w:val="84"/>
        </w:rPr>
      </w:pPr>
      <w:r>
        <w:rPr>
          <w:rFonts w:hint="eastAsia" w:ascii="方正小标宋简体" w:eastAsia="方正小标宋简体"/>
          <w:b/>
          <w:sz w:val="84"/>
          <w:szCs w:val="84"/>
        </w:rPr>
        <w:t>邀标文件</w:t>
      </w:r>
      <w:bookmarkStart w:id="0" w:name="_GoBack"/>
      <w:bookmarkEnd w:id="0"/>
    </w:p>
    <w:p>
      <w:pPr>
        <w:jc w:val="center"/>
        <w:rPr>
          <w:rFonts w:hint="eastAsia" w:ascii="方正小标宋简体" w:eastAsia="方正小标宋简体"/>
          <w:b/>
          <w:sz w:val="84"/>
          <w:szCs w:val="84"/>
        </w:rPr>
      </w:pPr>
    </w:p>
    <w:p>
      <w:pPr>
        <w:jc w:val="center"/>
        <w:rPr>
          <w:rFonts w:hint="eastAsia" w:ascii="方正小标宋简体" w:eastAsia="方正小标宋简体"/>
          <w:b/>
          <w:sz w:val="84"/>
          <w:szCs w:val="84"/>
        </w:rPr>
      </w:pPr>
    </w:p>
    <w:p>
      <w:pPr>
        <w:jc w:val="center"/>
        <w:rPr>
          <w:rFonts w:hint="eastAsia" w:ascii="方正小标宋简体" w:eastAsia="方正小标宋简体"/>
          <w:b/>
          <w:sz w:val="84"/>
          <w:szCs w:val="84"/>
        </w:rPr>
      </w:pPr>
    </w:p>
    <w:p>
      <w:pPr>
        <w:jc w:val="center"/>
        <w:rPr>
          <w:rFonts w:hint="eastAsia" w:ascii="方正小标宋简体" w:eastAsia="方正小标宋简体"/>
          <w:b/>
          <w:sz w:val="84"/>
          <w:szCs w:val="84"/>
        </w:rPr>
      </w:pPr>
    </w:p>
    <w:p>
      <w:pPr>
        <w:jc w:val="center"/>
        <w:rPr>
          <w:rFonts w:hint="eastAsia" w:ascii="仿宋_GB2312" w:eastAsia="仿宋_GB2312"/>
          <w:sz w:val="32"/>
          <w:szCs w:val="32"/>
        </w:rPr>
      </w:pPr>
      <w:r>
        <w:rPr>
          <w:rFonts w:hint="eastAsia" w:ascii="仿宋_GB2312" w:eastAsia="仿宋_GB2312"/>
          <w:sz w:val="32"/>
          <w:szCs w:val="32"/>
        </w:rPr>
        <w:t>招标人：广州南沙湿地旅游发展有限公司</w:t>
      </w:r>
    </w:p>
    <w:p>
      <w:pPr>
        <w:jc w:val="center"/>
        <w:rPr>
          <w:rFonts w:hint="eastAsia" w:ascii="仿宋_GB2312" w:eastAsia="仿宋_GB2312"/>
          <w:sz w:val="32"/>
          <w:szCs w:val="32"/>
        </w:rPr>
      </w:pPr>
      <w:r>
        <w:rPr>
          <w:rFonts w:hint="eastAsia" w:ascii="仿宋_GB2312" w:eastAsia="仿宋_GB2312"/>
          <w:sz w:val="32"/>
          <w:szCs w:val="32"/>
        </w:rPr>
        <w:t>2020年8月</w:t>
      </w:r>
    </w:p>
    <w:p>
      <w:pPr>
        <w:jc w:val="center"/>
        <w:rPr>
          <w:rFonts w:hint="eastAsia" w:ascii="仿宋_GB2312" w:eastAsia="仿宋_GB2312"/>
          <w:sz w:val="32"/>
          <w:szCs w:val="32"/>
        </w:rPr>
      </w:pPr>
    </w:p>
    <w:p>
      <w:pPr>
        <w:jc w:val="center"/>
        <w:rPr>
          <w:rFonts w:hint="eastAsia" w:ascii="仿宋_GB2312" w:eastAsia="仿宋_GB2312"/>
          <w:sz w:val="32"/>
          <w:szCs w:val="32"/>
        </w:rPr>
      </w:pPr>
    </w:p>
    <w:p>
      <w:pPr>
        <w:spacing w:line="360" w:lineRule="auto"/>
        <w:rPr>
          <w:rFonts w:hint="eastAsia" w:ascii="仿宋_GB2312" w:eastAsia="仿宋_GB2312"/>
          <w:b/>
          <w:sz w:val="32"/>
          <w:szCs w:val="32"/>
        </w:rPr>
      </w:pPr>
    </w:p>
    <w:p>
      <w:pPr>
        <w:spacing w:line="360" w:lineRule="auto"/>
        <w:rPr>
          <w:rFonts w:hint="eastAsia" w:ascii="仿宋_GB2312" w:eastAsia="仿宋_GB2312"/>
          <w:b/>
          <w:sz w:val="32"/>
          <w:szCs w:val="32"/>
        </w:rPr>
      </w:pPr>
    </w:p>
    <w:p>
      <w:pPr>
        <w:spacing w:line="360" w:lineRule="auto"/>
        <w:rPr>
          <w:rFonts w:hint="eastAsia" w:ascii="仿宋_GB2312" w:eastAsia="仿宋_GB2312"/>
          <w:b/>
          <w:sz w:val="32"/>
          <w:szCs w:val="32"/>
        </w:rPr>
      </w:pPr>
    </w:p>
    <w:p>
      <w:pPr>
        <w:spacing w:line="360" w:lineRule="auto"/>
        <w:rPr>
          <w:rFonts w:hint="eastAsia" w:ascii="仿宋_GB2312" w:eastAsia="仿宋_GB2312"/>
          <w:b/>
          <w:sz w:val="28"/>
          <w:szCs w:val="28"/>
        </w:rPr>
      </w:pPr>
      <w:r>
        <w:rPr>
          <w:rFonts w:hint="eastAsia" w:ascii="仿宋_GB2312" w:eastAsia="仿宋_GB2312"/>
          <w:b/>
          <w:sz w:val="28"/>
          <w:szCs w:val="28"/>
        </w:rPr>
        <w:t>一、项目概述</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为促进国有企业保值增值，激活存量资产，丰富景区体验，将湿地二期升级成为旅游度假体验园，引入新项目，实现“一期看鸟，二期体验”功能，开展形式多样、丰富生动的旅游体验活动，于10月1日前完成二期开放，打造南沙区南部旅游板块“一区三园”旅游品牌。</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为配合湿地二期旅游度假体验园10月1日开园工作，为更好的服务于游客,提高游客入园的体验感和满意度,拟委托专业旅游机构对湿地二期导视系统进行规划，设计制作基础导视系统，方便游客来到景区后,起到介绍景区及引导正确游览的功能。</w:t>
      </w:r>
    </w:p>
    <w:p>
      <w:pPr>
        <w:spacing w:line="360" w:lineRule="auto"/>
        <w:rPr>
          <w:rFonts w:hint="eastAsia" w:ascii="仿宋_GB2312" w:eastAsia="仿宋_GB2312"/>
          <w:b/>
          <w:sz w:val="28"/>
          <w:szCs w:val="28"/>
        </w:rPr>
      </w:pPr>
      <w:r>
        <w:rPr>
          <w:rFonts w:hint="eastAsia" w:ascii="仿宋_GB2312" w:eastAsia="仿宋_GB2312"/>
          <w:b/>
          <w:sz w:val="28"/>
          <w:szCs w:val="28"/>
        </w:rPr>
        <w:t>二、招标项目名称</w:t>
      </w:r>
    </w:p>
    <w:p>
      <w:pPr>
        <w:widowControl/>
        <w:spacing w:line="360" w:lineRule="auto"/>
        <w:ind w:left="525" w:leftChars="200" w:hanging="105" w:hangingChars="50"/>
        <w:jc w:val="left"/>
        <w:rPr>
          <w:rFonts w:hint="eastAsia" w:ascii="宋体" w:hAnsi="宋体" w:cs="宋体"/>
          <w:kern w:val="0"/>
          <w:szCs w:val="21"/>
        </w:rPr>
      </w:pPr>
      <w:r>
        <w:rPr>
          <w:rFonts w:hint="eastAsia" w:ascii="宋体" w:hAnsi="宋体" w:cs="宋体"/>
          <w:kern w:val="0"/>
          <w:szCs w:val="21"/>
        </w:rPr>
        <w:t>南沙湿地二期导视系统</w:t>
      </w:r>
      <w:r>
        <w:rPr>
          <w:rFonts w:hint="eastAsia" w:ascii="宋体" w:hAnsi="宋体" w:cs="宋体"/>
          <w:kern w:val="0"/>
          <w:szCs w:val="21"/>
          <w:lang w:eastAsia="zh-CN"/>
        </w:rPr>
        <w:t>采购及安装</w:t>
      </w:r>
      <w:r>
        <w:rPr>
          <w:rFonts w:hint="eastAsia" w:ascii="宋体" w:hAnsi="宋体" w:cs="宋体"/>
          <w:kern w:val="0"/>
          <w:szCs w:val="21"/>
        </w:rPr>
        <w:t>项目</w:t>
      </w:r>
    </w:p>
    <w:p>
      <w:pPr>
        <w:spacing w:line="360" w:lineRule="auto"/>
        <w:rPr>
          <w:rFonts w:hint="eastAsia" w:ascii="仿宋_GB2312" w:eastAsia="仿宋_GB2312"/>
          <w:b/>
          <w:sz w:val="28"/>
          <w:szCs w:val="28"/>
        </w:rPr>
      </w:pPr>
      <w:r>
        <w:rPr>
          <w:rFonts w:hint="eastAsia" w:ascii="仿宋_GB2312" w:eastAsia="仿宋_GB2312"/>
          <w:b/>
          <w:sz w:val="28"/>
          <w:szCs w:val="28"/>
        </w:rPr>
        <w:t>三、项目工期：35天</w:t>
      </w:r>
    </w:p>
    <w:p>
      <w:pPr>
        <w:spacing w:line="360" w:lineRule="auto"/>
        <w:rPr>
          <w:rFonts w:hint="eastAsia" w:ascii="仿宋_GB2312" w:eastAsia="仿宋_GB2312"/>
          <w:b/>
          <w:sz w:val="28"/>
          <w:szCs w:val="28"/>
        </w:rPr>
      </w:pPr>
      <w:r>
        <w:rPr>
          <w:rFonts w:hint="eastAsia" w:ascii="仿宋_GB2312" w:eastAsia="仿宋_GB2312"/>
          <w:b/>
          <w:sz w:val="28"/>
          <w:szCs w:val="28"/>
        </w:rPr>
        <w:t>四、投标单位应具备的条件</w:t>
      </w:r>
    </w:p>
    <w:p>
      <w:pPr>
        <w:widowControl/>
        <w:spacing w:line="360" w:lineRule="auto"/>
        <w:ind w:firstLine="315" w:firstLineChars="150"/>
        <w:jc w:val="left"/>
        <w:rPr>
          <w:rFonts w:hint="eastAsia" w:ascii="宋体" w:hAnsi="宋体" w:cs="宋体"/>
          <w:kern w:val="0"/>
          <w:szCs w:val="21"/>
        </w:rPr>
      </w:pPr>
      <w:r>
        <w:rPr>
          <w:rFonts w:hint="eastAsia" w:ascii="宋体" w:hAnsi="宋体" w:cs="宋体"/>
          <w:kern w:val="0"/>
          <w:szCs w:val="21"/>
        </w:rPr>
        <w:t>（一）投标单位必须符合《中华人民共和国政府采购法》第二十二条之规定；</w:t>
      </w:r>
    </w:p>
    <w:p>
      <w:pPr>
        <w:widowControl/>
        <w:spacing w:line="360" w:lineRule="auto"/>
        <w:ind w:left="525" w:leftChars="150" w:hanging="210" w:hangingChars="100"/>
        <w:jc w:val="left"/>
        <w:rPr>
          <w:rFonts w:hint="eastAsia" w:ascii="宋体" w:hAnsi="宋体" w:cs="宋体"/>
          <w:kern w:val="0"/>
          <w:szCs w:val="21"/>
        </w:rPr>
      </w:pPr>
      <w:r>
        <w:rPr>
          <w:rFonts w:hint="eastAsia" w:ascii="宋体" w:hAnsi="宋体" w:cs="宋体"/>
          <w:kern w:val="0"/>
          <w:szCs w:val="21"/>
        </w:rPr>
        <w:t>（二）投标单位必须是具有独立法人资格，并且有相应的资格和履约能力、资金财务状况良好、具有良好的资信状况的国内企业法人，在法律和财务上独立，合法运作并独立于招标机构和采购人的供应商才能参加投标；</w:t>
      </w:r>
    </w:p>
    <w:p>
      <w:pPr>
        <w:widowControl/>
        <w:spacing w:line="360" w:lineRule="auto"/>
        <w:jc w:val="left"/>
        <w:rPr>
          <w:rFonts w:hint="eastAsia" w:ascii="宋体" w:hAnsi="宋体" w:cs="宋体"/>
          <w:kern w:val="0"/>
          <w:szCs w:val="21"/>
        </w:rPr>
      </w:pPr>
      <w:r>
        <w:rPr>
          <w:rFonts w:hint="eastAsia" w:ascii="宋体" w:hAnsi="宋体" w:cs="宋体"/>
          <w:kern w:val="0"/>
          <w:szCs w:val="21"/>
        </w:rPr>
        <w:t xml:space="preserve">   （三）</w:t>
      </w:r>
      <w:r>
        <w:rPr>
          <w:rFonts w:hint="eastAsia" w:ascii="宋体" w:hAnsi="宋体"/>
          <w:szCs w:val="21"/>
        </w:rPr>
        <w:t>投标人的营业执照应包含有展览或广告、装修、装饰、标识板制作的任意一项的经营范围。且投标人须在广州市内注册登记或具有注册的分支机构。</w:t>
      </w:r>
    </w:p>
    <w:p>
      <w:pPr>
        <w:widowControl/>
        <w:spacing w:line="360" w:lineRule="auto"/>
        <w:ind w:firstLine="315" w:firstLineChars="150"/>
        <w:jc w:val="left"/>
        <w:rPr>
          <w:rFonts w:hint="eastAsia" w:ascii="宋体" w:hAnsi="宋体" w:cs="宋体"/>
          <w:kern w:val="0"/>
          <w:szCs w:val="21"/>
        </w:rPr>
      </w:pPr>
      <w:r>
        <w:rPr>
          <w:rFonts w:hint="eastAsia" w:ascii="宋体" w:hAnsi="宋体" w:cs="宋体"/>
          <w:kern w:val="0"/>
          <w:szCs w:val="21"/>
        </w:rPr>
        <w:t>（四）不接受联合体方式投标。</w:t>
      </w:r>
    </w:p>
    <w:p>
      <w:pPr>
        <w:spacing w:line="360" w:lineRule="auto"/>
        <w:rPr>
          <w:rFonts w:hint="eastAsia" w:ascii="仿宋_GB2312" w:eastAsia="仿宋_GB2312"/>
          <w:b/>
          <w:sz w:val="32"/>
          <w:szCs w:val="32"/>
        </w:rPr>
      </w:pPr>
      <w:r>
        <w:rPr>
          <w:rFonts w:hint="eastAsia" w:ascii="仿宋_GB2312" w:eastAsia="仿宋_GB2312"/>
          <w:b/>
          <w:sz w:val="28"/>
          <w:szCs w:val="28"/>
        </w:rPr>
        <w:t>五、发布公告时间：</w:t>
      </w:r>
      <w:r>
        <w:rPr>
          <w:rFonts w:hint="eastAsia" w:ascii="宋体" w:hAnsi="宋体" w:cs="宋体"/>
          <w:kern w:val="0"/>
          <w:szCs w:val="21"/>
        </w:rPr>
        <w:t xml:space="preserve">2020年8月 </w:t>
      </w:r>
      <w:r>
        <w:rPr>
          <w:rFonts w:hint="eastAsia" w:ascii="宋体" w:hAnsi="宋体" w:cs="宋体"/>
          <w:kern w:val="0"/>
          <w:szCs w:val="21"/>
          <w:lang w:val="en-US" w:eastAsia="zh-CN"/>
        </w:rPr>
        <w:t>10</w:t>
      </w:r>
      <w:r>
        <w:rPr>
          <w:rFonts w:hint="eastAsia" w:ascii="宋体" w:hAnsi="宋体" w:cs="宋体"/>
          <w:kern w:val="0"/>
          <w:szCs w:val="21"/>
        </w:rPr>
        <w:t xml:space="preserve"> 日至2020年8月</w:t>
      </w:r>
      <w:r>
        <w:rPr>
          <w:rFonts w:hint="eastAsia" w:ascii="宋体" w:hAnsi="宋体" w:cs="宋体"/>
          <w:kern w:val="0"/>
          <w:szCs w:val="21"/>
          <w:lang w:val="en-US" w:eastAsia="zh-CN"/>
        </w:rPr>
        <w:t>17</w:t>
      </w:r>
      <w:r>
        <w:rPr>
          <w:rFonts w:hint="eastAsia" w:ascii="宋体" w:hAnsi="宋体" w:cs="宋体"/>
          <w:kern w:val="0"/>
          <w:szCs w:val="21"/>
        </w:rPr>
        <w:t>日</w:t>
      </w:r>
    </w:p>
    <w:p>
      <w:pPr>
        <w:spacing w:line="360" w:lineRule="auto"/>
        <w:rPr>
          <w:rFonts w:hint="eastAsia" w:ascii="仿宋_GB2312" w:eastAsia="仿宋_GB2312"/>
          <w:b/>
          <w:sz w:val="28"/>
          <w:szCs w:val="28"/>
        </w:rPr>
      </w:pPr>
      <w:r>
        <w:rPr>
          <w:rFonts w:hint="eastAsia" w:ascii="仿宋_GB2312" w:eastAsia="仿宋_GB2312"/>
          <w:b/>
          <w:sz w:val="28"/>
          <w:szCs w:val="28"/>
        </w:rPr>
        <w:t>六、递交投标文件时间与开标时间：</w:t>
      </w:r>
    </w:p>
    <w:p>
      <w:pPr>
        <w:spacing w:line="360" w:lineRule="auto"/>
        <w:ind w:firstLine="315" w:firstLineChars="150"/>
        <w:rPr>
          <w:rFonts w:hint="eastAsia" w:ascii="宋体" w:hAnsi="宋体" w:cs="宋体"/>
          <w:kern w:val="0"/>
          <w:szCs w:val="21"/>
        </w:rPr>
      </w:pPr>
      <w:r>
        <w:rPr>
          <w:rFonts w:hint="eastAsia" w:ascii="宋体" w:hAnsi="宋体" w:cs="宋体"/>
          <w:kern w:val="0"/>
          <w:szCs w:val="21"/>
        </w:rPr>
        <w:t>（一）交标地点：</w:t>
      </w:r>
    </w:p>
    <w:p>
      <w:pPr>
        <w:spacing w:line="360" w:lineRule="auto"/>
        <w:ind w:firstLine="315" w:firstLineChars="150"/>
        <w:rPr>
          <w:rFonts w:hint="eastAsia" w:ascii="宋体" w:hAnsi="宋体" w:cs="宋体"/>
          <w:kern w:val="0"/>
          <w:szCs w:val="21"/>
        </w:rPr>
      </w:pPr>
      <w:r>
        <w:rPr>
          <w:rFonts w:hint="eastAsia" w:ascii="宋体" w:hAnsi="宋体" w:cs="宋体"/>
          <w:kern w:val="0"/>
          <w:szCs w:val="21"/>
        </w:rPr>
        <w:t xml:space="preserve">     交标时间：2020年8月</w:t>
      </w:r>
      <w:r>
        <w:rPr>
          <w:rFonts w:hint="eastAsia" w:ascii="宋体" w:hAnsi="宋体" w:cs="宋体"/>
          <w:kern w:val="0"/>
          <w:szCs w:val="21"/>
          <w:lang w:val="en-US" w:eastAsia="zh-CN"/>
        </w:rPr>
        <w:t>17</w:t>
      </w:r>
      <w:r>
        <w:rPr>
          <w:rFonts w:hint="eastAsia" w:ascii="宋体" w:hAnsi="宋体" w:cs="宋体"/>
          <w:kern w:val="0"/>
          <w:szCs w:val="21"/>
        </w:rPr>
        <w:t>日</w:t>
      </w:r>
      <w:r>
        <w:rPr>
          <w:rFonts w:hint="eastAsia" w:ascii="宋体" w:hAnsi="宋体" w:cs="宋体"/>
          <w:kern w:val="0"/>
          <w:szCs w:val="21"/>
          <w:lang w:val="en-US" w:eastAsia="zh-CN"/>
        </w:rPr>
        <w:t>14</w:t>
      </w:r>
      <w:r>
        <w:rPr>
          <w:rFonts w:hint="eastAsia" w:ascii="宋体" w:hAnsi="宋体" w:cs="宋体"/>
          <w:kern w:val="0"/>
          <w:szCs w:val="21"/>
        </w:rPr>
        <w:t>时</w:t>
      </w:r>
      <w:r>
        <w:rPr>
          <w:rFonts w:hint="eastAsia" w:ascii="宋体" w:hAnsi="宋体" w:cs="宋体"/>
          <w:kern w:val="0"/>
          <w:szCs w:val="21"/>
          <w:lang w:val="en-US" w:eastAsia="zh-CN"/>
        </w:rPr>
        <w:t>3</w:t>
      </w:r>
      <w:r>
        <w:rPr>
          <w:rFonts w:hint="eastAsia" w:ascii="宋体" w:hAnsi="宋体" w:cs="宋体"/>
          <w:kern w:val="0"/>
          <w:szCs w:val="21"/>
        </w:rPr>
        <w:t>0分截止</w:t>
      </w:r>
    </w:p>
    <w:p>
      <w:pPr>
        <w:pStyle w:val="2"/>
        <w:ind w:firstLine="420" w:firstLineChars="200"/>
        <w:rPr>
          <w:rFonts w:hint="eastAsia" w:eastAsia="宋体"/>
          <w:lang w:val="en-US" w:eastAsia="zh-CN"/>
        </w:rPr>
      </w:pPr>
      <w:r>
        <w:rPr>
          <w:rFonts w:hint="eastAsia" w:ascii="宋体" w:hAnsi="宋体" w:cs="宋体"/>
          <w:kern w:val="0"/>
          <w:szCs w:val="21"/>
          <w:lang w:val="en-US" w:eastAsia="zh-CN"/>
        </w:rPr>
        <w:t xml:space="preserve">    交标地点：</w:t>
      </w:r>
      <w:r>
        <w:rPr>
          <w:rFonts w:hint="eastAsia" w:ascii="宋体" w:hAnsi="宋体" w:eastAsia="宋体" w:cs="宋体"/>
          <w:kern w:val="0"/>
          <w:sz w:val="21"/>
          <w:szCs w:val="21"/>
          <w:lang w:val="en-US" w:eastAsia="zh-CN"/>
        </w:rPr>
        <w:t>南沙金融大厦18楼1807室,地址：广州市南沙区海滨路171号。</w:t>
      </w:r>
    </w:p>
    <w:p>
      <w:pPr>
        <w:spacing w:line="360" w:lineRule="auto"/>
        <w:ind w:firstLine="315" w:firstLineChars="150"/>
        <w:rPr>
          <w:rFonts w:hint="eastAsia" w:ascii="宋体" w:hAnsi="宋体" w:cs="宋体"/>
          <w:kern w:val="0"/>
          <w:szCs w:val="21"/>
        </w:rPr>
      </w:pPr>
      <w:r>
        <w:rPr>
          <w:rFonts w:hint="eastAsia" w:ascii="宋体" w:hAnsi="宋体" w:cs="宋体"/>
          <w:kern w:val="0"/>
          <w:szCs w:val="21"/>
        </w:rPr>
        <w:t xml:space="preserve">     投标文件递交联系人：</w:t>
      </w:r>
      <w:r>
        <w:rPr>
          <w:rFonts w:hint="eastAsia" w:ascii="宋体" w:hAnsi="宋体" w:cs="宋体"/>
          <w:kern w:val="0"/>
          <w:sz w:val="21"/>
          <w:szCs w:val="21"/>
        </w:rPr>
        <w:t>李芊誉</w:t>
      </w:r>
      <w:r>
        <w:rPr>
          <w:rFonts w:hint="eastAsia" w:ascii="宋体" w:hAnsi="宋体" w:cs="宋体"/>
          <w:kern w:val="0"/>
          <w:szCs w:val="21"/>
        </w:rPr>
        <w:t>，电话：</w:t>
      </w:r>
      <w:r>
        <w:rPr>
          <w:rFonts w:hint="eastAsia" w:ascii="宋体" w:hAnsi="宋体" w:cs="宋体"/>
          <w:kern w:val="0"/>
          <w:sz w:val="21"/>
          <w:szCs w:val="21"/>
        </w:rPr>
        <w:t>13068812822</w:t>
      </w:r>
    </w:p>
    <w:p>
      <w:pPr>
        <w:spacing w:line="360" w:lineRule="auto"/>
        <w:ind w:firstLine="315" w:firstLineChars="150"/>
        <w:rPr>
          <w:rFonts w:hint="eastAsia" w:ascii="宋体" w:hAnsi="宋体" w:cs="宋体"/>
          <w:kern w:val="0"/>
          <w:szCs w:val="21"/>
        </w:rPr>
      </w:pPr>
      <w:r>
        <w:rPr>
          <w:rFonts w:hint="eastAsia" w:ascii="宋体" w:hAnsi="宋体" w:cs="宋体"/>
          <w:kern w:val="0"/>
          <w:szCs w:val="21"/>
        </w:rPr>
        <w:t xml:space="preserve">     招标事宜咨询人： </w:t>
      </w:r>
      <w:r>
        <w:rPr>
          <w:rFonts w:hint="eastAsia" w:ascii="宋体" w:hAnsi="宋体" w:cs="宋体"/>
          <w:kern w:val="0"/>
          <w:sz w:val="21"/>
          <w:szCs w:val="21"/>
        </w:rPr>
        <w:t>林沛</w:t>
      </w:r>
      <w:r>
        <w:rPr>
          <w:rFonts w:hint="eastAsia" w:ascii="宋体" w:hAnsi="宋体" w:cs="宋体"/>
          <w:kern w:val="0"/>
          <w:szCs w:val="21"/>
        </w:rPr>
        <w:t>，电话：</w:t>
      </w:r>
      <w:r>
        <w:rPr>
          <w:rFonts w:hint="eastAsia" w:ascii="宋体" w:hAnsi="宋体" w:cs="宋体"/>
          <w:kern w:val="0"/>
          <w:sz w:val="21"/>
          <w:szCs w:val="21"/>
        </w:rPr>
        <w:t>15914322172</w:t>
      </w:r>
    </w:p>
    <w:p>
      <w:pPr>
        <w:pStyle w:val="2"/>
        <w:ind w:firstLine="420" w:firstLineChars="200"/>
        <w:rPr>
          <w:rFonts w:hint="eastAsia" w:ascii="宋体" w:hAnsi="宋体" w:cs="宋体"/>
          <w:kern w:val="0"/>
          <w:szCs w:val="21"/>
          <w:lang w:eastAsia="zh-CN"/>
        </w:rPr>
      </w:pPr>
      <w:r>
        <w:rPr>
          <w:rFonts w:hint="eastAsia" w:ascii="宋体" w:hAnsi="宋体" w:cs="宋体"/>
          <w:kern w:val="0"/>
          <w:szCs w:val="21"/>
        </w:rPr>
        <w:t>（二）开标时间：2020年8月</w:t>
      </w:r>
      <w:r>
        <w:rPr>
          <w:rFonts w:hint="eastAsia" w:ascii="宋体" w:hAnsi="宋体" w:cs="宋体"/>
          <w:kern w:val="0"/>
          <w:szCs w:val="21"/>
          <w:lang w:val="en-US" w:eastAsia="zh-CN"/>
        </w:rPr>
        <w:t>17</w:t>
      </w:r>
      <w:r>
        <w:rPr>
          <w:rFonts w:hint="eastAsia" w:ascii="宋体" w:hAnsi="宋体" w:cs="宋体"/>
          <w:kern w:val="0"/>
          <w:szCs w:val="21"/>
        </w:rPr>
        <w:t>日</w:t>
      </w:r>
      <w:r>
        <w:rPr>
          <w:rFonts w:hint="eastAsia" w:ascii="宋体" w:hAnsi="宋体" w:cs="宋体"/>
          <w:kern w:val="0"/>
          <w:szCs w:val="21"/>
          <w:lang w:val="en-US" w:eastAsia="zh-CN"/>
        </w:rPr>
        <w:t>14</w:t>
      </w:r>
      <w:r>
        <w:rPr>
          <w:rFonts w:hint="eastAsia" w:ascii="宋体" w:hAnsi="宋体" w:cs="宋体"/>
          <w:kern w:val="0"/>
          <w:szCs w:val="21"/>
        </w:rPr>
        <w:t>时</w:t>
      </w:r>
      <w:r>
        <w:rPr>
          <w:rFonts w:hint="eastAsia" w:ascii="宋体" w:hAnsi="宋体" w:cs="宋体"/>
          <w:kern w:val="0"/>
          <w:szCs w:val="21"/>
          <w:lang w:val="en-US" w:eastAsia="zh-CN"/>
        </w:rPr>
        <w:t>30</w:t>
      </w:r>
      <w:r>
        <w:rPr>
          <w:rFonts w:hint="eastAsia" w:ascii="宋体" w:hAnsi="宋体" w:cs="宋体"/>
          <w:kern w:val="0"/>
          <w:szCs w:val="21"/>
        </w:rPr>
        <w:t>分；开标地点：</w:t>
      </w:r>
      <w:r>
        <w:rPr>
          <w:rFonts w:hint="eastAsia" w:ascii="宋体" w:hAnsi="宋体" w:cs="宋体"/>
          <w:kern w:val="0"/>
          <w:sz w:val="21"/>
          <w:szCs w:val="21"/>
          <w:lang w:val="en-US" w:eastAsia="zh-CN"/>
        </w:rPr>
        <w:t>南沙金融大厦18楼1807室,地址：广州市南沙区海滨路171号。</w:t>
      </w:r>
    </w:p>
    <w:p>
      <w:pPr>
        <w:ind w:firstLine="315" w:firstLineChars="150"/>
        <w:rPr>
          <w:rFonts w:hint="eastAsia" w:ascii="宋体" w:hAnsi="宋体" w:cs="宋体"/>
          <w:kern w:val="0"/>
          <w:szCs w:val="21"/>
        </w:rPr>
      </w:pPr>
    </w:p>
    <w:p>
      <w:pPr>
        <w:spacing w:line="360" w:lineRule="auto"/>
        <w:rPr>
          <w:rFonts w:hint="eastAsia" w:ascii="仿宋_GB2312" w:eastAsia="仿宋_GB2312"/>
          <w:b/>
          <w:sz w:val="28"/>
          <w:szCs w:val="28"/>
        </w:rPr>
      </w:pPr>
      <w:r>
        <w:rPr>
          <w:rFonts w:hint="eastAsia" w:ascii="仿宋_GB2312" w:eastAsia="仿宋_GB2312"/>
          <w:b/>
          <w:sz w:val="28"/>
          <w:szCs w:val="28"/>
        </w:rPr>
        <w:t>七、投标报价要求：</w:t>
      </w:r>
    </w:p>
    <w:p>
      <w:pPr>
        <w:spacing w:line="360" w:lineRule="auto"/>
        <w:ind w:firstLine="420" w:firstLineChars="200"/>
        <w:rPr>
          <w:rFonts w:hint="eastAsia" w:ascii="宋体" w:hAnsi="宋体"/>
          <w:szCs w:val="21"/>
        </w:rPr>
      </w:pPr>
      <w:r>
        <w:rPr>
          <w:rFonts w:hint="eastAsia" w:ascii="宋体" w:hAnsi="宋体"/>
          <w:szCs w:val="21"/>
        </w:rPr>
        <w:t>南沙湿地二期导视系统采购与安装项目采用清单项目综合单价包干方式计算。本项目报价内容包括：深化设计费、样品费、材料费、制作费、包装费、运输费、装卸费、安装费（包括埋地基础等）、保险、税金等所有和本项目相关费用。本项目最高报价为人民币20万元，高于此限价的投标报价为无效。</w:t>
      </w:r>
    </w:p>
    <w:p>
      <w:pPr>
        <w:spacing w:line="360" w:lineRule="auto"/>
        <w:rPr>
          <w:rFonts w:hint="eastAsia" w:ascii="仿宋_GB2312" w:eastAsia="仿宋_GB2312"/>
          <w:b/>
          <w:sz w:val="28"/>
          <w:szCs w:val="28"/>
        </w:rPr>
      </w:pPr>
      <w:r>
        <w:rPr>
          <w:rFonts w:hint="eastAsia" w:ascii="仿宋_GB2312" w:eastAsia="仿宋_GB2312"/>
          <w:b/>
          <w:sz w:val="28"/>
          <w:szCs w:val="28"/>
        </w:rPr>
        <w:t>八、投标人应当提交的资格证明文件：</w:t>
      </w:r>
    </w:p>
    <w:p>
      <w:pPr>
        <w:spacing w:line="360" w:lineRule="auto"/>
        <w:ind w:firstLine="420" w:firstLineChars="200"/>
        <w:rPr>
          <w:rFonts w:hint="eastAsia" w:ascii="宋体" w:hAnsi="宋体"/>
          <w:szCs w:val="21"/>
        </w:rPr>
      </w:pPr>
      <w:r>
        <w:rPr>
          <w:rFonts w:hint="eastAsia" w:ascii="宋体" w:hAnsi="宋体"/>
          <w:szCs w:val="21"/>
        </w:rPr>
        <w:t>投标文件一式肆份，一正叁副，电子版壹份，以正本为准。投标文件必需密封包装，加盖投标单位公章。投标单位法人或授权委托负责人应对投标文件的每页加盖公章。</w:t>
      </w:r>
    </w:p>
    <w:p>
      <w:pPr>
        <w:spacing w:line="360" w:lineRule="auto"/>
        <w:ind w:firstLine="420" w:firstLineChars="200"/>
        <w:rPr>
          <w:rFonts w:hint="eastAsia" w:ascii="宋体" w:hAnsi="宋体"/>
          <w:szCs w:val="21"/>
        </w:rPr>
      </w:pPr>
      <w:r>
        <w:rPr>
          <w:rFonts w:hint="eastAsia" w:ascii="宋体" w:hAnsi="宋体"/>
          <w:szCs w:val="21"/>
        </w:rPr>
        <w:t>（一）投标函（原件加盖公章）；</w:t>
      </w:r>
    </w:p>
    <w:p>
      <w:pPr>
        <w:spacing w:line="360" w:lineRule="auto"/>
        <w:ind w:firstLine="420" w:firstLineChars="200"/>
        <w:rPr>
          <w:rFonts w:hint="eastAsia" w:ascii="宋体" w:hAnsi="宋体"/>
          <w:szCs w:val="21"/>
        </w:rPr>
      </w:pPr>
      <w:r>
        <w:rPr>
          <w:rFonts w:hint="eastAsia" w:ascii="宋体" w:hAnsi="宋体"/>
          <w:szCs w:val="21"/>
        </w:rPr>
        <w:t>（二）投标人资格证明（原件加盖公章）投标人的营业执照应包含有展览或广告、装修、装饰、标识板制作的任意一项的经营范围。且投标人须在广州市内注册登记或具有注册的分支机构。</w:t>
      </w:r>
    </w:p>
    <w:p>
      <w:pPr>
        <w:spacing w:line="360" w:lineRule="auto"/>
        <w:ind w:firstLine="420" w:firstLineChars="200"/>
        <w:rPr>
          <w:rFonts w:hint="eastAsia" w:ascii="宋体" w:hAnsi="宋体"/>
          <w:szCs w:val="21"/>
        </w:rPr>
      </w:pPr>
      <w:r>
        <w:rPr>
          <w:rFonts w:hint="eastAsia" w:ascii="宋体" w:hAnsi="宋体"/>
          <w:szCs w:val="21"/>
        </w:rPr>
        <w:t>（三）被授权人参加投标的须提供企业法定代表人证明书、企业法定代表人授权书原件和被授权人身份证复印件（原件备查）；若企业法定代表人参加投标的须提供企业法定代表人证明书及其本人身份证复印件（原件备查）；</w:t>
      </w:r>
    </w:p>
    <w:p>
      <w:pPr>
        <w:spacing w:line="360" w:lineRule="auto"/>
        <w:ind w:firstLine="420" w:firstLineChars="200"/>
        <w:rPr>
          <w:rFonts w:hint="eastAsia" w:ascii="宋体" w:hAnsi="宋体"/>
          <w:szCs w:val="21"/>
        </w:rPr>
      </w:pPr>
      <w:r>
        <w:rPr>
          <w:rFonts w:hint="eastAsia" w:ascii="宋体" w:hAnsi="宋体"/>
          <w:szCs w:val="21"/>
        </w:rPr>
        <w:t>（四）营业执照复印件加盖公章；</w:t>
      </w:r>
    </w:p>
    <w:p>
      <w:pPr>
        <w:spacing w:line="360" w:lineRule="auto"/>
        <w:ind w:firstLine="420" w:firstLineChars="200"/>
        <w:rPr>
          <w:rFonts w:hint="eastAsia" w:ascii="宋体" w:hAnsi="宋体"/>
          <w:szCs w:val="21"/>
        </w:rPr>
      </w:pPr>
      <w:r>
        <w:rPr>
          <w:rFonts w:hint="eastAsia" w:ascii="宋体" w:hAnsi="宋体"/>
          <w:szCs w:val="21"/>
        </w:rPr>
        <w:t>（五）项目报价，依照本招标文件附件一：南沙湿地二期导视系统配置清单、材质及安装等费用进行报价；</w:t>
      </w:r>
    </w:p>
    <w:p>
      <w:pPr>
        <w:spacing w:line="360" w:lineRule="auto"/>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六</w:t>
      </w:r>
      <w:r>
        <w:rPr>
          <w:rFonts w:hint="eastAsia" w:ascii="宋体" w:hAnsi="宋体"/>
          <w:szCs w:val="21"/>
        </w:rPr>
        <w:t>）公共信息标识牌点位图、设计方案等（要求结合景区特色及景区logo对景区所需公共信息标识牌的设计图及安装效果图等）；</w:t>
      </w:r>
    </w:p>
    <w:p>
      <w:pPr>
        <w:spacing w:line="360" w:lineRule="auto"/>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七</w:t>
      </w:r>
      <w:r>
        <w:rPr>
          <w:rFonts w:hint="eastAsia" w:ascii="宋体" w:hAnsi="宋体"/>
          <w:szCs w:val="21"/>
        </w:rPr>
        <w:t>）产品售后服务方案及承诺（不限于第十二点质量服务保修要求）。</w:t>
      </w:r>
    </w:p>
    <w:p>
      <w:pPr>
        <w:spacing w:line="360" w:lineRule="auto"/>
        <w:rPr>
          <w:rFonts w:hint="eastAsia" w:ascii="仿宋_GB2312" w:eastAsia="仿宋_GB2312"/>
          <w:b/>
          <w:sz w:val="28"/>
          <w:szCs w:val="28"/>
        </w:rPr>
      </w:pPr>
      <w:r>
        <w:rPr>
          <w:rFonts w:hint="eastAsia" w:ascii="仿宋_GB2312" w:eastAsia="仿宋_GB2312"/>
          <w:b/>
          <w:sz w:val="28"/>
          <w:szCs w:val="28"/>
        </w:rPr>
        <w:t>九、质量技术要求</w:t>
      </w:r>
    </w:p>
    <w:p>
      <w:pPr>
        <w:spacing w:line="360" w:lineRule="auto"/>
        <w:ind w:firstLine="315" w:firstLineChars="150"/>
        <w:rPr>
          <w:rFonts w:hint="eastAsia" w:ascii="宋体" w:hAnsi="宋体"/>
          <w:szCs w:val="21"/>
        </w:rPr>
      </w:pPr>
      <w:r>
        <w:rPr>
          <w:rFonts w:hint="eastAsia" w:ascii="宋体" w:hAnsi="宋体"/>
          <w:szCs w:val="21"/>
        </w:rPr>
        <w:t>（一）投标人所设计的导视系统包括：公共信息标志、导向牌、平面图、警示标志必需严格符合《广州市公共信息标志标准化管理办法》、GB/T10001《标志用公共信息图形符号》、GB/T15566《公共信息导向系统 设置原则与要求》、GB/T20501《公共信息导向系统 要素的设计原则与要求》及地方标准DB44/T 603-2009公共标志英文译法规范等系列技术法规的设计规范等相关《广州市公共信息标志标准实施目录（第一批）》中的要求。</w:t>
      </w:r>
    </w:p>
    <w:p>
      <w:pPr>
        <w:spacing w:line="360" w:lineRule="auto"/>
        <w:ind w:firstLine="315" w:firstLineChars="150"/>
        <w:rPr>
          <w:rFonts w:hint="eastAsia" w:ascii="宋体" w:hAnsi="宋体"/>
          <w:szCs w:val="21"/>
        </w:rPr>
      </w:pPr>
      <w:r>
        <w:rPr>
          <w:rFonts w:hint="eastAsia" w:ascii="宋体" w:hAnsi="宋体"/>
          <w:szCs w:val="21"/>
        </w:rPr>
        <w:t>（二）</w:t>
      </w:r>
      <w:r>
        <w:rPr>
          <w:rFonts w:ascii="宋体" w:hAnsi="宋体"/>
          <w:szCs w:val="21"/>
        </w:rPr>
        <w:t>投标人应严格按照投标人深化设计并经招标人批准的图纸要求进行制作和安装，图纸不明确</w:t>
      </w:r>
      <w:r>
        <w:rPr>
          <w:rFonts w:hint="eastAsia" w:ascii="宋体" w:hAnsi="宋体"/>
          <w:szCs w:val="21"/>
        </w:rPr>
        <w:t>、</w:t>
      </w:r>
      <w:r>
        <w:rPr>
          <w:rFonts w:ascii="宋体" w:hAnsi="宋体"/>
          <w:szCs w:val="21"/>
        </w:rPr>
        <w:t>含糊或不完整的，投标人提供补充方案或设计，经招标人批准后方可实施。</w:t>
      </w:r>
    </w:p>
    <w:p>
      <w:pPr>
        <w:spacing w:line="360" w:lineRule="auto"/>
        <w:ind w:firstLine="315" w:firstLineChars="150"/>
        <w:rPr>
          <w:rFonts w:hint="eastAsia" w:ascii="宋体" w:hAnsi="宋体"/>
          <w:szCs w:val="21"/>
        </w:rPr>
      </w:pPr>
      <w:r>
        <w:rPr>
          <w:rFonts w:hint="eastAsia" w:ascii="宋体" w:hAnsi="宋体"/>
          <w:szCs w:val="21"/>
        </w:rPr>
        <w:t>（三）</w:t>
      </w:r>
      <w:r>
        <w:rPr>
          <w:rFonts w:ascii="宋体" w:hAnsi="宋体"/>
          <w:szCs w:val="21"/>
        </w:rPr>
        <w:t xml:space="preserve">投标人的深化设计及产品制作安装后的尺寸比例、外观效果应与平面效果图相符，招标人对投标人深化设计的审核是概略性的，不能免除投标人对其设计合理性应承担的责任。 </w:t>
      </w:r>
    </w:p>
    <w:p>
      <w:pPr>
        <w:spacing w:line="360" w:lineRule="auto"/>
        <w:ind w:left="630" w:leftChars="150" w:hanging="315" w:hangingChars="150"/>
        <w:rPr>
          <w:rFonts w:hint="eastAsia" w:ascii="宋体" w:hAnsi="宋体"/>
          <w:szCs w:val="21"/>
        </w:rPr>
      </w:pPr>
      <w:r>
        <w:rPr>
          <w:rFonts w:hint="eastAsia" w:ascii="宋体" w:hAnsi="宋体"/>
          <w:szCs w:val="21"/>
        </w:rPr>
        <w:t>（四）</w:t>
      </w:r>
      <w:r>
        <w:rPr>
          <w:rFonts w:ascii="宋体" w:hAnsi="宋体"/>
          <w:szCs w:val="21"/>
        </w:rPr>
        <w:t>成批产品批量制作安装前，投标人应先制作安装单个产品供招标人确认。</w:t>
      </w:r>
    </w:p>
    <w:p>
      <w:pPr>
        <w:spacing w:line="360" w:lineRule="auto"/>
        <w:rPr>
          <w:rFonts w:hint="eastAsia" w:ascii="仿宋_GB2312" w:eastAsia="仿宋_GB2312"/>
          <w:b/>
          <w:sz w:val="28"/>
          <w:szCs w:val="28"/>
        </w:rPr>
      </w:pPr>
      <w:r>
        <w:rPr>
          <w:rFonts w:hint="eastAsia" w:ascii="仿宋_GB2312" w:eastAsia="仿宋_GB2312"/>
          <w:b/>
          <w:sz w:val="28"/>
          <w:szCs w:val="28"/>
        </w:rPr>
        <w:t>十、评标办法：</w:t>
      </w:r>
    </w:p>
    <w:p>
      <w:pPr>
        <w:spacing w:line="360" w:lineRule="auto"/>
        <w:ind w:firstLine="315" w:firstLineChars="150"/>
        <w:rPr>
          <w:rFonts w:hint="eastAsia" w:ascii="宋体" w:hAnsi="宋体"/>
          <w:szCs w:val="21"/>
        </w:rPr>
      </w:pPr>
      <w:r>
        <w:rPr>
          <w:rFonts w:hint="eastAsia" w:ascii="宋体" w:hAnsi="宋体"/>
        </w:rPr>
        <w:t>（一）</w:t>
      </w:r>
      <w:r>
        <w:rPr>
          <w:rFonts w:hint="eastAsia" w:ascii="宋体" w:hAnsi="宋体"/>
          <w:szCs w:val="21"/>
        </w:rPr>
        <w:t>、本项目评标办法</w:t>
      </w:r>
      <w:r>
        <w:rPr>
          <w:rFonts w:hint="eastAsia"/>
          <w:szCs w:val="21"/>
        </w:rPr>
        <w:t>采用</w:t>
      </w:r>
      <w:r>
        <w:rPr>
          <w:rFonts w:hint="eastAsia"/>
          <w:b/>
          <w:szCs w:val="21"/>
        </w:rPr>
        <w:t>百分制综合评分法，</w:t>
      </w:r>
      <w:r>
        <w:rPr>
          <w:rFonts w:hint="eastAsia" w:hAnsi="宋体"/>
          <w:szCs w:val="21"/>
        </w:rPr>
        <w:t xml:space="preserve">评标委员会将按 </w:t>
      </w:r>
      <w:r>
        <w:rPr>
          <w:rFonts w:hint="eastAsia" w:ascii="宋体" w:hAnsi="宋体"/>
          <w:szCs w:val="21"/>
        </w:rPr>
        <w:t>“公开、公正、公平、诚信、科学、择优”的原则</w:t>
      </w:r>
      <w:r>
        <w:rPr>
          <w:rFonts w:hint="eastAsia" w:hAnsi="宋体"/>
          <w:szCs w:val="21"/>
        </w:rPr>
        <w:t>，</w:t>
      </w:r>
      <w:r>
        <w:rPr>
          <w:rFonts w:hint="eastAsia" w:ascii="宋体" w:hAnsi="宋体"/>
          <w:szCs w:val="21"/>
        </w:rPr>
        <w:t>根据评标办法，对投标文件进行认真评审，完成评标报告；向招标人报告评审意见，推荐综合得分由高至低排序的前一～三名为第一中标候选人、第二中标候选人、第三中标候选人。</w:t>
      </w:r>
    </w:p>
    <w:p>
      <w:pPr>
        <w:spacing w:line="360" w:lineRule="auto"/>
        <w:ind w:firstLine="420" w:firstLineChars="200"/>
        <w:rPr>
          <w:rFonts w:hint="eastAsia" w:ascii="宋体"/>
          <w:szCs w:val="21"/>
        </w:rPr>
      </w:pPr>
      <w:r>
        <w:rPr>
          <w:rFonts w:hint="eastAsia" w:ascii="宋体"/>
          <w:szCs w:val="21"/>
        </w:rPr>
        <w:t>2、评标步骤：</w:t>
      </w:r>
    </w:p>
    <w:p>
      <w:pPr>
        <w:pStyle w:val="3"/>
        <w:spacing w:line="360" w:lineRule="auto"/>
        <w:ind w:firstLine="315" w:firstLineChars="150"/>
        <w:rPr>
          <w:rFonts w:hint="eastAsia" w:hAnsi="宋体" w:eastAsia="宋体"/>
          <w:sz w:val="21"/>
          <w:szCs w:val="21"/>
        </w:rPr>
      </w:pPr>
      <w:r>
        <w:rPr>
          <w:rFonts w:hint="eastAsia" w:hAnsi="宋体" w:eastAsia="宋体"/>
          <w:sz w:val="21"/>
          <w:szCs w:val="21"/>
        </w:rPr>
        <w:t>（1）符合性审查</w:t>
      </w:r>
    </w:p>
    <w:p>
      <w:pPr>
        <w:pStyle w:val="3"/>
        <w:spacing w:line="360" w:lineRule="auto"/>
        <w:ind w:firstLine="420" w:firstLineChars="200"/>
        <w:rPr>
          <w:rFonts w:hAnsi="宋体" w:eastAsia="宋体"/>
          <w:sz w:val="21"/>
          <w:szCs w:val="21"/>
        </w:rPr>
      </w:pPr>
      <w:r>
        <w:rPr>
          <w:rFonts w:hint="eastAsia" w:hAnsi="宋体" w:eastAsia="宋体"/>
          <w:sz w:val="21"/>
          <w:szCs w:val="21"/>
        </w:rPr>
        <w:t>评标委员会将根据如下各项对投标文件进行符合性审查（见附表二），确定投标文件是否符合要求。符合性审查中的任何一条不符合招标文件规定则视为符合性不通过，只有通过符合性审查的投标文件才可进入技术评审和报价评审。</w:t>
      </w:r>
    </w:p>
    <w:p>
      <w:pPr>
        <w:pStyle w:val="3"/>
        <w:spacing w:line="360" w:lineRule="auto"/>
        <w:ind w:firstLine="420" w:firstLineChars="200"/>
        <w:rPr>
          <w:rFonts w:hint="eastAsia" w:hAnsi="宋体" w:eastAsia="宋体"/>
          <w:sz w:val="21"/>
          <w:szCs w:val="21"/>
        </w:rPr>
      </w:pPr>
      <w:r>
        <w:rPr>
          <w:rFonts w:hint="eastAsia" w:hAnsi="宋体" w:eastAsia="宋体"/>
          <w:sz w:val="21"/>
          <w:szCs w:val="21"/>
        </w:rPr>
        <w:t>1</w:t>
      </w:r>
      <w:r>
        <w:rPr>
          <w:rFonts w:hAnsi="宋体" w:eastAsia="宋体"/>
          <w:sz w:val="21"/>
          <w:szCs w:val="21"/>
        </w:rPr>
        <w:t xml:space="preserve">) </w:t>
      </w:r>
      <w:r>
        <w:rPr>
          <w:rFonts w:hint="eastAsia" w:hAnsi="宋体" w:eastAsia="宋体"/>
          <w:sz w:val="21"/>
          <w:szCs w:val="21"/>
        </w:rPr>
        <w:t>投标文件密封性：密封；</w:t>
      </w:r>
    </w:p>
    <w:p>
      <w:pPr>
        <w:pStyle w:val="3"/>
        <w:spacing w:line="360" w:lineRule="auto"/>
        <w:ind w:firstLine="420" w:firstLineChars="200"/>
        <w:rPr>
          <w:rFonts w:hint="eastAsia" w:hAnsi="宋体" w:eastAsia="宋体"/>
          <w:sz w:val="21"/>
          <w:szCs w:val="21"/>
        </w:rPr>
      </w:pPr>
      <w:r>
        <w:rPr>
          <w:rFonts w:hint="eastAsia" w:hAnsi="宋体" w:eastAsia="宋体"/>
          <w:sz w:val="21"/>
          <w:szCs w:val="21"/>
        </w:rPr>
        <w:t>2</w:t>
      </w:r>
      <w:r>
        <w:rPr>
          <w:rFonts w:hAnsi="宋体" w:eastAsia="宋体"/>
          <w:sz w:val="21"/>
          <w:szCs w:val="21"/>
        </w:rPr>
        <w:t xml:space="preserve">) </w:t>
      </w:r>
      <w:r>
        <w:rPr>
          <w:rFonts w:hint="eastAsia" w:hAnsi="宋体" w:eastAsia="宋体"/>
          <w:sz w:val="21"/>
          <w:szCs w:val="21"/>
        </w:rPr>
        <w:t>投标文件有效性：每页加盖公章；</w:t>
      </w:r>
    </w:p>
    <w:p>
      <w:pPr>
        <w:pStyle w:val="3"/>
        <w:spacing w:line="360" w:lineRule="auto"/>
        <w:ind w:firstLine="420" w:firstLineChars="200"/>
        <w:rPr>
          <w:rFonts w:hint="eastAsia" w:hAnsi="宋体" w:eastAsia="宋体"/>
          <w:sz w:val="21"/>
          <w:szCs w:val="21"/>
        </w:rPr>
      </w:pPr>
      <w:r>
        <w:rPr>
          <w:rFonts w:hint="eastAsia" w:hAnsi="宋体" w:eastAsia="宋体"/>
          <w:sz w:val="21"/>
          <w:szCs w:val="21"/>
        </w:rPr>
        <w:t>3</w:t>
      </w:r>
      <w:r>
        <w:rPr>
          <w:rFonts w:hAnsi="宋体" w:eastAsia="宋体"/>
          <w:sz w:val="21"/>
          <w:szCs w:val="21"/>
        </w:rPr>
        <w:t xml:space="preserve">) </w:t>
      </w:r>
      <w:r>
        <w:rPr>
          <w:rFonts w:hint="eastAsia" w:hAnsi="宋体" w:eastAsia="宋体"/>
          <w:sz w:val="21"/>
          <w:szCs w:val="21"/>
        </w:rPr>
        <w:t>资格证明文件：营业执照复印件加盖公章；</w:t>
      </w:r>
    </w:p>
    <w:p>
      <w:pPr>
        <w:pStyle w:val="3"/>
        <w:spacing w:line="360" w:lineRule="auto"/>
        <w:ind w:left="-50" w:firstLine="480"/>
        <w:rPr>
          <w:rFonts w:hint="eastAsia" w:hAnsi="宋体" w:eastAsia="宋体"/>
          <w:sz w:val="21"/>
          <w:szCs w:val="21"/>
        </w:rPr>
      </w:pPr>
      <w:r>
        <w:rPr>
          <w:rFonts w:hint="eastAsia" w:hAnsi="宋体" w:eastAsia="宋体"/>
          <w:sz w:val="21"/>
          <w:szCs w:val="21"/>
        </w:rPr>
        <w:t>4</w:t>
      </w:r>
      <w:r>
        <w:rPr>
          <w:rFonts w:hAnsi="宋体" w:eastAsia="宋体"/>
          <w:sz w:val="21"/>
          <w:szCs w:val="21"/>
        </w:rPr>
        <w:t xml:space="preserve">) </w:t>
      </w:r>
      <w:r>
        <w:rPr>
          <w:rFonts w:hint="eastAsia" w:hAnsi="宋体" w:eastAsia="宋体"/>
          <w:sz w:val="21"/>
          <w:szCs w:val="21"/>
        </w:rPr>
        <w:t>投标授权书：法定代表人证明书、法定代表人授权委托书原件；</w:t>
      </w:r>
    </w:p>
    <w:p>
      <w:pPr>
        <w:ind w:firstLine="420" w:firstLineChars="200"/>
        <w:rPr>
          <w:rFonts w:hint="eastAsia" w:ascii="宋体" w:hAnsi="宋体"/>
        </w:rPr>
      </w:pPr>
      <w:r>
        <w:rPr>
          <w:rFonts w:hint="eastAsia"/>
        </w:rPr>
        <w:t>5）投标人的营业执照应包含有展览或广告、装修、装饰、标识板制作的任意一项的经营范围，且申请人须在广州市内注册登记或具有注册的分支机构；</w:t>
      </w:r>
    </w:p>
    <w:p>
      <w:pPr>
        <w:pStyle w:val="3"/>
        <w:spacing w:line="360" w:lineRule="auto"/>
        <w:ind w:left="-50" w:firstLine="480"/>
        <w:rPr>
          <w:rFonts w:hint="eastAsia" w:hAnsi="宋体" w:eastAsia="宋体"/>
          <w:sz w:val="21"/>
          <w:szCs w:val="21"/>
        </w:rPr>
      </w:pPr>
      <w:r>
        <w:rPr>
          <w:rFonts w:hint="eastAsia" w:hAnsi="宋体" w:eastAsia="宋体"/>
          <w:sz w:val="21"/>
          <w:szCs w:val="21"/>
        </w:rPr>
        <w:t>6)投标报价不得高于最高限价；</w:t>
      </w:r>
    </w:p>
    <w:p>
      <w:pPr>
        <w:spacing w:line="360" w:lineRule="auto"/>
        <w:ind w:firstLine="420" w:firstLineChars="200"/>
        <w:rPr>
          <w:rFonts w:hint="eastAsia" w:ascii="宋体" w:hAnsi="宋体"/>
          <w:szCs w:val="21"/>
        </w:rPr>
      </w:pPr>
      <w:r>
        <w:rPr>
          <w:rFonts w:hint="eastAsia" w:ascii="宋体" w:hAnsi="宋体"/>
          <w:szCs w:val="21"/>
        </w:rPr>
        <w:t>（2） 技术评审</w:t>
      </w:r>
    </w:p>
    <w:p>
      <w:pPr>
        <w:spacing w:line="360" w:lineRule="auto"/>
        <w:ind w:firstLine="420" w:firstLineChars="200"/>
        <w:rPr>
          <w:rFonts w:hint="eastAsia" w:ascii="宋体"/>
        </w:rPr>
      </w:pPr>
      <w:r>
        <w:rPr>
          <w:rFonts w:hint="eastAsia" w:ascii="宋体" w:hAnsi="宋体"/>
          <w:szCs w:val="21"/>
        </w:rPr>
        <w:t>评标委员会依据招标文件的要求和评分表中各项分值的规定，对投标文件进行综合评分，满分为100分。各个评委独立打分后，去掉一个最高分和一个最低分的平均值即为技术所得分值（见附表三）；</w:t>
      </w:r>
      <w:r>
        <w:rPr>
          <w:rFonts w:hint="eastAsia" w:ascii="宋体"/>
        </w:rPr>
        <w:t>技术评分乘以技术权重得到最终技术得分。</w:t>
      </w:r>
    </w:p>
    <w:p>
      <w:pPr>
        <w:spacing w:line="360" w:lineRule="auto"/>
        <w:ind w:firstLine="420" w:firstLineChars="200"/>
        <w:rPr>
          <w:rFonts w:hint="eastAsia" w:ascii="宋体"/>
        </w:rPr>
      </w:pPr>
      <w:r>
        <w:rPr>
          <w:rFonts w:hint="eastAsia" w:ascii="宋体"/>
        </w:rPr>
        <w:t>（3） 报价评审</w:t>
      </w:r>
    </w:p>
    <w:p>
      <w:pPr>
        <w:pStyle w:val="5"/>
        <w:widowControl/>
        <w:ind w:firstLine="420" w:firstLineChars="200"/>
        <w:rPr>
          <w:rFonts w:hint="eastAsia"/>
        </w:rPr>
      </w:pPr>
      <w:r>
        <w:rPr>
          <w:rFonts w:hint="eastAsia"/>
        </w:rPr>
        <w:t>将评标委员会校核后的各通过符合性审查的投标人的投标报价定义为评标价格，所有投标报价之和的平均值为评标参考价，当投标报价等于评标参考价时得100分，投标报价每高于评标参考价1%，扣3分；每低于评标参考价1%，扣1分，扣至0分为止。</w:t>
      </w:r>
    </w:p>
    <w:p>
      <w:pPr>
        <w:spacing w:line="360" w:lineRule="auto"/>
        <w:ind w:firstLine="420" w:firstLineChars="200"/>
        <w:rPr>
          <w:rFonts w:hint="eastAsia" w:ascii="宋体"/>
        </w:rPr>
      </w:pPr>
      <w:r>
        <w:rPr>
          <w:rFonts w:hint="eastAsia" w:ascii="宋体"/>
        </w:rPr>
        <w:t>（4）综合评审</w:t>
      </w:r>
    </w:p>
    <w:p>
      <w:pPr>
        <w:spacing w:line="360" w:lineRule="auto"/>
        <w:ind w:firstLine="420"/>
        <w:rPr>
          <w:rFonts w:hint="eastAsia" w:ascii="宋体"/>
        </w:rPr>
      </w:pPr>
      <w:r>
        <w:rPr>
          <w:rFonts w:hint="eastAsia" w:ascii="宋体"/>
        </w:rPr>
        <w:t>将各投标人的最终技术得分和最终报价得分按下列方式相加得出其综合得分。将各综合得分由高到低顺序排列，综合得分最高的投标人为第一中标候选人，综合得分次高的投标人为第二、三中标候选人（得分相同时价格高者列前；得分及价格均相同时，技术指标优者列前）。</w:t>
      </w:r>
    </w:p>
    <w:p>
      <w:pPr>
        <w:pStyle w:val="5"/>
        <w:widowControl/>
        <w:numPr>
          <w:ilvl w:val="0"/>
          <w:numId w:val="1"/>
        </w:numPr>
        <w:ind w:firstLineChars="0"/>
        <w:rPr>
          <w:rFonts w:hint="eastAsia"/>
        </w:rPr>
      </w:pPr>
      <w:r>
        <w:rPr>
          <w:rFonts w:hint="eastAsia"/>
        </w:rPr>
        <w:t>技术及报价权重分配：</w:t>
      </w:r>
    </w:p>
    <w:tbl>
      <w:tblPr>
        <w:tblStyle w:val="8"/>
        <w:tblW w:w="601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006"/>
        <w:gridCol w:w="2007"/>
        <w:gridCol w:w="2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jc w:val="center"/>
        </w:trPr>
        <w:tc>
          <w:tcPr>
            <w:tcW w:w="2006" w:type="dxa"/>
            <w:vAlign w:val="center"/>
          </w:tcPr>
          <w:p>
            <w:pPr>
              <w:jc w:val="center"/>
            </w:pPr>
            <w:r>
              <w:rPr>
                <w:rFonts w:hint="eastAsia" w:ascii="宋体" w:hAnsi="宋体"/>
              </w:rPr>
              <w:t>评分项目</w:t>
            </w:r>
          </w:p>
        </w:tc>
        <w:tc>
          <w:tcPr>
            <w:tcW w:w="2007" w:type="dxa"/>
            <w:vAlign w:val="center"/>
          </w:tcPr>
          <w:p>
            <w:pPr>
              <w:jc w:val="center"/>
            </w:pPr>
            <w:r>
              <w:rPr>
                <w:rFonts w:hint="eastAsia" w:ascii="宋体" w:hAnsi="宋体"/>
              </w:rPr>
              <w:t>技术评分</w:t>
            </w:r>
          </w:p>
        </w:tc>
        <w:tc>
          <w:tcPr>
            <w:tcW w:w="2006" w:type="dxa"/>
            <w:vAlign w:val="center"/>
          </w:tcPr>
          <w:p>
            <w:pPr>
              <w:jc w:val="center"/>
            </w:pPr>
            <w:r>
              <w:rPr>
                <w:rFonts w:hint="eastAsia" w:ascii="宋体" w:hAnsi="宋体"/>
              </w:rPr>
              <w:t>报价评分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jc w:val="center"/>
        </w:trPr>
        <w:tc>
          <w:tcPr>
            <w:tcW w:w="2006" w:type="dxa"/>
            <w:vAlign w:val="center"/>
          </w:tcPr>
          <w:p>
            <w:pPr>
              <w:jc w:val="center"/>
            </w:pPr>
            <w:r>
              <w:rPr>
                <w:rFonts w:hint="eastAsia" w:ascii="宋体" w:hAnsi="宋体"/>
              </w:rPr>
              <w:t>权重</w:t>
            </w:r>
            <w:r>
              <w:rPr>
                <w:rFonts w:hint="eastAsia" w:ascii="宋体" w:hAnsi="宋体"/>
                <w:iCs/>
              </w:rPr>
              <w:t>（总和为</w:t>
            </w:r>
            <w:r>
              <w:rPr>
                <w:rFonts w:ascii="宋体" w:hAnsi="宋体"/>
                <w:iCs/>
              </w:rPr>
              <w:t>100%</w:t>
            </w:r>
            <w:r>
              <w:rPr>
                <w:rFonts w:hint="eastAsia" w:ascii="宋体" w:hAnsi="宋体"/>
                <w:iCs/>
              </w:rPr>
              <w:t>）</w:t>
            </w:r>
          </w:p>
        </w:tc>
        <w:tc>
          <w:tcPr>
            <w:tcW w:w="2007" w:type="dxa"/>
            <w:vAlign w:val="center"/>
          </w:tcPr>
          <w:p>
            <w:pPr>
              <w:jc w:val="center"/>
              <w:rPr>
                <w:rFonts w:hint="eastAsia"/>
              </w:rPr>
            </w:pPr>
            <w:r>
              <w:rPr>
                <w:rFonts w:hint="eastAsia"/>
              </w:rPr>
              <w:t>50</w:t>
            </w:r>
            <w:r>
              <w:t>%</w:t>
            </w:r>
          </w:p>
        </w:tc>
        <w:tc>
          <w:tcPr>
            <w:tcW w:w="2006" w:type="dxa"/>
            <w:vAlign w:val="center"/>
          </w:tcPr>
          <w:p>
            <w:pPr>
              <w:jc w:val="center"/>
              <w:rPr>
                <w:rFonts w:hint="eastAsia"/>
                <w:iCs/>
              </w:rPr>
            </w:pPr>
            <w:r>
              <w:rPr>
                <w:rFonts w:hint="eastAsia"/>
                <w:iCs/>
              </w:rPr>
              <w:t>50</w:t>
            </w:r>
            <w:r>
              <w:rPr>
                <w:iCs/>
              </w:rPr>
              <w:t>%</w:t>
            </w:r>
          </w:p>
        </w:tc>
      </w:tr>
    </w:tbl>
    <w:p>
      <w:pPr>
        <w:pStyle w:val="5"/>
        <w:widowControl/>
        <w:numPr>
          <w:ilvl w:val="0"/>
          <w:numId w:val="1"/>
        </w:numPr>
        <w:spacing w:before="120"/>
        <w:ind w:firstLineChars="0"/>
        <w:rPr>
          <w:rFonts w:hint="eastAsia"/>
        </w:rPr>
      </w:pPr>
      <w:r>
        <w:rPr>
          <w:rFonts w:hint="eastAsia" w:ascii="宋体"/>
        </w:rPr>
        <w:t>根据上述最终技术得分及最终报价得分，代入下列公式计算各投标人的总得分。</w:t>
      </w:r>
    </w:p>
    <w:p>
      <w:pPr>
        <w:pStyle w:val="5"/>
        <w:spacing w:before="120"/>
        <w:ind w:left="357" w:firstLine="543" w:firstLineChars="0"/>
        <w:rPr>
          <w:rFonts w:hint="eastAsia" w:ascii="宋体"/>
        </w:rPr>
      </w:pPr>
      <w:r>
        <w:rPr>
          <w:rFonts w:hint="eastAsia"/>
        </w:rPr>
        <w:t>评标总得分</w:t>
      </w:r>
      <w:r>
        <w:t>=F</w:t>
      </w:r>
      <w:r>
        <w:rPr>
          <w:rFonts w:ascii="宋体"/>
          <w:szCs w:val="21"/>
          <w:vertAlign w:val="subscript"/>
        </w:rPr>
        <w:t>1</w:t>
      </w:r>
      <w:r>
        <w:rPr>
          <w:rFonts w:hint="eastAsia" w:ascii="宋体"/>
          <w:szCs w:val="21"/>
        </w:rPr>
        <w:t>*A</w:t>
      </w:r>
      <w:r>
        <w:rPr>
          <w:rFonts w:hint="eastAsia" w:ascii="宋体"/>
          <w:szCs w:val="21"/>
          <w:vertAlign w:val="subscript"/>
        </w:rPr>
        <w:t>1</w:t>
      </w:r>
      <w:r>
        <w:rPr>
          <w:rFonts w:ascii="宋体"/>
        </w:rPr>
        <w:t xml:space="preserve"> +</w:t>
      </w:r>
      <w:r>
        <w:rPr>
          <w:rFonts w:hint="eastAsia" w:ascii="宋体"/>
        </w:rPr>
        <w:t xml:space="preserve"> </w:t>
      </w:r>
      <w:r>
        <w:rPr>
          <w:rFonts w:ascii="宋体"/>
        </w:rPr>
        <w:t>F</w:t>
      </w:r>
      <w:r>
        <w:rPr>
          <w:rFonts w:ascii="宋体"/>
          <w:szCs w:val="21"/>
          <w:vertAlign w:val="subscript"/>
        </w:rPr>
        <w:t>2</w:t>
      </w:r>
      <w:r>
        <w:rPr>
          <w:rFonts w:hint="eastAsia" w:ascii="宋体"/>
          <w:szCs w:val="21"/>
        </w:rPr>
        <w:t>*A</w:t>
      </w:r>
      <w:r>
        <w:rPr>
          <w:rFonts w:hint="eastAsia" w:ascii="宋体"/>
          <w:szCs w:val="21"/>
          <w:vertAlign w:val="subscript"/>
        </w:rPr>
        <w:t>2</w:t>
      </w:r>
      <w:r>
        <w:rPr>
          <w:rFonts w:hint="eastAsia" w:ascii="宋体"/>
          <w:szCs w:val="21"/>
        </w:rPr>
        <w:t xml:space="preserve">  （A</w:t>
      </w:r>
      <w:r>
        <w:rPr>
          <w:rFonts w:hint="eastAsia" w:ascii="宋体"/>
          <w:szCs w:val="21"/>
          <w:vertAlign w:val="subscript"/>
        </w:rPr>
        <w:t>1</w:t>
      </w:r>
      <w:r>
        <w:rPr>
          <w:rFonts w:hint="eastAsia" w:ascii="宋体"/>
          <w:szCs w:val="21"/>
        </w:rPr>
        <w:t>＝0.5，A</w:t>
      </w:r>
      <w:r>
        <w:rPr>
          <w:rFonts w:hint="eastAsia" w:ascii="宋体"/>
          <w:szCs w:val="21"/>
          <w:vertAlign w:val="subscript"/>
        </w:rPr>
        <w:t>2</w:t>
      </w:r>
      <w:r>
        <w:rPr>
          <w:rFonts w:hint="eastAsia" w:ascii="宋体"/>
          <w:szCs w:val="21"/>
        </w:rPr>
        <w:t>＝0.5）</w:t>
      </w:r>
    </w:p>
    <w:p>
      <w:pPr>
        <w:pStyle w:val="5"/>
        <w:spacing w:before="120"/>
        <w:ind w:left="900" w:firstLine="0" w:firstLineChars="0"/>
        <w:rPr>
          <w:rFonts w:hint="eastAsia" w:ascii="宋体"/>
          <w:szCs w:val="21"/>
        </w:rPr>
      </w:pPr>
      <w:r>
        <w:rPr>
          <w:rFonts w:hint="eastAsia" w:ascii="宋体"/>
        </w:rPr>
        <w:t>其中，</w:t>
      </w:r>
      <w:r>
        <w:t>F</w:t>
      </w:r>
      <w:r>
        <w:rPr>
          <w:rFonts w:ascii="宋体"/>
          <w:szCs w:val="21"/>
          <w:vertAlign w:val="subscript"/>
        </w:rPr>
        <w:t>1</w:t>
      </w:r>
      <w:r>
        <w:rPr>
          <w:rFonts w:hint="eastAsia" w:ascii="宋体"/>
        </w:rPr>
        <w:t>、</w:t>
      </w:r>
      <w:r>
        <w:rPr>
          <w:rFonts w:ascii="宋体"/>
        </w:rPr>
        <w:t>F</w:t>
      </w:r>
      <w:r>
        <w:rPr>
          <w:rFonts w:ascii="宋体"/>
          <w:szCs w:val="21"/>
          <w:vertAlign w:val="subscript"/>
        </w:rPr>
        <w:t>2</w:t>
      </w:r>
      <w:r>
        <w:rPr>
          <w:rFonts w:hint="eastAsia" w:ascii="宋体"/>
        </w:rPr>
        <w:t>分别为最终技术得分及最终报价得分的汇总得分。</w:t>
      </w:r>
      <w:r>
        <w:rPr>
          <w:rFonts w:hint="eastAsia" w:ascii="宋体"/>
          <w:szCs w:val="21"/>
        </w:rPr>
        <w:t>A</w:t>
      </w:r>
      <w:r>
        <w:rPr>
          <w:rFonts w:hint="eastAsia" w:ascii="宋体"/>
          <w:szCs w:val="21"/>
          <w:vertAlign w:val="subscript"/>
        </w:rPr>
        <w:t>1</w:t>
      </w:r>
      <w:r>
        <w:rPr>
          <w:rFonts w:hint="eastAsia" w:ascii="宋体"/>
          <w:szCs w:val="21"/>
        </w:rPr>
        <w:t>为技术权重，A</w:t>
      </w:r>
      <w:r>
        <w:rPr>
          <w:rFonts w:hint="eastAsia" w:ascii="宋体"/>
          <w:szCs w:val="21"/>
          <w:vertAlign w:val="subscript"/>
        </w:rPr>
        <w:t>2</w:t>
      </w:r>
      <w:r>
        <w:rPr>
          <w:rFonts w:hint="eastAsia" w:ascii="宋体"/>
          <w:szCs w:val="21"/>
        </w:rPr>
        <w:t>为报价权重。</w:t>
      </w:r>
    </w:p>
    <w:p>
      <w:pPr>
        <w:pStyle w:val="5"/>
        <w:ind w:firstLine="420" w:firstLineChars="200"/>
        <w:rPr>
          <w:rFonts w:hint="eastAsia"/>
          <w:bCs/>
        </w:rPr>
      </w:pPr>
      <w:r>
        <w:rPr>
          <w:rFonts w:hint="eastAsia"/>
          <w:bCs/>
        </w:rPr>
        <w:t>（5）中标候选人</w:t>
      </w:r>
    </w:p>
    <w:p>
      <w:pPr>
        <w:pStyle w:val="5"/>
        <w:ind w:firstLine="420" w:firstLineChars="200"/>
        <w:rPr>
          <w:rFonts w:hint="eastAsia"/>
        </w:rPr>
      </w:pPr>
      <w:r>
        <w:rPr>
          <w:rFonts w:hint="eastAsia"/>
        </w:rPr>
        <w:t>评标委员会将出具评标报告，并推荐综合得分排名前三位中标候选人：按得分从高到低的顺序，推荐第一候选人、第二候选人、第三候选人，业主依法确定中标人。</w:t>
      </w:r>
    </w:p>
    <w:p>
      <w:pPr>
        <w:spacing w:line="360" w:lineRule="auto"/>
        <w:ind w:firstLine="420" w:firstLineChars="200"/>
        <w:rPr>
          <w:rFonts w:hint="eastAsia" w:ascii="宋体" w:hAnsi="宋体"/>
          <w:bCs/>
        </w:rPr>
      </w:pPr>
      <w:r>
        <w:rPr>
          <w:rFonts w:hint="eastAsia"/>
          <w:bCs/>
        </w:rPr>
        <w:t>（6）</w:t>
      </w:r>
      <w:r>
        <w:rPr>
          <w:rFonts w:hint="eastAsia" w:ascii="宋体" w:hAnsi="宋体"/>
          <w:bCs/>
        </w:rPr>
        <w:t>其它说明</w:t>
      </w:r>
    </w:p>
    <w:p>
      <w:pPr>
        <w:spacing w:line="360" w:lineRule="auto"/>
        <w:ind w:firstLine="420" w:firstLineChars="200"/>
        <w:rPr>
          <w:rFonts w:hint="eastAsia" w:ascii="宋体" w:hAnsi="宋体"/>
          <w:bCs/>
        </w:rPr>
      </w:pPr>
      <w:r>
        <w:rPr>
          <w:rFonts w:hint="eastAsia" w:ascii="宋体" w:hAnsi="宋体"/>
          <w:bCs/>
        </w:rPr>
        <w:t>投标报价书中有疑问或问题时，可要求投标人提出澄清，但这种澄清不应使其他投标人处于不公平的地位，澄清结果应以书面形式答复。如果有数字表示的小写与大写不一致时，以大写为准。副本与正本不一致时，以正本为准。</w:t>
      </w:r>
    </w:p>
    <w:p>
      <w:pPr>
        <w:spacing w:line="360" w:lineRule="auto"/>
        <w:rPr>
          <w:rFonts w:hint="eastAsia" w:ascii="仿宋_GB2312" w:eastAsia="仿宋_GB2312"/>
          <w:b/>
          <w:sz w:val="32"/>
          <w:szCs w:val="32"/>
        </w:rPr>
      </w:pPr>
      <w:r>
        <w:rPr>
          <w:rFonts w:hint="eastAsia" w:ascii="仿宋_GB2312" w:eastAsia="仿宋_GB2312"/>
          <w:b/>
          <w:sz w:val="28"/>
          <w:szCs w:val="28"/>
        </w:rPr>
        <w:t>十一、</w:t>
      </w:r>
      <w:r>
        <w:rPr>
          <w:rFonts w:ascii="仿宋_GB2312" w:eastAsia="仿宋_GB2312"/>
          <w:b/>
          <w:sz w:val="28"/>
          <w:szCs w:val="28"/>
        </w:rPr>
        <w:t>付款方式：</w:t>
      </w:r>
      <w:r>
        <w:rPr>
          <w:rFonts w:ascii="仿宋_GB2312" w:eastAsia="仿宋_GB2312"/>
          <w:b/>
          <w:sz w:val="32"/>
          <w:szCs w:val="32"/>
        </w:rPr>
        <w:t xml:space="preserve"> </w:t>
      </w:r>
    </w:p>
    <w:p>
      <w:pPr>
        <w:spacing w:line="360" w:lineRule="auto"/>
        <w:ind w:firstLine="420" w:firstLineChars="200"/>
        <w:rPr>
          <w:rFonts w:hint="eastAsia" w:ascii="宋体" w:hAnsi="宋体" w:cs="Times New Roman"/>
          <w:color w:val="auto"/>
          <w:szCs w:val="21"/>
        </w:rPr>
      </w:pPr>
      <w:r>
        <w:rPr>
          <w:rFonts w:ascii="宋体" w:hAnsi="宋体"/>
          <w:color w:val="auto"/>
          <w:szCs w:val="21"/>
        </w:rPr>
        <w:t xml:space="preserve">合同签定后 </w:t>
      </w:r>
      <w:r>
        <w:rPr>
          <w:rFonts w:hint="eastAsia" w:ascii="宋体" w:hAnsi="宋体"/>
          <w:color w:val="auto"/>
          <w:szCs w:val="21"/>
          <w:lang w:val="en-US" w:eastAsia="zh-CN"/>
        </w:rPr>
        <w:t>3</w:t>
      </w:r>
      <w:r>
        <w:rPr>
          <w:rFonts w:ascii="宋体" w:hAnsi="宋体"/>
          <w:color w:val="auto"/>
          <w:szCs w:val="21"/>
        </w:rPr>
        <w:t>个工作日内招标人向投标人支付合同总价的</w:t>
      </w:r>
      <w:r>
        <w:rPr>
          <w:rFonts w:hint="eastAsia" w:ascii="宋体" w:hAnsi="宋体"/>
          <w:color w:val="auto"/>
          <w:szCs w:val="21"/>
          <w:lang w:val="en-US" w:eastAsia="zh-CN"/>
        </w:rPr>
        <w:t>5</w:t>
      </w:r>
      <w:r>
        <w:rPr>
          <w:rFonts w:hint="eastAsia" w:ascii="宋体" w:hAnsi="宋体"/>
          <w:color w:val="auto"/>
          <w:szCs w:val="21"/>
        </w:rPr>
        <w:t>0%</w:t>
      </w:r>
      <w:r>
        <w:rPr>
          <w:rFonts w:ascii="宋体" w:hAnsi="宋体"/>
          <w:color w:val="auto"/>
          <w:szCs w:val="21"/>
        </w:rPr>
        <w:t>。</w:t>
      </w:r>
      <w:r>
        <w:rPr>
          <w:rFonts w:hint="eastAsia" w:ascii="宋体" w:hAnsi="宋体"/>
          <w:color w:val="auto"/>
          <w:szCs w:val="21"/>
          <w:lang w:val="en-US" w:eastAsia="zh-CN"/>
        </w:rPr>
        <w:t>合同</w:t>
      </w:r>
      <w:r>
        <w:rPr>
          <w:rFonts w:hint="eastAsia" w:ascii="宋体" w:hAnsi="宋体" w:cs="Times New Roman"/>
          <w:color w:val="auto"/>
          <w:szCs w:val="21"/>
          <w:lang w:val="en-US" w:eastAsia="zh-CN"/>
        </w:rPr>
        <w:t>导视系统在工厂制作完成,运送到项目地来</w:t>
      </w:r>
      <w:r>
        <w:rPr>
          <w:rFonts w:hint="eastAsia" w:ascii="宋体" w:hAnsi="宋体" w:cs="Times New Roman"/>
          <w:color w:val="auto"/>
          <w:szCs w:val="21"/>
        </w:rPr>
        <w:t>后</w:t>
      </w:r>
      <w:r>
        <w:rPr>
          <w:rFonts w:hint="eastAsia" w:ascii="宋体" w:hAnsi="宋体" w:cs="Times New Roman"/>
          <w:color w:val="auto"/>
          <w:szCs w:val="21"/>
          <w:lang w:val="en-US" w:eastAsia="zh-CN"/>
        </w:rPr>
        <w:t>,在施工安装前3天内</w:t>
      </w:r>
      <w:r>
        <w:rPr>
          <w:rFonts w:hint="eastAsia" w:ascii="宋体" w:hAnsi="宋体" w:cs="Times New Roman"/>
          <w:color w:val="auto"/>
          <w:szCs w:val="21"/>
        </w:rPr>
        <w:t>支付</w:t>
      </w:r>
      <w:r>
        <w:rPr>
          <w:rFonts w:hint="eastAsia" w:ascii="宋体" w:hAnsi="宋体" w:cs="Times New Roman"/>
          <w:color w:val="auto"/>
          <w:szCs w:val="21"/>
          <w:lang w:val="en-US" w:eastAsia="zh-CN"/>
        </w:rPr>
        <w:t>合同</w:t>
      </w:r>
      <w:r>
        <w:rPr>
          <w:rFonts w:hint="eastAsia" w:ascii="宋体" w:hAnsi="宋体" w:cs="Times New Roman"/>
          <w:color w:val="auto"/>
          <w:szCs w:val="21"/>
        </w:rPr>
        <w:t>总</w:t>
      </w:r>
      <w:r>
        <w:rPr>
          <w:rFonts w:hint="eastAsia" w:ascii="宋体" w:hAnsi="宋体" w:cs="Times New Roman"/>
          <w:color w:val="auto"/>
          <w:szCs w:val="21"/>
          <w:lang w:val="en-US" w:eastAsia="zh-CN"/>
        </w:rPr>
        <w:t>价</w:t>
      </w:r>
      <w:r>
        <w:rPr>
          <w:rFonts w:hint="eastAsia" w:ascii="宋体" w:hAnsi="宋体" w:cs="Times New Roman"/>
          <w:color w:val="auto"/>
          <w:szCs w:val="21"/>
        </w:rPr>
        <w:t>的</w:t>
      </w:r>
      <w:r>
        <w:rPr>
          <w:rFonts w:hint="eastAsia" w:ascii="宋体" w:hAnsi="宋体" w:cs="Times New Roman"/>
          <w:color w:val="auto"/>
          <w:szCs w:val="21"/>
          <w:lang w:val="en-US" w:eastAsia="zh-CN"/>
        </w:rPr>
        <w:t>30</w:t>
      </w:r>
      <w:r>
        <w:rPr>
          <w:rFonts w:hint="eastAsia" w:ascii="宋体" w:hAnsi="宋体" w:cs="Times New Roman"/>
          <w:color w:val="auto"/>
          <w:szCs w:val="21"/>
        </w:rPr>
        <w:t>%，</w:t>
      </w:r>
      <w:r>
        <w:rPr>
          <w:rFonts w:hint="eastAsia" w:ascii="宋体" w:hAnsi="宋体" w:cs="Times New Roman"/>
          <w:color w:val="auto"/>
          <w:szCs w:val="21"/>
          <w:lang w:val="en-US" w:eastAsia="zh-CN"/>
        </w:rPr>
        <w:t>所有导视系统安装完成并由甲方验收合格</w:t>
      </w:r>
      <w:r>
        <w:rPr>
          <w:rFonts w:hint="eastAsia" w:ascii="宋体" w:hAnsi="宋体" w:cs="Times New Roman"/>
          <w:color w:val="auto"/>
          <w:szCs w:val="21"/>
        </w:rPr>
        <w:t>后支付</w:t>
      </w:r>
      <w:r>
        <w:rPr>
          <w:rFonts w:hint="eastAsia" w:ascii="宋体" w:hAnsi="宋体" w:cs="Times New Roman"/>
          <w:color w:val="auto"/>
          <w:szCs w:val="21"/>
          <w:lang w:val="en-US" w:eastAsia="zh-CN"/>
        </w:rPr>
        <w:t>合同</w:t>
      </w:r>
      <w:r>
        <w:rPr>
          <w:rFonts w:hint="eastAsia" w:ascii="宋体" w:hAnsi="宋体" w:cs="Times New Roman"/>
          <w:color w:val="auto"/>
          <w:szCs w:val="21"/>
        </w:rPr>
        <w:t>总</w:t>
      </w:r>
      <w:r>
        <w:rPr>
          <w:rFonts w:hint="eastAsia" w:ascii="宋体" w:hAnsi="宋体" w:cs="Times New Roman"/>
          <w:color w:val="auto"/>
          <w:szCs w:val="21"/>
          <w:lang w:val="en-US" w:eastAsia="zh-CN"/>
        </w:rPr>
        <w:t>价</w:t>
      </w:r>
      <w:r>
        <w:rPr>
          <w:rFonts w:hint="eastAsia" w:ascii="宋体" w:hAnsi="宋体" w:cs="Times New Roman"/>
          <w:color w:val="auto"/>
          <w:szCs w:val="21"/>
        </w:rPr>
        <w:t>的2</w:t>
      </w:r>
      <w:r>
        <w:rPr>
          <w:rFonts w:hint="eastAsia" w:ascii="宋体" w:hAnsi="宋体" w:cs="Times New Roman"/>
          <w:color w:val="auto"/>
          <w:szCs w:val="21"/>
          <w:lang w:val="en-US" w:eastAsia="zh-CN"/>
        </w:rPr>
        <w:t>0</w:t>
      </w:r>
      <w:r>
        <w:rPr>
          <w:rFonts w:hint="eastAsia" w:ascii="宋体" w:hAnsi="宋体" w:cs="Times New Roman"/>
          <w:color w:val="auto"/>
          <w:szCs w:val="21"/>
        </w:rPr>
        <w:t>%，每次</w:t>
      </w:r>
      <w:r>
        <w:rPr>
          <w:rFonts w:hint="eastAsia" w:ascii="宋体" w:hAnsi="宋体" w:cs="Times New Roman"/>
          <w:color w:val="auto"/>
          <w:szCs w:val="21"/>
          <w:lang w:val="en-US" w:eastAsia="zh-CN"/>
        </w:rPr>
        <w:t>支付</w:t>
      </w:r>
      <w:r>
        <w:rPr>
          <w:rFonts w:hint="eastAsia" w:ascii="宋体" w:hAnsi="宋体" w:cs="Times New Roman"/>
          <w:color w:val="auto"/>
          <w:szCs w:val="21"/>
        </w:rPr>
        <w:t>时需提供</w:t>
      </w:r>
      <w:r>
        <w:rPr>
          <w:rFonts w:hint="eastAsia" w:ascii="宋体" w:hAnsi="宋体" w:cs="Times New Roman"/>
          <w:color w:val="auto"/>
          <w:szCs w:val="21"/>
          <w:lang w:val="en-US" w:eastAsia="zh-CN"/>
        </w:rPr>
        <w:t>相同金额的增值税普通发票</w:t>
      </w:r>
      <w:r>
        <w:rPr>
          <w:rFonts w:hint="eastAsia" w:ascii="宋体" w:hAnsi="宋体" w:cs="Times New Roman"/>
          <w:color w:val="auto"/>
          <w:szCs w:val="21"/>
        </w:rPr>
        <w:t>。</w:t>
      </w:r>
    </w:p>
    <w:p>
      <w:pPr>
        <w:spacing w:line="360" w:lineRule="auto"/>
        <w:rPr>
          <w:rFonts w:hint="eastAsia" w:ascii="仿宋_GB2312" w:eastAsia="仿宋_GB2312"/>
          <w:b/>
          <w:sz w:val="28"/>
          <w:szCs w:val="28"/>
        </w:rPr>
      </w:pPr>
      <w:r>
        <w:rPr>
          <w:rFonts w:hint="eastAsia" w:ascii="仿宋_GB2312" w:eastAsia="仿宋_GB2312"/>
          <w:b/>
          <w:sz w:val="28"/>
          <w:szCs w:val="28"/>
        </w:rPr>
        <w:t>十二、质量服务保修：</w:t>
      </w:r>
    </w:p>
    <w:p>
      <w:pPr>
        <w:spacing w:line="360" w:lineRule="auto"/>
        <w:ind w:firstLine="420" w:firstLineChars="200"/>
        <w:rPr>
          <w:rFonts w:hint="eastAsia" w:ascii="宋体" w:hAnsi="宋体"/>
          <w:szCs w:val="21"/>
        </w:rPr>
      </w:pPr>
      <w:r>
        <w:rPr>
          <w:rFonts w:hint="eastAsia" w:ascii="宋体" w:hAnsi="宋体"/>
          <w:szCs w:val="21"/>
        </w:rPr>
        <w:t>本项目保修期为</w:t>
      </w:r>
      <w:r>
        <w:rPr>
          <w:rFonts w:hint="eastAsia" w:ascii="宋体" w:hAnsi="宋体"/>
          <w:szCs w:val="21"/>
          <w:lang w:val="en-US" w:eastAsia="zh-CN"/>
        </w:rPr>
        <w:t>壹</w:t>
      </w:r>
      <w:r>
        <w:rPr>
          <w:rFonts w:hint="eastAsia" w:ascii="宋体" w:hAnsi="宋体"/>
          <w:szCs w:val="21"/>
        </w:rPr>
        <w:t>年。产品质量保修根据国家和相关产品保修办法执行。保修期自产品竣工验收合格移交之日起，在保修期内因施工质量缺陷引发的问题，由投标人进行免费维修或更换。如属招标人使用不当、保管不善或人为造成的损坏，可由投标人进行维修，适当收取材料成本费。</w:t>
      </w:r>
    </w:p>
    <w:p>
      <w:pPr>
        <w:spacing w:line="360" w:lineRule="auto"/>
        <w:ind w:firstLine="643" w:firstLineChars="200"/>
        <w:jc w:val="right"/>
        <w:rPr>
          <w:rFonts w:hint="eastAsia" w:ascii="宋体" w:hAnsi="宋体"/>
          <w:szCs w:val="21"/>
        </w:rPr>
      </w:pPr>
      <w:r>
        <w:rPr>
          <w:rFonts w:hint="eastAsia" w:ascii="宋体" w:hAnsi="宋体" w:cs="宋体"/>
          <w:b/>
          <w:bCs/>
          <w:kern w:val="0"/>
          <w:sz w:val="32"/>
          <w:szCs w:val="32"/>
        </w:rPr>
        <w:t xml:space="preserve">                 </w:t>
      </w:r>
      <w:r>
        <w:rPr>
          <w:rFonts w:hint="eastAsia" w:ascii="宋体" w:hAnsi="宋体" w:cs="宋体"/>
          <w:bCs/>
          <w:kern w:val="0"/>
          <w:sz w:val="32"/>
          <w:szCs w:val="32"/>
        </w:rPr>
        <w:t xml:space="preserve">  </w:t>
      </w:r>
      <w:r>
        <w:rPr>
          <w:rFonts w:hint="eastAsia" w:ascii="仿宋_GB2312" w:hAnsi="宋体" w:eastAsia="仿宋_GB2312" w:cs="宋体"/>
          <w:bCs/>
          <w:kern w:val="0"/>
          <w:sz w:val="32"/>
          <w:szCs w:val="32"/>
        </w:rPr>
        <w:t xml:space="preserve"> </w:t>
      </w:r>
      <w:r>
        <w:rPr>
          <w:rFonts w:hint="eastAsia" w:ascii="宋体" w:hAnsi="宋体"/>
          <w:szCs w:val="21"/>
        </w:rPr>
        <w:t>广州南沙湿地旅游发展有限公司</w:t>
      </w:r>
    </w:p>
    <w:p>
      <w:pPr>
        <w:jc w:val="right"/>
        <w:rPr>
          <w:rFonts w:ascii="宋体" w:hAnsi="宋体"/>
          <w:szCs w:val="21"/>
        </w:rPr>
      </w:pPr>
      <w:r>
        <w:rPr>
          <w:rFonts w:hint="eastAsia" w:ascii="宋体" w:hAnsi="宋体"/>
          <w:szCs w:val="21"/>
        </w:rPr>
        <w:t>2020年8月4日</w:t>
      </w:r>
    </w:p>
    <w:p>
      <w:pPr>
        <w:pStyle w:val="2"/>
      </w:pPr>
    </w:p>
    <w:p>
      <w:pPr>
        <w:pStyle w:val="2"/>
        <w:sectPr>
          <w:pgSz w:w="11906" w:h="16838"/>
          <w:pgMar w:top="1361" w:right="1800" w:bottom="1361" w:left="1800" w:header="851" w:footer="992" w:gutter="0"/>
          <w:cols w:space="0" w:num="1"/>
          <w:rtlGutter w:val="0"/>
          <w:docGrid w:type="lines" w:linePitch="312" w:charSpace="0"/>
        </w:sectPr>
      </w:pPr>
    </w:p>
    <w:p>
      <w:pPr>
        <w:pStyle w:val="2"/>
        <w:rPr>
          <w:rFonts w:hint="eastAsia" w:ascii="宋体" w:hAnsi="宋体"/>
          <w:szCs w:val="21"/>
        </w:rPr>
      </w:pPr>
      <w:r>
        <w:rPr>
          <w:rFonts w:hint="eastAsia" w:ascii="宋体" w:hAnsi="宋体"/>
          <w:szCs w:val="21"/>
        </w:rPr>
        <w:t>附件一：</w:t>
      </w:r>
    </w:p>
    <w:p>
      <w:pPr>
        <w:pStyle w:val="2"/>
        <w:jc w:val="center"/>
        <w:rPr>
          <w:rFonts w:ascii="方正小标宋简体" w:hAnsi="宋体" w:eastAsia="方正小标宋简体"/>
          <w:sz w:val="44"/>
          <w:szCs w:val="44"/>
        </w:rPr>
      </w:pPr>
      <w:r>
        <w:rPr>
          <w:rFonts w:hint="eastAsia" w:ascii="方正小标宋简体" w:hAnsi="宋体" w:eastAsia="方正小标宋简体"/>
          <w:sz w:val="44"/>
          <w:szCs w:val="44"/>
        </w:rPr>
        <w:t>南沙湿地二期导视系统配置清单</w:t>
      </w:r>
    </w:p>
    <w:tbl>
      <w:tblPr>
        <w:tblStyle w:val="8"/>
        <w:tblW w:w="14992" w:type="dxa"/>
        <w:tblInd w:w="118" w:type="dxa"/>
        <w:tblLayout w:type="fixed"/>
        <w:tblCellMar>
          <w:top w:w="0" w:type="dxa"/>
          <w:left w:w="108" w:type="dxa"/>
          <w:bottom w:w="0" w:type="dxa"/>
          <w:right w:w="108" w:type="dxa"/>
        </w:tblCellMar>
      </w:tblPr>
      <w:tblGrid>
        <w:gridCol w:w="660"/>
        <w:gridCol w:w="1764"/>
        <w:gridCol w:w="7229"/>
        <w:gridCol w:w="2977"/>
        <w:gridCol w:w="709"/>
        <w:gridCol w:w="708"/>
        <w:gridCol w:w="709"/>
        <w:gridCol w:w="236"/>
      </w:tblGrid>
      <w:tr>
        <w:tblPrEx>
          <w:tblLayout w:type="fixed"/>
          <w:tblCellMar>
            <w:top w:w="0" w:type="dxa"/>
            <w:left w:w="108" w:type="dxa"/>
            <w:bottom w:w="0" w:type="dxa"/>
            <w:right w:w="108" w:type="dxa"/>
          </w:tblCellMar>
        </w:tblPrEx>
        <w:trPr>
          <w:gridAfter w:val="1"/>
          <w:wAfter w:w="236" w:type="dxa"/>
          <w:cantSplit/>
          <w:trHeight w:val="624" w:hRule="atLeast"/>
          <w:tblHeader/>
        </w:trPr>
        <w:tc>
          <w:tcPr>
            <w:tcW w:w="660" w:type="dxa"/>
            <w:vMerge w:val="restart"/>
            <w:tcBorders>
              <w:top w:val="single" w:color="auto" w:sz="4" w:space="0"/>
              <w:left w:val="single" w:color="auto" w:sz="8" w:space="0"/>
              <w:bottom w:val="single" w:color="auto" w:sz="4" w:space="0"/>
              <w:right w:val="single" w:color="auto" w:sz="4" w:space="0"/>
            </w:tcBorders>
            <w:shd w:val="clear" w:color="000000" w:fill="E7E6E6"/>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序号</w:t>
            </w:r>
          </w:p>
        </w:tc>
        <w:tc>
          <w:tcPr>
            <w:tcW w:w="1764" w:type="dxa"/>
            <w:vMerge w:val="restart"/>
            <w:tcBorders>
              <w:top w:val="single" w:color="auto" w:sz="4" w:space="0"/>
              <w:left w:val="single" w:color="auto" w:sz="4" w:space="0"/>
              <w:bottom w:val="single" w:color="auto" w:sz="4" w:space="0"/>
              <w:right w:val="single" w:color="auto" w:sz="4" w:space="0"/>
            </w:tcBorders>
            <w:shd w:val="clear" w:color="000000" w:fill="E7E6E6"/>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产品名称</w:t>
            </w:r>
          </w:p>
        </w:tc>
        <w:tc>
          <w:tcPr>
            <w:tcW w:w="7229" w:type="dxa"/>
            <w:vMerge w:val="restart"/>
            <w:tcBorders>
              <w:top w:val="single" w:color="auto" w:sz="4" w:space="0"/>
              <w:left w:val="single" w:color="auto" w:sz="4" w:space="0"/>
              <w:bottom w:val="single" w:color="auto" w:sz="4" w:space="0"/>
              <w:right w:val="single" w:color="auto" w:sz="4" w:space="0"/>
            </w:tcBorders>
            <w:shd w:val="clear" w:color="000000" w:fill="E7E6E6"/>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工艺</w:t>
            </w:r>
          </w:p>
        </w:tc>
        <w:tc>
          <w:tcPr>
            <w:tcW w:w="2977" w:type="dxa"/>
            <w:vMerge w:val="restart"/>
            <w:tcBorders>
              <w:top w:val="single" w:color="auto" w:sz="4" w:space="0"/>
              <w:left w:val="single" w:color="auto" w:sz="4" w:space="0"/>
              <w:bottom w:val="single" w:color="auto" w:sz="4" w:space="0"/>
              <w:right w:val="single" w:color="auto" w:sz="4" w:space="0"/>
            </w:tcBorders>
            <w:shd w:val="clear" w:color="000000" w:fill="E7E6E6"/>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尺寸</w:t>
            </w:r>
          </w:p>
        </w:tc>
        <w:tc>
          <w:tcPr>
            <w:tcW w:w="709" w:type="dxa"/>
            <w:vMerge w:val="restart"/>
            <w:tcBorders>
              <w:top w:val="single" w:color="auto" w:sz="4" w:space="0"/>
              <w:left w:val="single" w:color="auto" w:sz="4" w:space="0"/>
              <w:bottom w:val="single" w:color="auto" w:sz="4" w:space="0"/>
              <w:right w:val="single" w:color="auto" w:sz="4" w:space="0"/>
            </w:tcBorders>
            <w:shd w:val="clear" w:color="000000" w:fill="E7E6E6"/>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数量</w:t>
            </w:r>
          </w:p>
        </w:tc>
        <w:tc>
          <w:tcPr>
            <w:tcW w:w="708" w:type="dxa"/>
            <w:vMerge w:val="restart"/>
            <w:tcBorders>
              <w:top w:val="single" w:color="auto" w:sz="4" w:space="0"/>
              <w:left w:val="single" w:color="auto" w:sz="4" w:space="0"/>
              <w:bottom w:val="single" w:color="000000" w:sz="4" w:space="0"/>
              <w:right w:val="single" w:color="auto" w:sz="4" w:space="0"/>
            </w:tcBorders>
            <w:shd w:val="clear" w:color="000000" w:fill="E7E6E6"/>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单位</w:t>
            </w:r>
          </w:p>
        </w:tc>
        <w:tc>
          <w:tcPr>
            <w:tcW w:w="709" w:type="dxa"/>
            <w:vMerge w:val="restart"/>
            <w:tcBorders>
              <w:top w:val="single" w:color="auto" w:sz="4" w:space="0"/>
              <w:left w:val="single" w:color="auto" w:sz="4" w:space="0"/>
              <w:bottom w:val="single" w:color="auto" w:sz="4" w:space="0"/>
              <w:right w:val="single" w:color="auto" w:sz="8" w:space="0"/>
            </w:tcBorders>
            <w:shd w:val="clear" w:color="000000" w:fill="E7E6E6"/>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备注</w:t>
            </w:r>
          </w:p>
        </w:tc>
      </w:tr>
      <w:tr>
        <w:tblPrEx>
          <w:tblLayout w:type="fixed"/>
          <w:tblCellMar>
            <w:top w:w="0" w:type="dxa"/>
            <w:left w:w="108" w:type="dxa"/>
            <w:bottom w:w="0" w:type="dxa"/>
            <w:right w:w="108" w:type="dxa"/>
          </w:tblCellMar>
        </w:tblPrEx>
        <w:trPr>
          <w:trHeight w:val="54" w:hRule="atLeast"/>
        </w:trPr>
        <w:tc>
          <w:tcPr>
            <w:tcW w:w="66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Cs w:val="21"/>
              </w:rPr>
            </w:pPr>
          </w:p>
        </w:tc>
        <w:tc>
          <w:tcPr>
            <w:tcW w:w="17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Cs w:val="21"/>
              </w:rPr>
            </w:pPr>
          </w:p>
        </w:tc>
        <w:tc>
          <w:tcPr>
            <w:tcW w:w="72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Cs w:val="21"/>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Cs w:val="21"/>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Cs w:val="21"/>
              </w:rPr>
            </w:pPr>
          </w:p>
        </w:tc>
        <w:tc>
          <w:tcPr>
            <w:tcW w:w="709" w:type="dxa"/>
            <w:vMerge w:val="continue"/>
            <w:tcBorders>
              <w:top w:val="single" w:color="auto" w:sz="4" w:space="0"/>
              <w:left w:val="single" w:color="auto" w:sz="4" w:space="0"/>
              <w:bottom w:val="single" w:color="auto" w:sz="4" w:space="0"/>
              <w:right w:val="single" w:color="auto" w:sz="8" w:space="0"/>
            </w:tcBorders>
            <w:vAlign w:val="center"/>
          </w:tcPr>
          <w:p>
            <w:pPr>
              <w:widowControl/>
              <w:jc w:val="left"/>
              <w:rPr>
                <w:rFonts w:ascii="微软雅黑" w:hAnsi="微软雅黑" w:eastAsia="微软雅黑" w:cs="宋体"/>
                <w:color w:val="000000"/>
                <w:kern w:val="0"/>
                <w:szCs w:val="21"/>
              </w:rPr>
            </w:pPr>
          </w:p>
        </w:tc>
        <w:tc>
          <w:tcPr>
            <w:tcW w:w="236" w:type="dxa"/>
            <w:tcBorders>
              <w:top w:val="nil"/>
              <w:left w:val="nil"/>
              <w:bottom w:val="nil"/>
              <w:right w:val="nil"/>
            </w:tcBorders>
            <w:shd w:val="clear" w:color="auto" w:fill="auto"/>
            <w:vAlign w:val="center"/>
          </w:tcPr>
          <w:p>
            <w:pPr>
              <w:widowControl/>
              <w:jc w:val="center"/>
              <w:rPr>
                <w:rFonts w:hint="eastAsia" w:ascii="微软雅黑" w:hAnsi="微软雅黑" w:eastAsia="微软雅黑" w:cs="宋体"/>
                <w:color w:val="000000"/>
                <w:kern w:val="0"/>
                <w:szCs w:val="21"/>
              </w:rPr>
            </w:pPr>
          </w:p>
        </w:tc>
      </w:tr>
      <w:tr>
        <w:tblPrEx>
          <w:tblLayout w:type="fixed"/>
          <w:tblCellMar>
            <w:top w:w="0" w:type="dxa"/>
            <w:left w:w="108" w:type="dxa"/>
            <w:bottom w:w="0" w:type="dxa"/>
            <w:right w:w="108" w:type="dxa"/>
          </w:tblCellMar>
        </w:tblPrEx>
        <w:trPr>
          <w:trHeight w:val="1356"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1</w:t>
            </w:r>
          </w:p>
        </w:tc>
        <w:tc>
          <w:tcPr>
            <w:tcW w:w="1764"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全景导览牌</w:t>
            </w:r>
          </w:p>
        </w:tc>
        <w:tc>
          <w:tcPr>
            <w:tcW w:w="722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304#1.5mm不锈钢板表面造型切割焊接，漆面复盖，图文丝印；镀锌方管做支架，入地0.8M水泥砂石结构预埋件安装，镙栓稳固基础固。</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Cs w:val="21"/>
              </w:rPr>
            </w:pPr>
            <w:r>
              <w:rPr>
                <w:rFonts w:hint="eastAsia"/>
              </w:rPr>
              <w:t>3620mm*6120mm*150mm</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lang w:val="en-US" w:eastAsia="zh-CN"/>
              </w:rPr>
              <w:t>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　</w:t>
            </w:r>
          </w:p>
        </w:tc>
        <w:tc>
          <w:tcPr>
            <w:tcW w:w="236" w:type="dxa"/>
            <w:vAlign w:val="center"/>
          </w:tcPr>
          <w:p>
            <w:pPr>
              <w:widowControl/>
              <w:jc w:val="left"/>
              <w:rPr>
                <w:rFonts w:eastAsia="Times New Roman"/>
                <w:kern w:val="0"/>
                <w:szCs w:val="21"/>
              </w:rPr>
            </w:pPr>
          </w:p>
        </w:tc>
      </w:tr>
      <w:tr>
        <w:tblPrEx>
          <w:tblLayout w:type="fixed"/>
          <w:tblCellMar>
            <w:top w:w="0" w:type="dxa"/>
            <w:left w:w="108" w:type="dxa"/>
            <w:bottom w:w="0" w:type="dxa"/>
            <w:right w:w="108" w:type="dxa"/>
          </w:tblCellMar>
        </w:tblPrEx>
        <w:trPr>
          <w:trHeight w:val="1608"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2</w:t>
            </w:r>
          </w:p>
        </w:tc>
        <w:tc>
          <w:tcPr>
            <w:tcW w:w="1764"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景物介绍牌</w:t>
            </w:r>
          </w:p>
        </w:tc>
        <w:tc>
          <w:tcPr>
            <w:tcW w:w="722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304#1.5mm不锈钢板表面造型切割焊接，漆面复盖，图文丝印；镀锌方管做支架，入地0.5M水泥砂石结构预埋件安装，镙栓稳固基础固定。</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1410mm*150mm*2200mm</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5</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套</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　</w:t>
            </w:r>
          </w:p>
        </w:tc>
        <w:tc>
          <w:tcPr>
            <w:tcW w:w="236" w:type="dxa"/>
            <w:vAlign w:val="center"/>
          </w:tcPr>
          <w:p>
            <w:pPr>
              <w:widowControl/>
              <w:jc w:val="left"/>
              <w:rPr>
                <w:rFonts w:eastAsia="Times New Roman"/>
                <w:kern w:val="0"/>
                <w:szCs w:val="21"/>
              </w:rPr>
            </w:pPr>
          </w:p>
        </w:tc>
      </w:tr>
      <w:tr>
        <w:tblPrEx>
          <w:tblLayout w:type="fixed"/>
          <w:tblCellMar>
            <w:top w:w="0" w:type="dxa"/>
            <w:left w:w="108" w:type="dxa"/>
            <w:bottom w:w="0" w:type="dxa"/>
            <w:right w:w="108" w:type="dxa"/>
          </w:tblCellMar>
        </w:tblPrEx>
        <w:trPr>
          <w:trHeight w:val="1056"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lang w:val="en-US" w:eastAsia="zh-CN"/>
              </w:rPr>
              <w:t>3</w:t>
            </w:r>
          </w:p>
        </w:tc>
        <w:tc>
          <w:tcPr>
            <w:tcW w:w="1764"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柱式多向方向指示牌</w:t>
            </w:r>
          </w:p>
        </w:tc>
        <w:tc>
          <w:tcPr>
            <w:tcW w:w="722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304#1.5mm不锈钢板表面造型切割焊接，漆面复盖，内焊方通龙骨架，内容丝印</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1600mm*120mm*3152mm</w:t>
            </w:r>
          </w:p>
        </w:tc>
        <w:tc>
          <w:tcPr>
            <w:tcW w:w="70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1</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　</w:t>
            </w:r>
          </w:p>
        </w:tc>
        <w:tc>
          <w:tcPr>
            <w:tcW w:w="236" w:type="dxa"/>
            <w:vAlign w:val="center"/>
          </w:tcPr>
          <w:p>
            <w:pPr>
              <w:widowControl/>
              <w:jc w:val="left"/>
              <w:rPr>
                <w:rFonts w:eastAsia="Times New Roman"/>
                <w:kern w:val="0"/>
                <w:szCs w:val="21"/>
              </w:rPr>
            </w:pPr>
          </w:p>
        </w:tc>
      </w:tr>
      <w:tr>
        <w:tblPrEx>
          <w:tblLayout w:type="fixed"/>
          <w:tblCellMar>
            <w:top w:w="0" w:type="dxa"/>
            <w:left w:w="108" w:type="dxa"/>
            <w:bottom w:w="0" w:type="dxa"/>
            <w:right w:w="108" w:type="dxa"/>
          </w:tblCellMar>
        </w:tblPrEx>
        <w:trPr>
          <w:trHeight w:val="1368"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lang w:val="en-US" w:eastAsia="zh-CN"/>
              </w:rPr>
              <w:t>4</w:t>
            </w:r>
          </w:p>
        </w:tc>
        <w:tc>
          <w:tcPr>
            <w:tcW w:w="1764"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柱式多向方向指示牌</w:t>
            </w:r>
          </w:p>
        </w:tc>
        <w:tc>
          <w:tcPr>
            <w:tcW w:w="722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304#1.5mm不锈钢板表面造型切割焊接，漆面复盖，内焊方通龙骨架，内容丝印</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3152mm*1780mm*200mm</w:t>
            </w:r>
          </w:p>
        </w:tc>
        <w:tc>
          <w:tcPr>
            <w:tcW w:w="70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13</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　</w:t>
            </w:r>
          </w:p>
        </w:tc>
        <w:tc>
          <w:tcPr>
            <w:tcW w:w="236" w:type="dxa"/>
            <w:vAlign w:val="center"/>
          </w:tcPr>
          <w:p>
            <w:pPr>
              <w:widowControl/>
              <w:jc w:val="left"/>
              <w:rPr>
                <w:rFonts w:eastAsia="Times New Roman"/>
                <w:kern w:val="0"/>
                <w:szCs w:val="21"/>
              </w:rPr>
            </w:pPr>
          </w:p>
        </w:tc>
      </w:tr>
      <w:tr>
        <w:tblPrEx>
          <w:tblLayout w:type="fixed"/>
          <w:tblCellMar>
            <w:top w:w="0" w:type="dxa"/>
            <w:left w:w="108" w:type="dxa"/>
            <w:bottom w:w="0" w:type="dxa"/>
            <w:right w:w="108" w:type="dxa"/>
          </w:tblCellMar>
        </w:tblPrEx>
        <w:trPr>
          <w:trHeight w:val="1056"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lang w:val="en-US" w:eastAsia="zh-CN"/>
              </w:rPr>
              <w:t>5</w:t>
            </w:r>
          </w:p>
        </w:tc>
        <w:tc>
          <w:tcPr>
            <w:tcW w:w="1764"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卫生间总牌</w:t>
            </w:r>
          </w:p>
        </w:tc>
        <w:tc>
          <w:tcPr>
            <w:tcW w:w="722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304#1.5mm不锈钢板表面造型切割焊接，漆面复盖，图文丝印；扣件装墙</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470mm*240mm*30mm</w:t>
            </w:r>
          </w:p>
        </w:tc>
        <w:tc>
          <w:tcPr>
            <w:tcW w:w="70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　</w:t>
            </w:r>
          </w:p>
        </w:tc>
        <w:tc>
          <w:tcPr>
            <w:tcW w:w="236" w:type="dxa"/>
            <w:vAlign w:val="center"/>
          </w:tcPr>
          <w:p>
            <w:pPr>
              <w:widowControl/>
              <w:jc w:val="left"/>
              <w:rPr>
                <w:rFonts w:eastAsia="Times New Roman"/>
                <w:kern w:val="0"/>
                <w:szCs w:val="21"/>
              </w:rPr>
            </w:pPr>
          </w:p>
        </w:tc>
      </w:tr>
      <w:tr>
        <w:tblPrEx>
          <w:tblLayout w:type="fixed"/>
          <w:tblCellMar>
            <w:top w:w="0" w:type="dxa"/>
            <w:left w:w="108" w:type="dxa"/>
            <w:bottom w:w="0" w:type="dxa"/>
            <w:right w:w="108" w:type="dxa"/>
          </w:tblCellMar>
        </w:tblPrEx>
        <w:trPr>
          <w:trHeight w:val="1068"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lang w:val="en-US" w:eastAsia="zh-CN"/>
              </w:rPr>
              <w:t>6</w:t>
            </w:r>
          </w:p>
        </w:tc>
        <w:tc>
          <w:tcPr>
            <w:tcW w:w="1764"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卫生间男/女界牌</w:t>
            </w:r>
          </w:p>
        </w:tc>
        <w:tc>
          <w:tcPr>
            <w:tcW w:w="722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304#1.5mm不锈钢板表面造型切割焊接，漆面复盖，图文丝印；扣件装墙</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200mm*320*30mm</w:t>
            </w:r>
          </w:p>
        </w:tc>
        <w:tc>
          <w:tcPr>
            <w:tcW w:w="70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4</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　</w:t>
            </w:r>
          </w:p>
        </w:tc>
        <w:tc>
          <w:tcPr>
            <w:tcW w:w="236" w:type="dxa"/>
            <w:vAlign w:val="center"/>
          </w:tcPr>
          <w:p>
            <w:pPr>
              <w:widowControl/>
              <w:jc w:val="left"/>
              <w:rPr>
                <w:rFonts w:eastAsia="Times New Roman"/>
                <w:kern w:val="0"/>
                <w:szCs w:val="21"/>
              </w:rPr>
            </w:pPr>
          </w:p>
        </w:tc>
      </w:tr>
      <w:tr>
        <w:tblPrEx>
          <w:tblLayout w:type="fixed"/>
          <w:tblCellMar>
            <w:top w:w="0" w:type="dxa"/>
            <w:left w:w="108" w:type="dxa"/>
            <w:bottom w:w="0" w:type="dxa"/>
            <w:right w:w="108" w:type="dxa"/>
          </w:tblCellMar>
        </w:tblPrEx>
        <w:trPr>
          <w:trHeight w:val="984"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lang w:val="en-US" w:eastAsia="zh-CN"/>
              </w:rPr>
              <w:t>7</w:t>
            </w:r>
          </w:p>
        </w:tc>
        <w:tc>
          <w:tcPr>
            <w:tcW w:w="1764"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节约用水</w:t>
            </w:r>
          </w:p>
        </w:tc>
        <w:tc>
          <w:tcPr>
            <w:tcW w:w="722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304#1.5mm不锈钢板表面造型切割焊接，漆面复盖，图文丝印；扣件装墙</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300mm*300mm</w:t>
            </w:r>
          </w:p>
        </w:tc>
        <w:tc>
          <w:tcPr>
            <w:tcW w:w="70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　</w:t>
            </w:r>
          </w:p>
        </w:tc>
        <w:tc>
          <w:tcPr>
            <w:tcW w:w="236" w:type="dxa"/>
            <w:vAlign w:val="center"/>
          </w:tcPr>
          <w:p>
            <w:pPr>
              <w:widowControl/>
              <w:jc w:val="left"/>
              <w:rPr>
                <w:rFonts w:eastAsia="Times New Roman"/>
                <w:kern w:val="0"/>
                <w:szCs w:val="21"/>
              </w:rPr>
            </w:pPr>
          </w:p>
        </w:tc>
      </w:tr>
      <w:tr>
        <w:tblPrEx>
          <w:tblLayout w:type="fixed"/>
          <w:tblCellMar>
            <w:top w:w="0" w:type="dxa"/>
            <w:left w:w="108" w:type="dxa"/>
            <w:bottom w:w="0" w:type="dxa"/>
            <w:right w:w="108" w:type="dxa"/>
          </w:tblCellMar>
        </w:tblPrEx>
        <w:trPr>
          <w:trHeight w:val="54"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val="en-US" w:eastAsia="zh-CN"/>
              </w:rPr>
              <w:t>8</w:t>
            </w:r>
          </w:p>
        </w:tc>
        <w:tc>
          <w:tcPr>
            <w:tcW w:w="1764"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厕所公则牌</w:t>
            </w:r>
          </w:p>
        </w:tc>
        <w:tc>
          <w:tcPr>
            <w:tcW w:w="722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304#1.5mm不锈钢板表面造型切割焊接，漆面复盖，图文丝印；扣件装墙</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210mm*300mm</w:t>
            </w:r>
          </w:p>
        </w:tc>
        <w:tc>
          <w:tcPr>
            <w:tcW w:w="70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2</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　</w:t>
            </w:r>
          </w:p>
        </w:tc>
        <w:tc>
          <w:tcPr>
            <w:tcW w:w="236" w:type="dxa"/>
            <w:vAlign w:val="center"/>
          </w:tcPr>
          <w:p>
            <w:pPr>
              <w:widowControl/>
              <w:jc w:val="left"/>
              <w:rPr>
                <w:rFonts w:eastAsia="Times New Roman"/>
                <w:kern w:val="0"/>
                <w:szCs w:val="21"/>
              </w:rPr>
            </w:pPr>
          </w:p>
        </w:tc>
      </w:tr>
      <w:tr>
        <w:tblPrEx>
          <w:tblLayout w:type="fixed"/>
          <w:tblCellMar>
            <w:top w:w="0" w:type="dxa"/>
            <w:left w:w="108" w:type="dxa"/>
            <w:bottom w:w="0" w:type="dxa"/>
            <w:right w:w="108" w:type="dxa"/>
          </w:tblCellMar>
        </w:tblPrEx>
        <w:trPr>
          <w:trHeight w:val="477"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Cs w:val="21"/>
                <w:lang w:eastAsia="zh-CN"/>
              </w:rPr>
            </w:pPr>
            <w:r>
              <w:rPr>
                <w:rFonts w:hint="eastAsia" w:ascii="微软雅黑" w:hAnsi="微软雅黑" w:eastAsia="微软雅黑" w:cs="宋体"/>
                <w:color w:val="000000"/>
                <w:kern w:val="0"/>
                <w:szCs w:val="21"/>
                <w:lang w:val="en-US" w:eastAsia="zh-CN"/>
              </w:rPr>
              <w:t>9</w:t>
            </w:r>
          </w:p>
        </w:tc>
        <w:tc>
          <w:tcPr>
            <w:tcW w:w="1764"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厕格牌</w:t>
            </w:r>
          </w:p>
        </w:tc>
        <w:tc>
          <w:tcPr>
            <w:tcW w:w="722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304#1.5mm不锈钢板表面造型切割焊接，漆面复盖，图文丝印；扣件装墙</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210mm*300mm</w:t>
            </w:r>
          </w:p>
        </w:tc>
        <w:tc>
          <w:tcPr>
            <w:tcW w:w="70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8</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套</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　</w:t>
            </w:r>
          </w:p>
        </w:tc>
        <w:tc>
          <w:tcPr>
            <w:tcW w:w="236" w:type="dxa"/>
            <w:vAlign w:val="center"/>
          </w:tcPr>
          <w:p>
            <w:pPr>
              <w:widowControl/>
              <w:jc w:val="left"/>
              <w:rPr>
                <w:rFonts w:eastAsia="Times New Roman"/>
                <w:kern w:val="0"/>
                <w:szCs w:val="21"/>
              </w:rPr>
            </w:pPr>
          </w:p>
        </w:tc>
      </w:tr>
    </w:tbl>
    <w:p>
      <w:pPr>
        <w:pStyle w:val="2"/>
      </w:pPr>
    </w:p>
    <w:p>
      <w:pPr>
        <w:pStyle w:val="2"/>
        <w:sectPr>
          <w:pgSz w:w="16838" w:h="11906" w:orient="landscape"/>
          <w:pgMar w:top="1797" w:right="1440" w:bottom="1797" w:left="1440" w:header="851" w:footer="992" w:gutter="0"/>
          <w:cols w:space="425" w:num="1"/>
          <w:docGrid w:type="linesAndChars" w:linePitch="312" w:charSpace="0"/>
        </w:sectPr>
      </w:pPr>
    </w:p>
    <w:p>
      <w:pPr>
        <w:spacing w:before="100" w:beforeAutospacing="1" w:after="100" w:afterAutospacing="1"/>
        <w:rPr>
          <w:rFonts w:hint="eastAsia" w:ascii="宋体" w:hAnsi="宋体" w:cs="宋体"/>
          <w:b/>
          <w:bCs/>
          <w:kern w:val="0"/>
          <w:szCs w:val="21"/>
        </w:rPr>
      </w:pPr>
      <w:r>
        <w:rPr>
          <w:rFonts w:hint="eastAsia" w:ascii="宋体" w:hAnsi="宋体" w:cs="宋体"/>
          <w:b/>
          <w:bCs/>
          <w:kern w:val="0"/>
          <w:szCs w:val="21"/>
        </w:rPr>
        <w:t xml:space="preserve">附表二： </w:t>
      </w:r>
    </w:p>
    <w:p>
      <w:pPr>
        <w:widowControl/>
        <w:spacing w:before="100" w:beforeAutospacing="1" w:after="100" w:afterAutospacing="1"/>
        <w:jc w:val="center"/>
        <w:rPr>
          <w:rFonts w:hint="eastAsia" w:ascii="宋体" w:hAnsi="宋体" w:cs="宋体"/>
          <w:b/>
          <w:bCs/>
          <w:kern w:val="0"/>
          <w:szCs w:val="21"/>
        </w:rPr>
      </w:pPr>
      <w:r>
        <w:rPr>
          <w:rFonts w:hint="eastAsia" w:ascii="宋体" w:hAnsi="宋体" w:cs="宋体"/>
          <w:b/>
          <w:bCs/>
          <w:kern w:val="0"/>
          <w:szCs w:val="21"/>
        </w:rPr>
        <w:t>承  诺  书</w:t>
      </w:r>
    </w:p>
    <w:p>
      <w:pPr>
        <w:widowControl/>
        <w:spacing w:before="100" w:beforeAutospacing="1" w:after="100" w:afterAutospacing="1"/>
        <w:jc w:val="center"/>
        <w:rPr>
          <w:rFonts w:hint="eastAsia" w:ascii="宋体" w:hAnsi="宋体" w:cs="宋体"/>
          <w:b/>
          <w:bCs/>
          <w:kern w:val="0"/>
          <w:szCs w:val="21"/>
        </w:rPr>
      </w:pPr>
      <w:r>
        <w:rPr>
          <w:rFonts w:hint="eastAsia" w:ascii="宋体" w:hAnsi="宋体" w:cs="宋体"/>
          <w:kern w:val="0"/>
          <w:szCs w:val="21"/>
        </w:rPr>
        <w:t>（本投标承诺书随同投标文件一起密封递交）</w:t>
      </w:r>
    </w:p>
    <w:p>
      <w:pPr>
        <w:rPr>
          <w:rFonts w:hint="eastAsia" w:ascii="宋体" w:hAnsi="宋体" w:cs="宋体"/>
          <w:kern w:val="0"/>
          <w:szCs w:val="21"/>
        </w:rPr>
      </w:pPr>
      <w:r>
        <w:rPr>
          <w:rFonts w:hint="eastAsia" w:ascii="宋体" w:hAnsi="宋体" w:cs="宋体"/>
          <w:kern w:val="0"/>
          <w:szCs w:val="21"/>
        </w:rPr>
        <w:t>项目名称：南沙湿地二期导视系统采购及安装项目</w:t>
      </w:r>
    </w:p>
    <w:p>
      <w:pPr>
        <w:widowControl/>
        <w:spacing w:before="100" w:beforeAutospacing="1" w:after="100" w:afterAutospacing="1"/>
        <w:jc w:val="left"/>
        <w:rPr>
          <w:rFonts w:hint="eastAsia" w:ascii="宋体" w:hAnsi="宋体" w:cs="宋体"/>
          <w:kern w:val="0"/>
          <w:szCs w:val="21"/>
          <w:u w:val="single"/>
        </w:rPr>
      </w:pPr>
      <w:r>
        <w:rPr>
          <w:rFonts w:hint="eastAsia" w:ascii="宋体" w:hAnsi="宋体" w:cs="宋体"/>
          <w:kern w:val="0"/>
          <w:szCs w:val="21"/>
        </w:rPr>
        <w:t>投标人：</w:t>
      </w:r>
      <w:r>
        <w:rPr>
          <w:rFonts w:hint="eastAsia" w:ascii="宋体" w:hAnsi="宋体" w:cs="宋体"/>
          <w:kern w:val="0"/>
          <w:szCs w:val="21"/>
          <w:u w:val="single"/>
        </w:rPr>
        <w:t xml:space="preserve">                                           </w:t>
      </w:r>
    </w:p>
    <w:p>
      <w:pPr>
        <w:widowControl/>
        <w:spacing w:before="100" w:beforeAutospacing="1" w:after="100" w:afterAutospacing="1"/>
        <w:jc w:val="left"/>
        <w:rPr>
          <w:rFonts w:hint="eastAsia" w:ascii="宋体" w:hAnsi="宋体" w:cs="宋体"/>
          <w:kern w:val="0"/>
          <w:szCs w:val="21"/>
        </w:rPr>
      </w:pPr>
      <w:r>
        <w:rPr>
          <w:rFonts w:hint="eastAsia" w:ascii="宋体" w:hAnsi="宋体" w:cs="宋体"/>
          <w:kern w:val="0"/>
          <w:szCs w:val="21"/>
        </w:rPr>
        <w:t>致：</w:t>
      </w:r>
      <w:r>
        <w:rPr>
          <w:rFonts w:hint="eastAsia"/>
        </w:rPr>
        <w:t>广州南沙湿地旅游发展有限公司</w:t>
      </w:r>
      <w:r>
        <w:rPr>
          <w:rFonts w:hint="eastAsia" w:ascii="宋体" w:hAnsi="宋体" w:cs="宋体"/>
          <w:kern w:val="0"/>
          <w:szCs w:val="21"/>
        </w:rPr>
        <w:t>：</w:t>
      </w:r>
    </w:p>
    <w:p>
      <w:pPr>
        <w:widowControl/>
        <w:spacing w:before="100" w:beforeAutospacing="1" w:after="100" w:afterAutospacing="1"/>
        <w:jc w:val="left"/>
        <w:rPr>
          <w:rFonts w:hint="eastAsia" w:ascii="宋体" w:hAnsi="宋体" w:cs="宋体"/>
          <w:kern w:val="0"/>
          <w:szCs w:val="21"/>
        </w:rPr>
      </w:pPr>
      <w:r>
        <w:rPr>
          <w:rFonts w:hint="eastAsia" w:ascii="宋体" w:hAnsi="宋体" w:cs="宋体"/>
          <w:kern w:val="0"/>
          <w:szCs w:val="21"/>
        </w:rPr>
        <w:t xml:space="preserve">    我方已收到并研究了上述项目的招标文件和招标要求。我方愿按这些文件的规定，按照本投标书，包括一并提交的所有文件材料和所附建议书，承担上述项目并修补其中任何缺陷；我方承诺对所提供的所有文件材料真实性负责。</w:t>
      </w:r>
    </w:p>
    <w:p>
      <w:pPr>
        <w:widowControl/>
        <w:spacing w:before="100" w:beforeAutospacing="1" w:after="100" w:afterAutospacing="1"/>
        <w:ind w:firstLine="420"/>
        <w:jc w:val="left"/>
        <w:rPr>
          <w:rFonts w:hint="eastAsia" w:ascii="宋体" w:hAnsi="宋体" w:cs="宋体"/>
          <w:kern w:val="0"/>
          <w:szCs w:val="21"/>
        </w:rPr>
      </w:pPr>
      <w:r>
        <w:rPr>
          <w:rFonts w:hint="eastAsia" w:ascii="宋体" w:hAnsi="宋体" w:cs="宋体"/>
          <w:kern w:val="0"/>
          <w:szCs w:val="21"/>
        </w:rPr>
        <w:t xml:space="preserve">我方遵守本投标书直至投标有效期满，在该日期前，本投标书对我方一直具有约束力，随时可接受中标。我方承认所附投标文件资料为本投标书的一部分。我方认同招标文件规定的评审规则，遵守评标委员会的裁决结果，并且不会采取妨碍项目进展的行为。         </w:t>
      </w:r>
    </w:p>
    <w:p>
      <w:pPr>
        <w:widowControl/>
        <w:spacing w:before="100" w:beforeAutospacing="1" w:after="100" w:afterAutospacing="1"/>
        <w:ind w:firstLine="420" w:firstLineChars="200"/>
        <w:jc w:val="left"/>
        <w:rPr>
          <w:rFonts w:hint="eastAsia" w:ascii="宋体" w:hAnsi="宋体" w:cs="宋体"/>
          <w:kern w:val="0"/>
          <w:szCs w:val="21"/>
        </w:rPr>
      </w:pPr>
      <w:r>
        <w:rPr>
          <w:rFonts w:hint="eastAsia" w:ascii="宋体" w:hAnsi="宋体" w:cs="宋体"/>
          <w:kern w:val="0"/>
          <w:szCs w:val="21"/>
        </w:rPr>
        <w:t>如果我方中标，将在合同规定的日期内按照招标文件要求完成工作。</w:t>
      </w:r>
    </w:p>
    <w:p>
      <w:pPr>
        <w:widowControl/>
        <w:spacing w:before="100" w:beforeAutospacing="1" w:after="100" w:afterAutospacing="1"/>
        <w:jc w:val="left"/>
        <w:rPr>
          <w:rFonts w:hint="eastAsia" w:ascii="宋体" w:hAnsi="宋体" w:cs="宋体"/>
          <w:kern w:val="0"/>
          <w:szCs w:val="21"/>
        </w:rPr>
      </w:pPr>
      <w:r>
        <w:rPr>
          <w:rFonts w:hint="eastAsia" w:ascii="宋体" w:hAnsi="宋体" w:cs="宋体"/>
          <w:kern w:val="0"/>
          <w:szCs w:val="21"/>
        </w:rPr>
        <w:t xml:space="preserve">    投标人：（盖章）</w:t>
      </w:r>
      <w:r>
        <w:rPr>
          <w:rFonts w:hint="eastAsia" w:ascii="宋体" w:hAnsi="宋体" w:cs="宋体"/>
          <w:kern w:val="0"/>
          <w:szCs w:val="21"/>
          <w:u w:val="single"/>
        </w:rPr>
        <w:t xml:space="preserve">                                  </w:t>
      </w:r>
    </w:p>
    <w:p>
      <w:pPr>
        <w:widowControl/>
        <w:spacing w:before="100" w:beforeAutospacing="1" w:after="100" w:afterAutospacing="1" w:line="360" w:lineRule="auto"/>
        <w:jc w:val="left"/>
        <w:rPr>
          <w:rFonts w:hint="eastAsia" w:ascii="宋体" w:hAnsi="宋体" w:cs="宋体"/>
          <w:kern w:val="0"/>
          <w:szCs w:val="21"/>
        </w:rPr>
      </w:pPr>
      <w:r>
        <w:rPr>
          <w:rFonts w:hint="eastAsia" w:ascii="宋体" w:hAnsi="宋体" w:cs="宋体"/>
          <w:kern w:val="0"/>
          <w:szCs w:val="21"/>
        </w:rPr>
        <w:t xml:space="preserve">    法人或委托代理人：（签字或盖章）</w:t>
      </w:r>
      <w:r>
        <w:rPr>
          <w:rFonts w:hint="eastAsia" w:ascii="宋体" w:hAnsi="宋体" w:cs="宋体"/>
          <w:kern w:val="0"/>
          <w:szCs w:val="21"/>
          <w:u w:val="single"/>
        </w:rPr>
        <w:t xml:space="preserve">                        </w:t>
      </w:r>
    </w:p>
    <w:p>
      <w:pPr>
        <w:widowControl/>
        <w:spacing w:before="100" w:beforeAutospacing="1" w:after="100" w:afterAutospacing="1" w:line="360" w:lineRule="auto"/>
        <w:jc w:val="left"/>
        <w:rPr>
          <w:rFonts w:hint="eastAsia" w:ascii="宋体" w:hAnsi="宋体" w:cs="宋体"/>
          <w:kern w:val="0"/>
          <w:szCs w:val="21"/>
        </w:rPr>
      </w:pPr>
      <w:r>
        <w:rPr>
          <w:rFonts w:hint="eastAsia" w:ascii="宋体" w:hAnsi="宋体" w:cs="宋体"/>
          <w:kern w:val="0"/>
          <w:szCs w:val="21"/>
        </w:rPr>
        <w:t xml:space="preserve">    地址：</w:t>
      </w:r>
      <w:r>
        <w:rPr>
          <w:rFonts w:hint="eastAsia" w:ascii="宋体" w:hAnsi="宋体" w:cs="宋体"/>
          <w:kern w:val="0"/>
          <w:szCs w:val="21"/>
          <w:u w:val="single"/>
        </w:rPr>
        <w:t xml:space="preserve">                                           </w:t>
      </w:r>
    </w:p>
    <w:p>
      <w:pPr>
        <w:widowControl/>
        <w:spacing w:before="100" w:beforeAutospacing="1" w:after="100" w:afterAutospacing="1" w:line="360" w:lineRule="auto"/>
        <w:jc w:val="left"/>
        <w:rPr>
          <w:rFonts w:hint="eastAsia" w:ascii="宋体" w:hAnsi="宋体" w:cs="宋体"/>
          <w:kern w:val="0"/>
          <w:szCs w:val="21"/>
        </w:rPr>
      </w:pPr>
      <w:r>
        <w:rPr>
          <w:rFonts w:hint="eastAsia" w:ascii="宋体" w:hAnsi="宋体" w:cs="宋体"/>
          <w:kern w:val="0"/>
          <w:szCs w:val="21"/>
        </w:rPr>
        <w:t xml:space="preserve">    电话/传真：</w:t>
      </w:r>
      <w:r>
        <w:rPr>
          <w:rFonts w:hint="eastAsia" w:ascii="宋体" w:hAnsi="宋体" w:cs="宋体"/>
          <w:kern w:val="0"/>
          <w:szCs w:val="21"/>
          <w:u w:val="single"/>
        </w:rPr>
        <w:t xml:space="preserve">                    /FAX              </w:t>
      </w:r>
    </w:p>
    <w:p>
      <w:pPr>
        <w:widowControl/>
        <w:spacing w:before="100" w:beforeAutospacing="1" w:after="100" w:afterAutospacing="1" w:line="360" w:lineRule="auto"/>
        <w:jc w:val="left"/>
        <w:rPr>
          <w:rFonts w:hint="eastAsia" w:ascii="宋体" w:hAnsi="宋体" w:cs="宋体"/>
          <w:kern w:val="0"/>
          <w:szCs w:val="21"/>
        </w:rPr>
      </w:pPr>
      <w:r>
        <w:rPr>
          <w:rFonts w:hint="eastAsia" w:ascii="宋体" w:hAnsi="宋体" w:cs="宋体"/>
          <w:kern w:val="0"/>
          <w:szCs w:val="21"/>
        </w:rPr>
        <w:t xml:space="preserve">    电子邮箱：</w:t>
      </w:r>
      <w:r>
        <w:rPr>
          <w:rFonts w:hint="eastAsia" w:ascii="宋体" w:hAnsi="宋体" w:cs="宋体"/>
          <w:kern w:val="0"/>
          <w:szCs w:val="21"/>
          <w:u w:val="single"/>
        </w:rPr>
        <w:t xml:space="preserve">                                       </w:t>
      </w:r>
    </w:p>
    <w:p>
      <w:pPr>
        <w:widowControl/>
        <w:spacing w:before="100" w:beforeAutospacing="1" w:after="100" w:afterAutospacing="1" w:line="360" w:lineRule="auto"/>
        <w:jc w:val="left"/>
        <w:rPr>
          <w:rFonts w:hint="eastAsia" w:ascii="宋体" w:hAnsi="宋体" w:cs="宋体"/>
          <w:kern w:val="0"/>
          <w:szCs w:val="21"/>
        </w:rPr>
      </w:pPr>
      <w:r>
        <w:rPr>
          <w:rFonts w:hint="eastAsia" w:ascii="宋体" w:hAnsi="宋体" w:cs="宋体"/>
          <w:kern w:val="0"/>
          <w:szCs w:val="21"/>
        </w:rPr>
        <w:t xml:space="preserve">                              日期：2020年   月    日</w:t>
      </w:r>
    </w:p>
    <w:p>
      <w:pPr>
        <w:widowControl/>
        <w:spacing w:before="100" w:beforeAutospacing="1" w:after="100" w:afterAutospacing="1" w:line="360" w:lineRule="auto"/>
        <w:jc w:val="left"/>
        <w:rPr>
          <w:rFonts w:ascii="宋体" w:hAnsi="宋体" w:cs="宋体"/>
          <w:kern w:val="0"/>
          <w:szCs w:val="21"/>
        </w:rPr>
        <w:sectPr>
          <w:pgSz w:w="11906" w:h="16838"/>
          <w:pgMar w:top="1440" w:right="1797" w:bottom="1440" w:left="1797" w:header="851" w:footer="992" w:gutter="0"/>
          <w:cols w:space="425" w:num="1"/>
          <w:docGrid w:type="lines" w:linePitch="312" w:charSpace="0"/>
        </w:sectPr>
      </w:pPr>
    </w:p>
    <w:p>
      <w:pPr>
        <w:spacing w:line="360" w:lineRule="auto"/>
        <w:ind w:firstLine="278" w:firstLineChars="116"/>
        <w:rPr>
          <w:rFonts w:hint="eastAsia" w:ascii="宋体" w:hAnsi="宋体"/>
          <w:sz w:val="24"/>
        </w:rPr>
      </w:pPr>
      <w:r>
        <w:rPr>
          <w:rFonts w:hint="eastAsia" w:ascii="宋体" w:hAnsi="宋体"/>
          <w:sz w:val="24"/>
        </w:rPr>
        <w:t>附表三</w:t>
      </w:r>
    </w:p>
    <w:p>
      <w:pPr>
        <w:spacing w:line="360" w:lineRule="auto"/>
        <w:jc w:val="center"/>
        <w:rPr>
          <w:rFonts w:hint="eastAsia" w:ascii="宋体" w:hAnsi="宋体"/>
          <w:b/>
          <w:sz w:val="36"/>
          <w:szCs w:val="36"/>
        </w:rPr>
      </w:pPr>
      <w:r>
        <w:rPr>
          <w:rFonts w:hint="eastAsia" w:ascii="宋体" w:hAnsi="宋体"/>
          <w:b/>
          <w:sz w:val="36"/>
          <w:szCs w:val="36"/>
        </w:rPr>
        <w:t>符合性审查表</w:t>
      </w:r>
    </w:p>
    <w:p>
      <w:pPr>
        <w:spacing w:line="360" w:lineRule="auto"/>
        <w:ind w:firstLine="420" w:firstLineChars="200"/>
        <w:rPr>
          <w:rFonts w:hint="eastAsia" w:ascii="宋体" w:hAnsi="宋体"/>
          <w:b/>
          <w:szCs w:val="21"/>
        </w:rPr>
      </w:pPr>
      <w:r>
        <w:rPr>
          <w:rFonts w:hint="eastAsia" w:ascii="宋体" w:hAnsi="宋体"/>
          <w:b/>
          <w:szCs w:val="21"/>
        </w:rPr>
        <w:t>项目名称：</w:t>
      </w:r>
      <w:r>
        <w:rPr>
          <w:rFonts w:hint="eastAsia" w:ascii="宋体" w:hAnsi="宋体" w:cs="宋体"/>
          <w:kern w:val="0"/>
          <w:szCs w:val="21"/>
        </w:rPr>
        <w:t>南沙湿地二期导视系统采购及安装项目</w:t>
      </w:r>
    </w:p>
    <w:tbl>
      <w:tblPr>
        <w:tblStyle w:val="8"/>
        <w:tblW w:w="13777" w:type="dxa"/>
        <w:tblInd w:w="6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5300"/>
        <w:gridCol w:w="6590"/>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8" w:hRule="atLeast"/>
        </w:trPr>
        <w:tc>
          <w:tcPr>
            <w:tcW w:w="531" w:type="dxa"/>
            <w:vAlign w:val="center"/>
          </w:tcPr>
          <w:p>
            <w:pPr>
              <w:jc w:val="center"/>
              <w:rPr>
                <w:rFonts w:hint="eastAsia" w:ascii="宋体" w:hAnsi="宋体"/>
                <w:sz w:val="24"/>
              </w:rPr>
            </w:pPr>
            <w:r>
              <w:rPr>
                <w:rFonts w:hint="eastAsia" w:ascii="宋体" w:hAnsi="宋体"/>
                <w:sz w:val="24"/>
              </w:rPr>
              <w:t>序号</w:t>
            </w:r>
          </w:p>
        </w:tc>
        <w:tc>
          <w:tcPr>
            <w:tcW w:w="5300" w:type="dxa"/>
            <w:vAlign w:val="center"/>
          </w:tcPr>
          <w:p>
            <w:pPr>
              <w:jc w:val="center"/>
              <w:rPr>
                <w:rFonts w:hint="eastAsia"/>
                <w:sz w:val="24"/>
              </w:rPr>
            </w:pPr>
            <w:r>
              <w:rPr>
                <w:rFonts w:hint="eastAsia" w:ascii="宋体" w:hAnsi="宋体"/>
                <w:sz w:val="24"/>
              </w:rPr>
              <w:t xml:space="preserve">项目 </w:t>
            </w:r>
          </w:p>
        </w:tc>
        <w:tc>
          <w:tcPr>
            <w:tcW w:w="6590" w:type="dxa"/>
            <w:vAlign w:val="center"/>
          </w:tcPr>
          <w:p>
            <w:pPr>
              <w:jc w:val="center"/>
              <w:rPr>
                <w:rFonts w:hint="eastAsia" w:ascii="宋体" w:hAnsi="宋体"/>
                <w:sz w:val="24"/>
              </w:rPr>
            </w:pPr>
            <w:r>
              <w:rPr>
                <w:rFonts w:hint="eastAsia" w:ascii="宋体" w:hAnsi="宋体"/>
                <w:sz w:val="24"/>
              </w:rPr>
              <w:t>评审说明</w:t>
            </w:r>
          </w:p>
        </w:tc>
        <w:tc>
          <w:tcPr>
            <w:tcW w:w="1356" w:type="dxa"/>
            <w:vAlign w:val="center"/>
          </w:tcPr>
          <w:p>
            <w:pPr>
              <w:jc w:val="center"/>
              <w:rPr>
                <w:rFonts w:hint="eastAsia" w:ascii="宋体" w:hAnsi="宋体"/>
                <w:sz w:val="24"/>
              </w:rPr>
            </w:pPr>
            <w:r>
              <w:rPr>
                <w:rFonts w:hint="eastAsia" w:ascii="宋体" w:hAnsi="宋体"/>
                <w:sz w:val="24"/>
              </w:rPr>
              <w:t>投标单位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531" w:type="dxa"/>
            <w:vAlign w:val="center"/>
          </w:tcPr>
          <w:p>
            <w:pPr>
              <w:jc w:val="center"/>
              <w:rPr>
                <w:rFonts w:hint="eastAsia" w:ascii="宋体" w:hAnsi="宋体"/>
                <w:sz w:val="24"/>
              </w:rPr>
            </w:pPr>
            <w:r>
              <w:rPr>
                <w:rFonts w:hint="eastAsia" w:ascii="宋体" w:hAnsi="宋体"/>
                <w:sz w:val="24"/>
              </w:rPr>
              <w:t>1</w:t>
            </w:r>
          </w:p>
        </w:tc>
        <w:tc>
          <w:tcPr>
            <w:tcW w:w="5300" w:type="dxa"/>
            <w:vAlign w:val="center"/>
          </w:tcPr>
          <w:p>
            <w:pPr>
              <w:jc w:val="center"/>
              <w:rPr>
                <w:rFonts w:hint="eastAsia" w:ascii="宋体" w:hAnsi="宋体"/>
                <w:sz w:val="24"/>
              </w:rPr>
            </w:pPr>
            <w:r>
              <w:rPr>
                <w:rFonts w:hint="eastAsia" w:ascii="宋体" w:hAnsi="宋体"/>
                <w:sz w:val="24"/>
              </w:rPr>
              <w:t>投标文件密封性</w:t>
            </w:r>
          </w:p>
        </w:tc>
        <w:tc>
          <w:tcPr>
            <w:tcW w:w="6590" w:type="dxa"/>
          </w:tcPr>
          <w:p>
            <w:pPr>
              <w:rPr>
                <w:rFonts w:hint="eastAsia" w:ascii="宋体" w:hAnsi="宋体"/>
                <w:sz w:val="24"/>
              </w:rPr>
            </w:pPr>
            <w:r>
              <w:rPr>
                <w:rFonts w:hint="eastAsia" w:ascii="宋体" w:hAnsi="宋体"/>
                <w:sz w:val="24"/>
              </w:rPr>
              <w:t>1、密封为有效。2、不密封为无效。</w:t>
            </w:r>
          </w:p>
        </w:tc>
        <w:tc>
          <w:tcPr>
            <w:tcW w:w="1356" w:type="dxa"/>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531" w:type="dxa"/>
            <w:vAlign w:val="center"/>
          </w:tcPr>
          <w:p>
            <w:pPr>
              <w:jc w:val="center"/>
              <w:rPr>
                <w:rFonts w:hint="eastAsia" w:ascii="宋体" w:hAnsi="宋体"/>
                <w:sz w:val="24"/>
              </w:rPr>
            </w:pPr>
            <w:r>
              <w:rPr>
                <w:rFonts w:hint="eastAsia" w:ascii="宋体" w:hAnsi="宋体"/>
                <w:sz w:val="24"/>
              </w:rPr>
              <w:t>2</w:t>
            </w:r>
          </w:p>
        </w:tc>
        <w:tc>
          <w:tcPr>
            <w:tcW w:w="5300" w:type="dxa"/>
            <w:vAlign w:val="center"/>
          </w:tcPr>
          <w:p>
            <w:pPr>
              <w:jc w:val="center"/>
              <w:rPr>
                <w:rFonts w:hint="eastAsia" w:ascii="宋体" w:hAnsi="宋体"/>
                <w:sz w:val="24"/>
              </w:rPr>
            </w:pPr>
            <w:r>
              <w:rPr>
                <w:rFonts w:hint="eastAsia" w:ascii="宋体" w:hAnsi="宋体"/>
                <w:sz w:val="24"/>
              </w:rPr>
              <w:t xml:space="preserve">投标文件是否每页加盖公章 </w:t>
            </w:r>
          </w:p>
        </w:tc>
        <w:tc>
          <w:tcPr>
            <w:tcW w:w="6590" w:type="dxa"/>
          </w:tcPr>
          <w:p>
            <w:pPr>
              <w:rPr>
                <w:rFonts w:hint="eastAsia" w:ascii="宋体" w:hAnsi="宋体"/>
                <w:sz w:val="24"/>
              </w:rPr>
            </w:pPr>
            <w:r>
              <w:rPr>
                <w:rFonts w:hint="eastAsia" w:ascii="宋体" w:hAnsi="宋体"/>
                <w:sz w:val="24"/>
              </w:rPr>
              <w:t>1、有为有效。2、无为无效。</w:t>
            </w:r>
          </w:p>
        </w:tc>
        <w:tc>
          <w:tcPr>
            <w:tcW w:w="1356" w:type="dxa"/>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9" w:hRule="atLeast"/>
        </w:trPr>
        <w:tc>
          <w:tcPr>
            <w:tcW w:w="531" w:type="dxa"/>
            <w:vAlign w:val="center"/>
          </w:tcPr>
          <w:p>
            <w:pPr>
              <w:jc w:val="center"/>
              <w:rPr>
                <w:rFonts w:hint="eastAsia" w:ascii="宋体" w:hAnsi="宋体"/>
                <w:sz w:val="24"/>
              </w:rPr>
            </w:pPr>
            <w:r>
              <w:rPr>
                <w:rFonts w:hint="eastAsia" w:ascii="宋体" w:hAnsi="宋体"/>
                <w:sz w:val="24"/>
              </w:rPr>
              <w:t>3</w:t>
            </w:r>
          </w:p>
        </w:tc>
        <w:tc>
          <w:tcPr>
            <w:tcW w:w="5300" w:type="dxa"/>
            <w:vAlign w:val="center"/>
          </w:tcPr>
          <w:p>
            <w:pPr>
              <w:rPr>
                <w:rFonts w:hint="eastAsia" w:ascii="宋体" w:hAnsi="宋体"/>
                <w:sz w:val="24"/>
              </w:rPr>
            </w:pPr>
            <w:r>
              <w:rPr>
                <w:rFonts w:hint="eastAsia" w:hAnsi="宋体"/>
                <w:szCs w:val="21"/>
              </w:rPr>
              <w:t>资格证明文件：营业执照复印件加盖公章；法定代表人证明书、法定代表人授权委托书原件</w:t>
            </w:r>
          </w:p>
        </w:tc>
        <w:tc>
          <w:tcPr>
            <w:tcW w:w="6590" w:type="dxa"/>
            <w:vAlign w:val="center"/>
          </w:tcPr>
          <w:p>
            <w:pPr>
              <w:numPr>
                <w:ilvl w:val="0"/>
                <w:numId w:val="2"/>
              </w:numPr>
              <w:tabs>
                <w:tab w:val="left" w:pos="0"/>
                <w:tab w:val="clear" w:pos="360"/>
              </w:tabs>
              <w:ind w:left="0" w:firstLine="0"/>
              <w:rPr>
                <w:rFonts w:hint="eastAsia" w:ascii="宋体" w:hAnsi="宋体"/>
                <w:sz w:val="24"/>
              </w:rPr>
            </w:pPr>
            <w:r>
              <w:rPr>
                <w:rFonts w:hint="eastAsia" w:ascii="宋体" w:hAnsi="宋体"/>
                <w:sz w:val="24"/>
              </w:rPr>
              <w:t>符合评审项目要求的为“有效”。</w:t>
            </w:r>
          </w:p>
          <w:p>
            <w:pPr>
              <w:numPr>
                <w:ilvl w:val="0"/>
                <w:numId w:val="2"/>
              </w:numPr>
              <w:tabs>
                <w:tab w:val="left" w:pos="0"/>
                <w:tab w:val="clear" w:pos="360"/>
              </w:tabs>
              <w:ind w:left="0" w:firstLine="0"/>
              <w:rPr>
                <w:rFonts w:hint="eastAsia" w:ascii="宋体" w:hAnsi="宋体"/>
                <w:sz w:val="24"/>
              </w:rPr>
            </w:pPr>
            <w:r>
              <w:rPr>
                <w:rFonts w:hint="eastAsia" w:ascii="宋体" w:hAnsi="宋体"/>
                <w:sz w:val="24"/>
              </w:rPr>
              <w:t>不符合评审项目要求的为“无效”。</w:t>
            </w:r>
          </w:p>
        </w:tc>
        <w:tc>
          <w:tcPr>
            <w:tcW w:w="1356" w:type="dxa"/>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3" w:hRule="atLeast"/>
        </w:trPr>
        <w:tc>
          <w:tcPr>
            <w:tcW w:w="531" w:type="dxa"/>
            <w:vAlign w:val="center"/>
          </w:tcPr>
          <w:p>
            <w:pPr>
              <w:jc w:val="center"/>
              <w:rPr>
                <w:rFonts w:hint="eastAsia" w:ascii="宋体" w:hAnsi="宋体"/>
                <w:sz w:val="24"/>
              </w:rPr>
            </w:pPr>
            <w:r>
              <w:rPr>
                <w:rFonts w:hint="eastAsia" w:ascii="宋体" w:hAnsi="宋体"/>
                <w:sz w:val="24"/>
              </w:rPr>
              <w:t>4</w:t>
            </w:r>
          </w:p>
        </w:tc>
        <w:tc>
          <w:tcPr>
            <w:tcW w:w="5300" w:type="dxa"/>
            <w:vAlign w:val="center"/>
          </w:tcPr>
          <w:p>
            <w:pPr>
              <w:rPr>
                <w:rFonts w:hint="eastAsia" w:hAnsi="宋体"/>
                <w:szCs w:val="21"/>
              </w:rPr>
            </w:pPr>
            <w:r>
              <w:rPr>
                <w:rFonts w:hint="eastAsia"/>
              </w:rPr>
              <w:t>投标人的营业执照应包含有展览或广告、装修、装饰、标识板制作的任意一项的经营范围，且申请人须在广州市内注册登记或具有注册的分支机构；</w:t>
            </w:r>
          </w:p>
        </w:tc>
        <w:tc>
          <w:tcPr>
            <w:tcW w:w="6590" w:type="dxa"/>
            <w:vAlign w:val="center"/>
          </w:tcPr>
          <w:p>
            <w:pPr>
              <w:tabs>
                <w:tab w:val="left" w:pos="0"/>
              </w:tabs>
              <w:rPr>
                <w:rFonts w:hint="eastAsia" w:ascii="宋体" w:hAnsi="宋体"/>
                <w:sz w:val="24"/>
              </w:rPr>
            </w:pPr>
            <w:r>
              <w:rPr>
                <w:rFonts w:hint="eastAsia" w:ascii="宋体" w:hAnsi="宋体"/>
                <w:sz w:val="24"/>
              </w:rPr>
              <w:t>1、符合评审项目要求的为“有效”。</w:t>
            </w:r>
          </w:p>
          <w:p>
            <w:pPr>
              <w:tabs>
                <w:tab w:val="left" w:pos="0"/>
              </w:tabs>
              <w:rPr>
                <w:rFonts w:hint="eastAsia" w:ascii="宋体" w:hAnsi="宋体"/>
                <w:sz w:val="24"/>
              </w:rPr>
            </w:pPr>
            <w:r>
              <w:rPr>
                <w:rFonts w:hint="eastAsia" w:ascii="宋体" w:hAnsi="宋体"/>
                <w:sz w:val="24"/>
              </w:rPr>
              <w:t>2、不符合评审项目要求的为“无效”。</w:t>
            </w:r>
          </w:p>
        </w:tc>
        <w:tc>
          <w:tcPr>
            <w:tcW w:w="1356" w:type="dxa"/>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531" w:type="dxa"/>
            <w:vAlign w:val="center"/>
          </w:tcPr>
          <w:p>
            <w:pPr>
              <w:jc w:val="center"/>
              <w:rPr>
                <w:rFonts w:hint="eastAsia" w:ascii="宋体" w:hAnsi="宋体"/>
                <w:sz w:val="24"/>
              </w:rPr>
            </w:pPr>
            <w:r>
              <w:rPr>
                <w:rFonts w:hint="eastAsia" w:ascii="宋体" w:hAnsi="宋体"/>
                <w:sz w:val="24"/>
              </w:rPr>
              <w:t>5</w:t>
            </w:r>
          </w:p>
        </w:tc>
        <w:tc>
          <w:tcPr>
            <w:tcW w:w="5300" w:type="dxa"/>
            <w:vAlign w:val="center"/>
          </w:tcPr>
          <w:p>
            <w:pPr>
              <w:rPr>
                <w:rFonts w:hint="eastAsia" w:ascii="宋体" w:hAnsi="宋体"/>
                <w:sz w:val="24"/>
              </w:rPr>
            </w:pPr>
            <w:r>
              <w:rPr>
                <w:rFonts w:hint="eastAsia" w:ascii="宋体" w:hAnsi="宋体"/>
                <w:sz w:val="24"/>
              </w:rPr>
              <w:t>投标报价不超过最高限价</w:t>
            </w:r>
          </w:p>
        </w:tc>
        <w:tc>
          <w:tcPr>
            <w:tcW w:w="6590" w:type="dxa"/>
            <w:vAlign w:val="center"/>
          </w:tcPr>
          <w:p>
            <w:pPr>
              <w:numPr>
                <w:ilvl w:val="0"/>
                <w:numId w:val="3"/>
              </w:numPr>
              <w:rPr>
                <w:rFonts w:hint="eastAsia" w:ascii="宋体" w:hAnsi="宋体"/>
                <w:sz w:val="24"/>
              </w:rPr>
            </w:pPr>
            <w:r>
              <w:rPr>
                <w:rFonts w:hint="eastAsia" w:ascii="宋体" w:hAnsi="宋体"/>
                <w:sz w:val="24"/>
              </w:rPr>
              <w:t>投标报价书符合招标要求的为“有效”。</w:t>
            </w:r>
          </w:p>
          <w:p>
            <w:pPr>
              <w:numPr>
                <w:ilvl w:val="0"/>
                <w:numId w:val="3"/>
              </w:numPr>
              <w:rPr>
                <w:rFonts w:hint="eastAsia" w:ascii="宋体" w:hAnsi="宋体"/>
                <w:sz w:val="24"/>
              </w:rPr>
            </w:pPr>
            <w:r>
              <w:rPr>
                <w:rFonts w:hint="eastAsia" w:ascii="宋体" w:hAnsi="宋体"/>
                <w:sz w:val="24"/>
              </w:rPr>
              <w:t>不符合第1条规定的为“无效”。</w:t>
            </w:r>
          </w:p>
        </w:tc>
        <w:tc>
          <w:tcPr>
            <w:tcW w:w="1356" w:type="dxa"/>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1" w:hRule="atLeast"/>
        </w:trPr>
        <w:tc>
          <w:tcPr>
            <w:tcW w:w="12421" w:type="dxa"/>
            <w:gridSpan w:val="3"/>
          </w:tcPr>
          <w:p>
            <w:pPr>
              <w:rPr>
                <w:rFonts w:hint="eastAsia" w:ascii="宋体" w:hAnsi="宋体"/>
                <w:sz w:val="24"/>
              </w:rPr>
            </w:pPr>
            <w:r>
              <w:rPr>
                <w:rFonts w:hint="eastAsia" w:ascii="宋体" w:hAnsi="宋体"/>
                <w:b/>
                <w:bCs/>
                <w:sz w:val="24"/>
              </w:rPr>
              <w:t>结  论</w:t>
            </w:r>
          </w:p>
          <w:p>
            <w:pPr>
              <w:rPr>
                <w:rFonts w:hint="eastAsia" w:ascii="宋体" w:hAnsi="宋体"/>
                <w:b/>
                <w:bCs/>
                <w:sz w:val="24"/>
              </w:rPr>
            </w:pPr>
            <w:r>
              <w:rPr>
                <w:rFonts w:hint="eastAsia" w:ascii="宋体" w:hAnsi="宋体"/>
                <w:sz w:val="24"/>
              </w:rPr>
              <w:t xml:space="preserve">注：1.每一项符合的打“○”，不符合的打“×”。出现一个“×”的结论为不通过，全部条件满足的为通过。                         </w:t>
            </w:r>
          </w:p>
        </w:tc>
        <w:tc>
          <w:tcPr>
            <w:tcW w:w="1356" w:type="dxa"/>
          </w:tcPr>
          <w:p>
            <w:pPr>
              <w:widowControl/>
              <w:jc w:val="left"/>
              <w:rPr>
                <w:rFonts w:ascii="宋体" w:hAnsi="宋体"/>
                <w:b/>
                <w:bCs/>
                <w:sz w:val="24"/>
              </w:rPr>
            </w:pPr>
          </w:p>
          <w:p>
            <w:pPr>
              <w:rPr>
                <w:rFonts w:hint="eastAsia" w:ascii="宋体" w:hAnsi="宋体"/>
                <w:b/>
                <w:bCs/>
                <w:sz w:val="24"/>
              </w:rPr>
            </w:pPr>
          </w:p>
        </w:tc>
      </w:tr>
    </w:tbl>
    <w:p>
      <w:pPr>
        <w:spacing w:line="360" w:lineRule="auto"/>
        <w:rPr>
          <w:rFonts w:hint="eastAsia" w:ascii="宋体" w:hAnsi="宋体"/>
          <w:szCs w:val="21"/>
        </w:rPr>
      </w:pPr>
    </w:p>
    <w:p>
      <w:pPr>
        <w:widowControl/>
        <w:spacing w:before="100" w:beforeAutospacing="1" w:after="100" w:afterAutospacing="1" w:line="360" w:lineRule="auto"/>
        <w:jc w:val="left"/>
        <w:rPr>
          <w:rFonts w:ascii="宋体" w:hAnsi="宋体" w:cs="宋体"/>
          <w:kern w:val="0"/>
          <w:szCs w:val="21"/>
        </w:rPr>
        <w:sectPr>
          <w:pgSz w:w="16838" w:h="11906" w:orient="landscape"/>
          <w:pgMar w:top="1797" w:right="1440" w:bottom="1797" w:left="1440" w:header="851" w:footer="992" w:gutter="0"/>
          <w:cols w:space="425" w:num="1"/>
          <w:docGrid w:type="linesAndChars" w:linePitch="312" w:charSpace="0"/>
        </w:sectPr>
      </w:pPr>
    </w:p>
    <w:p>
      <w:pPr>
        <w:spacing w:line="360" w:lineRule="auto"/>
        <w:ind w:firstLine="420" w:firstLineChars="200"/>
        <w:rPr>
          <w:rFonts w:hint="eastAsia" w:ascii="宋体" w:hAnsi="宋体"/>
          <w:b/>
          <w:sz w:val="44"/>
          <w:szCs w:val="44"/>
        </w:rPr>
      </w:pPr>
      <w:r>
        <w:rPr>
          <w:rFonts w:hint="eastAsia" w:ascii="宋体" w:hAnsi="宋体"/>
          <w:szCs w:val="21"/>
        </w:rPr>
        <w:t xml:space="preserve">附件三                   </w:t>
      </w:r>
      <w:r>
        <w:rPr>
          <w:rFonts w:hint="eastAsia" w:ascii="宋体" w:hAnsi="宋体"/>
          <w:b/>
          <w:sz w:val="44"/>
          <w:szCs w:val="44"/>
        </w:rPr>
        <w:t xml:space="preserve">  技术图审表</w:t>
      </w:r>
    </w:p>
    <w:tbl>
      <w:tblPr>
        <w:tblStyle w:val="9"/>
        <w:tblpPr w:leftFromText="180" w:rightFromText="180" w:vertAnchor="text" w:horzAnchor="margin" w:tblpXSpec="center" w:tblpY="238"/>
        <w:tblW w:w="10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6"/>
        <w:gridCol w:w="4414"/>
        <w:gridCol w:w="3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6" w:type="dxa"/>
          </w:tcPr>
          <w:p>
            <w:pPr>
              <w:spacing w:line="360" w:lineRule="auto"/>
              <w:jc w:val="center"/>
              <w:rPr>
                <w:rFonts w:hint="eastAsia" w:ascii="宋体" w:hAnsi="宋体"/>
                <w:kern w:val="0"/>
                <w:sz w:val="28"/>
                <w:szCs w:val="28"/>
              </w:rPr>
            </w:pPr>
            <w:r>
              <w:rPr>
                <w:rFonts w:hint="eastAsia" w:ascii="宋体" w:hAnsi="宋体"/>
                <w:kern w:val="0"/>
                <w:sz w:val="28"/>
                <w:szCs w:val="28"/>
              </w:rPr>
              <w:t>项目</w:t>
            </w:r>
          </w:p>
        </w:tc>
        <w:tc>
          <w:tcPr>
            <w:tcW w:w="4414" w:type="dxa"/>
          </w:tcPr>
          <w:p>
            <w:pPr>
              <w:spacing w:line="360" w:lineRule="auto"/>
              <w:jc w:val="center"/>
              <w:rPr>
                <w:rFonts w:hint="eastAsia" w:ascii="宋体" w:hAnsi="宋体"/>
                <w:kern w:val="0"/>
                <w:sz w:val="28"/>
                <w:szCs w:val="28"/>
              </w:rPr>
            </w:pPr>
            <w:r>
              <w:rPr>
                <w:rFonts w:hint="eastAsia" w:ascii="宋体" w:hAnsi="宋体"/>
                <w:kern w:val="0"/>
                <w:sz w:val="28"/>
                <w:szCs w:val="28"/>
              </w:rPr>
              <w:t>评分标准</w:t>
            </w:r>
          </w:p>
        </w:tc>
        <w:tc>
          <w:tcPr>
            <w:tcW w:w="3234" w:type="dxa"/>
          </w:tcPr>
          <w:p>
            <w:pPr>
              <w:spacing w:line="360" w:lineRule="auto"/>
              <w:jc w:val="center"/>
              <w:rPr>
                <w:rFonts w:hint="eastAsia" w:ascii="宋体" w:hAnsi="宋体"/>
                <w:kern w:val="0"/>
                <w:sz w:val="28"/>
                <w:szCs w:val="28"/>
              </w:rPr>
            </w:pPr>
            <w:r>
              <w:rPr>
                <w:rFonts w:hint="eastAsia" w:ascii="宋体" w:hAnsi="宋体"/>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6" w:type="dxa"/>
            <w:vAlign w:val="center"/>
          </w:tcPr>
          <w:p>
            <w:pPr>
              <w:spacing w:line="360" w:lineRule="auto"/>
              <w:jc w:val="center"/>
              <w:rPr>
                <w:rFonts w:hint="eastAsia" w:ascii="宋体" w:hAnsi="宋体"/>
                <w:kern w:val="0"/>
                <w:sz w:val="20"/>
                <w:szCs w:val="21"/>
              </w:rPr>
            </w:pPr>
            <w:r>
              <w:rPr>
                <w:rFonts w:hint="eastAsia" w:ascii="宋体" w:hAnsi="宋体"/>
                <w:kern w:val="0"/>
                <w:sz w:val="20"/>
                <w:szCs w:val="21"/>
              </w:rPr>
              <w:t>公共信息标识牌点位图</w:t>
            </w:r>
          </w:p>
        </w:tc>
        <w:tc>
          <w:tcPr>
            <w:tcW w:w="4414" w:type="dxa"/>
          </w:tcPr>
          <w:p>
            <w:pPr>
              <w:spacing w:line="360" w:lineRule="auto"/>
              <w:rPr>
                <w:rFonts w:hint="eastAsia" w:ascii="宋体" w:hAnsi="宋体"/>
                <w:kern w:val="0"/>
                <w:sz w:val="20"/>
                <w:szCs w:val="21"/>
              </w:rPr>
            </w:pPr>
            <w:r>
              <w:rPr>
                <w:rFonts w:hint="eastAsia" w:ascii="宋体" w:hAnsi="宋体"/>
                <w:kern w:val="0"/>
                <w:sz w:val="20"/>
                <w:szCs w:val="21"/>
              </w:rPr>
              <w:t>参照招标文件附件一进行制定，安放位置是否合理，清晰；是否具有导向明了功能；是否符合GB/T15566《公共信息导向系统 设置原则与要求》。优为8-10，良为4-7 ，一般0-3</w:t>
            </w:r>
          </w:p>
        </w:tc>
        <w:tc>
          <w:tcPr>
            <w:tcW w:w="3234" w:type="dxa"/>
            <w:vAlign w:val="center"/>
          </w:tcPr>
          <w:p>
            <w:pPr>
              <w:spacing w:line="360" w:lineRule="auto"/>
              <w:jc w:val="center"/>
              <w:rPr>
                <w:rFonts w:hint="eastAsia" w:ascii="宋体" w:hAnsi="宋体"/>
                <w:kern w:val="0"/>
                <w:sz w:val="28"/>
                <w:szCs w:val="28"/>
              </w:rPr>
            </w:pPr>
            <w:r>
              <w:rPr>
                <w:rFonts w:hint="eastAsia" w:ascii="宋体" w:hAnsi="宋体"/>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1" w:hRule="atLeast"/>
        </w:trPr>
        <w:tc>
          <w:tcPr>
            <w:tcW w:w="2706" w:type="dxa"/>
            <w:vAlign w:val="center"/>
          </w:tcPr>
          <w:p>
            <w:pPr>
              <w:spacing w:line="360" w:lineRule="auto"/>
              <w:jc w:val="center"/>
              <w:rPr>
                <w:rFonts w:hint="eastAsia" w:ascii="宋体" w:hAnsi="宋体"/>
                <w:kern w:val="0"/>
                <w:sz w:val="20"/>
                <w:szCs w:val="21"/>
              </w:rPr>
            </w:pPr>
            <w:r>
              <w:rPr>
                <w:rFonts w:hint="eastAsia" w:ascii="宋体" w:hAnsi="宋体"/>
                <w:kern w:val="0"/>
                <w:sz w:val="20"/>
                <w:szCs w:val="21"/>
              </w:rPr>
              <w:t>公共信息标识牌设计规范</w:t>
            </w:r>
          </w:p>
        </w:tc>
        <w:tc>
          <w:tcPr>
            <w:tcW w:w="4414" w:type="dxa"/>
          </w:tcPr>
          <w:p>
            <w:pPr>
              <w:spacing w:line="360" w:lineRule="auto"/>
              <w:rPr>
                <w:rFonts w:hint="eastAsia" w:ascii="宋体" w:hAnsi="宋体"/>
                <w:kern w:val="0"/>
                <w:sz w:val="20"/>
                <w:szCs w:val="21"/>
              </w:rPr>
            </w:pPr>
            <w:r>
              <w:rPr>
                <w:rFonts w:hint="eastAsia" w:ascii="宋体" w:hAnsi="宋体"/>
                <w:kern w:val="0"/>
                <w:sz w:val="20"/>
                <w:szCs w:val="21"/>
              </w:rPr>
              <w:t>投标单位所设计标识牌图样是否符合GB/T10001《标志用公共信息图形符号》、GB/T15566《公共信息导向系统 设置原则与要求》、GB/T20501《公共信息导向系统 要素的设计原则与要求》及地方标准DB44/T 603-2009公共标志英文译法规范等系列技术法规的设计规范等相关条例，符合得分10分，基本符合5-9分，不符合则为废标。</w:t>
            </w:r>
          </w:p>
        </w:tc>
        <w:tc>
          <w:tcPr>
            <w:tcW w:w="3234" w:type="dxa"/>
            <w:vAlign w:val="center"/>
          </w:tcPr>
          <w:p>
            <w:pPr>
              <w:spacing w:line="360" w:lineRule="auto"/>
              <w:jc w:val="center"/>
              <w:rPr>
                <w:rFonts w:hint="eastAsia" w:ascii="宋体" w:hAnsi="宋体"/>
                <w:kern w:val="0"/>
                <w:sz w:val="28"/>
                <w:szCs w:val="28"/>
              </w:rPr>
            </w:pPr>
            <w:r>
              <w:rPr>
                <w:rFonts w:hint="eastAsia" w:ascii="宋体" w:hAnsi="宋体"/>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6" w:type="dxa"/>
            <w:vAlign w:val="center"/>
          </w:tcPr>
          <w:p>
            <w:pPr>
              <w:spacing w:line="360" w:lineRule="auto"/>
              <w:jc w:val="center"/>
              <w:rPr>
                <w:rFonts w:hint="eastAsia" w:ascii="宋体" w:hAnsi="宋体"/>
                <w:kern w:val="0"/>
                <w:sz w:val="28"/>
                <w:szCs w:val="28"/>
              </w:rPr>
            </w:pPr>
            <w:r>
              <w:rPr>
                <w:rFonts w:hint="eastAsia" w:ascii="宋体" w:hAnsi="宋体"/>
                <w:kern w:val="0"/>
                <w:sz w:val="28"/>
                <w:szCs w:val="28"/>
              </w:rPr>
              <w:t>标识牌外观设计</w:t>
            </w:r>
          </w:p>
        </w:tc>
        <w:tc>
          <w:tcPr>
            <w:tcW w:w="4414" w:type="dxa"/>
          </w:tcPr>
          <w:p>
            <w:pPr>
              <w:spacing w:line="360" w:lineRule="auto"/>
              <w:rPr>
                <w:rFonts w:hint="eastAsia" w:ascii="宋体" w:hAnsi="宋体"/>
                <w:kern w:val="0"/>
                <w:sz w:val="20"/>
                <w:szCs w:val="21"/>
              </w:rPr>
            </w:pPr>
            <w:r>
              <w:rPr>
                <w:rFonts w:hint="eastAsia" w:ascii="宋体" w:hAnsi="宋体"/>
                <w:kern w:val="0"/>
                <w:sz w:val="20"/>
                <w:szCs w:val="21"/>
              </w:rPr>
              <w:t>投标单位所设计标识牌图样是否结合景区文化精神、内涵，结合景区标志，所设计样式是否符合创国家级4A景区要求。优为40-30，良为20-29  ，一般为10-19，差为0-9。</w:t>
            </w:r>
          </w:p>
        </w:tc>
        <w:tc>
          <w:tcPr>
            <w:tcW w:w="3234" w:type="dxa"/>
            <w:vAlign w:val="center"/>
          </w:tcPr>
          <w:p>
            <w:pPr>
              <w:spacing w:line="360" w:lineRule="auto"/>
              <w:jc w:val="center"/>
              <w:rPr>
                <w:rFonts w:hint="eastAsia" w:ascii="宋体" w:hAnsi="宋体"/>
                <w:kern w:val="0"/>
                <w:sz w:val="28"/>
                <w:szCs w:val="28"/>
              </w:rPr>
            </w:pPr>
            <w:r>
              <w:rPr>
                <w:rFonts w:hint="eastAsia" w:ascii="宋体" w:hAnsi="宋体"/>
                <w:kern w:val="0"/>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6" w:type="dxa"/>
            <w:vAlign w:val="center"/>
          </w:tcPr>
          <w:p>
            <w:pPr>
              <w:spacing w:line="360" w:lineRule="auto"/>
              <w:jc w:val="center"/>
              <w:rPr>
                <w:rFonts w:hint="eastAsia" w:ascii="宋体" w:hAnsi="宋体"/>
                <w:kern w:val="0"/>
                <w:sz w:val="28"/>
                <w:szCs w:val="28"/>
              </w:rPr>
            </w:pPr>
            <w:r>
              <w:rPr>
                <w:rFonts w:hint="eastAsia" w:ascii="宋体" w:hAnsi="宋体"/>
                <w:kern w:val="0"/>
                <w:sz w:val="28"/>
                <w:szCs w:val="28"/>
              </w:rPr>
              <w:t>类似业绩</w:t>
            </w:r>
          </w:p>
        </w:tc>
        <w:tc>
          <w:tcPr>
            <w:tcW w:w="4414" w:type="dxa"/>
          </w:tcPr>
          <w:p>
            <w:pPr>
              <w:spacing w:line="360" w:lineRule="auto"/>
              <w:rPr>
                <w:rFonts w:hint="eastAsia" w:ascii="宋体" w:hAnsi="宋体"/>
                <w:kern w:val="0"/>
                <w:sz w:val="20"/>
                <w:szCs w:val="21"/>
              </w:rPr>
            </w:pPr>
            <w:r>
              <w:rPr>
                <w:rFonts w:hint="eastAsia" w:ascii="宋体" w:hAnsi="宋体"/>
                <w:kern w:val="0"/>
                <w:sz w:val="20"/>
                <w:szCs w:val="21"/>
              </w:rPr>
              <w:t>具有公共信息标识牌设置业绩的每项为5分，</w:t>
            </w:r>
          </w:p>
          <w:p>
            <w:pPr>
              <w:spacing w:line="360" w:lineRule="auto"/>
              <w:rPr>
                <w:rFonts w:hint="eastAsia" w:ascii="宋体" w:hAnsi="宋体"/>
                <w:kern w:val="0"/>
                <w:sz w:val="28"/>
                <w:szCs w:val="28"/>
              </w:rPr>
            </w:pPr>
            <w:r>
              <w:rPr>
                <w:rFonts w:hint="eastAsia" w:ascii="宋体" w:hAnsi="宋体"/>
                <w:kern w:val="0"/>
                <w:sz w:val="20"/>
                <w:szCs w:val="21"/>
              </w:rPr>
              <w:t>具有旅游景区信息表示牌设置业绩的每项为10分，最高30分。</w:t>
            </w:r>
          </w:p>
        </w:tc>
        <w:tc>
          <w:tcPr>
            <w:tcW w:w="3234" w:type="dxa"/>
            <w:vAlign w:val="center"/>
          </w:tcPr>
          <w:p>
            <w:pPr>
              <w:spacing w:line="360" w:lineRule="auto"/>
              <w:jc w:val="center"/>
              <w:rPr>
                <w:rFonts w:hint="eastAsia" w:ascii="宋体" w:hAnsi="宋体"/>
                <w:kern w:val="0"/>
                <w:sz w:val="28"/>
                <w:szCs w:val="28"/>
              </w:rPr>
            </w:pPr>
            <w:r>
              <w:rPr>
                <w:rFonts w:hint="eastAsia" w:ascii="宋体" w:hAnsi="宋体"/>
                <w:kern w:val="0"/>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6" w:type="dxa"/>
            <w:vAlign w:val="center"/>
          </w:tcPr>
          <w:p>
            <w:pPr>
              <w:spacing w:line="360" w:lineRule="auto"/>
              <w:jc w:val="center"/>
              <w:rPr>
                <w:rFonts w:hint="eastAsia" w:ascii="宋体" w:hAnsi="宋体"/>
                <w:kern w:val="0"/>
                <w:sz w:val="28"/>
                <w:szCs w:val="28"/>
              </w:rPr>
            </w:pPr>
            <w:r>
              <w:rPr>
                <w:rFonts w:hint="eastAsia" w:ascii="宋体" w:hAnsi="宋体"/>
                <w:kern w:val="0"/>
                <w:sz w:val="28"/>
                <w:szCs w:val="28"/>
              </w:rPr>
              <w:t>项目资质与安全生产许可</w:t>
            </w:r>
          </w:p>
        </w:tc>
        <w:tc>
          <w:tcPr>
            <w:tcW w:w="4414" w:type="dxa"/>
            <w:vAlign w:val="bottom"/>
          </w:tcPr>
          <w:p>
            <w:pPr>
              <w:spacing w:line="360" w:lineRule="auto"/>
              <w:rPr>
                <w:rFonts w:hint="eastAsia" w:ascii="宋体" w:hAnsi="宋体"/>
                <w:kern w:val="0"/>
                <w:sz w:val="20"/>
                <w:szCs w:val="21"/>
              </w:rPr>
            </w:pPr>
            <w:r>
              <w:rPr>
                <w:rFonts w:hint="eastAsia" w:ascii="宋体" w:hAnsi="宋体"/>
                <w:kern w:val="0"/>
                <w:sz w:val="20"/>
                <w:szCs w:val="21"/>
              </w:rPr>
              <w:t>投标单位具有建设行政主管部门颁发的企业资质证书及安全生产许可证的加5分；拟担任本项目负责人为工程师资质的加5分；最高分为10分。</w:t>
            </w:r>
          </w:p>
        </w:tc>
        <w:tc>
          <w:tcPr>
            <w:tcW w:w="3234" w:type="dxa"/>
            <w:vAlign w:val="center"/>
          </w:tcPr>
          <w:p>
            <w:pPr>
              <w:spacing w:line="360" w:lineRule="auto"/>
              <w:jc w:val="center"/>
              <w:rPr>
                <w:rFonts w:hint="eastAsia" w:ascii="宋体" w:hAnsi="宋体"/>
                <w:kern w:val="0"/>
                <w:sz w:val="28"/>
                <w:szCs w:val="28"/>
              </w:rPr>
            </w:pPr>
            <w:r>
              <w:rPr>
                <w:rFonts w:hint="eastAsia" w:ascii="宋体" w:hAnsi="宋体"/>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6" w:type="dxa"/>
            <w:vAlign w:val="center"/>
          </w:tcPr>
          <w:p>
            <w:pPr>
              <w:spacing w:line="360" w:lineRule="auto"/>
              <w:jc w:val="center"/>
              <w:rPr>
                <w:rFonts w:hint="eastAsia" w:ascii="宋体" w:hAnsi="宋体"/>
                <w:kern w:val="0"/>
                <w:sz w:val="28"/>
                <w:szCs w:val="28"/>
              </w:rPr>
            </w:pPr>
            <w:r>
              <w:rPr>
                <w:rFonts w:hint="eastAsia" w:ascii="宋体" w:hAnsi="宋体"/>
                <w:kern w:val="0"/>
                <w:sz w:val="28"/>
                <w:szCs w:val="28"/>
              </w:rPr>
              <w:t>合计</w:t>
            </w:r>
          </w:p>
        </w:tc>
        <w:tc>
          <w:tcPr>
            <w:tcW w:w="4414" w:type="dxa"/>
          </w:tcPr>
          <w:p>
            <w:pPr>
              <w:spacing w:line="360" w:lineRule="auto"/>
              <w:rPr>
                <w:rFonts w:hint="eastAsia" w:ascii="宋体" w:hAnsi="宋体"/>
                <w:kern w:val="0"/>
                <w:sz w:val="20"/>
                <w:szCs w:val="21"/>
              </w:rPr>
            </w:pPr>
          </w:p>
        </w:tc>
        <w:tc>
          <w:tcPr>
            <w:tcW w:w="3234" w:type="dxa"/>
            <w:vAlign w:val="center"/>
          </w:tcPr>
          <w:p>
            <w:pPr>
              <w:spacing w:line="360" w:lineRule="auto"/>
              <w:jc w:val="center"/>
              <w:rPr>
                <w:rFonts w:hint="eastAsia" w:ascii="宋体" w:hAnsi="宋体"/>
                <w:kern w:val="0"/>
                <w:sz w:val="28"/>
                <w:szCs w:val="28"/>
              </w:rPr>
            </w:pPr>
            <w:r>
              <w:rPr>
                <w:rFonts w:hint="eastAsia" w:ascii="宋体" w:hAnsi="宋体"/>
                <w:kern w:val="0"/>
                <w:sz w:val="28"/>
                <w:szCs w:val="28"/>
              </w:rPr>
              <w:t>100</w:t>
            </w:r>
          </w:p>
        </w:tc>
      </w:tr>
    </w:tbl>
    <w:p>
      <w:pPr>
        <w:pStyle w:val="2"/>
        <w:rPr>
          <w:rFonts w:hint="eastAsia"/>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B4900"/>
    <w:multiLevelType w:val="multilevel"/>
    <w:tmpl w:val="0B1B4900"/>
    <w:lvl w:ilvl="0" w:tentative="0">
      <w:start w:val="1"/>
      <w:numFmt w:val="decimal"/>
      <w:lvlText w:val="%1)"/>
      <w:lvlJc w:val="left"/>
      <w:pPr>
        <w:tabs>
          <w:tab w:val="left" w:pos="960"/>
        </w:tabs>
        <w:ind w:left="960" w:hanging="420"/>
      </w:p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
    <w:nsid w:val="14BB754F"/>
    <w:multiLevelType w:val="multilevel"/>
    <w:tmpl w:val="14BB754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D776E14"/>
    <w:multiLevelType w:val="multilevel"/>
    <w:tmpl w:val="2D776E14"/>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6D4E5B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2"/>
    <w:unhideWhenUsed/>
    <w:qFormat/>
    <w:uiPriority w:val="99"/>
    <w:pPr>
      <w:spacing w:after="120"/>
    </w:pPr>
  </w:style>
  <w:style w:type="paragraph" w:styleId="3">
    <w:name w:val="Plain Text"/>
    <w:basedOn w:val="1"/>
    <w:link w:val="11"/>
    <w:qFormat/>
    <w:uiPriority w:val="0"/>
    <w:rPr>
      <w:rFonts w:ascii="宋体" w:hAnsi="Courier New" w:eastAsia="仿宋_GB2312"/>
      <w:sz w:val="30"/>
      <w:szCs w:val="20"/>
    </w:rPr>
  </w:style>
  <w:style w:type="paragraph" w:styleId="4">
    <w:name w:val="Date"/>
    <w:basedOn w:val="1"/>
    <w:next w:val="1"/>
    <w:link w:val="13"/>
    <w:unhideWhenUsed/>
    <w:qFormat/>
    <w:uiPriority w:val="99"/>
    <w:pPr>
      <w:ind w:left="100" w:leftChars="2500"/>
    </w:pPr>
  </w:style>
  <w:style w:type="paragraph" w:styleId="5">
    <w:name w:val="Body Text Indent 3"/>
    <w:basedOn w:val="1"/>
    <w:link w:val="10"/>
    <w:qFormat/>
    <w:uiPriority w:val="0"/>
    <w:pPr>
      <w:spacing w:line="360" w:lineRule="auto"/>
      <w:ind w:firstLine="630" w:firstLineChars="300"/>
    </w:pPr>
  </w:style>
  <w:style w:type="paragraph" w:styleId="6">
    <w:name w:val="Normal (Web)"/>
    <w:basedOn w:val="1"/>
    <w:unhideWhenUsed/>
    <w:qFormat/>
    <w:uiPriority w:val="99"/>
    <w:rPr>
      <w:sz w:val="24"/>
    </w:rPr>
  </w:style>
  <w:style w:type="table" w:styleId="9">
    <w:name w:val="Table Grid"/>
    <w:basedOn w:val="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正文文本缩进 3 字符"/>
    <w:basedOn w:val="7"/>
    <w:link w:val="5"/>
    <w:qFormat/>
    <w:uiPriority w:val="0"/>
    <w:rPr>
      <w:rFonts w:ascii="Times New Roman" w:hAnsi="Times New Roman" w:eastAsia="宋体" w:cs="Times New Roman"/>
      <w:szCs w:val="24"/>
    </w:rPr>
  </w:style>
  <w:style w:type="character" w:customStyle="1" w:styleId="11">
    <w:name w:val="纯文本 字符"/>
    <w:basedOn w:val="7"/>
    <w:link w:val="3"/>
    <w:qFormat/>
    <w:uiPriority w:val="0"/>
    <w:rPr>
      <w:rFonts w:ascii="宋体" w:hAnsi="Courier New" w:eastAsia="仿宋_GB2312" w:cs="Times New Roman"/>
      <w:sz w:val="30"/>
      <w:szCs w:val="20"/>
    </w:rPr>
  </w:style>
  <w:style w:type="character" w:customStyle="1" w:styleId="12">
    <w:name w:val="正文文本 字符"/>
    <w:basedOn w:val="7"/>
    <w:link w:val="2"/>
    <w:semiHidden/>
    <w:qFormat/>
    <w:uiPriority w:val="99"/>
    <w:rPr>
      <w:rFonts w:ascii="Times New Roman" w:hAnsi="Times New Roman" w:eastAsia="宋体" w:cs="Times New Roman"/>
      <w:szCs w:val="24"/>
    </w:rPr>
  </w:style>
  <w:style w:type="character" w:customStyle="1" w:styleId="13">
    <w:name w:val="日期 字符"/>
    <w:basedOn w:val="7"/>
    <w:link w:val="4"/>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944</Words>
  <Characters>5386</Characters>
  <Lines>44</Lines>
  <Paragraphs>12</Paragraphs>
  <TotalTime>0</TotalTime>
  <ScaleCrop>false</ScaleCrop>
  <LinksUpToDate>false</LinksUpToDate>
  <CharactersWithSpaces>6318</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2020-08-04T22:55:00Z</dcterms:created>
  <dc:creator>ssigmh</dc:creator>
  <cp:lastModifiedBy>龚家豪</cp:lastModifiedBy>
  <dcterms:modified xsi:type="dcterms:W3CDTF">2020-08-10T11:26:39Z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