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宋体" w:hAnsi="宋体" w:cs="宋体"/>
          <w:b/>
          <w:color w:val="auto"/>
          <w:sz w:val="48"/>
          <w:szCs w:val="48"/>
          <w:highlight w:val="none"/>
        </w:rPr>
      </w:pPr>
    </w:p>
    <w:p>
      <w:pPr>
        <w:pStyle w:val="11"/>
        <w:ind w:firstLine="261" w:firstLineChars="50"/>
        <w:jc w:val="center"/>
        <w:rPr>
          <w:rFonts w:ascii="宋体" w:hAnsi="宋体" w:cs="宋体"/>
          <w:color w:val="auto"/>
          <w:sz w:val="52"/>
          <w:szCs w:val="52"/>
          <w:highlight w:val="none"/>
        </w:rPr>
      </w:pPr>
      <w:r>
        <w:rPr>
          <w:rFonts w:hint="eastAsia" w:ascii="宋体" w:hAnsi="宋体" w:cs="宋体"/>
          <w:b/>
          <w:color w:val="auto"/>
          <w:sz w:val="52"/>
          <w:szCs w:val="52"/>
          <w:highlight w:val="none"/>
        </w:rPr>
        <w:t>南沙湿地景区二期入口广场景观提升工程施工</w:t>
      </w:r>
    </w:p>
    <w:p>
      <w:pPr>
        <w:pStyle w:val="11"/>
        <w:rPr>
          <w:rFonts w:ascii="宋体" w:hAnsi="宋体" w:cs="宋体"/>
          <w:color w:val="auto"/>
          <w:highlight w:val="none"/>
        </w:rPr>
      </w:pPr>
    </w:p>
    <w:p>
      <w:pPr>
        <w:rPr>
          <w:rFonts w:ascii="宋体" w:hAnsi="宋体" w:eastAsia="宋体" w:cs="宋体"/>
          <w:color w:val="auto"/>
          <w:highlight w:val="none"/>
        </w:rPr>
      </w:pPr>
    </w:p>
    <w:p>
      <w:pPr>
        <w:rPr>
          <w:rFonts w:ascii="宋体" w:hAnsi="宋体" w:eastAsia="宋体" w:cs="宋体"/>
          <w:b/>
          <w:color w:val="auto"/>
          <w:sz w:val="72"/>
          <w:szCs w:val="72"/>
          <w:highlight w:val="none"/>
        </w:rPr>
      </w:pPr>
      <w:bookmarkStart w:id="623" w:name="_GoBack"/>
      <w:bookmarkEnd w:id="623"/>
    </w:p>
    <w:p>
      <w:pPr>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w:t>
      </w:r>
    </w:p>
    <w:p>
      <w:pPr>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标</w:t>
      </w:r>
    </w:p>
    <w:p>
      <w:pPr>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文</w:t>
      </w:r>
    </w:p>
    <w:p>
      <w:pPr>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件</w:t>
      </w:r>
    </w:p>
    <w:p>
      <w:pPr>
        <w:rPr>
          <w:rFonts w:ascii="宋体" w:hAnsi="宋体" w:eastAsia="宋体" w:cs="宋体"/>
          <w:color w:val="auto"/>
          <w:highlight w:val="none"/>
        </w:rPr>
      </w:pPr>
    </w:p>
    <w:p>
      <w:pPr>
        <w:rPr>
          <w:rFonts w:ascii="宋体" w:hAnsi="宋体" w:eastAsia="宋体" w:cs="宋体"/>
          <w:color w:val="auto"/>
          <w:sz w:val="32"/>
          <w:szCs w:val="32"/>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tabs>
          <w:tab w:val="left" w:pos="7067"/>
        </w:tabs>
        <w:spacing w:line="360" w:lineRule="auto"/>
        <w:ind w:firstLine="1606" w:firstLineChars="500"/>
        <w:rPr>
          <w:rFonts w:cs="宋体" w:asciiTheme="minorEastAsia" w:hAnsiTheme="minorEastAsia" w:eastAsiaTheme="minorEastAsia"/>
          <w:b/>
          <w:color w:val="auto"/>
          <w:sz w:val="32"/>
          <w:szCs w:val="32"/>
          <w:highlight w:val="none"/>
        </w:rPr>
      </w:pPr>
    </w:p>
    <w:p>
      <w:pPr>
        <w:tabs>
          <w:tab w:val="left" w:pos="7067"/>
        </w:tabs>
        <w:spacing w:line="360" w:lineRule="auto"/>
        <w:ind w:firstLine="964" w:firstLineChars="300"/>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招标人：广州南沙旅游发展有限公司（业主单位）</w:t>
      </w:r>
    </w:p>
    <w:p>
      <w:pPr>
        <w:pStyle w:val="2"/>
        <w:ind w:firstLine="2249" w:firstLineChars="700"/>
        <w:rPr>
          <w:color w:val="auto"/>
          <w:highlight w:val="none"/>
        </w:rPr>
      </w:pPr>
      <w:r>
        <w:rPr>
          <w:rFonts w:hint="eastAsia" w:asciiTheme="minorEastAsia" w:hAnsiTheme="minorEastAsia" w:eastAsiaTheme="minorEastAsia"/>
          <w:b/>
          <w:color w:val="auto"/>
          <w:sz w:val="32"/>
          <w:szCs w:val="32"/>
          <w:highlight w:val="none"/>
        </w:rPr>
        <w:t>广州南沙湿地旅游发展有限公司（业主单位）</w:t>
      </w:r>
    </w:p>
    <w:p>
      <w:pPr>
        <w:pStyle w:val="2"/>
        <w:rPr>
          <w:rFonts w:asciiTheme="minorEastAsia" w:hAnsiTheme="minorEastAsia" w:eastAsiaTheme="minorEastAsia"/>
          <w:b/>
          <w:color w:val="auto"/>
          <w:sz w:val="32"/>
          <w:szCs w:val="32"/>
          <w:highlight w:val="none"/>
        </w:rPr>
      </w:pPr>
      <w:r>
        <w:rPr>
          <w:rFonts w:hint="eastAsia"/>
          <w:color w:val="auto"/>
          <w:highlight w:val="none"/>
        </w:rPr>
        <w:t xml:space="preserve">               </w:t>
      </w:r>
      <w:r>
        <w:rPr>
          <w:rFonts w:hint="eastAsia" w:asciiTheme="minorEastAsia" w:hAnsiTheme="minorEastAsia" w:eastAsiaTheme="minorEastAsia"/>
          <w:b/>
          <w:color w:val="auto"/>
          <w:sz w:val="32"/>
          <w:szCs w:val="32"/>
          <w:highlight w:val="none"/>
        </w:rPr>
        <w:t>广州南沙建设维护管理有限公司（建设管理单位）</w:t>
      </w:r>
    </w:p>
    <w:p>
      <w:pPr>
        <w:tabs>
          <w:tab w:val="left" w:pos="7067"/>
        </w:tabs>
        <w:spacing w:line="360" w:lineRule="auto"/>
        <w:ind w:firstLine="1606" w:firstLineChars="500"/>
        <w:rPr>
          <w:rFonts w:cs="宋体" w:asciiTheme="minorEastAsia" w:hAnsiTheme="minorEastAsia" w:eastAsiaTheme="minorEastAsia"/>
          <w:b/>
          <w:color w:val="auto"/>
          <w:sz w:val="32"/>
          <w:szCs w:val="32"/>
          <w:highlight w:val="none"/>
        </w:rPr>
      </w:pPr>
    </w:p>
    <w:p>
      <w:pPr>
        <w:tabs>
          <w:tab w:val="left" w:pos="7067"/>
        </w:tabs>
        <w:spacing w:line="360" w:lineRule="auto"/>
        <w:ind w:firstLine="1606" w:firstLineChars="500"/>
        <w:rPr>
          <w:rFonts w:ascii="宋体" w:hAnsi="宋体" w:eastAsia="宋体" w:cs="宋体"/>
          <w:color w:val="auto"/>
          <w:sz w:val="24"/>
          <w:highlight w:val="none"/>
        </w:rPr>
      </w:pPr>
      <w:r>
        <w:rPr>
          <w:rFonts w:hint="eastAsia" w:cs="宋体" w:asciiTheme="minorEastAsia" w:hAnsiTheme="minorEastAsia" w:eastAsiaTheme="minorEastAsia"/>
          <w:b/>
          <w:color w:val="auto"/>
          <w:sz w:val="32"/>
          <w:szCs w:val="32"/>
          <w:highlight w:val="none"/>
        </w:rPr>
        <w:t>日    期：二〇二〇年九月</w:t>
      </w:r>
    </w:p>
    <w:p>
      <w:pPr>
        <w:rPr>
          <w:rFonts w:ascii="宋体" w:hAnsi="宋体" w:eastAsia="宋体" w:cs="宋体"/>
          <w:b/>
          <w:color w:val="auto"/>
          <w:sz w:val="36"/>
          <w:highlight w:val="none"/>
        </w:rPr>
        <w:sectPr>
          <w:headerReference r:id="rId3" w:type="first"/>
          <w:pgSz w:w="11906" w:h="16838"/>
          <w:pgMar w:top="1418" w:right="1361" w:bottom="1418" w:left="1418" w:header="851" w:footer="992" w:gutter="0"/>
          <w:cols w:space="720" w:num="1"/>
          <w:docGrid w:type="lines" w:linePitch="312" w:charSpace="0"/>
        </w:sectPr>
      </w:pPr>
    </w:p>
    <w:p>
      <w:pPr>
        <w:jc w:val="center"/>
        <w:rPr>
          <w:rFonts w:ascii="宋体" w:hAnsi="宋体" w:eastAsia="宋体" w:cs="宋体"/>
          <w:b/>
          <w:color w:val="auto"/>
          <w:sz w:val="36"/>
          <w:highlight w:val="none"/>
        </w:rPr>
      </w:pPr>
      <w:r>
        <w:rPr>
          <w:rFonts w:hint="eastAsia" w:ascii="宋体" w:hAnsi="宋体" w:eastAsia="宋体" w:cs="宋体"/>
          <w:b/>
          <w:color w:val="auto"/>
          <w:sz w:val="36"/>
          <w:highlight w:val="none"/>
        </w:rPr>
        <w:t>目  录</w:t>
      </w:r>
    </w:p>
    <w:p>
      <w:pPr>
        <w:pStyle w:val="18"/>
        <w:tabs>
          <w:tab w:val="right" w:leader="dot" w:pos="9127"/>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"_Toc5771" </w:instrText>
      </w:r>
      <w:r>
        <w:rPr>
          <w:color w:val="auto"/>
          <w:highlight w:val="none"/>
        </w:rPr>
        <w:fldChar w:fldCharType="separate"/>
      </w:r>
      <w:r>
        <w:rPr>
          <w:rFonts w:hint="eastAsia" w:eastAsia="宋体"/>
          <w:bCs/>
          <w:color w:val="auto"/>
          <w:kern w:val="44"/>
          <w:szCs w:val="44"/>
          <w:highlight w:val="none"/>
          <w:lang w:val="zh-CN"/>
        </w:rPr>
        <w:t>第</w:t>
      </w:r>
      <w:r>
        <w:rPr>
          <w:rFonts w:hint="eastAsia" w:eastAsia="宋体"/>
          <w:bCs/>
          <w:color w:val="auto"/>
          <w:kern w:val="44"/>
          <w:szCs w:val="44"/>
          <w:highlight w:val="none"/>
        </w:rPr>
        <w:t>1</w:t>
      </w:r>
      <w:r>
        <w:rPr>
          <w:rFonts w:hint="eastAsia" w:eastAsia="宋体"/>
          <w:bCs/>
          <w:color w:val="auto"/>
          <w:kern w:val="44"/>
          <w:szCs w:val="44"/>
          <w:highlight w:val="none"/>
          <w:lang w:val="zh-CN"/>
        </w:rPr>
        <w:t>章　投标人须知</w:t>
      </w:r>
      <w:r>
        <w:rPr>
          <w:color w:val="auto"/>
          <w:highlight w:val="none"/>
        </w:rPr>
        <w:tab/>
      </w:r>
      <w:r>
        <w:rPr>
          <w:color w:val="auto"/>
          <w:highlight w:val="none"/>
        </w:rPr>
        <w:fldChar w:fldCharType="begin"/>
      </w:r>
      <w:r>
        <w:rPr>
          <w:color w:val="auto"/>
          <w:highlight w:val="none"/>
        </w:rPr>
        <w:instrText xml:space="preserve"> PAGEREF _Toc5771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"_Toc13981" </w:instrText>
      </w:r>
      <w:r>
        <w:rPr>
          <w:color w:val="auto"/>
          <w:highlight w:val="none"/>
        </w:rPr>
        <w:fldChar w:fldCharType="separate"/>
      </w:r>
      <w:r>
        <w:rPr>
          <w:rFonts w:hint="eastAsia" w:eastAsia="宋体"/>
          <w:color w:val="auto"/>
          <w:kern w:val="44"/>
          <w:szCs w:val="44"/>
          <w:highlight w:val="none"/>
          <w:lang w:val="zh-CN"/>
        </w:rPr>
        <w:t>第</w:t>
      </w:r>
      <w:r>
        <w:rPr>
          <w:rFonts w:hint="eastAsia" w:eastAsia="宋体"/>
          <w:color w:val="auto"/>
          <w:kern w:val="44"/>
          <w:szCs w:val="44"/>
          <w:highlight w:val="none"/>
        </w:rPr>
        <w:t>3</w:t>
      </w:r>
      <w:r>
        <w:rPr>
          <w:rFonts w:hint="eastAsia" w:eastAsia="宋体"/>
          <w:color w:val="auto"/>
          <w:kern w:val="44"/>
          <w:szCs w:val="44"/>
          <w:highlight w:val="none"/>
          <w:lang w:val="zh-CN"/>
        </w:rPr>
        <w:t>章　合同条款及格式</w:t>
      </w:r>
      <w:r>
        <w:rPr>
          <w:color w:val="auto"/>
          <w:highlight w:val="none"/>
        </w:rPr>
        <w:tab/>
      </w:r>
      <w:r>
        <w:rPr>
          <w:color w:val="auto"/>
          <w:highlight w:val="none"/>
        </w:rPr>
        <w:fldChar w:fldCharType="begin"/>
      </w:r>
      <w:r>
        <w:rPr>
          <w:color w:val="auto"/>
          <w:highlight w:val="none"/>
        </w:rPr>
        <w:instrText xml:space="preserve"> PAGEREF _Toc13981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"_Toc9224" </w:instrText>
      </w:r>
      <w:r>
        <w:rPr>
          <w:color w:val="auto"/>
          <w:highlight w:val="none"/>
        </w:rPr>
        <w:fldChar w:fldCharType="separate"/>
      </w:r>
      <w:r>
        <w:rPr>
          <w:rFonts w:hint="eastAsia" w:eastAsia="宋体"/>
          <w:color w:val="auto"/>
          <w:kern w:val="44"/>
          <w:szCs w:val="44"/>
          <w:highlight w:val="none"/>
          <w:lang w:val="zh-CN"/>
        </w:rPr>
        <w:t>第</w:t>
      </w:r>
      <w:r>
        <w:rPr>
          <w:rFonts w:hint="eastAsia" w:eastAsia="宋体"/>
          <w:color w:val="auto"/>
          <w:kern w:val="44"/>
          <w:szCs w:val="44"/>
          <w:highlight w:val="none"/>
        </w:rPr>
        <w:t>4</w:t>
      </w:r>
      <w:r>
        <w:rPr>
          <w:rFonts w:hint="eastAsia" w:eastAsia="宋体"/>
          <w:color w:val="auto"/>
          <w:kern w:val="44"/>
          <w:szCs w:val="44"/>
          <w:highlight w:val="none"/>
          <w:lang w:val="zh-CN"/>
        </w:rPr>
        <w:t>章　工程量清单</w:t>
      </w:r>
      <w:r>
        <w:rPr>
          <w:color w:val="auto"/>
          <w:highlight w:val="none"/>
        </w:rPr>
        <w:tab/>
      </w:r>
      <w:r>
        <w:rPr>
          <w:color w:val="auto"/>
          <w:highlight w:val="none"/>
        </w:rPr>
        <w:fldChar w:fldCharType="begin"/>
      </w:r>
      <w:r>
        <w:rPr>
          <w:color w:val="auto"/>
          <w:highlight w:val="none"/>
        </w:rPr>
        <w:instrText xml:space="preserve"> PAGEREF _Toc9224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"_Toc24568" </w:instrText>
      </w:r>
      <w:r>
        <w:rPr>
          <w:color w:val="auto"/>
          <w:highlight w:val="none"/>
        </w:rPr>
        <w:fldChar w:fldCharType="separate"/>
      </w:r>
      <w:r>
        <w:rPr>
          <w:rFonts w:hint="eastAsia" w:eastAsia="宋体"/>
          <w:color w:val="auto"/>
          <w:kern w:val="44"/>
          <w:szCs w:val="44"/>
          <w:highlight w:val="none"/>
          <w:lang w:val="zh-CN"/>
        </w:rPr>
        <w:t>第</w:t>
      </w:r>
      <w:r>
        <w:rPr>
          <w:rFonts w:hint="eastAsia" w:eastAsia="宋体"/>
          <w:color w:val="auto"/>
          <w:kern w:val="44"/>
          <w:szCs w:val="44"/>
          <w:highlight w:val="none"/>
        </w:rPr>
        <w:t>6</w:t>
      </w:r>
      <w:r>
        <w:rPr>
          <w:rFonts w:hint="eastAsia" w:eastAsia="宋体"/>
          <w:color w:val="auto"/>
          <w:kern w:val="44"/>
          <w:szCs w:val="44"/>
          <w:highlight w:val="none"/>
          <w:lang w:val="zh-CN"/>
        </w:rPr>
        <w:t>章　投标文件格式</w:t>
      </w:r>
      <w:r>
        <w:rPr>
          <w:color w:val="auto"/>
          <w:highlight w:val="none"/>
        </w:rPr>
        <w:tab/>
      </w:r>
      <w:r>
        <w:rPr>
          <w:color w:val="auto"/>
          <w:highlight w:val="none"/>
        </w:rPr>
        <w:fldChar w:fldCharType="begin"/>
      </w:r>
      <w:r>
        <w:rPr>
          <w:color w:val="auto"/>
          <w:highlight w:val="none"/>
        </w:rPr>
        <w:instrText xml:space="preserve"> PAGEREF _Toc24568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rPr>
          <w:rFonts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17" w:right="1361" w:bottom="1417" w:left="1418" w:header="851" w:footer="992" w:gutter="0"/>
          <w:pgNumType w:start="2"/>
          <w:cols w:space="720" w:num="1"/>
          <w:titlePg/>
          <w:docGrid w:type="lines" w:linePitch="312" w:charSpace="0"/>
        </w:sectPr>
      </w:pPr>
      <w:r>
        <w:rPr>
          <w:rFonts w:hint="eastAsia" w:ascii="宋体" w:hAnsi="宋体" w:eastAsia="宋体" w:cs="宋体"/>
          <w:color w:val="auto"/>
          <w:szCs w:val="24"/>
          <w:highlight w:val="none"/>
        </w:rPr>
        <w:fldChar w:fldCharType="end"/>
      </w:r>
      <w:bookmarkStart w:id="0" w:name="第01章招标公告"/>
      <w:bookmarkEnd w:id="0"/>
    </w:p>
    <w:p>
      <w:pPr>
        <w:pStyle w:val="3"/>
        <w:keepNext/>
        <w:keepLines/>
        <w:spacing w:after="0"/>
        <w:jc w:val="center"/>
        <w:rPr>
          <w:rFonts w:eastAsia="宋体"/>
          <w:b/>
          <w:bCs/>
          <w:color w:val="auto"/>
          <w:kern w:val="44"/>
          <w:sz w:val="44"/>
          <w:szCs w:val="44"/>
          <w:highlight w:val="none"/>
          <w:lang w:val="zh-CN"/>
        </w:rPr>
      </w:pPr>
      <w:bookmarkStart w:id="1" w:name="_Toc5771"/>
      <w:r>
        <w:rPr>
          <w:rFonts w:hint="eastAsia" w:eastAsia="宋体"/>
          <w:b/>
          <w:bCs/>
          <w:color w:val="auto"/>
          <w:kern w:val="44"/>
          <w:sz w:val="44"/>
          <w:szCs w:val="44"/>
          <w:highlight w:val="none"/>
          <w:lang w:val="zh-CN"/>
        </w:rPr>
        <w:t>第</w:t>
      </w:r>
      <w:r>
        <w:rPr>
          <w:rFonts w:hint="eastAsia" w:eastAsia="宋体"/>
          <w:b/>
          <w:bCs/>
          <w:color w:val="auto"/>
          <w:kern w:val="44"/>
          <w:sz w:val="44"/>
          <w:szCs w:val="44"/>
          <w:highlight w:val="none"/>
        </w:rPr>
        <w:t>1</w:t>
      </w:r>
      <w:r>
        <w:rPr>
          <w:rFonts w:hint="eastAsia" w:eastAsia="宋体"/>
          <w:b/>
          <w:bCs/>
          <w:color w:val="auto"/>
          <w:kern w:val="44"/>
          <w:sz w:val="44"/>
          <w:szCs w:val="44"/>
          <w:highlight w:val="none"/>
          <w:lang w:val="zh-CN"/>
        </w:rPr>
        <w:t>章　投标人须知</w:t>
      </w:r>
      <w:bookmarkEnd w:id="1"/>
    </w:p>
    <w:p>
      <w:pPr>
        <w:jc w:val="center"/>
        <w:rPr>
          <w:rFonts w:ascii="宋体" w:hAnsi="宋体" w:eastAsia="宋体" w:cs="宋体"/>
          <w:b/>
          <w:color w:val="auto"/>
          <w:sz w:val="28"/>
          <w:szCs w:val="28"/>
          <w:highlight w:val="none"/>
        </w:rPr>
      </w:pPr>
      <w:bookmarkStart w:id="2" w:name="第02章投标人须知00"/>
      <w:bookmarkEnd w:id="2"/>
      <w:r>
        <w:rPr>
          <w:rFonts w:hint="eastAsia" w:ascii="宋体" w:hAnsi="宋体" w:eastAsia="宋体" w:cs="宋体"/>
          <w:b/>
          <w:color w:val="auto"/>
          <w:sz w:val="28"/>
          <w:szCs w:val="28"/>
          <w:highlight w:val="none"/>
        </w:rPr>
        <w:t>投标人须知前附表</w:t>
      </w:r>
    </w:p>
    <w:tbl>
      <w:tblPr>
        <w:tblStyle w:val="2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2215"/>
        <w:gridCol w:w="5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5957"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5957" w:type="dxa"/>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5957" w:type="dxa"/>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不接受，应满足下列要求：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5957" w:type="dxa"/>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1.10</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5957" w:type="dxa"/>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1.10.3</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5957" w:type="dxa"/>
          </w:tcPr>
          <w:p>
            <w:pPr>
              <w:spacing w:line="420" w:lineRule="exact"/>
              <w:contextualSpacing/>
              <w:rPr>
                <w:rFonts w:ascii="宋体" w:hAnsi="宋体" w:eastAsia="宋体" w:cs="宋体"/>
                <w:color w:val="auto"/>
                <w:szCs w:val="21"/>
                <w:highlight w:val="none"/>
              </w:rPr>
            </w:pPr>
            <w:r>
              <w:rPr>
                <w:rFonts w:hint="eastAsia" w:ascii="宋体" w:hAnsi="宋体" w:eastAsia="宋体" w:cs="宋体"/>
                <w:bCs/>
                <w:color w:val="auto"/>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承包方式</w:t>
            </w:r>
          </w:p>
        </w:tc>
        <w:tc>
          <w:tcPr>
            <w:tcW w:w="5957" w:type="dxa"/>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包工、包料、包工期、包质量、包安全、包文明施工。综合单价包干、项目措施费包干。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1.1.7</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5957" w:type="dxa"/>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按国家相关规范执行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1.1.8</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5957" w:type="dxa"/>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5957" w:type="dxa"/>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5957" w:type="dxa"/>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957" w:type="dxa"/>
          </w:tcPr>
          <w:p>
            <w:pPr>
              <w:tabs>
                <w:tab w:val="left" w:pos="284"/>
                <w:tab w:val="left" w:pos="426"/>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本工程招标控制价为</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w:t>
            </w:r>
            <w:r>
              <w:rPr>
                <w:rFonts w:hint="eastAsia" w:ascii="宋体" w:hAnsi="宋体" w:eastAsia="宋体" w:cs="仿宋_GB2312"/>
                <w:bCs/>
                <w:color w:val="auto"/>
                <w:szCs w:val="21"/>
                <w:highlight w:val="none"/>
                <w:u w:val="single"/>
              </w:rPr>
              <w:t>309090.08</w:t>
            </w:r>
            <w:r>
              <w:rPr>
                <w:rFonts w:hint="eastAsia" w:ascii="宋体" w:hAnsi="宋体" w:eastAsia="宋体" w:cs="宋体"/>
                <w:color w:val="auto"/>
                <w:szCs w:val="21"/>
                <w:highlight w:val="none"/>
              </w:rPr>
              <w:t>元，其中，包含暂列金额为：</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rPr>
              <w:t>13301.76</w:t>
            </w:r>
            <w:r>
              <w:rPr>
                <w:rFonts w:hint="eastAsia" w:cs="宋体" w:asciiTheme="minorEastAsia" w:hAnsiTheme="minorEastAsia" w:eastAsiaTheme="minorEastAsia"/>
                <w:color w:val="auto"/>
                <w:szCs w:val="21"/>
                <w:highlight w:val="none"/>
              </w:rPr>
              <w:t>元</w:t>
            </w:r>
            <w:r>
              <w:rPr>
                <w:rFonts w:hint="eastAsia" w:ascii="宋体" w:hAnsi="宋体" w:eastAsia="宋体" w:cs="宋体"/>
                <w:color w:val="auto"/>
                <w:szCs w:val="21"/>
                <w:highlight w:val="none"/>
              </w:rPr>
              <w:t>（按分部分项工程费的5%计算）。本项目绿色施工安全防护措施费</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2645.00</w:t>
            </w:r>
            <w:r>
              <w:rPr>
                <w:rFonts w:hint="eastAsia" w:ascii="宋体" w:hAnsi="宋体" w:eastAsia="宋体" w:cs="宋体"/>
                <w:color w:val="auto"/>
                <w:szCs w:val="21"/>
                <w:highlight w:val="none"/>
              </w:rPr>
              <w:t>元，该费用包含在工程总报价中，为不可竞争费用。</w:t>
            </w:r>
          </w:p>
          <w:p>
            <w:pPr>
              <w:spacing w:line="420" w:lineRule="exact"/>
              <w:ind w:left="315" w:hanging="315" w:hangingChars="15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总报价不得高于最高限价，不可竞争费不得浮动或调整，否</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则其投标将被否决。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57" w:type="dxa"/>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90日历天（从投标截止之日计起）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5957" w:type="dxa"/>
            <w:vAlign w:val="center"/>
          </w:tcPr>
          <w:p>
            <w:pPr>
              <w:numPr>
                <w:ilvl w:val="0"/>
                <w:numId w:val="2"/>
              </w:numPr>
              <w:adjustRightInd w:val="0"/>
              <w:snapToGrid w:val="0"/>
              <w:spacing w:line="360" w:lineRule="auto"/>
              <w:rPr>
                <w:rFonts w:ascii="宋体" w:hAnsi="宋体" w:eastAsia="宋体" w:cs="宋体"/>
                <w:color w:val="auto"/>
                <w:highlight w:val="none"/>
              </w:rPr>
            </w:pPr>
            <w:r>
              <w:rPr>
                <w:rFonts w:hint="eastAsia" w:ascii="宋体" w:hAnsi="宋体" w:eastAsia="宋体" w:cs="宋体"/>
                <w:color w:val="auto"/>
                <w:szCs w:val="21"/>
                <w:highlight w:val="none"/>
              </w:rPr>
              <w:t>投标保证金金额：</w:t>
            </w:r>
            <w:r>
              <w:rPr>
                <w:rFonts w:hint="eastAsia" w:ascii="宋体" w:hAnsi="宋体" w:eastAsia="宋体" w:cs="宋体"/>
                <w:bCs/>
                <w:color w:val="auto"/>
                <w:highlight w:val="none"/>
              </w:rPr>
              <w:t>人民币￥</w:t>
            </w:r>
            <w:r>
              <w:rPr>
                <w:rFonts w:hint="eastAsia" w:ascii="宋体" w:hAnsi="宋体" w:eastAsia="宋体" w:cs="宋体"/>
                <w:bCs/>
                <w:color w:val="auto"/>
                <w:highlight w:val="none"/>
                <w:u w:val="single"/>
              </w:rPr>
              <w:t>5000.00</w:t>
            </w:r>
            <w:r>
              <w:rPr>
                <w:rFonts w:hint="eastAsia" w:ascii="宋体" w:hAnsi="宋体" w:eastAsia="宋体" w:cs="宋体"/>
                <w:bCs/>
                <w:color w:val="auto"/>
                <w:highlight w:val="none"/>
              </w:rPr>
              <w:t>元</w:t>
            </w:r>
          </w:p>
          <w:p>
            <w:pPr>
              <w:numPr>
                <w:ilvl w:val="0"/>
                <w:numId w:val="2"/>
              </w:numPr>
              <w:adjustRightInd w:val="0"/>
              <w:snapToGrid w:val="0"/>
              <w:spacing w:line="360" w:lineRule="auto"/>
              <w:rPr>
                <w:rFonts w:ascii="宋体" w:hAnsi="宋体" w:eastAsia="宋体" w:cs="宋体"/>
                <w:bCs/>
                <w:color w:val="auto"/>
                <w:highlight w:val="none"/>
              </w:rPr>
            </w:pPr>
            <w:r>
              <w:rPr>
                <w:rFonts w:hint="eastAsia" w:ascii="宋体" w:hAnsi="宋体" w:eastAsia="宋体" w:cs="宋体"/>
                <w:bCs/>
                <w:color w:val="auto"/>
                <w:highlight w:val="none"/>
              </w:rPr>
              <w:t>提交形式：</w:t>
            </w:r>
            <w:r>
              <w:rPr>
                <w:rFonts w:hint="eastAsia" w:ascii="宋体" w:hAnsi="宋体" w:eastAsia="宋体" w:cs="宋体"/>
                <w:b/>
                <w:bCs/>
                <w:color w:val="auto"/>
                <w:highlight w:val="none"/>
                <w:u w:val="single"/>
              </w:rPr>
              <w:t>非现金形式</w:t>
            </w:r>
          </w:p>
          <w:p>
            <w:pPr>
              <w:numPr>
                <w:ilvl w:val="0"/>
                <w:numId w:val="2"/>
              </w:numPr>
              <w:adjustRightInd w:val="0"/>
              <w:snapToGrid w:val="0"/>
              <w:spacing w:line="360" w:lineRule="auto"/>
              <w:rPr>
                <w:rFonts w:ascii="宋体" w:hAnsi="宋体" w:eastAsia="宋体" w:cs="宋体"/>
                <w:bCs/>
                <w:color w:val="auto"/>
                <w:highlight w:val="none"/>
              </w:rPr>
            </w:pPr>
            <w:r>
              <w:rPr>
                <w:rFonts w:hint="eastAsia" w:ascii="宋体" w:hAnsi="宋体" w:eastAsia="宋体" w:cs="宋体"/>
                <w:bCs/>
                <w:color w:val="auto"/>
                <w:highlight w:val="none"/>
              </w:rPr>
              <w:t>投标保证金须在投标报名截止时间前到达以下指定账号（逾期视为无效报名）：</w:t>
            </w:r>
          </w:p>
          <w:p>
            <w:pPr>
              <w:pStyle w:val="13"/>
              <w:snapToGrid w:val="0"/>
              <w:spacing w:line="360" w:lineRule="auto"/>
              <w:rPr>
                <w:rFonts w:asciiTheme="minorEastAsia" w:hAnsiTheme="minorEastAsia" w:eastAsiaTheme="minorEastAsia"/>
                <w:color w:val="auto"/>
                <w:szCs w:val="21"/>
                <w:highlight w:val="none"/>
              </w:rPr>
            </w:pPr>
            <w:r>
              <w:rPr>
                <w:rFonts w:hint="eastAsia" w:hAnsi="宋体" w:eastAsia="宋体" w:cs="宋体"/>
                <w:bCs/>
                <w:color w:val="auto"/>
                <w:highlight w:val="none"/>
              </w:rPr>
              <w:t>收</w:t>
            </w:r>
            <w:r>
              <w:rPr>
                <w:rFonts w:hint="eastAsia" w:cs="宋体" w:asciiTheme="minorEastAsia" w:hAnsiTheme="minorEastAsia" w:eastAsiaTheme="minorEastAsia"/>
                <w:bCs/>
                <w:color w:val="auto"/>
                <w:highlight w:val="none"/>
              </w:rPr>
              <w:t>款单位名称：</w:t>
            </w:r>
            <w:r>
              <w:rPr>
                <w:rFonts w:cs="宋体" w:asciiTheme="minorEastAsia" w:hAnsiTheme="minorEastAsia" w:eastAsiaTheme="minorEastAsia"/>
                <w:color w:val="auto"/>
                <w:szCs w:val="21"/>
                <w:highlight w:val="none"/>
              </w:rPr>
              <w:t>广州南沙建设维护管理有限公司</w:t>
            </w:r>
          </w:p>
          <w:p>
            <w:pPr>
              <w:pStyle w:val="13"/>
              <w:snapToGrid w:val="0"/>
              <w:spacing w:line="360" w:lineRule="auto"/>
              <w:ind w:firstLine="840" w:firstLineChars="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highlight w:val="none"/>
              </w:rPr>
              <w:t>账号：</w:t>
            </w:r>
            <w:r>
              <w:rPr>
                <w:rFonts w:cs="宋体" w:asciiTheme="minorEastAsia" w:hAnsiTheme="minorEastAsia" w:eastAsiaTheme="minorEastAsia"/>
                <w:color w:val="auto"/>
                <w:szCs w:val="21"/>
                <w:highlight w:val="none"/>
              </w:rPr>
              <w:t>中国工商银行广东自由贸易试验区南沙分行</w:t>
            </w:r>
          </w:p>
          <w:p>
            <w:pPr>
              <w:adjustRightInd w:val="0"/>
              <w:snapToGrid w:val="0"/>
              <w:spacing w:line="360" w:lineRule="auto"/>
              <w:ind w:firstLine="735" w:firstLineChars="35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开户银行：</w:t>
            </w:r>
            <w:r>
              <w:rPr>
                <w:rFonts w:cs="宋体" w:asciiTheme="minorEastAsia" w:hAnsiTheme="minorEastAsia" w:eastAsiaTheme="minorEastAsia"/>
                <w:color w:val="auto"/>
                <w:szCs w:val="21"/>
                <w:highlight w:val="none"/>
              </w:rPr>
              <w:t>3602056909200030855</w:t>
            </w:r>
          </w:p>
          <w:p>
            <w:pPr>
              <w:adjustRightInd w:val="0"/>
              <w:snapToGrid w:val="0"/>
              <w:spacing w:line="360" w:lineRule="auto"/>
              <w:ind w:left="360"/>
              <w:rPr>
                <w:rFonts w:ascii="宋体" w:hAnsi="宋体" w:eastAsia="宋体" w:cs="宋体"/>
                <w:color w:val="auto"/>
                <w:szCs w:val="21"/>
                <w:highlight w:val="none"/>
              </w:rPr>
            </w:pPr>
            <w:r>
              <w:rPr>
                <w:rFonts w:hint="eastAsia" w:ascii="宋体" w:hAnsi="宋体" w:eastAsia="宋体" w:cs="宋体"/>
                <w:b/>
                <w:bCs/>
                <w:color w:val="auto"/>
                <w:highlight w:val="none"/>
              </w:rPr>
              <w:t>注：投标人请在缴款凭证"备注"栏写明</w:t>
            </w:r>
            <w:r>
              <w:rPr>
                <w:rFonts w:hint="eastAsia" w:ascii="宋体" w:hAnsi="宋体" w:eastAsia="宋体" w:cs="宋体"/>
                <w:color w:val="auto"/>
                <w:szCs w:val="21"/>
                <w:highlight w:val="none"/>
                <w:u w:val="single"/>
              </w:rPr>
              <w:t>南沙湿地景区二期入口广场景观提升工程施工</w:t>
            </w:r>
            <w:r>
              <w:rPr>
                <w:rFonts w:hint="eastAsia" w:ascii="宋体" w:hAnsi="宋体" w:eastAsia="宋体" w:cs="宋体"/>
                <w:b/>
                <w:bCs/>
                <w:color w:val="auto"/>
                <w:szCs w:val="21"/>
                <w:highlight w:val="none"/>
                <w:u w:val="single"/>
              </w:rPr>
              <w:t>投标</w:t>
            </w:r>
            <w:r>
              <w:rPr>
                <w:rFonts w:hint="eastAsia" w:ascii="宋体" w:hAnsi="宋体" w:eastAsia="宋体" w:cs="宋体"/>
                <w:b/>
                <w:bCs/>
                <w:color w:val="auto"/>
                <w:highlight w:val="none"/>
                <w:u w:val="single"/>
              </w:rPr>
              <w:t>保证金</w:t>
            </w:r>
            <w:r>
              <w:rPr>
                <w:rFonts w:hint="eastAsia" w:ascii="宋体" w:hAnsi="宋体" w:eastAsia="宋体" w:cs="宋体"/>
                <w:b/>
                <w:bCs/>
                <w:color w:val="auto"/>
                <w:highlight w:val="none"/>
              </w:rPr>
              <w:t>，以便查询。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.4.2.2</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5957" w:type="dxa"/>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kern w:val="0"/>
                <w:szCs w:val="21"/>
                <w:highlight w:val="none"/>
              </w:rPr>
              <w:t>南沙区海滨路171号金融大厦1702室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3.7.4</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5957" w:type="dxa"/>
          </w:tcPr>
          <w:p>
            <w:pPr>
              <w:spacing w:line="420" w:lineRule="exact"/>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正本1份，副本 5份，电子文件1份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5957" w:type="dxa"/>
          </w:tcPr>
          <w:p>
            <w:pPr>
              <w:spacing w:line="420" w:lineRule="exact"/>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开标时间：详见招标公告</w:t>
            </w:r>
          </w:p>
          <w:p>
            <w:pPr>
              <w:spacing w:line="420" w:lineRule="exact"/>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5957" w:type="dxa"/>
          </w:tcPr>
          <w:p>
            <w:pPr>
              <w:spacing w:line="420" w:lineRule="exact"/>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投标文件的密封检查：</w:t>
            </w:r>
            <w:r>
              <w:rPr>
                <w:rFonts w:hint="eastAsia" w:ascii="宋体" w:hAnsi="宋体" w:eastAsia="宋体" w:cs="宋体"/>
                <w:color w:val="auto"/>
                <w:szCs w:val="21"/>
                <w:highlight w:val="none"/>
                <w:lang w:eastAsia="zh-TW"/>
              </w:rPr>
              <w:t>由投标人或者其推选的代表检查投标文件的密封情况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2215" w:type="dxa"/>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评标小组的组建</w:t>
            </w:r>
          </w:p>
        </w:tc>
        <w:tc>
          <w:tcPr>
            <w:tcW w:w="5957" w:type="dxa"/>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评标小组会构成：</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人</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评标专家确定方式：按照相关法律法规及规范性文件依法组建。</w:t>
            </w:r>
          </w:p>
        </w:tc>
      </w:tr>
    </w:tbl>
    <w:p>
      <w:pPr>
        <w:rPr>
          <w:rFonts w:ascii="宋体" w:hAnsi="宋体" w:eastAsia="宋体" w:cs="宋体"/>
          <w:color w:val="auto"/>
          <w:highlight w:val="none"/>
        </w:rPr>
        <w:sectPr>
          <w:pgSz w:w="11906" w:h="16838"/>
          <w:pgMar w:top="1418" w:right="1361" w:bottom="1418" w:left="1418" w:header="851" w:footer="992" w:gutter="0"/>
          <w:cols w:space="720" w:num="1"/>
          <w:docGrid w:type="lines" w:linePitch="312" w:charSpace="0"/>
        </w:sectPr>
      </w:pPr>
    </w:p>
    <w:p>
      <w:pPr>
        <w:pStyle w:val="5"/>
        <w:tabs>
          <w:tab w:val="left" w:pos="425"/>
        </w:tabs>
        <w:spacing w:before="156"/>
        <w:ind w:left="425" w:hanging="425"/>
        <w:rPr>
          <w:rFonts w:ascii="宋体" w:eastAsia="宋体"/>
          <w:color w:val="auto"/>
          <w:spacing w:val="1"/>
          <w:w w:val="99"/>
          <w:kern w:val="0"/>
          <w:highlight w:val="none"/>
        </w:rPr>
      </w:pPr>
      <w:bookmarkStart w:id="3" w:name="第02章投标人须知01"/>
      <w:bookmarkEnd w:id="3"/>
      <w:bookmarkStart w:id="4" w:name="_Toc5104"/>
      <w:bookmarkStart w:id="5" w:name="_Toc1983"/>
      <w:bookmarkStart w:id="6" w:name="_Toc434396979"/>
      <w:bookmarkStart w:id="7" w:name="_Toc518908448"/>
      <w:bookmarkStart w:id="8" w:name="_Toc518893825"/>
      <w:bookmarkStart w:id="9" w:name="_Toc433215181"/>
      <w:r>
        <w:rPr>
          <w:rFonts w:hint="eastAsia" w:ascii="宋体" w:eastAsia="宋体"/>
          <w:color w:val="auto"/>
          <w:spacing w:val="1"/>
          <w:w w:val="99"/>
          <w:kern w:val="0"/>
          <w:highlight w:val="none"/>
        </w:rPr>
        <w:t>1　总则</w:t>
      </w:r>
      <w:bookmarkEnd w:id="4"/>
      <w:bookmarkEnd w:id="5"/>
      <w:bookmarkEnd w:id="6"/>
      <w:bookmarkEnd w:id="7"/>
      <w:bookmarkEnd w:id="8"/>
      <w:bookmarkEnd w:id="9"/>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1.1项目概况</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szCs w:val="21"/>
          <w:highlight w:val="none"/>
        </w:rPr>
        <w:t>参照</w:t>
      </w:r>
      <w:r>
        <w:rPr>
          <w:rFonts w:hint="eastAsia" w:ascii="宋体" w:hAnsi="宋体" w:eastAsia="宋体" w:cs="宋体"/>
          <w:color w:val="auto"/>
          <w:highlight w:val="none"/>
        </w:rPr>
        <w:t>《中华人民共和国招标投标法》、《中华人民共和国招标投标法实施条例》等有关法律、法规和规章的规定，本招标项目已具备招标条件，现对本项目进行招标。</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1.1.2 本招标项目招标人：见招标公告。</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1.1.3 本招标项目招标代理机构：/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1.1.4 本招标项目名称：见招标公告。</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1.1.5 本招标项目建设地点：见招标公告。</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1.1.6本招标项目承包方式：见投标须知前附表。</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1.1.7本招标项目验收标准：见投标须知前附表。</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1.1.8本招标项目资格审查方式：见投标须知前附表。</w:t>
      </w:r>
    </w:p>
    <w:p>
      <w:pPr>
        <w:spacing w:line="420" w:lineRule="exact"/>
        <w:contextualSpacing/>
        <w:rPr>
          <w:rFonts w:ascii="宋体" w:hAnsi="宋体" w:eastAsia="宋体" w:cs="宋体"/>
          <w:b/>
          <w:color w:val="auto"/>
          <w:highlight w:val="none"/>
        </w:rPr>
      </w:pPr>
      <w:bookmarkStart w:id="10" w:name="_Toc152042307"/>
      <w:bookmarkStart w:id="11" w:name="_Toc179632548"/>
      <w:bookmarkStart w:id="12" w:name="_Toc152045531"/>
      <w:bookmarkStart w:id="13" w:name="_Toc144974499"/>
      <w:r>
        <w:rPr>
          <w:rFonts w:hint="eastAsia" w:ascii="宋体" w:hAnsi="宋体" w:eastAsia="宋体" w:cs="宋体"/>
          <w:b/>
          <w:color w:val="auto"/>
          <w:highlight w:val="none"/>
        </w:rPr>
        <w:t>1.2 资金来源和落实情况</w:t>
      </w:r>
      <w:bookmarkEnd w:id="10"/>
      <w:bookmarkEnd w:id="11"/>
      <w:bookmarkEnd w:id="12"/>
      <w:bookmarkEnd w:id="13"/>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1.2.1 本招标项目的资金来源：见招标公告。</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1.2.2 本招标项目的资金落实情况：见投标人须知前附表。</w:t>
      </w:r>
    </w:p>
    <w:p>
      <w:pPr>
        <w:spacing w:line="420" w:lineRule="exact"/>
        <w:contextualSpacing/>
        <w:rPr>
          <w:rFonts w:ascii="宋体" w:hAnsi="宋体" w:eastAsia="宋体" w:cs="宋体"/>
          <w:b/>
          <w:color w:val="auto"/>
          <w:highlight w:val="none"/>
        </w:rPr>
      </w:pPr>
      <w:bookmarkStart w:id="14" w:name="_Toc144974500"/>
      <w:bookmarkStart w:id="15" w:name="_Toc152042308"/>
      <w:bookmarkStart w:id="16" w:name="_Toc179632549"/>
      <w:bookmarkStart w:id="17" w:name="_Toc152045532"/>
      <w:r>
        <w:rPr>
          <w:rFonts w:hint="eastAsia" w:ascii="宋体" w:hAnsi="宋体" w:eastAsia="宋体" w:cs="宋体"/>
          <w:b/>
          <w:color w:val="auto"/>
          <w:highlight w:val="none"/>
        </w:rPr>
        <w:t>1.3 招标范围、计划工期和质量要求</w:t>
      </w:r>
      <w:bookmarkEnd w:id="14"/>
      <w:bookmarkEnd w:id="15"/>
      <w:bookmarkEnd w:id="16"/>
      <w:bookmarkEnd w:id="17"/>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1.3.1 本次招标范围：见招标公告。</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1.3.2 本招标项目的计划工期：见招标公告。</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1.3.3 本招标项目的质量要求：见招标公告。</w:t>
      </w:r>
    </w:p>
    <w:p>
      <w:pPr>
        <w:spacing w:line="420" w:lineRule="exact"/>
        <w:contextualSpacing/>
        <w:rPr>
          <w:rFonts w:ascii="宋体" w:hAnsi="宋体" w:eastAsia="宋体" w:cs="宋体"/>
          <w:b/>
          <w:color w:val="auto"/>
          <w:highlight w:val="none"/>
        </w:rPr>
      </w:pPr>
      <w:bookmarkStart w:id="18" w:name="_Toc152042310"/>
      <w:bookmarkStart w:id="19" w:name="_Toc152045534"/>
      <w:bookmarkStart w:id="20" w:name="_Toc144974502"/>
      <w:bookmarkStart w:id="21" w:name="_Toc179632551"/>
      <w:r>
        <w:rPr>
          <w:rFonts w:hint="eastAsia" w:ascii="宋体" w:hAnsi="宋体" w:eastAsia="宋体" w:cs="宋体"/>
          <w:b/>
          <w:color w:val="auto"/>
          <w:highlight w:val="none"/>
        </w:rPr>
        <w:t>1.4 投标人资格要求</w:t>
      </w:r>
      <w:bookmarkEnd w:id="18"/>
      <w:bookmarkEnd w:id="19"/>
      <w:bookmarkEnd w:id="20"/>
      <w:bookmarkEnd w:id="21"/>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1.4.1投标人应具备承担本招标项目的资质条件、能力和信誉，见招标公告。</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1.4.2 投标人须知前附表规定接受联合体投标的。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1.4.3 投标人不得存在下列情形之一：</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（1）为招标人不具有独立法人资格的附属机构（单位）；</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（2）与招标人存在利害关系且可能影响招标公正性；</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（3）与本标段的其他投标人同为一个单位负责人；</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（4）与本标段的其他投标人存在控股、管理关系；</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（5）为本招标项目的监理人；</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（6）为本标段的代建人；</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（7）为本标段的招标代理机构；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（8）与本招标项目的监理人或代建人或招标代理机构同为一个法定代表人的；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（9）与本招标项目的监理人或代建人或招标代理机构相互控股或参股的；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（10）与本招标项目的监理人或代建人或招标代理机构相互任职或工作的；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（11）与本标段对应工程的施工承包人以及建筑材料、建筑构配件和设备供应商有隶属关系或其他利害关系；</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 xml:space="preserve">（12）被责令停业的； </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 xml:space="preserve">（13）被暂停或取消投标资格的； </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（14）财产被接管或冻结的；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（15）为招标项目前期工作提供咨询服务的；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（16）在最近三年内有骗取中标或严重违约或重大工程质量问题的。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（17）法律法规或投标人须知前附表规定的其他情形。</w:t>
      </w:r>
    </w:p>
    <w:p>
      <w:pPr>
        <w:spacing w:line="420" w:lineRule="exact"/>
        <w:contextualSpacing/>
        <w:rPr>
          <w:rFonts w:ascii="宋体" w:hAnsi="宋体" w:eastAsia="宋体" w:cs="宋体"/>
          <w:b/>
          <w:color w:val="auto"/>
          <w:highlight w:val="none"/>
        </w:rPr>
      </w:pPr>
      <w:bookmarkStart w:id="22" w:name="_Toc152045535"/>
      <w:bookmarkStart w:id="23" w:name="_Toc144974503"/>
      <w:bookmarkStart w:id="24" w:name="_Toc152042311"/>
      <w:bookmarkStart w:id="25" w:name="_Toc179632552"/>
      <w:r>
        <w:rPr>
          <w:rFonts w:hint="eastAsia" w:ascii="宋体" w:hAnsi="宋体" w:eastAsia="宋体" w:cs="宋体"/>
          <w:b/>
          <w:color w:val="auto"/>
          <w:highlight w:val="none"/>
        </w:rPr>
        <w:t>1.5 费用承担</w:t>
      </w:r>
      <w:bookmarkEnd w:id="22"/>
      <w:bookmarkEnd w:id="23"/>
      <w:bookmarkEnd w:id="24"/>
      <w:bookmarkEnd w:id="25"/>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投标人准备和参加投标活动发生的费用自理。不论投标结果如何，投标人应承担自身因投标文件编制、递交及其他参加本招标活动所涉及的一切费用，招标人对上述费用不负任何责任。</w:t>
      </w:r>
    </w:p>
    <w:p>
      <w:pPr>
        <w:spacing w:line="420" w:lineRule="exact"/>
        <w:contextualSpacing/>
        <w:rPr>
          <w:rFonts w:ascii="宋体" w:hAnsi="宋体" w:eastAsia="宋体" w:cs="宋体"/>
          <w:b/>
          <w:color w:val="auto"/>
          <w:highlight w:val="none"/>
        </w:rPr>
      </w:pPr>
      <w:bookmarkStart w:id="26" w:name="_Toc152042312"/>
      <w:bookmarkStart w:id="27" w:name="_Toc152045536"/>
      <w:bookmarkStart w:id="28" w:name="_Toc179632553"/>
      <w:bookmarkStart w:id="29" w:name="_Toc144974504"/>
      <w:r>
        <w:rPr>
          <w:rFonts w:hint="eastAsia" w:ascii="宋体" w:hAnsi="宋体" w:eastAsia="宋体" w:cs="宋体"/>
          <w:b/>
          <w:color w:val="auto"/>
          <w:highlight w:val="none"/>
        </w:rPr>
        <w:t>1.6 保密</w:t>
      </w:r>
      <w:bookmarkEnd w:id="26"/>
      <w:bookmarkEnd w:id="27"/>
      <w:bookmarkEnd w:id="28"/>
      <w:bookmarkEnd w:id="29"/>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 xml:space="preserve">参与招标投标活动的各方应对招标文件和投标文件中的商业和技术等秘密保密，违者应对由此造成的后果承担法律责任。 </w:t>
      </w:r>
    </w:p>
    <w:p>
      <w:pPr>
        <w:spacing w:line="420" w:lineRule="exact"/>
        <w:contextualSpacing/>
        <w:rPr>
          <w:rFonts w:ascii="宋体" w:hAnsi="宋体" w:eastAsia="宋体" w:cs="宋体"/>
          <w:b/>
          <w:color w:val="auto"/>
          <w:highlight w:val="none"/>
        </w:rPr>
      </w:pPr>
      <w:bookmarkStart w:id="30" w:name="_Toc144974505"/>
      <w:bookmarkStart w:id="31" w:name="_Toc152045537"/>
      <w:bookmarkStart w:id="32" w:name="_Toc179632554"/>
      <w:bookmarkStart w:id="33" w:name="_Toc152042313"/>
      <w:r>
        <w:rPr>
          <w:rFonts w:hint="eastAsia" w:ascii="宋体" w:hAnsi="宋体" w:eastAsia="宋体" w:cs="宋体"/>
          <w:b/>
          <w:color w:val="auto"/>
          <w:highlight w:val="none"/>
        </w:rPr>
        <w:t>1.7 语言</w:t>
      </w:r>
      <w:bookmarkEnd w:id="30"/>
      <w:r>
        <w:rPr>
          <w:rFonts w:hint="eastAsia" w:ascii="宋体" w:hAnsi="宋体" w:eastAsia="宋体" w:cs="宋体"/>
          <w:b/>
          <w:color w:val="auto"/>
          <w:highlight w:val="none"/>
        </w:rPr>
        <w:t>文字</w:t>
      </w:r>
      <w:bookmarkEnd w:id="31"/>
      <w:bookmarkEnd w:id="32"/>
      <w:bookmarkEnd w:id="33"/>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除专用术语外，与招标投标有关的语言均使用中文。必要时专用术语应附有中文注释。</w:t>
      </w:r>
    </w:p>
    <w:p>
      <w:pPr>
        <w:spacing w:line="420" w:lineRule="exact"/>
        <w:contextualSpacing/>
        <w:rPr>
          <w:rFonts w:ascii="宋体" w:hAnsi="宋体" w:eastAsia="宋体" w:cs="宋体"/>
          <w:b/>
          <w:color w:val="auto"/>
          <w:highlight w:val="none"/>
        </w:rPr>
      </w:pPr>
      <w:bookmarkStart w:id="34" w:name="_Toc152045538"/>
      <w:bookmarkStart w:id="35" w:name="_Toc144974506"/>
      <w:bookmarkStart w:id="36" w:name="_Toc179632555"/>
      <w:bookmarkStart w:id="37" w:name="_Toc152042314"/>
      <w:r>
        <w:rPr>
          <w:rFonts w:hint="eastAsia" w:ascii="宋体" w:hAnsi="宋体" w:eastAsia="宋体" w:cs="宋体"/>
          <w:b/>
          <w:color w:val="auto"/>
          <w:highlight w:val="none"/>
        </w:rPr>
        <w:t>1.8 计量单位</w:t>
      </w:r>
      <w:bookmarkEnd w:id="34"/>
      <w:bookmarkEnd w:id="35"/>
      <w:bookmarkEnd w:id="36"/>
      <w:bookmarkEnd w:id="37"/>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1.9踏勘现场</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1.9.1投标人须知前附表规定组织踏勘现场的，招标人按照招标公告规定的时间和地点组织踏勘现场。</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1.9.2 投标人踏勘现场发生的费用自理。</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1.9.3 除招标人的原因外，投标人自行负责在踏勘现场中所发生的人员伤亡和财产损失。</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1.9.4 招标人在踏勘现场中介绍的工程场地和相关的周边环境情况，供投标人在编制投标文件时参考，招标人不对投标人据此作出的判断和决策负责。</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1.10投标预备会</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1.10.1投标人须知前附表规定召开投标预备会的，招标人按照招标公告规定的时间和地点召开投标预备会。</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1.10.2在投标预备会召开前，投标人应以书面形式(包括信函、电报、传真等可以有形地表现所载内容的形式，下同)将需要招标人澄清的问题送达招标人。</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1.10.3在投标人须知前附表规定的投标截止时间15天前，招标人将对投标人所提问题的澄清，以书面形式通知所有购买招标文件的投标人。该澄清通知为招标文件的组成部分。</w:t>
      </w:r>
    </w:p>
    <w:p>
      <w:pPr>
        <w:spacing w:line="420" w:lineRule="exact"/>
        <w:contextualSpacing/>
        <w:rPr>
          <w:rFonts w:ascii="宋体" w:hAnsi="宋体" w:eastAsia="宋体" w:cs="宋体"/>
          <w:b/>
          <w:color w:val="auto"/>
          <w:highlight w:val="none"/>
        </w:rPr>
      </w:pPr>
      <w:r>
        <w:rPr>
          <w:rFonts w:ascii="宋体" w:hAnsi="宋体" w:eastAsia="宋体" w:cs="宋体"/>
          <w:b/>
          <w:color w:val="auto"/>
          <w:highlight w:val="none"/>
        </w:rPr>
        <w:br w:type="page"/>
      </w:r>
      <w:r>
        <w:rPr>
          <w:rFonts w:hint="eastAsia" w:ascii="宋体" w:hAnsi="宋体" w:eastAsia="宋体" w:cs="宋体"/>
          <w:b/>
          <w:color w:val="auto"/>
          <w:highlight w:val="none"/>
        </w:rPr>
        <w:t>1.11分包</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绩资料表、分包的工程项目和工程量。</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1.12偏离</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投标文件不允许偏离招标文件的实质性要求和条件。投标文件偏离招标文件的非实质性要求和条件的，其处理方式见投标人须知前附表。</w:t>
      </w:r>
      <w:bookmarkStart w:id="38" w:name="第02章投标人须知02"/>
      <w:bookmarkEnd w:id="38"/>
    </w:p>
    <w:p>
      <w:pPr>
        <w:pStyle w:val="5"/>
        <w:tabs>
          <w:tab w:val="left" w:pos="425"/>
        </w:tabs>
        <w:spacing w:before="156"/>
        <w:ind w:left="425" w:hanging="425"/>
        <w:rPr>
          <w:rFonts w:ascii="宋体" w:eastAsia="宋体"/>
          <w:color w:val="auto"/>
          <w:spacing w:val="1"/>
          <w:w w:val="99"/>
          <w:kern w:val="0"/>
          <w:highlight w:val="none"/>
        </w:rPr>
      </w:pPr>
      <w:bookmarkStart w:id="39" w:name="_Toc434396980"/>
      <w:bookmarkStart w:id="40" w:name="_Toc518908449"/>
      <w:bookmarkStart w:id="41" w:name="_Toc518893826"/>
      <w:bookmarkStart w:id="42" w:name="_Toc433215182"/>
      <w:bookmarkStart w:id="43" w:name="_Toc12864"/>
      <w:bookmarkStart w:id="44" w:name="_Toc12737"/>
      <w:r>
        <w:rPr>
          <w:rFonts w:hint="eastAsia" w:ascii="宋体" w:eastAsia="宋体"/>
          <w:color w:val="auto"/>
          <w:spacing w:val="1"/>
          <w:w w:val="99"/>
          <w:kern w:val="0"/>
          <w:highlight w:val="none"/>
        </w:rPr>
        <w:t>2招标文件</w:t>
      </w:r>
      <w:bookmarkEnd w:id="39"/>
      <w:bookmarkEnd w:id="40"/>
      <w:bookmarkEnd w:id="41"/>
      <w:bookmarkEnd w:id="42"/>
      <w:bookmarkEnd w:id="43"/>
      <w:bookmarkEnd w:id="44"/>
    </w:p>
    <w:p>
      <w:pPr>
        <w:spacing w:line="420" w:lineRule="exact"/>
        <w:contextualSpacing/>
        <w:rPr>
          <w:rFonts w:ascii="宋体" w:hAnsi="宋体" w:eastAsia="宋体" w:cs="宋体"/>
          <w:b/>
          <w:color w:val="auto"/>
          <w:highlight w:val="none"/>
        </w:rPr>
      </w:pPr>
      <w:bookmarkStart w:id="45" w:name="_Toc144974511"/>
      <w:bookmarkStart w:id="46" w:name="_Toc152045543"/>
      <w:bookmarkStart w:id="47" w:name="_Toc179632561"/>
      <w:bookmarkStart w:id="48" w:name="_Toc152042319"/>
      <w:r>
        <w:rPr>
          <w:rFonts w:hint="eastAsia" w:ascii="宋体" w:hAnsi="宋体" w:eastAsia="宋体" w:cs="宋体"/>
          <w:b/>
          <w:color w:val="auto"/>
          <w:highlight w:val="none"/>
        </w:rPr>
        <w:t>2.1 招标文件的组成</w:t>
      </w:r>
      <w:bookmarkEnd w:id="45"/>
      <w:bookmarkEnd w:id="46"/>
      <w:bookmarkEnd w:id="47"/>
      <w:bookmarkEnd w:id="48"/>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本招标文件包括：</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（1）投标人须知；</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（2）评标办法；</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（3）合同条款及格式；</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 xml:space="preserve">（4）工程量清单； </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 xml:space="preserve">（5）技术标准和要求； </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（6）投标文件格式；</w:t>
      </w:r>
    </w:p>
    <w:p>
      <w:pPr>
        <w:spacing w:line="360" w:lineRule="auto"/>
        <w:contextualSpacing/>
        <w:rPr>
          <w:rFonts w:ascii="宋体" w:hAnsi="宋体" w:eastAsia="宋体" w:cs="宋体"/>
          <w:color w:val="auto"/>
          <w:highlight w:val="none"/>
        </w:rPr>
      </w:pPr>
      <w:r>
        <w:rPr>
          <w:rFonts w:hint="eastAsia" w:ascii="宋体" w:hAnsi="宋体" w:eastAsia="宋体" w:cs="宋体"/>
          <w:color w:val="auto"/>
          <w:highlight w:val="none"/>
        </w:rPr>
        <w:t>根据本章第2.2款对招标文件所作的澄清、修改，构成招标文件的组成部分。</w:t>
      </w:r>
    </w:p>
    <w:p>
      <w:pPr>
        <w:spacing w:line="360" w:lineRule="auto"/>
        <w:contextualSpacing/>
        <w:rPr>
          <w:rFonts w:ascii="宋体" w:hAnsi="宋体" w:eastAsia="宋体" w:cs="宋体"/>
          <w:b/>
          <w:color w:val="auto"/>
          <w:highlight w:val="none"/>
        </w:rPr>
      </w:pPr>
      <w:r>
        <w:rPr>
          <w:rFonts w:hint="eastAsia" w:ascii="宋体" w:hAnsi="宋体" w:eastAsia="宋体" w:cs="宋体"/>
          <w:b/>
          <w:color w:val="auto"/>
          <w:highlight w:val="none"/>
        </w:rPr>
        <w:t>2.2招标文件的</w:t>
      </w:r>
      <w:r>
        <w:rPr>
          <w:rFonts w:hint="eastAsia" w:ascii="宋体" w:hAnsi="宋体" w:eastAsia="宋体" w:cs="宋体"/>
          <w:b/>
          <w:bCs/>
          <w:color w:val="auto"/>
          <w:szCs w:val="21"/>
          <w:highlight w:val="none"/>
        </w:rPr>
        <w:t>澄清或修改</w:t>
      </w:r>
    </w:p>
    <w:p>
      <w:pPr>
        <w:pStyle w:val="46"/>
        <w:numPr>
          <w:ilvl w:val="0"/>
          <w:numId w:val="3"/>
        </w:numPr>
        <w:tabs>
          <w:tab w:val="left" w:pos="709"/>
        </w:tabs>
        <w:snapToGrid w:val="0"/>
        <w:spacing w:line="360" w:lineRule="auto"/>
        <w:ind w:firstLineChars="0"/>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招标人或者招标代理机构可以对已发出的招标文件进行必要的澄清或者修改。澄清或者修改</w:t>
      </w:r>
    </w:p>
    <w:p>
      <w:pPr>
        <w:tabs>
          <w:tab w:val="left" w:pos="709"/>
        </w:tabs>
        <w:snapToGrid w:val="0"/>
        <w:spacing w:line="360" w:lineRule="auto"/>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应当在原公告发布媒体上发布澄清</w:t>
      </w:r>
      <w:r>
        <w:rPr>
          <w:rFonts w:hint="eastAsia" w:ascii="宋体" w:hAnsi="宋体" w:eastAsia="宋体" w:cs="宋体"/>
          <w:color w:val="auto"/>
          <w:szCs w:val="21"/>
          <w:highlight w:val="none"/>
        </w:rPr>
        <w:t>（更正/变更）</w:t>
      </w:r>
      <w:r>
        <w:rPr>
          <w:rFonts w:hint="eastAsia" w:ascii="宋体" w:hAnsi="宋体" w:eastAsia="宋体" w:cs="宋体"/>
          <w:color w:val="auto"/>
          <w:szCs w:val="21"/>
          <w:highlight w:val="none"/>
          <w:lang w:eastAsia="zh-TW"/>
        </w:rPr>
        <w:t>公告。</w:t>
      </w:r>
    </w:p>
    <w:p>
      <w:pPr>
        <w:pStyle w:val="46"/>
        <w:numPr>
          <w:ilvl w:val="0"/>
          <w:numId w:val="3"/>
        </w:numPr>
        <w:tabs>
          <w:tab w:val="left" w:pos="709"/>
        </w:tabs>
        <w:snapToGrid w:val="0"/>
        <w:spacing w:line="360" w:lineRule="auto"/>
        <w:ind w:firstLineChars="0"/>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澄清或者修改的内容可能影响投标文件编制的，招标人或者招标代理机构应当在投标截止时</w:t>
      </w:r>
    </w:p>
    <w:p>
      <w:pPr>
        <w:tabs>
          <w:tab w:val="left" w:pos="709"/>
        </w:tabs>
        <w:snapToGrid w:val="0"/>
        <w:spacing w:line="360" w:lineRule="auto"/>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间至少15日前，以书面形式通知所有获取招标文件的潜在投标人；不足15日的，招标人或者招标代理机构应当顺延提交投标文件的截止时间。</w:t>
      </w:r>
    </w:p>
    <w:p>
      <w:pPr>
        <w:pStyle w:val="46"/>
        <w:numPr>
          <w:ilvl w:val="0"/>
          <w:numId w:val="3"/>
        </w:numPr>
        <w:tabs>
          <w:tab w:val="left" w:pos="709"/>
        </w:tabs>
        <w:snapToGrid w:val="0"/>
        <w:spacing w:line="360" w:lineRule="auto"/>
        <w:ind w:firstLineChars="0"/>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招标人或者招标代理机构将澄清（更正/变更）公告以书面形式通知所有获取招标文件的潜在</w:t>
      </w:r>
    </w:p>
    <w:p>
      <w:pPr>
        <w:tabs>
          <w:tab w:val="left" w:pos="709"/>
        </w:tabs>
        <w:snapToGrid w:val="0"/>
        <w:spacing w:line="360" w:lineRule="auto"/>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投标人，潜在投标人在收到澄清（更正/变更）公告书面通知后应按要求以书面形式（传真或电子邮件）予以确认。如在24小时之内无书面确认则视为同意修改内容，并有责任履行相应的义务。</w:t>
      </w:r>
    </w:p>
    <w:p>
      <w:pPr>
        <w:pStyle w:val="46"/>
        <w:numPr>
          <w:ilvl w:val="0"/>
          <w:numId w:val="3"/>
        </w:numPr>
        <w:tabs>
          <w:tab w:val="left" w:pos="709"/>
        </w:tabs>
        <w:snapToGrid w:val="0"/>
        <w:spacing w:line="360" w:lineRule="auto"/>
        <w:ind w:firstLineChars="0"/>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招标人或招标代理机构发出的澄清或修改（更正/变更）的内容为招标文件的组成部分，并对</w:t>
      </w:r>
    </w:p>
    <w:p>
      <w:pPr>
        <w:tabs>
          <w:tab w:val="left" w:pos="709"/>
        </w:tabs>
        <w:snapToGrid w:val="0"/>
        <w:spacing w:line="360" w:lineRule="auto"/>
        <w:rPr>
          <w:rFonts w:ascii="宋体" w:hAnsi="宋体" w:eastAsia="宋体" w:cs="宋体"/>
          <w:color w:val="auto"/>
          <w:szCs w:val="21"/>
          <w:highlight w:val="none"/>
          <w:lang w:eastAsia="zh-TW"/>
        </w:rPr>
      </w:pPr>
      <w:r>
        <w:rPr>
          <w:rFonts w:hint="eastAsia" w:ascii="宋体" w:hAnsi="宋体" w:eastAsia="宋体" w:cs="宋体"/>
          <w:color w:val="auto"/>
          <w:szCs w:val="21"/>
          <w:highlight w:val="none"/>
          <w:lang w:eastAsia="zh-TW"/>
        </w:rPr>
        <w:t>潜在投标人具有约束力。</w:t>
      </w:r>
    </w:p>
    <w:p>
      <w:pPr>
        <w:pStyle w:val="5"/>
        <w:tabs>
          <w:tab w:val="left" w:pos="425"/>
        </w:tabs>
        <w:spacing w:before="156"/>
        <w:ind w:left="425" w:hanging="425"/>
        <w:rPr>
          <w:rFonts w:ascii="宋体" w:eastAsia="宋体"/>
          <w:color w:val="auto"/>
          <w:spacing w:val="1"/>
          <w:w w:val="99"/>
          <w:kern w:val="0"/>
          <w:highlight w:val="none"/>
        </w:rPr>
      </w:pPr>
      <w:bookmarkStart w:id="49" w:name="第02章投标人须知03"/>
      <w:bookmarkEnd w:id="49"/>
      <w:bookmarkStart w:id="50" w:name="_Toc434396981"/>
      <w:bookmarkStart w:id="51" w:name="_Toc8237"/>
      <w:bookmarkStart w:id="52" w:name="_Toc518908450"/>
      <w:bookmarkStart w:id="53" w:name="_Toc518893827"/>
      <w:bookmarkStart w:id="54" w:name="_Toc12373"/>
      <w:bookmarkStart w:id="55" w:name="_Toc433215183"/>
      <w:r>
        <w:rPr>
          <w:rFonts w:hint="eastAsia" w:ascii="宋体" w:eastAsia="宋体"/>
          <w:color w:val="auto"/>
          <w:spacing w:val="1"/>
          <w:w w:val="99"/>
          <w:kern w:val="0"/>
          <w:highlight w:val="none"/>
        </w:rPr>
        <w:t>3　投标文件</w:t>
      </w:r>
      <w:bookmarkEnd w:id="50"/>
      <w:bookmarkEnd w:id="51"/>
      <w:bookmarkEnd w:id="52"/>
      <w:bookmarkEnd w:id="53"/>
      <w:bookmarkEnd w:id="54"/>
      <w:bookmarkEnd w:id="55"/>
    </w:p>
    <w:p>
      <w:pPr>
        <w:spacing w:line="420" w:lineRule="exact"/>
        <w:contextualSpacing/>
        <w:rPr>
          <w:rFonts w:ascii="宋体" w:hAnsi="宋体" w:eastAsia="宋体" w:cs="宋体"/>
          <w:b/>
          <w:color w:val="auto"/>
          <w:highlight w:val="none"/>
        </w:rPr>
      </w:pPr>
      <w:bookmarkStart w:id="56" w:name="_Toc152045547"/>
      <w:bookmarkStart w:id="57" w:name="_Toc152042323"/>
      <w:bookmarkStart w:id="58" w:name="_Toc144974515"/>
      <w:bookmarkStart w:id="59" w:name="_Toc179632565"/>
      <w:r>
        <w:rPr>
          <w:rFonts w:hint="eastAsia" w:ascii="宋体" w:hAnsi="宋体" w:eastAsia="宋体" w:cs="宋体"/>
          <w:b/>
          <w:color w:val="auto"/>
          <w:highlight w:val="none"/>
        </w:rPr>
        <w:t>3.1投标文件的组成</w:t>
      </w:r>
      <w:bookmarkEnd w:id="56"/>
      <w:bookmarkEnd w:id="57"/>
      <w:bookmarkEnd w:id="58"/>
      <w:bookmarkEnd w:id="59"/>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3.1.1投标文件的组成见投标文件格式：</w:t>
      </w:r>
    </w:p>
    <w:p>
      <w:pPr>
        <w:spacing w:line="420" w:lineRule="exact"/>
        <w:contextualSpacing/>
        <w:rPr>
          <w:rFonts w:ascii="宋体" w:hAnsi="宋体" w:eastAsia="宋体" w:cs="宋体"/>
          <w:b/>
          <w:color w:val="auto"/>
          <w:highlight w:val="none"/>
        </w:rPr>
      </w:pPr>
      <w:bookmarkStart w:id="60" w:name="_Toc152042324"/>
      <w:bookmarkStart w:id="61" w:name="_Toc152045548"/>
      <w:bookmarkStart w:id="62" w:name="_Toc144974516"/>
      <w:bookmarkStart w:id="63" w:name="_Toc179632566"/>
      <w:r>
        <w:rPr>
          <w:rFonts w:hint="eastAsia" w:ascii="宋体" w:hAnsi="宋体" w:eastAsia="宋体" w:cs="宋体"/>
          <w:b/>
          <w:color w:val="auto"/>
          <w:highlight w:val="none"/>
        </w:rPr>
        <w:t>3.2 投标报价</w:t>
      </w:r>
      <w:bookmarkEnd w:id="60"/>
      <w:bookmarkEnd w:id="61"/>
      <w:bookmarkEnd w:id="62"/>
      <w:bookmarkEnd w:id="63"/>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3.2.1投标人应按第4章“工程量清单”的要求填写相应表格。</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3.2.2投标人在投标截止时间前修改投标函中的投标总报价，应同时修改第4章“工程量清单”中的相应报价。此修改须符合本章第4.3款的有关要求。</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3.2.3投标报价按照投标人须知前附表规定填写。</w:t>
      </w:r>
    </w:p>
    <w:p>
      <w:pPr>
        <w:spacing w:line="420" w:lineRule="exact"/>
        <w:contextualSpacing/>
        <w:rPr>
          <w:rFonts w:ascii="宋体" w:hAnsi="宋体" w:eastAsia="宋体" w:cs="宋体"/>
          <w:b/>
          <w:color w:val="auto"/>
          <w:highlight w:val="none"/>
        </w:rPr>
      </w:pPr>
      <w:bookmarkStart w:id="64" w:name="_Toc179632567"/>
      <w:bookmarkStart w:id="65" w:name="_Toc144974517"/>
      <w:bookmarkStart w:id="66" w:name="_Toc152045549"/>
      <w:bookmarkStart w:id="67" w:name="_Toc152042325"/>
      <w:r>
        <w:rPr>
          <w:rFonts w:hint="eastAsia" w:ascii="宋体" w:hAnsi="宋体" w:eastAsia="宋体" w:cs="宋体"/>
          <w:b/>
          <w:color w:val="auto"/>
          <w:highlight w:val="none"/>
        </w:rPr>
        <w:t>3.3 投标有效期</w:t>
      </w:r>
      <w:bookmarkEnd w:id="64"/>
      <w:bookmarkEnd w:id="65"/>
      <w:bookmarkEnd w:id="66"/>
      <w:bookmarkEnd w:id="67"/>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3.3.1在投标人须知前附表规定的投标有效期内，投标人不得要求撤销或修改其投标文件。</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20" w:lineRule="exact"/>
        <w:contextualSpacing/>
        <w:rPr>
          <w:rFonts w:ascii="宋体" w:hAnsi="宋体" w:eastAsia="宋体" w:cs="宋体"/>
          <w:b/>
          <w:color w:val="auto"/>
          <w:highlight w:val="none"/>
        </w:rPr>
      </w:pPr>
      <w:bookmarkStart w:id="68" w:name="_Toc144974518"/>
      <w:bookmarkStart w:id="69" w:name="_Toc152045550"/>
      <w:bookmarkStart w:id="70" w:name="_Toc152042326"/>
      <w:bookmarkStart w:id="71" w:name="_Toc179632568"/>
      <w:r>
        <w:rPr>
          <w:rFonts w:hint="eastAsia" w:ascii="宋体" w:hAnsi="宋体" w:eastAsia="宋体" w:cs="宋体"/>
          <w:b/>
          <w:color w:val="auto"/>
          <w:highlight w:val="none"/>
        </w:rPr>
        <w:t>3.4 投标保证金</w:t>
      </w:r>
      <w:bookmarkEnd w:id="68"/>
      <w:bookmarkEnd w:id="69"/>
      <w:bookmarkEnd w:id="70"/>
      <w:bookmarkEnd w:id="71"/>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3.4.1 投标人在递交投标文件的同时，应按投标人须知前附表规定的金额、担保形式递交投标保证金，并作为其投标文件的组成部分。联合体投标的，其投标保证金由牵头人递交，并应符合投标人须知前附表的规定。</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3.4.2 投标人不按本章第3.4.1项要求提交投标保证金的，</w:t>
      </w:r>
      <w:r>
        <w:rPr>
          <w:rFonts w:hint="eastAsia" w:ascii="宋体" w:hAnsi="宋体" w:eastAsia="宋体" w:cs="宋体"/>
          <w:color w:val="auto"/>
          <w:szCs w:val="21"/>
          <w:highlight w:val="none"/>
        </w:rPr>
        <w:t>其投标将被否决</w:t>
      </w:r>
      <w:r>
        <w:rPr>
          <w:rFonts w:hint="eastAsia" w:ascii="宋体" w:hAnsi="宋体" w:eastAsia="宋体" w:cs="宋体"/>
          <w:color w:val="auto"/>
          <w:highlight w:val="none"/>
        </w:rPr>
        <w:t>。</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3.4.3</w:t>
      </w:r>
      <w:r>
        <w:rPr>
          <w:rFonts w:hint="eastAsia" w:ascii="宋体" w:hAnsi="宋体" w:eastAsia="宋体" w:cs="宋体"/>
          <w:color w:val="auto"/>
          <w:szCs w:val="21"/>
          <w:highlight w:val="none"/>
          <w:lang w:eastAsia="zh-TW"/>
        </w:rPr>
        <w:t>在招标人与中标人签订书面合同后 5 日内，</w:t>
      </w: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lang w:eastAsia="zh-TW"/>
        </w:rPr>
        <w:t>将向</w:t>
      </w:r>
      <w:r>
        <w:rPr>
          <w:rFonts w:hint="eastAsia" w:ascii="宋体" w:hAnsi="宋体" w:eastAsia="宋体" w:cs="宋体"/>
          <w:color w:val="auto"/>
          <w:szCs w:val="21"/>
          <w:highlight w:val="none"/>
        </w:rPr>
        <w:t>中标人和</w:t>
      </w:r>
      <w:r>
        <w:rPr>
          <w:rFonts w:hint="eastAsia" w:ascii="宋体" w:hAnsi="宋体" w:eastAsia="宋体" w:cs="宋体"/>
          <w:color w:val="auto"/>
          <w:szCs w:val="21"/>
          <w:highlight w:val="none"/>
          <w:lang w:eastAsia="zh-TW"/>
        </w:rPr>
        <w:t>未中标的投标人退还投标保证金。</w:t>
      </w:r>
      <w:r>
        <w:rPr>
          <w:rFonts w:hint="eastAsia" w:ascii="宋体" w:hAnsi="宋体" w:eastAsia="宋体" w:cs="宋体"/>
          <w:color w:val="auto"/>
          <w:highlight w:val="none"/>
        </w:rPr>
        <w:t>。</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 xml:space="preserve">3.4.4 有下列情形之一的，投标保证金将不予退还： </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（1）投标人在规定的投标有效期内撤销其投标文件；</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（2）中标人在收到中标通知书后，无正当理由拒签合同协议书或未按招标文件规定提交履约担保；</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中标后中标人放弃中标资格的；</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投</w:t>
      </w:r>
      <w:r>
        <w:rPr>
          <w:rFonts w:hint="eastAsia" w:ascii="宋体" w:hAnsi="宋体" w:eastAsia="宋体" w:cs="宋体"/>
          <w:color w:val="auto"/>
          <w:szCs w:val="21"/>
          <w:highlight w:val="none"/>
          <w:lang w:eastAsia="zh-TW"/>
        </w:rPr>
        <w:t>标人在招标文件中提供虚假材料的；</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lang w:eastAsia="zh-TW"/>
        </w:rPr>
        <w:t>除因不可抗力或招标文件认可的情形以外，中标人不与招标人签订合同的</w:t>
      </w:r>
      <w:r>
        <w:rPr>
          <w:rFonts w:hint="eastAsia" w:ascii="宋体" w:hAnsi="宋体" w:eastAsia="宋体" w:cs="宋体"/>
          <w:color w:val="auto"/>
          <w:szCs w:val="21"/>
          <w:highlight w:val="none"/>
        </w:rPr>
        <w:t>或在签订合同时向招标人提出附加条件的</w:t>
      </w:r>
      <w:r>
        <w:rPr>
          <w:rFonts w:hint="eastAsia" w:ascii="宋体" w:hAnsi="宋体" w:eastAsia="宋体" w:cs="宋体"/>
          <w:color w:val="auto"/>
          <w:szCs w:val="21"/>
          <w:highlight w:val="none"/>
          <w:lang w:eastAsia="zh-TW"/>
        </w:rPr>
        <w:t>；</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highlight w:val="none"/>
        </w:rPr>
        <w:t>（6）</w:t>
      </w:r>
      <w:r>
        <w:rPr>
          <w:rFonts w:hint="eastAsia" w:ascii="宋体" w:hAnsi="宋体" w:eastAsia="宋体" w:cs="宋体"/>
          <w:color w:val="auto"/>
          <w:szCs w:val="21"/>
          <w:highlight w:val="none"/>
        </w:rPr>
        <w:t>属于投标人相互串通投标的情形</w:t>
      </w:r>
      <w:r>
        <w:rPr>
          <w:rFonts w:hint="eastAsia" w:ascii="宋体" w:hAnsi="宋体" w:eastAsia="宋体" w:cs="宋体"/>
          <w:color w:val="auto"/>
          <w:szCs w:val="21"/>
          <w:highlight w:val="none"/>
          <w:lang w:eastAsia="zh-TW"/>
        </w:rPr>
        <w:t>；</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Cs w:val="21"/>
          <w:highlight w:val="none"/>
          <w:lang w:eastAsia="zh-TW"/>
        </w:rPr>
        <w:t>中标人未按本须知规定</w:t>
      </w:r>
      <w:r>
        <w:rPr>
          <w:rFonts w:hint="eastAsia" w:ascii="宋体" w:hAnsi="宋体" w:eastAsia="宋体" w:cs="宋体"/>
          <w:color w:val="auto"/>
          <w:szCs w:val="21"/>
          <w:highlight w:val="none"/>
        </w:rPr>
        <w:t>缴</w:t>
      </w:r>
      <w:r>
        <w:rPr>
          <w:rFonts w:hint="eastAsia" w:ascii="宋体" w:hAnsi="宋体" w:eastAsia="宋体" w:cs="宋体"/>
          <w:color w:val="auto"/>
          <w:szCs w:val="21"/>
          <w:highlight w:val="none"/>
          <w:lang w:eastAsia="zh-TW"/>
        </w:rPr>
        <w:t>纳招标代理服务费。</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3.5资格审查资料</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详见招标公告中投标人资格要求。</w:t>
      </w:r>
    </w:p>
    <w:p>
      <w:pPr>
        <w:spacing w:line="420" w:lineRule="exact"/>
        <w:contextualSpacing/>
        <w:rPr>
          <w:rFonts w:ascii="宋体" w:hAnsi="宋体" w:eastAsia="宋体" w:cs="宋体"/>
          <w:b/>
          <w:color w:val="auto"/>
          <w:highlight w:val="none"/>
        </w:rPr>
      </w:pPr>
      <w:r>
        <w:rPr>
          <w:rFonts w:ascii="宋体" w:hAnsi="宋体" w:eastAsia="宋体" w:cs="宋体"/>
          <w:b/>
          <w:color w:val="auto"/>
          <w:highlight w:val="none"/>
        </w:rPr>
        <w:br w:type="page"/>
      </w:r>
      <w:r>
        <w:rPr>
          <w:rFonts w:hint="eastAsia" w:ascii="宋体" w:hAnsi="宋体" w:eastAsia="宋体" w:cs="宋体"/>
          <w:b/>
          <w:color w:val="auto"/>
          <w:highlight w:val="none"/>
        </w:rPr>
        <w:t>3.6备选投标方案</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招标人不接受备选投标方案。</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3.7投标文件的编制</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3.7.1投标文件应按第6章“投标文件格式”进行编写，如有必要，可以增加附页，作为投标文件的组成部分。其中，投标函附录在满足招标文件实质性要求的基础上，可以提出比招标文件要求更有利于招标人的承诺。</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3.7.2 投标文件应当对招标文件有关工期、投标有效期、质量要求、技术标准和要求、招标范围等实质性内容作出响应。</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3.7.3</w:t>
      </w:r>
      <w:r>
        <w:rPr>
          <w:rFonts w:hint="eastAsia" w:ascii="宋体" w:hAnsi="宋体" w:eastAsia="宋体" w:cs="宋体"/>
          <w:color w:val="auto"/>
          <w:szCs w:val="21"/>
          <w:highlight w:val="none"/>
        </w:rPr>
        <w:t>投标文件正本应根据招标文件要求加盖投标单位公章，并由其法定代表人或授权代表签字</w:t>
      </w:r>
      <w:r>
        <w:rPr>
          <w:rFonts w:hint="eastAsia" w:ascii="宋体" w:hAnsi="宋体" w:eastAsia="宋体" w:cs="宋体"/>
          <w:color w:val="auto"/>
          <w:highlight w:val="none"/>
        </w:rPr>
        <w:t>。投标文件应尽量避免涂改、行间插字或删除。如果出现上述情况，修改之处应加盖投标人单位公章或由投标人的法定代表人或其</w:t>
      </w:r>
      <w:r>
        <w:rPr>
          <w:rFonts w:hint="eastAsia" w:ascii="宋体" w:hAnsi="宋体" w:eastAsia="宋体" w:cs="宋体"/>
          <w:color w:val="auto"/>
          <w:szCs w:val="21"/>
          <w:highlight w:val="none"/>
        </w:rPr>
        <w:t>授权代表</w:t>
      </w:r>
      <w:r>
        <w:rPr>
          <w:rFonts w:hint="eastAsia" w:ascii="宋体" w:hAnsi="宋体" w:eastAsia="宋体" w:cs="宋体"/>
          <w:color w:val="auto"/>
          <w:highlight w:val="none"/>
        </w:rPr>
        <w:t>签字确认。</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3.7.4投标人应按投标须知前附表规定的份数提交投标文件。正本和副本的封面上应清楚地标记“正本”或“副本”的字样。当副本和正本不一致或电子版文件和纸质正本文件不一致时，以纸质正本文件为准。</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3.7.5</w:t>
      </w:r>
      <w:r>
        <w:rPr>
          <w:rFonts w:hint="eastAsia" w:ascii="宋体" w:hAnsi="宋体" w:eastAsia="宋体" w:cs="宋体"/>
          <w:color w:val="auto"/>
          <w:szCs w:val="21"/>
          <w:highlight w:val="none"/>
        </w:rPr>
        <w:t>投标人对招标文件中多个标段进行投标的</w:t>
      </w:r>
      <w:r>
        <w:rPr>
          <w:rFonts w:hint="eastAsia" w:ascii="宋体" w:hAnsi="宋体" w:eastAsia="宋体" w:cs="宋体"/>
          <w:color w:val="auto"/>
          <w:szCs w:val="21"/>
          <w:highlight w:val="none"/>
          <w:lang w:eastAsia="zh-TW"/>
        </w:rPr>
        <w:t>，其投标文件的编制可按每个标段分别装订和封装。</w:t>
      </w:r>
      <w:r>
        <w:rPr>
          <w:rFonts w:hint="eastAsia" w:ascii="宋体" w:hAnsi="宋体" w:eastAsia="宋体" w:cs="宋体"/>
          <w:bCs/>
          <w:color w:val="auto"/>
          <w:szCs w:val="21"/>
          <w:highlight w:val="none"/>
        </w:rPr>
        <w:t>投标人对所有投标文件</w:t>
      </w:r>
      <w:r>
        <w:rPr>
          <w:rFonts w:hint="eastAsia" w:ascii="宋体" w:hAnsi="宋体" w:eastAsia="宋体" w:cs="宋体"/>
          <w:color w:val="auto"/>
          <w:szCs w:val="21"/>
          <w:highlight w:val="none"/>
        </w:rPr>
        <w:t>采用左侧书本式方式</w:t>
      </w:r>
      <w:r>
        <w:rPr>
          <w:rFonts w:hint="eastAsia" w:ascii="宋体" w:hAnsi="宋体" w:eastAsia="宋体" w:cs="宋体"/>
          <w:bCs/>
          <w:color w:val="auto"/>
          <w:szCs w:val="21"/>
          <w:highlight w:val="none"/>
        </w:rPr>
        <w:t>装订，装订应牢固、不易拆散和换页，原则上不得采用活页方式装订。</w:t>
      </w:r>
      <w:r>
        <w:rPr>
          <w:rFonts w:hint="eastAsia" w:ascii="宋体" w:hAnsi="宋体" w:eastAsia="宋体" w:cs="宋体"/>
          <w:color w:val="auto"/>
          <w:szCs w:val="21"/>
          <w:highlight w:val="none"/>
          <w:lang w:eastAsia="zh-TW"/>
        </w:rPr>
        <w:t>对未经装订的投标文件可能发生的文件散落或缺损，由此造成的后果</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eastAsia="zh-TW"/>
        </w:rPr>
        <w:t>责任由投标人承担</w:t>
      </w:r>
      <w:r>
        <w:rPr>
          <w:rFonts w:hint="eastAsia" w:ascii="宋体" w:hAnsi="宋体" w:eastAsia="宋体" w:cs="宋体"/>
          <w:color w:val="auto"/>
          <w:szCs w:val="21"/>
          <w:highlight w:val="none"/>
        </w:rPr>
        <w:t>。</w:t>
      </w:r>
    </w:p>
    <w:p>
      <w:pPr>
        <w:pStyle w:val="5"/>
        <w:tabs>
          <w:tab w:val="left" w:pos="425"/>
        </w:tabs>
        <w:spacing w:before="156"/>
        <w:ind w:left="425" w:hanging="425"/>
        <w:rPr>
          <w:rFonts w:ascii="宋体" w:eastAsia="宋体"/>
          <w:color w:val="auto"/>
          <w:spacing w:val="1"/>
          <w:w w:val="99"/>
          <w:kern w:val="0"/>
          <w:highlight w:val="none"/>
        </w:rPr>
      </w:pPr>
      <w:bookmarkStart w:id="72" w:name="第02章投标人须知04"/>
      <w:bookmarkEnd w:id="72"/>
      <w:bookmarkStart w:id="73" w:name="_Toc433215184"/>
      <w:bookmarkStart w:id="74" w:name="_Toc5501"/>
      <w:bookmarkStart w:id="75" w:name="_Toc518908451"/>
      <w:bookmarkStart w:id="76" w:name="_Toc518893828"/>
      <w:bookmarkStart w:id="77" w:name="_Toc434396982"/>
      <w:bookmarkStart w:id="78" w:name="_Toc27386"/>
      <w:r>
        <w:rPr>
          <w:rFonts w:hint="eastAsia" w:ascii="宋体" w:eastAsia="宋体"/>
          <w:color w:val="auto"/>
          <w:spacing w:val="1"/>
          <w:w w:val="99"/>
          <w:kern w:val="0"/>
          <w:highlight w:val="none"/>
        </w:rPr>
        <w:t>4投标</w:t>
      </w:r>
      <w:bookmarkEnd w:id="73"/>
      <w:bookmarkEnd w:id="74"/>
      <w:bookmarkEnd w:id="75"/>
      <w:bookmarkEnd w:id="76"/>
      <w:bookmarkEnd w:id="77"/>
      <w:bookmarkEnd w:id="78"/>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4.1投标文件的密封和标识</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4.1.1</w:t>
      </w:r>
      <w:r>
        <w:rPr>
          <w:rFonts w:hint="eastAsia" w:ascii="宋体" w:hAnsi="宋体" w:eastAsia="宋体" w:cs="宋体"/>
          <w:color w:val="auto"/>
          <w:szCs w:val="21"/>
          <w:highlight w:val="none"/>
        </w:rPr>
        <w:t>投标文件正本与副本可以单独密封包装，也可以所有投标文件密封包装在一个密封袋内</w:t>
      </w:r>
      <w:r>
        <w:rPr>
          <w:rFonts w:hint="eastAsia" w:ascii="宋体" w:hAnsi="宋体" w:eastAsia="宋体" w:cs="宋体"/>
          <w:color w:val="auto"/>
          <w:highlight w:val="none"/>
        </w:rPr>
        <w:t>。</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4.1.2</w:t>
      </w:r>
      <w:r>
        <w:rPr>
          <w:rFonts w:hint="eastAsia" w:ascii="宋体" w:hAnsi="宋体" w:eastAsia="宋体" w:cs="宋体"/>
          <w:color w:val="auto"/>
          <w:szCs w:val="21"/>
          <w:highlight w:val="none"/>
        </w:rPr>
        <w:t>不足以造成投标文件可从外包装内散出而导致投标文件泄密的，不认定为投标文件未密封。</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4.1.3</w:t>
      </w:r>
      <w:r>
        <w:rPr>
          <w:rFonts w:hint="eastAsia" w:ascii="宋体" w:hAnsi="宋体" w:eastAsia="宋体" w:cs="宋体"/>
          <w:color w:val="auto"/>
          <w:szCs w:val="21"/>
          <w:highlight w:val="none"/>
        </w:rPr>
        <w:t>外包装上清楚写明投标人名称、项目名称、项目编号、标段号（如有）的</w:t>
      </w:r>
      <w:r>
        <w:rPr>
          <w:rFonts w:hint="eastAsia" w:ascii="宋体" w:hAnsi="宋体" w:eastAsia="宋体" w:cs="宋体"/>
          <w:color w:val="auto"/>
          <w:szCs w:val="21"/>
          <w:highlight w:val="none"/>
          <w:lang w:eastAsia="zh-TW"/>
        </w:rPr>
        <w:t>字样</w:t>
      </w:r>
      <w:r>
        <w:rPr>
          <w:rFonts w:hint="eastAsia" w:ascii="宋体" w:hAnsi="宋体" w:eastAsia="宋体" w:cs="宋体"/>
          <w:color w:val="auto"/>
          <w:highlight w:val="none"/>
        </w:rPr>
        <w:t>。</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4.1.4</w:t>
      </w:r>
      <w:r>
        <w:rPr>
          <w:rFonts w:hint="eastAsia" w:ascii="宋体" w:hAnsi="宋体" w:eastAsia="宋体" w:cs="宋体"/>
          <w:color w:val="auto"/>
          <w:szCs w:val="21"/>
          <w:highlight w:val="none"/>
          <w:lang w:eastAsia="zh-TW"/>
        </w:rPr>
        <w:t>如果未按本须知</w:t>
      </w:r>
      <w:r>
        <w:rPr>
          <w:rFonts w:hint="eastAsia" w:ascii="宋体" w:hAnsi="宋体" w:eastAsia="宋体" w:cs="宋体"/>
          <w:color w:val="auto"/>
          <w:szCs w:val="21"/>
          <w:highlight w:val="none"/>
        </w:rPr>
        <w:t>上款</w:t>
      </w:r>
      <w:r>
        <w:rPr>
          <w:rFonts w:hint="eastAsia" w:ascii="宋体" w:hAnsi="宋体" w:eastAsia="宋体" w:cs="宋体"/>
          <w:color w:val="auto"/>
          <w:szCs w:val="21"/>
          <w:highlight w:val="none"/>
          <w:lang w:eastAsia="zh-TW"/>
        </w:rPr>
        <w:t>要求加写</w:t>
      </w:r>
      <w:r>
        <w:rPr>
          <w:rFonts w:hint="eastAsia" w:ascii="宋体" w:hAnsi="宋体" w:eastAsia="宋体" w:cs="宋体"/>
          <w:color w:val="auto"/>
          <w:szCs w:val="21"/>
          <w:highlight w:val="none"/>
        </w:rPr>
        <w:t>标识，</w:t>
      </w:r>
      <w:r>
        <w:rPr>
          <w:rFonts w:hint="eastAsia" w:ascii="宋体" w:hAnsi="宋体" w:eastAsia="宋体" w:cs="宋体"/>
          <w:color w:val="auto"/>
          <w:szCs w:val="21"/>
          <w:highlight w:val="none"/>
          <w:lang w:eastAsia="zh-TW"/>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TW"/>
        </w:rPr>
        <w:t>对误投或提前启封概不负责</w:t>
      </w:r>
    </w:p>
    <w:p>
      <w:pPr>
        <w:spacing w:line="420" w:lineRule="exact"/>
        <w:contextualSpacing/>
        <w:rPr>
          <w:rFonts w:ascii="宋体" w:hAnsi="宋体" w:eastAsia="宋体" w:cs="宋体"/>
          <w:b/>
          <w:color w:val="auto"/>
          <w:highlight w:val="none"/>
        </w:rPr>
      </w:pPr>
      <w:bookmarkStart w:id="79" w:name="_Toc144974525"/>
      <w:bookmarkStart w:id="80" w:name="_Toc179632575"/>
      <w:bookmarkStart w:id="81" w:name="_Toc152045557"/>
      <w:bookmarkStart w:id="82" w:name="_Toc152042333"/>
      <w:r>
        <w:rPr>
          <w:rFonts w:hint="eastAsia" w:ascii="宋体" w:hAnsi="宋体" w:eastAsia="宋体" w:cs="宋体"/>
          <w:b/>
          <w:color w:val="auto"/>
          <w:highlight w:val="none"/>
        </w:rPr>
        <w:t>4.2 投标文件的递交</w:t>
      </w:r>
      <w:bookmarkEnd w:id="79"/>
      <w:bookmarkEnd w:id="80"/>
      <w:bookmarkEnd w:id="81"/>
      <w:bookmarkEnd w:id="82"/>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4.2.1 投标人应在规定的投标截止时间前递交投标文件。</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4.2.2 投标人递交投标文件的地点：见招标公告。</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4.2.3</w:t>
      </w:r>
      <w:r>
        <w:rPr>
          <w:rFonts w:hint="eastAsia" w:ascii="宋体" w:hAnsi="宋体" w:eastAsia="宋体" w:cs="宋体"/>
          <w:color w:val="auto"/>
          <w:szCs w:val="21"/>
          <w:highlight w:val="none"/>
        </w:rPr>
        <w:t>逾期送达的、未送达指定地点的或不按照招标文件要求密封的投标文件，招标人或招标代理将予以拒收。</w:t>
      </w:r>
    </w:p>
    <w:p>
      <w:pPr>
        <w:spacing w:line="420" w:lineRule="exact"/>
        <w:contextualSpacing/>
        <w:rPr>
          <w:rFonts w:ascii="宋体" w:hAnsi="宋体" w:eastAsia="宋体" w:cs="宋体"/>
          <w:b/>
          <w:color w:val="auto"/>
          <w:highlight w:val="none"/>
        </w:rPr>
      </w:pPr>
      <w:bookmarkStart w:id="83" w:name="_Toc179632576"/>
      <w:bookmarkStart w:id="84" w:name="_Toc152045558"/>
      <w:bookmarkStart w:id="85" w:name="_Toc152042334"/>
      <w:bookmarkStart w:id="86" w:name="_Toc144974526"/>
      <w:r>
        <w:rPr>
          <w:rFonts w:hint="eastAsia" w:ascii="宋体" w:hAnsi="宋体" w:eastAsia="宋体" w:cs="宋体"/>
          <w:b/>
          <w:color w:val="auto"/>
          <w:highlight w:val="none"/>
        </w:rPr>
        <w:t xml:space="preserve">4.3 </w:t>
      </w:r>
      <w:bookmarkEnd w:id="83"/>
      <w:bookmarkEnd w:id="84"/>
      <w:bookmarkEnd w:id="85"/>
      <w:bookmarkEnd w:id="86"/>
      <w:r>
        <w:rPr>
          <w:rFonts w:hint="eastAsia" w:ascii="宋体" w:hAnsi="宋体" w:eastAsia="宋体" w:cs="宋体"/>
          <w:b/>
          <w:bCs/>
          <w:color w:val="auto"/>
          <w:szCs w:val="21"/>
          <w:highlight w:val="none"/>
        </w:rPr>
        <w:t>投标文件的修改与撤回、撤销</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4.3.1 投标人在提交投标文件以后，在规定的投标截止时间前，可以以书面形式补充、修改已提交的投标文件，或以书面形式通知招标人撤回已提交的投标文件。补充、修改的内容为投标文件的组成部分。</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4.3.2 投标人对投标文件的补充、修改，撤回已递交投标文件的书面通知应按照本章第3.7.3项的要求签字或盖章。招标人收到书面通知后，向投标人出具签收凭证。</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4.3.3</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TW"/>
        </w:rPr>
        <w:t>在</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eastAsia="zh-TW"/>
        </w:rPr>
        <w:t>截止</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TW"/>
        </w:rPr>
        <w:t>后</w:t>
      </w:r>
      <w:r>
        <w:rPr>
          <w:rFonts w:hint="eastAsia" w:ascii="宋体" w:hAnsi="宋体" w:eastAsia="宋体" w:cs="宋体"/>
          <w:color w:val="auto"/>
          <w:szCs w:val="21"/>
          <w:highlight w:val="none"/>
        </w:rPr>
        <w:t>不可补充、修改、更换投标文件。</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4.3.4</w:t>
      </w:r>
      <w:r>
        <w:rPr>
          <w:rFonts w:hint="eastAsia" w:ascii="宋体" w:hAnsi="宋体" w:eastAsia="宋体" w:cs="宋体"/>
          <w:color w:val="auto"/>
          <w:szCs w:val="21"/>
          <w:highlight w:val="none"/>
        </w:rPr>
        <w:t>在投标截止后，投标人在投标文件格式中规定的有效期终止日前，投标人不能撤回投标文件，否则其投标担保将被没收，且招标人有权就其撤回行为报告政府主管部门载入不良信用记录。</w:t>
      </w:r>
    </w:p>
    <w:p>
      <w:pPr>
        <w:pStyle w:val="5"/>
        <w:tabs>
          <w:tab w:val="left" w:pos="425"/>
        </w:tabs>
        <w:spacing w:before="156"/>
        <w:ind w:left="425" w:hanging="425"/>
        <w:rPr>
          <w:rFonts w:ascii="宋体" w:eastAsia="宋体"/>
          <w:color w:val="auto"/>
          <w:spacing w:val="1"/>
          <w:w w:val="99"/>
          <w:kern w:val="0"/>
          <w:highlight w:val="none"/>
        </w:rPr>
      </w:pPr>
      <w:bookmarkStart w:id="87" w:name="第02章投标人须知05"/>
      <w:bookmarkEnd w:id="87"/>
      <w:bookmarkStart w:id="88" w:name="_Toc518908452"/>
      <w:bookmarkStart w:id="89" w:name="_Toc518893829"/>
      <w:bookmarkStart w:id="90" w:name="_Toc433215185"/>
      <w:bookmarkStart w:id="91" w:name="_Toc32576"/>
      <w:bookmarkStart w:id="92" w:name="_Toc434396983"/>
      <w:bookmarkStart w:id="93" w:name="_Toc16208"/>
      <w:r>
        <w:rPr>
          <w:rFonts w:hint="eastAsia" w:ascii="宋体" w:eastAsia="宋体"/>
          <w:color w:val="auto"/>
          <w:spacing w:val="1"/>
          <w:w w:val="99"/>
          <w:kern w:val="0"/>
          <w:highlight w:val="none"/>
        </w:rPr>
        <w:t>5　开标</w:t>
      </w:r>
      <w:bookmarkEnd w:id="88"/>
      <w:bookmarkEnd w:id="89"/>
      <w:bookmarkEnd w:id="90"/>
      <w:bookmarkEnd w:id="91"/>
      <w:bookmarkEnd w:id="92"/>
      <w:bookmarkEnd w:id="93"/>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 xml:space="preserve">5.1 </w:t>
      </w:r>
      <w:r>
        <w:rPr>
          <w:rFonts w:hint="eastAsia" w:ascii="宋体" w:hAnsi="宋体" w:eastAsia="宋体" w:cs="宋体"/>
          <w:color w:val="auto"/>
          <w:szCs w:val="21"/>
          <w:highlight w:val="none"/>
        </w:rPr>
        <w:t>开标由招标人组织；</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5.2开标时间和地点</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招标人在规定的投标截止时间(开标时间)和地点公开开标，并邀请所有投标人准时参加。</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5.3开标程序</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主持人按下列程序进行开标：</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(1)宣布开标纪律；</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(2)公布在投标截止时间前递交投标文件的投标人名称；</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(3)除投标人须知前附表另有约定外，由投标人推荐的代表检查投标文件的密封情况；</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 xml:space="preserve">(4)宣布投标文件开启顺序：按递交投标文件的先后顺序； </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(5)按照宣布的开标顺序当众开标，公布投标人名称、投标报价、工期及其它招标文件规定开标时公布的内容，并进行文字记录；</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(7)唱标人、记录人、监标人（如有）、投标人代表等有关人员在开标记录上签字确认；</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(8)开标结束，招标人将上述符合要求的投标文件，送至评标小组进行评审。</w:t>
      </w:r>
    </w:p>
    <w:p>
      <w:pPr>
        <w:pStyle w:val="5"/>
        <w:tabs>
          <w:tab w:val="left" w:pos="425"/>
        </w:tabs>
        <w:spacing w:before="156"/>
        <w:ind w:left="425" w:hanging="425"/>
        <w:rPr>
          <w:rFonts w:ascii="宋体" w:eastAsia="宋体"/>
          <w:color w:val="auto"/>
          <w:spacing w:val="1"/>
          <w:w w:val="99"/>
          <w:kern w:val="0"/>
          <w:highlight w:val="none"/>
        </w:rPr>
      </w:pPr>
      <w:bookmarkStart w:id="94" w:name="_Toc32584"/>
      <w:bookmarkStart w:id="95" w:name="_Toc433215186"/>
      <w:bookmarkStart w:id="96" w:name="_Toc434396984"/>
      <w:bookmarkStart w:id="97" w:name="_Toc518908453"/>
      <w:bookmarkStart w:id="98" w:name="_Toc4086"/>
      <w:bookmarkStart w:id="99" w:name="_Toc518893830"/>
      <w:r>
        <w:rPr>
          <w:rFonts w:hint="eastAsia" w:ascii="宋体" w:eastAsia="宋体"/>
          <w:color w:val="auto"/>
          <w:spacing w:val="1"/>
          <w:w w:val="99"/>
          <w:kern w:val="0"/>
          <w:highlight w:val="none"/>
        </w:rPr>
        <w:t>6评标</w:t>
      </w:r>
      <w:bookmarkEnd w:id="94"/>
      <w:bookmarkEnd w:id="95"/>
      <w:bookmarkEnd w:id="96"/>
      <w:bookmarkEnd w:id="97"/>
      <w:bookmarkEnd w:id="98"/>
      <w:bookmarkEnd w:id="99"/>
    </w:p>
    <w:p>
      <w:pPr>
        <w:spacing w:line="420" w:lineRule="exact"/>
        <w:contextualSpacing/>
        <w:rPr>
          <w:rFonts w:ascii="宋体" w:hAnsi="宋体" w:eastAsia="宋体" w:cs="宋体"/>
          <w:b/>
          <w:color w:val="auto"/>
          <w:highlight w:val="none"/>
        </w:rPr>
      </w:pPr>
      <w:bookmarkStart w:id="100" w:name="_Toc152045563"/>
      <w:bookmarkStart w:id="101" w:name="_Toc144974531"/>
      <w:bookmarkStart w:id="102" w:name="_Toc152042339"/>
      <w:bookmarkStart w:id="103" w:name="_Toc179632581"/>
      <w:r>
        <w:rPr>
          <w:rFonts w:hint="eastAsia" w:ascii="宋体" w:hAnsi="宋体" w:eastAsia="宋体" w:cs="宋体"/>
          <w:b/>
          <w:color w:val="auto"/>
          <w:highlight w:val="none"/>
        </w:rPr>
        <w:t>6.1</w:t>
      </w:r>
      <w:bookmarkEnd w:id="100"/>
      <w:bookmarkEnd w:id="101"/>
      <w:bookmarkEnd w:id="102"/>
      <w:bookmarkEnd w:id="103"/>
      <w:r>
        <w:rPr>
          <w:rFonts w:hint="eastAsia" w:ascii="宋体" w:hAnsi="宋体" w:eastAsia="宋体" w:cs="宋体"/>
          <w:b/>
          <w:color w:val="auto"/>
          <w:highlight w:val="none"/>
        </w:rPr>
        <w:t>评标小组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6.1.1评标小组成员人数按照投标人须知前附表中确定。</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6.1.2 评标小组成员有下列情形之一的，应当回避：</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（1）招标人或投标人的主要负责人的近亲属；</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pPr>
        <w:spacing w:line="420" w:lineRule="exact"/>
        <w:contextualSpacing/>
        <w:rPr>
          <w:rFonts w:ascii="宋体" w:hAnsi="宋体" w:eastAsia="宋体" w:cs="宋体"/>
          <w:b/>
          <w:color w:val="auto"/>
          <w:highlight w:val="none"/>
        </w:rPr>
      </w:pPr>
      <w:bookmarkStart w:id="104" w:name="_Toc152042340"/>
      <w:bookmarkStart w:id="105" w:name="_Toc179632582"/>
      <w:bookmarkStart w:id="106" w:name="_Toc144974532"/>
      <w:bookmarkStart w:id="107" w:name="_Toc152045564"/>
      <w:r>
        <w:rPr>
          <w:rFonts w:hint="eastAsia" w:ascii="宋体" w:hAnsi="宋体" w:eastAsia="宋体" w:cs="宋体"/>
          <w:b/>
          <w:color w:val="auto"/>
          <w:highlight w:val="none"/>
        </w:rPr>
        <w:t>6.2 评标原则</w:t>
      </w:r>
      <w:bookmarkEnd w:id="104"/>
      <w:bookmarkEnd w:id="105"/>
      <w:bookmarkEnd w:id="106"/>
      <w:bookmarkEnd w:id="107"/>
      <w:r>
        <w:rPr>
          <w:rFonts w:hint="eastAsia" w:ascii="宋体" w:hAnsi="宋体" w:eastAsia="宋体" w:cs="宋体"/>
          <w:b/>
          <w:color w:val="auto"/>
          <w:highlight w:val="none"/>
        </w:rPr>
        <w:tab/>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pPr>
        <w:spacing w:line="420" w:lineRule="exact"/>
        <w:contextualSpacing/>
        <w:rPr>
          <w:rFonts w:ascii="宋体" w:hAnsi="宋体" w:eastAsia="宋体" w:cs="宋体"/>
          <w:b/>
          <w:color w:val="auto"/>
          <w:highlight w:val="none"/>
        </w:rPr>
      </w:pPr>
      <w:bookmarkStart w:id="108" w:name="_Toc179632583"/>
      <w:bookmarkStart w:id="109" w:name="_Toc144974533"/>
      <w:bookmarkStart w:id="110" w:name="_Toc152045565"/>
      <w:bookmarkStart w:id="111" w:name="_Toc152042341"/>
      <w:r>
        <w:rPr>
          <w:rFonts w:hint="eastAsia" w:ascii="宋体" w:hAnsi="宋体" w:eastAsia="宋体" w:cs="宋体"/>
          <w:b/>
          <w:color w:val="auto"/>
          <w:highlight w:val="none"/>
        </w:rPr>
        <w:t>6.3 评标</w:t>
      </w:r>
      <w:bookmarkEnd w:id="108"/>
      <w:bookmarkEnd w:id="109"/>
      <w:bookmarkEnd w:id="110"/>
      <w:bookmarkEnd w:id="111"/>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评标小组按照第2章“评标办法”规定的方法、评审因素、标准和程序对投标文件进行评审。第2章“评标办法”没有规定的方法、评审因素和标准，不作为评标依据。</w:t>
      </w:r>
      <w:r>
        <w:rPr>
          <w:rFonts w:hint="eastAsia" w:ascii="宋体" w:hAnsi="宋体" w:eastAsia="宋体" w:cs="宋体"/>
          <w:color w:val="auto"/>
          <w:szCs w:val="21"/>
          <w:highlight w:val="none"/>
        </w:rPr>
        <w:t>通过资格、符合性审查的有效投标人不足三家时，不再继续技术商务评审，本项目招标失败（经招标人确认后选择采购方式变更情形的除外）。</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6.4评标结果公示与中标通知书</w:t>
      </w:r>
    </w:p>
    <w:p>
      <w:pPr>
        <w:spacing w:line="420" w:lineRule="exact"/>
        <w:contextualSpacing/>
        <w:rPr>
          <w:rFonts w:ascii="宋体" w:hAnsi="宋体" w:eastAsia="宋体" w:cs="宋体"/>
          <w:b/>
          <w:color w:val="auto"/>
          <w:highlight w:val="none"/>
        </w:rPr>
      </w:pPr>
      <w:r>
        <w:rPr>
          <w:rFonts w:hint="eastAsia" w:ascii="宋体" w:hAnsi="宋体" w:eastAsia="宋体" w:cs="宋体"/>
          <w:color w:val="auto"/>
          <w:szCs w:val="21"/>
          <w:highlight w:val="none"/>
        </w:rPr>
        <w:t>6.4.1评标结果经招标人确定后，将在发布本项目招标公告媒体上进行评标结果公示，公示期为3日。</w:t>
      </w:r>
    </w:p>
    <w:p>
      <w:pPr>
        <w:spacing w:line="420" w:lineRule="exact"/>
        <w:contextualSpacing/>
        <w:rPr>
          <w:rFonts w:ascii="宋体" w:hAnsi="宋体" w:eastAsia="宋体" w:cs="宋体"/>
          <w:b/>
          <w:color w:val="auto"/>
          <w:highlight w:val="none"/>
        </w:rPr>
      </w:pPr>
      <w:r>
        <w:rPr>
          <w:rFonts w:hint="eastAsia" w:ascii="宋体" w:hAnsi="宋体" w:eastAsia="宋体" w:cs="宋体"/>
          <w:color w:val="auto"/>
          <w:szCs w:val="21"/>
          <w:highlight w:val="none"/>
        </w:rPr>
        <w:t>6.4.2评标结果公示无异议的，招标人向其发出中标通知书，同时将中标结果通知所有未中标的投标人。</w:t>
      </w:r>
    </w:p>
    <w:p>
      <w:pPr>
        <w:spacing w:line="420" w:lineRule="exact"/>
        <w:contextualSpacing/>
        <w:rPr>
          <w:rFonts w:ascii="宋体" w:hAnsi="宋体" w:eastAsia="宋体" w:cs="宋体"/>
          <w:color w:val="auto"/>
          <w:highlight w:val="none"/>
        </w:rPr>
      </w:pPr>
    </w:p>
    <w:p>
      <w:pPr>
        <w:pStyle w:val="5"/>
        <w:tabs>
          <w:tab w:val="left" w:pos="425"/>
        </w:tabs>
        <w:spacing w:before="156"/>
        <w:ind w:left="425" w:hanging="425"/>
        <w:rPr>
          <w:rFonts w:ascii="宋体" w:eastAsia="宋体"/>
          <w:color w:val="auto"/>
          <w:spacing w:val="1"/>
          <w:w w:val="99"/>
          <w:kern w:val="0"/>
          <w:highlight w:val="none"/>
        </w:rPr>
      </w:pPr>
      <w:bookmarkStart w:id="112" w:name="第02章投标人须知07"/>
      <w:bookmarkEnd w:id="112"/>
      <w:bookmarkStart w:id="113" w:name="_Toc433215187"/>
      <w:bookmarkStart w:id="114" w:name="_Toc518908454"/>
      <w:bookmarkStart w:id="115" w:name="_Toc518893831"/>
      <w:bookmarkStart w:id="116" w:name="_Toc14055"/>
      <w:bookmarkStart w:id="117" w:name="_Toc434396985"/>
      <w:bookmarkStart w:id="118" w:name="_Toc26307"/>
      <w:r>
        <w:rPr>
          <w:rFonts w:hint="eastAsia" w:ascii="宋体" w:eastAsia="宋体"/>
          <w:color w:val="auto"/>
          <w:spacing w:val="1"/>
          <w:w w:val="99"/>
          <w:kern w:val="0"/>
          <w:highlight w:val="none"/>
        </w:rPr>
        <w:t>7合同授予</w:t>
      </w:r>
      <w:bookmarkEnd w:id="113"/>
      <w:bookmarkEnd w:id="114"/>
      <w:bookmarkEnd w:id="115"/>
      <w:bookmarkEnd w:id="116"/>
      <w:bookmarkEnd w:id="117"/>
      <w:bookmarkEnd w:id="118"/>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7.1定标方式</w:t>
      </w:r>
    </w:p>
    <w:p>
      <w:pPr>
        <w:spacing w:line="420" w:lineRule="exact"/>
        <w:contextualSpacing/>
        <w:rPr>
          <w:rFonts w:ascii="宋体" w:hAnsi="宋体" w:eastAsia="宋体" w:cs="宋体"/>
          <w:color w:val="auto"/>
          <w:szCs w:val="21"/>
          <w:highlight w:val="none"/>
        </w:rPr>
      </w:pPr>
      <w:bookmarkStart w:id="119" w:name="_Toc152045568"/>
      <w:bookmarkStart w:id="120" w:name="_Toc144974536"/>
      <w:bookmarkStart w:id="121" w:name="_Toc179632586"/>
      <w:bookmarkStart w:id="122" w:name="_Toc152042344"/>
      <w:r>
        <w:rPr>
          <w:rFonts w:hint="eastAsia" w:ascii="宋体" w:hAnsi="宋体" w:eastAsia="宋体" w:cs="宋体"/>
          <w:color w:val="auto"/>
          <w:szCs w:val="21"/>
          <w:highlight w:val="none"/>
        </w:rPr>
        <w:t>（1）评标委员根据评标办法对参加评审的投标文件进行评审，根据各投标人的综合得分排名，评标小组按综合得分由高至低依次推荐两个中标候选人（特殊情形除外），并标明推荐顺序。</w:t>
      </w:r>
    </w:p>
    <w:p>
      <w:pPr>
        <w:adjustRightInd w:val="0"/>
        <w:spacing w:line="42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若总得分相同，报价评审得分高的投标人排序为先；</w:t>
      </w:r>
    </w:p>
    <w:p>
      <w:pPr>
        <w:adjustRightInd w:val="0"/>
        <w:spacing w:line="42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若报价评审得分也相同，则由评委根据投标人商务部分得分高的优先；</w:t>
      </w:r>
    </w:p>
    <w:p>
      <w:pPr>
        <w:adjustRightInd w:val="0"/>
        <w:spacing w:line="42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若商务部分得分也相同，则由评委根据投标人技术部分得分高的优先；</w:t>
      </w:r>
    </w:p>
    <w:p>
      <w:pPr>
        <w:adjustRightInd w:val="0"/>
        <w:spacing w:line="42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若技术部分得分也相等，评标小组通过记名投票表决（不得弃权），以“少数服从多数”的原则确定排序。</w:t>
      </w:r>
    </w:p>
    <w:p>
      <w:pPr>
        <w:spacing w:line="420" w:lineRule="exact"/>
        <w:contextualSpacing/>
        <w:rPr>
          <w:rFonts w:ascii="宋体" w:hAnsi="宋体" w:eastAsia="宋体" w:cs="宋体"/>
          <w:color w:val="auto"/>
          <w:highlight w:val="none"/>
        </w:rPr>
      </w:pPr>
      <w:r>
        <w:rPr>
          <w:rFonts w:hint="eastAsia" w:ascii="宋体" w:hAnsi="宋体" w:eastAsia="宋体" w:cs="宋体"/>
          <w:color w:val="auto"/>
          <w:szCs w:val="21"/>
          <w:highlight w:val="none"/>
        </w:rPr>
        <w:t>（2）招标人可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小组提出的中标候选人名单排序依次确定其他中标候选人为中标人，也可以重新招标。</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7.2中标通知</w:t>
      </w:r>
      <w:bookmarkEnd w:id="119"/>
      <w:bookmarkEnd w:id="120"/>
      <w:bookmarkEnd w:id="121"/>
      <w:bookmarkEnd w:id="122"/>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在本章第3.3款规定的投标有效期内，招标人以书面形式向中标人发出中标通知书，同时将中标结果通知未中标的投标人。</w:t>
      </w:r>
    </w:p>
    <w:p>
      <w:pPr>
        <w:spacing w:line="420" w:lineRule="exact"/>
        <w:contextualSpacing/>
        <w:rPr>
          <w:rFonts w:ascii="宋体" w:hAnsi="宋体" w:eastAsia="宋体" w:cs="宋体"/>
          <w:b/>
          <w:color w:val="auto"/>
          <w:highlight w:val="none"/>
        </w:rPr>
      </w:pPr>
      <w:bookmarkStart w:id="123" w:name="_Toc152045569"/>
      <w:bookmarkStart w:id="124" w:name="_Toc152042345"/>
      <w:bookmarkStart w:id="125" w:name="_Toc179632587"/>
      <w:bookmarkStart w:id="126" w:name="_Toc144974537"/>
      <w:r>
        <w:rPr>
          <w:rFonts w:hint="eastAsia" w:ascii="宋体" w:hAnsi="宋体" w:eastAsia="宋体" w:cs="宋体"/>
          <w:b/>
          <w:color w:val="auto"/>
          <w:highlight w:val="none"/>
        </w:rPr>
        <w:t>7.3履约担保</w:t>
      </w:r>
      <w:bookmarkEnd w:id="123"/>
      <w:bookmarkEnd w:id="124"/>
      <w:bookmarkEnd w:id="125"/>
      <w:bookmarkEnd w:id="126"/>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7.3.1在签订合同前，中标人应按投标人须知前附表规定的金额、担保形式和招标文件第3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7.3.2中标人不能按本章第7.3.1项要求提交履约担保的，视为放弃中标，其投标保证金不予退还，给招标人造成的损失超过投标保证金数额的，中标人还应当对超过部分予以赔偿。</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7.4签订合同</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pStyle w:val="5"/>
        <w:tabs>
          <w:tab w:val="left" w:pos="425"/>
        </w:tabs>
        <w:spacing w:before="156"/>
        <w:ind w:left="425" w:hanging="425"/>
        <w:rPr>
          <w:rFonts w:ascii="宋体" w:eastAsia="宋体"/>
          <w:color w:val="auto"/>
          <w:spacing w:val="1"/>
          <w:w w:val="99"/>
          <w:kern w:val="0"/>
          <w:highlight w:val="none"/>
        </w:rPr>
      </w:pPr>
      <w:bookmarkStart w:id="127" w:name="第02章投标人须知08"/>
      <w:bookmarkEnd w:id="127"/>
      <w:bookmarkStart w:id="128" w:name="_Toc433215188"/>
      <w:bookmarkStart w:id="129" w:name="_Toc518893832"/>
      <w:bookmarkStart w:id="130" w:name="_Toc434396986"/>
      <w:bookmarkStart w:id="131" w:name="_Toc11965"/>
      <w:bookmarkStart w:id="132" w:name="_Toc24105"/>
      <w:bookmarkStart w:id="133" w:name="_Toc518908455"/>
      <w:r>
        <w:rPr>
          <w:rFonts w:hint="eastAsia" w:ascii="宋体" w:eastAsia="宋体"/>
          <w:color w:val="auto"/>
          <w:spacing w:val="1"/>
          <w:w w:val="99"/>
          <w:kern w:val="0"/>
          <w:highlight w:val="none"/>
        </w:rPr>
        <w:t>8重新招标和不再招标</w:t>
      </w:r>
      <w:bookmarkEnd w:id="128"/>
      <w:bookmarkEnd w:id="129"/>
      <w:bookmarkEnd w:id="130"/>
      <w:bookmarkEnd w:id="131"/>
      <w:bookmarkEnd w:id="132"/>
      <w:bookmarkEnd w:id="133"/>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8.1重新招标</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有下列情形之一的，招标人将重新招标：</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(1)无人投标或经评标小组评审后否决所有投标的；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(2)中标候选人均未与招标人签订合同的。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lang w:val="zh-CN"/>
        </w:rPr>
        <w:t>招标文件获取期截止后，获得招标文件的潜在投标人少于3个的，经招标人确认后，可以重新招标。</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8.2不再招标</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重新招标后，仍出现本章第8.1条规定情形之一的，</w:t>
      </w:r>
      <w:r>
        <w:rPr>
          <w:rFonts w:hint="eastAsia" w:ascii="宋体" w:hAnsi="宋体" w:eastAsia="宋体" w:cs="宋体"/>
          <w:color w:val="auto"/>
          <w:szCs w:val="21"/>
          <w:highlight w:val="none"/>
          <w:lang w:val="zh-CN"/>
        </w:rPr>
        <w:t>经招标人确认后</w:t>
      </w:r>
      <w:r>
        <w:rPr>
          <w:rFonts w:hint="eastAsia" w:ascii="宋体" w:hAnsi="宋体" w:eastAsia="宋体" w:cs="宋体"/>
          <w:color w:val="auto"/>
          <w:highlight w:val="none"/>
        </w:rPr>
        <w:t>不再进行招标。</w:t>
      </w:r>
    </w:p>
    <w:p>
      <w:pPr>
        <w:pStyle w:val="5"/>
        <w:tabs>
          <w:tab w:val="left" w:pos="425"/>
        </w:tabs>
        <w:spacing w:before="156"/>
        <w:ind w:left="425" w:hanging="425"/>
        <w:rPr>
          <w:rFonts w:ascii="宋体" w:eastAsia="宋体"/>
          <w:color w:val="auto"/>
          <w:spacing w:val="1"/>
          <w:w w:val="99"/>
          <w:kern w:val="0"/>
          <w:highlight w:val="none"/>
        </w:rPr>
      </w:pPr>
      <w:bookmarkStart w:id="134" w:name="第02章投标人须知09"/>
      <w:bookmarkEnd w:id="134"/>
      <w:bookmarkStart w:id="135" w:name="_Toc8179"/>
      <w:bookmarkStart w:id="136" w:name="_Toc433215189"/>
      <w:bookmarkStart w:id="137" w:name="_Toc434396987"/>
      <w:bookmarkStart w:id="138" w:name="_Toc31774"/>
      <w:bookmarkStart w:id="139" w:name="_Toc518908456"/>
      <w:bookmarkStart w:id="140" w:name="_Toc518893833"/>
      <w:r>
        <w:rPr>
          <w:rFonts w:hint="eastAsia" w:ascii="宋体" w:eastAsia="宋体"/>
          <w:color w:val="auto"/>
          <w:spacing w:val="1"/>
          <w:w w:val="99"/>
          <w:kern w:val="0"/>
          <w:highlight w:val="none"/>
        </w:rPr>
        <w:t>9纪律和监督</w:t>
      </w:r>
      <w:bookmarkEnd w:id="135"/>
      <w:bookmarkEnd w:id="136"/>
      <w:bookmarkEnd w:id="137"/>
      <w:bookmarkEnd w:id="138"/>
      <w:bookmarkEnd w:id="139"/>
      <w:bookmarkEnd w:id="140"/>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9.1对招标人的纪律要求</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招标人不得泄漏招标投标活动中应当保密的情况和资料，不得与投标人串通损害国家利益、社会公共利益或者他人合法权益。</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下列行为均属招标人与投标人串通投标：</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(1)招标人在开标前开启投标文件，并将投标情况告知其它投标人，或者协助投标人撤换投标文件，更改报价；</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(2)招标人向投标人泄露标底；</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(3)招标人与投标人商定，投标时压低或抬高标价，中标后再给投标人或招标人额外补偿；</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(4)招标人预先内定中标人；</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(5)其它串通投标行为。</w:t>
      </w:r>
    </w:p>
    <w:p>
      <w:pPr>
        <w:spacing w:line="420" w:lineRule="exact"/>
        <w:contextualSpacing/>
        <w:rPr>
          <w:rFonts w:ascii="宋体" w:hAnsi="宋体" w:eastAsia="宋体" w:cs="宋体"/>
          <w:b/>
          <w:color w:val="auto"/>
          <w:highlight w:val="none"/>
        </w:rPr>
      </w:pPr>
      <w:r>
        <w:rPr>
          <w:rFonts w:hint="eastAsia" w:ascii="宋体" w:hAnsi="宋体" w:eastAsia="宋体" w:cs="宋体"/>
          <w:b/>
          <w:color w:val="auto"/>
          <w:highlight w:val="none"/>
        </w:rPr>
        <w:t>9.2对投标人的纪律要求</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投标人不得相互串通投标或者与招标人串通投标，不得向招标人或者评标小组成员行贿谋取中标，不得以他人名义投标或者以其它方式弄虚作假骗取中标；投标人不得以任何方式干扰、影响评标工作。</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9.2.1下列行为均属以他人名义投标：</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(1)投标人挂靠其它施工单位；</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(2)投标人从其它施工单位通过转让或租借的方式获取资格或资质证书；</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(3)由其它单位及法定代表人在自己编制的投标文件上加盖印章或签字的行为。</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9.2.2下列行为，视为允许他人以本单位名义承揽工程：</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(1)投标人的法定代表人的</w:t>
      </w:r>
      <w:r>
        <w:rPr>
          <w:rFonts w:hint="eastAsia" w:ascii="宋体" w:hAnsi="宋体" w:eastAsia="宋体" w:cs="宋体"/>
          <w:color w:val="auto"/>
          <w:szCs w:val="21"/>
          <w:highlight w:val="none"/>
        </w:rPr>
        <w:t>授权代表</w:t>
      </w:r>
      <w:r>
        <w:rPr>
          <w:rFonts w:hint="eastAsia" w:ascii="宋体" w:hAnsi="宋体" w:eastAsia="宋体" w:cs="宋体"/>
          <w:color w:val="auto"/>
          <w:highlight w:val="none"/>
        </w:rPr>
        <w:t>不是投标人本单位人员；</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(2)投标人拟在施工现场所设项目管理机构的项目经理、技术负责人、财务负责人、质量管理人员、不是本单位人员。</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投标人本单位人员，必须同时满足以下条件：</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(1)聘任合同必须由投标人单位与之签订；</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(2)与投标人单位有合法的工资关系；</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(3)投标人单位为其办理社会保险关系，或具有其它有效证明其为本单位人员身份的文件。</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9.2.3下列行为均属投标人串通投标报价：</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(1)投标人之间相互约定抬高或压低投标报价；</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(2)投标人之间相互约定，在招标项目中分别以高、中、低价位报价；</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(3)投标人之间先进行内部竞价，内定中标人，然后再参加投标；</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(4)投标人之间其它串通投标报价的行为。</w:t>
      </w:r>
    </w:p>
    <w:p>
      <w:pPr>
        <w:spacing w:line="420" w:lineRule="exact"/>
        <w:contextualSpacing/>
        <w:rPr>
          <w:rFonts w:ascii="宋体" w:hAnsi="宋体" w:eastAsia="宋体" w:cs="宋体"/>
          <w:b/>
          <w:color w:val="auto"/>
          <w:highlight w:val="none"/>
        </w:rPr>
      </w:pPr>
      <w:bookmarkStart w:id="141" w:name="_Toc152042353"/>
      <w:bookmarkStart w:id="142" w:name="_Toc144974545"/>
      <w:bookmarkStart w:id="143" w:name="_Toc152045577"/>
      <w:bookmarkStart w:id="144" w:name="_Toc179632595"/>
      <w:r>
        <w:rPr>
          <w:rFonts w:hint="eastAsia" w:ascii="宋体" w:hAnsi="宋体" w:eastAsia="宋体" w:cs="宋体"/>
          <w:b/>
          <w:color w:val="auto"/>
          <w:highlight w:val="none"/>
        </w:rPr>
        <w:t>9.3对评标小组成员的纪律要求</w:t>
      </w:r>
      <w:bookmarkEnd w:id="141"/>
      <w:bookmarkEnd w:id="142"/>
      <w:bookmarkEnd w:id="143"/>
      <w:bookmarkEnd w:id="144"/>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评标小组成员不得收受他人的财物或者其他好处，不得向他人透漏对投标文件的评审和比较、中标候选人的推荐情况以及评标有关的其他情况。在评标活动中，评标小组成员不得擅离职守，影响评标程序正常进行，不得使用第2章“评标办法”没有规定的评审因素和标准进行评标。</w:t>
      </w:r>
    </w:p>
    <w:p>
      <w:pPr>
        <w:spacing w:line="420" w:lineRule="exact"/>
        <w:contextualSpacing/>
        <w:rPr>
          <w:rFonts w:ascii="宋体" w:hAnsi="宋体" w:eastAsia="宋体" w:cs="宋体"/>
          <w:color w:val="auto"/>
          <w:highlight w:val="none"/>
        </w:rPr>
      </w:pPr>
      <w:r>
        <w:rPr>
          <w:rFonts w:hint="eastAsia" w:ascii="宋体" w:hAnsi="宋体" w:eastAsia="宋体" w:cs="宋体"/>
          <w:b/>
          <w:color w:val="auto"/>
          <w:highlight w:val="none"/>
        </w:rPr>
        <w:t>9.4对与评标活动有关的工作人员的纪律要求</w:t>
      </w:r>
    </w:p>
    <w:p>
      <w:pPr>
        <w:spacing w:line="420" w:lineRule="exact"/>
        <w:contextualSpacing/>
        <w:rPr>
          <w:rFonts w:ascii="宋体" w:hAnsi="宋体" w:eastAsia="宋体" w:cs="宋体"/>
          <w:color w:val="auto"/>
          <w:highlight w:val="none"/>
        </w:rPr>
      </w:pPr>
      <w:bookmarkStart w:id="145" w:name="_Toc152042355"/>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45"/>
      <w:bookmarkStart w:id="146" w:name="第02章投标人须知10"/>
      <w:bookmarkEnd w:id="146"/>
    </w:p>
    <w:p>
      <w:pPr>
        <w:pStyle w:val="5"/>
        <w:numPr>
          <w:ilvl w:val="0"/>
          <w:numId w:val="4"/>
        </w:numPr>
        <w:tabs>
          <w:tab w:val="left" w:pos="425"/>
        </w:tabs>
        <w:spacing w:before="156"/>
        <w:rPr>
          <w:rFonts w:ascii="宋体" w:eastAsia="宋体"/>
          <w:color w:val="auto"/>
          <w:spacing w:val="1"/>
          <w:w w:val="99"/>
          <w:kern w:val="0"/>
          <w:highlight w:val="none"/>
        </w:rPr>
      </w:pPr>
      <w:bookmarkStart w:id="147" w:name="_Toc17593"/>
      <w:bookmarkStart w:id="148" w:name="_Toc3602"/>
      <w:r>
        <w:rPr>
          <w:rFonts w:hint="eastAsia" w:ascii="宋体" w:eastAsia="宋体"/>
          <w:color w:val="auto"/>
          <w:spacing w:val="1"/>
          <w:w w:val="99"/>
          <w:kern w:val="0"/>
          <w:highlight w:val="none"/>
        </w:rPr>
        <w:t>异议的提出与答复</w:t>
      </w:r>
      <w:bookmarkEnd w:id="147"/>
      <w:bookmarkEnd w:id="148"/>
    </w:p>
    <w:p>
      <w:pPr>
        <w:pStyle w:val="46"/>
        <w:snapToGrid w:val="0"/>
        <w:spacing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10.1 潜在投标人或其他利害关系人对招标文件有异议的，应当在投标截止时间10日前以书面形式</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（加盖投标人公章）向招标人提交异议函原件，逾期异议无效。</w:t>
      </w:r>
    </w:p>
    <w:p>
      <w:pPr>
        <w:pStyle w:val="46"/>
        <w:snapToGrid w:val="0"/>
        <w:spacing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10.2 投标人对开标异议的，应当在开标现场提出，招标人或招标代理机构应当当场作出答复，并制</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作记录。</w:t>
      </w:r>
    </w:p>
    <w:p>
      <w:pPr>
        <w:pStyle w:val="46"/>
        <w:snapToGrid w:val="0"/>
        <w:spacing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10.3 投标人对评标结果有异议的，应当在公示期间以书面形式（加盖投标人公章）向招标人提交异议函原件，逾期异议无效。</w:t>
      </w:r>
    </w:p>
    <w:p>
      <w:pPr>
        <w:pStyle w:val="46"/>
        <w:snapToGrid w:val="0"/>
        <w:spacing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10.4提交异议应以书面形式（加盖投标人公章）向招标人提出异议，异议内容不得</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不接受投标人以电话、传真或电邮形式提交的异议。</w:t>
      </w:r>
    </w:p>
    <w:p>
      <w:pPr>
        <w:pStyle w:val="46"/>
        <w:snapToGrid w:val="0"/>
        <w:spacing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10.5 投标人异议应当有明确的请求和必要的证明材料，捏造事实、提供虚假材料或者以非法手段取</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得证明材料不能作为异议的证明材料。</w:t>
      </w:r>
    </w:p>
    <w:p>
      <w:pPr>
        <w:pStyle w:val="46"/>
        <w:snapToGrid w:val="0"/>
        <w:spacing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10.6 投标人异议须提供相关证明材料，包括但不限于权益受损害的情况说明及受损害的原因、证据</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内容等，并对异议内容的真实性承担责任。</w:t>
      </w:r>
    </w:p>
    <w:p>
      <w:pPr>
        <w:pStyle w:val="46"/>
        <w:snapToGrid w:val="0"/>
        <w:spacing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10.8 招标人应当在收到书面异议之日起3日内作出答复，但答复的内容不得涉及其他投标人的商业秘密。</w:t>
      </w:r>
    </w:p>
    <w:p>
      <w:pPr>
        <w:pStyle w:val="46"/>
        <w:snapToGrid w:val="0"/>
        <w:spacing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10.9 投标人提出的异议涉及评审过程或者结果的，招标人可以组织原评审委员会协助处理异议事项，并可依据评审委员会出具的意见进行答复。</w:t>
      </w:r>
    </w:p>
    <w:p>
      <w:pPr>
        <w:snapToGrid w:val="0"/>
        <w:spacing w:line="360" w:lineRule="auto"/>
        <w:rPr>
          <w:rFonts w:ascii="宋体" w:hAnsi="宋体" w:eastAsia="宋体" w:cs="宋体"/>
          <w:color w:val="auto"/>
          <w:szCs w:val="21"/>
          <w:highlight w:val="none"/>
        </w:rPr>
      </w:pPr>
    </w:p>
    <w:p>
      <w:pPr>
        <w:spacing w:line="420" w:lineRule="exact"/>
        <w:contextualSpacing/>
        <w:jc w:val="center"/>
        <w:outlineLvl w:val="0"/>
        <w:rPr>
          <w:rFonts w:ascii="宋体" w:hAnsi="宋体" w:eastAsia="宋体" w:cs="宋体"/>
          <w:b/>
          <w:color w:val="auto"/>
          <w:highlight w:val="none"/>
        </w:rPr>
      </w:pPr>
      <w:bookmarkStart w:id="149" w:name="第03章评标办法综合评估法"/>
      <w:bookmarkEnd w:id="149"/>
      <w:r>
        <w:rPr>
          <w:rFonts w:ascii="宋体" w:hAnsi="宋体" w:eastAsia="宋体" w:cs="宋体"/>
          <w:color w:val="auto"/>
          <w:kern w:val="44"/>
          <w:sz w:val="44"/>
          <w:szCs w:val="44"/>
          <w:highlight w:val="none"/>
          <w:lang w:val="zh-CN"/>
        </w:rPr>
        <w:br w:type="page"/>
      </w:r>
      <w:r>
        <w:rPr>
          <w:rFonts w:hint="eastAsia" w:ascii="宋体" w:hAnsi="宋体" w:eastAsia="宋体" w:cs="宋体"/>
          <w:b/>
          <w:color w:val="auto"/>
          <w:kern w:val="44"/>
          <w:sz w:val="44"/>
          <w:szCs w:val="44"/>
          <w:highlight w:val="none"/>
          <w:lang w:val="zh-CN"/>
        </w:rPr>
        <w:t>第</w:t>
      </w:r>
      <w:r>
        <w:rPr>
          <w:rFonts w:hint="eastAsia" w:ascii="宋体" w:hAnsi="宋体" w:eastAsia="宋体" w:cs="宋体"/>
          <w:b/>
          <w:color w:val="auto"/>
          <w:kern w:val="44"/>
          <w:sz w:val="44"/>
          <w:szCs w:val="44"/>
          <w:highlight w:val="none"/>
        </w:rPr>
        <w:t>2</w:t>
      </w:r>
      <w:r>
        <w:rPr>
          <w:rFonts w:hint="eastAsia" w:ascii="宋体" w:hAnsi="宋体" w:eastAsia="宋体" w:cs="宋体"/>
          <w:b/>
          <w:color w:val="auto"/>
          <w:kern w:val="44"/>
          <w:sz w:val="44"/>
          <w:szCs w:val="44"/>
          <w:highlight w:val="none"/>
          <w:lang w:val="zh-CN"/>
        </w:rPr>
        <w:t>章　评标办法</w:t>
      </w:r>
      <w:bookmarkStart w:id="150" w:name="第03章评标办法综合评估法01"/>
      <w:bookmarkEnd w:id="150"/>
      <w:bookmarkStart w:id="151" w:name="第03章评标办法综合评估法00"/>
      <w:bookmarkEnd w:id="151"/>
      <w:bookmarkStart w:id="152" w:name="第03章评标办法经评审的最低投标价法02"/>
      <w:bookmarkEnd w:id="152"/>
      <w:bookmarkStart w:id="153" w:name="第03章评标办法经评审的最低投标价法01"/>
      <w:bookmarkEnd w:id="153"/>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一、评标依据</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1、《中华人民共和国招标投标法》。</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2、《中华人民共和国招标投标法实施条例》等有关法律、法规和规章的规定。</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3、本工程招标文件。</w:t>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二、评标纪律</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1、参加评标的所有评标委员均不代表原来各自的单位和组织，评标委员的名单在中标结果确定前保密。</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2、评标小组成员和与评标活动有关的工作人员不得透露对投标文件的评审和比较、中标候选人的推荐情况以及与评标有关的其它情况。</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3、评标小组成员对所提出的评审意见承担个人责任，评标委员不得与任何投标人或者与招标结果有利害关系的人进行私下接触。</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4、评标委员应站在公平、公正的立场，严格按照评标办法、招标文件和国家有关技术规范的规定进行，不得随意修改评标办法。</w:t>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三、评标程序</w:t>
      </w:r>
    </w:p>
    <w:p>
      <w:pPr>
        <w:numPr>
          <w:ilvl w:val="0"/>
          <w:numId w:val="5"/>
        </w:numPr>
        <w:spacing w:line="420" w:lineRule="exact"/>
        <w:ind w:hangingChars="200"/>
        <w:contextualSpacing/>
        <w:rPr>
          <w:rFonts w:ascii="宋体" w:hAnsi="宋体" w:eastAsia="宋体" w:cs="宋体"/>
          <w:color w:val="auto"/>
          <w:highlight w:val="none"/>
        </w:rPr>
      </w:pPr>
      <w:r>
        <w:rPr>
          <w:rFonts w:hint="eastAsia" w:ascii="宋体" w:hAnsi="宋体" w:eastAsia="宋体" w:cs="宋体"/>
          <w:color w:val="auto"/>
          <w:highlight w:val="none"/>
        </w:rPr>
        <w:t>由评标小组推选出评标小组组长。</w:t>
      </w:r>
    </w:p>
    <w:p>
      <w:pPr>
        <w:numPr>
          <w:ilvl w:val="0"/>
          <w:numId w:val="5"/>
        </w:numPr>
        <w:spacing w:line="420" w:lineRule="exact"/>
        <w:ind w:hangingChars="200"/>
        <w:contextualSpacing/>
        <w:rPr>
          <w:rFonts w:ascii="宋体" w:hAnsi="宋体" w:eastAsia="宋体" w:cs="宋体"/>
          <w:color w:val="auto"/>
          <w:highlight w:val="none"/>
        </w:rPr>
      </w:pPr>
      <w:r>
        <w:rPr>
          <w:rFonts w:hint="eastAsia" w:ascii="宋体" w:hAnsi="宋体" w:eastAsia="宋体" w:cs="宋体"/>
          <w:color w:val="auto"/>
          <w:highlight w:val="none"/>
        </w:rPr>
        <w:t>宣布有关评标纪律。</w:t>
      </w:r>
    </w:p>
    <w:p>
      <w:pPr>
        <w:numPr>
          <w:ilvl w:val="0"/>
          <w:numId w:val="5"/>
        </w:numPr>
        <w:spacing w:line="420" w:lineRule="exact"/>
        <w:ind w:hangingChars="200"/>
        <w:contextualSpacing/>
        <w:rPr>
          <w:rFonts w:ascii="宋体" w:hAnsi="宋体" w:eastAsia="宋体" w:cs="宋体"/>
          <w:color w:val="auto"/>
          <w:highlight w:val="none"/>
        </w:rPr>
      </w:pPr>
      <w:r>
        <w:rPr>
          <w:rFonts w:hint="eastAsia" w:ascii="宋体" w:hAnsi="宋体" w:eastAsia="宋体" w:cs="宋体"/>
          <w:color w:val="auto"/>
          <w:highlight w:val="none"/>
        </w:rPr>
        <w:t>评委先进行资格性符合性审查，合格的投标单位再</w:t>
      </w:r>
      <w:r>
        <w:rPr>
          <w:rFonts w:hint="eastAsia" w:ascii="宋体" w:hAnsi="宋体" w:eastAsia="宋体" w:cs="宋体"/>
          <w:color w:val="auto"/>
          <w:szCs w:val="21"/>
          <w:highlight w:val="none"/>
          <w:lang w:eastAsia="zh-TW"/>
        </w:rPr>
        <w:t>按照招标文件中确定的</w:t>
      </w:r>
      <w:r>
        <w:rPr>
          <w:rFonts w:hint="eastAsia" w:ascii="宋体" w:hAnsi="宋体" w:eastAsia="宋体" w:cs="宋体"/>
          <w:color w:val="auto"/>
          <w:szCs w:val="21"/>
          <w:highlight w:val="none"/>
        </w:rPr>
        <w:t>综合评估法或平均值法或低价优先法</w:t>
      </w:r>
      <w:r>
        <w:rPr>
          <w:rFonts w:hint="eastAsia" w:ascii="宋体" w:hAnsi="宋体" w:eastAsia="宋体" w:cs="宋体"/>
          <w:color w:val="auto"/>
          <w:szCs w:val="21"/>
          <w:highlight w:val="none"/>
          <w:lang w:eastAsia="zh-TW"/>
        </w:rPr>
        <w:t>进行评</w:t>
      </w:r>
      <w:r>
        <w:rPr>
          <w:rFonts w:hint="eastAsia" w:ascii="宋体" w:hAnsi="宋体" w:eastAsia="宋体" w:cs="宋体"/>
          <w:color w:val="auto"/>
          <w:szCs w:val="21"/>
          <w:highlight w:val="none"/>
        </w:rPr>
        <w:t>审</w:t>
      </w:r>
    </w:p>
    <w:p>
      <w:pPr>
        <w:numPr>
          <w:ilvl w:val="0"/>
          <w:numId w:val="5"/>
        </w:numPr>
        <w:spacing w:line="420" w:lineRule="exact"/>
        <w:ind w:hangingChars="200"/>
        <w:contextualSpacing/>
        <w:rPr>
          <w:rFonts w:ascii="宋体" w:hAnsi="宋体" w:eastAsia="宋体" w:cs="宋体"/>
          <w:color w:val="auto"/>
          <w:highlight w:val="none"/>
        </w:rPr>
      </w:pPr>
      <w:r>
        <w:rPr>
          <w:rFonts w:hint="eastAsia" w:ascii="宋体" w:hAnsi="宋体" w:eastAsia="宋体" w:cs="宋体"/>
          <w:color w:val="auto"/>
          <w:highlight w:val="none"/>
        </w:rPr>
        <w:t>评审结果由工作人员汇总复核。</w:t>
      </w:r>
    </w:p>
    <w:p>
      <w:pPr>
        <w:numPr>
          <w:ilvl w:val="0"/>
          <w:numId w:val="5"/>
        </w:numPr>
        <w:spacing w:line="420" w:lineRule="exact"/>
        <w:ind w:hangingChars="200"/>
        <w:contextualSpacing/>
        <w:rPr>
          <w:rFonts w:ascii="宋体" w:hAnsi="宋体" w:eastAsia="宋体" w:cs="宋体"/>
          <w:color w:val="auto"/>
          <w:highlight w:val="none"/>
        </w:rPr>
      </w:pPr>
      <w:r>
        <w:rPr>
          <w:rFonts w:hint="eastAsia" w:ascii="宋体" w:hAnsi="宋体" w:eastAsia="宋体" w:cs="宋体"/>
          <w:color w:val="auto"/>
          <w:highlight w:val="none"/>
        </w:rPr>
        <w:t>提交评标报告，中标结果由招标人通知所有投标人。</w:t>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四、评标办法</w:t>
      </w:r>
    </w:p>
    <w:p>
      <w:pPr>
        <w:numPr>
          <w:ilvl w:val="0"/>
          <w:numId w:val="6"/>
        </w:num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评标小组首先对投标单位的投标文件进行资格性、符合性评审 ，有一项不符合评审标准的，</w:t>
      </w:r>
      <w:r>
        <w:rPr>
          <w:rFonts w:hint="eastAsia" w:ascii="宋体" w:hAnsi="宋体" w:eastAsia="宋体" w:cs="宋体"/>
          <w:color w:val="auto"/>
          <w:szCs w:val="21"/>
          <w:highlight w:val="none"/>
        </w:rPr>
        <w:t>其投标将被否决</w:t>
      </w:r>
      <w:r>
        <w:rPr>
          <w:rFonts w:hint="eastAsia" w:ascii="宋体" w:hAnsi="宋体" w:eastAsia="宋体" w:cs="宋体"/>
          <w:color w:val="auto"/>
          <w:highlight w:val="none"/>
        </w:rPr>
        <w:t>。</w:t>
      </w:r>
    </w:p>
    <w:p>
      <w:pPr>
        <w:numPr>
          <w:ilvl w:val="0"/>
          <w:numId w:val="6"/>
        </w:num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投标人有以下情形之一的，</w:t>
      </w:r>
      <w:r>
        <w:rPr>
          <w:rFonts w:hint="eastAsia" w:ascii="宋体" w:hAnsi="宋体" w:eastAsia="宋体" w:cs="宋体"/>
          <w:color w:val="auto"/>
          <w:szCs w:val="21"/>
          <w:highlight w:val="none"/>
        </w:rPr>
        <w:t>其投标将被否决</w:t>
      </w:r>
      <w:r>
        <w:rPr>
          <w:rFonts w:hint="eastAsia" w:ascii="宋体" w:hAnsi="宋体" w:eastAsia="宋体" w:cs="宋体"/>
          <w:color w:val="auto"/>
          <w:highlight w:val="none"/>
        </w:rPr>
        <w:t>：</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（1）第1章“投标人须知”第1.4.3项规定的任何一种情形的；</w:t>
      </w:r>
    </w:p>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（2）串通投标或弄虚作假或有其他违法行为的；</w:t>
      </w:r>
    </w:p>
    <w:p>
      <w:pPr>
        <w:pStyle w:val="46"/>
        <w:spacing w:line="420" w:lineRule="exact"/>
        <w:ind w:firstLine="0" w:firstLineChars="0"/>
        <w:contextualSpacing/>
        <w:rPr>
          <w:rFonts w:ascii="宋体" w:hAnsi="宋体" w:eastAsia="宋体" w:cs="宋体"/>
          <w:color w:val="auto"/>
          <w:highlight w:val="none"/>
        </w:rPr>
      </w:pPr>
      <w:r>
        <w:rPr>
          <w:rFonts w:hint="eastAsia" w:ascii="宋体" w:hAnsi="宋体" w:eastAsia="宋体" w:cs="宋体"/>
          <w:color w:val="auto"/>
          <w:highlight w:val="none"/>
        </w:rPr>
        <w:t>（3）不按评标小组要求澄清、说明或补正的。</w:t>
      </w:r>
    </w:p>
    <w:p>
      <w:pPr>
        <w:numPr>
          <w:ilvl w:val="0"/>
          <w:numId w:val="6"/>
        </w:num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投标文件的澄清</w:t>
      </w:r>
    </w:p>
    <w:p>
      <w:pPr>
        <w:pStyle w:val="46"/>
        <w:numPr>
          <w:ilvl w:val="0"/>
          <w:numId w:val="7"/>
        </w:numPr>
        <w:snapToGrid w:val="0"/>
        <w:spacing w:line="360" w:lineRule="auto"/>
        <w:ind w:left="567" w:hanging="567" w:firstLineChars="0"/>
        <w:rPr>
          <w:rFonts w:ascii="宋体" w:hAnsi="宋体" w:eastAsia="宋体" w:cs="宋体"/>
          <w:color w:val="auto"/>
          <w:szCs w:val="24"/>
          <w:highlight w:val="none"/>
        </w:rPr>
      </w:pPr>
      <w:r>
        <w:rPr>
          <w:rFonts w:hint="eastAsia" w:ascii="宋体" w:hAnsi="宋体" w:eastAsia="宋体" w:cs="宋体"/>
          <w:bCs/>
          <w:color w:val="auto"/>
          <w:szCs w:val="21"/>
          <w:highlight w:val="none"/>
        </w:rPr>
        <w:t>投标文件中有含义不明确的内容、明显文字或者计算错误，评标小组认为需要投标人作出必要澄清、说明的，应当书面通知该投标人。投标人的澄清、说明应当采用书面形式，并不得超出投标文件的范围或者改变投标文件的实质性内容。</w:t>
      </w:r>
      <w:r>
        <w:rPr>
          <w:rFonts w:hint="eastAsia" w:ascii="宋体" w:hAnsi="宋体" w:eastAsia="宋体" w:cs="宋体"/>
          <w:color w:val="auto"/>
          <w:szCs w:val="21"/>
          <w:highlight w:val="none"/>
          <w:lang w:eastAsia="zh-TW"/>
        </w:rPr>
        <w:t>投标人的澄清</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TW"/>
        </w:rPr>
        <w:t>说明</w:t>
      </w:r>
      <w:r>
        <w:rPr>
          <w:rFonts w:hint="eastAsia" w:ascii="宋体" w:hAnsi="宋体" w:eastAsia="宋体" w:cs="宋体"/>
          <w:color w:val="auto"/>
          <w:szCs w:val="21"/>
          <w:highlight w:val="none"/>
        </w:rPr>
        <w:t>答复应加盖公章或</w:t>
      </w:r>
      <w:r>
        <w:rPr>
          <w:rFonts w:hint="eastAsia" w:ascii="宋体" w:hAnsi="宋体" w:eastAsia="宋体" w:cs="宋体"/>
          <w:color w:val="auto"/>
          <w:szCs w:val="21"/>
          <w:highlight w:val="none"/>
          <w:lang w:eastAsia="zh-TW"/>
        </w:rPr>
        <w:t>由投标人的法定代表人或其授权的代表签字</w:t>
      </w:r>
      <w:r>
        <w:rPr>
          <w:rFonts w:hint="eastAsia" w:ascii="宋体" w:hAnsi="宋体" w:eastAsia="宋体" w:cs="宋体"/>
          <w:color w:val="auto"/>
          <w:szCs w:val="21"/>
          <w:highlight w:val="none"/>
        </w:rPr>
        <w:t>或盖章。</w:t>
      </w:r>
    </w:p>
    <w:p>
      <w:pPr>
        <w:pStyle w:val="46"/>
        <w:numPr>
          <w:ilvl w:val="0"/>
          <w:numId w:val="7"/>
        </w:numPr>
        <w:snapToGrid w:val="0"/>
        <w:spacing w:line="360" w:lineRule="auto"/>
        <w:ind w:left="567" w:hanging="567" w:firstLineChars="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投标人的澄清或说明答复文件是其投标文件的组成部分。</w:t>
      </w:r>
    </w:p>
    <w:p>
      <w:pPr>
        <w:numPr>
          <w:ilvl w:val="0"/>
          <w:numId w:val="6"/>
        </w:numPr>
        <w:spacing w:line="360" w:lineRule="auto"/>
        <w:ind w:left="0" w:firstLine="0"/>
        <w:contextualSpacing/>
        <w:rPr>
          <w:rFonts w:ascii="宋体" w:hAnsi="宋体" w:eastAsia="宋体" w:cs="宋体"/>
          <w:color w:val="auto"/>
          <w:highlight w:val="none"/>
        </w:rPr>
      </w:pPr>
      <w:r>
        <w:rPr>
          <w:rFonts w:hint="eastAsia" w:ascii="宋体" w:hAnsi="宋体" w:eastAsia="宋体" w:cs="宋体"/>
          <w:color w:val="auto"/>
          <w:highlight w:val="none"/>
        </w:rPr>
        <w:t>投标报价有算术错误的，评标小组按以下原则对投标报价进行修正，修正的价格经投标人书面确认后具有约束力。投标人不接受修正价格的，</w:t>
      </w:r>
      <w:r>
        <w:rPr>
          <w:rFonts w:hint="eastAsia" w:ascii="宋体" w:hAnsi="宋体" w:eastAsia="宋体" w:cs="宋体"/>
          <w:color w:val="auto"/>
          <w:szCs w:val="21"/>
          <w:highlight w:val="none"/>
        </w:rPr>
        <w:t>其投标将被否决</w:t>
      </w:r>
      <w:r>
        <w:rPr>
          <w:rFonts w:hint="eastAsia" w:ascii="宋体" w:hAnsi="宋体" w:eastAsia="宋体" w:cs="宋体"/>
          <w:color w:val="auto"/>
          <w:highlight w:val="none"/>
        </w:rPr>
        <w:t>。</w:t>
      </w:r>
    </w:p>
    <w:p>
      <w:pPr>
        <w:spacing w:line="360" w:lineRule="auto"/>
        <w:contextualSpacing/>
        <w:rPr>
          <w:rFonts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pPr>
        <w:spacing w:line="360" w:lineRule="auto"/>
        <w:contextualSpacing/>
        <w:rPr>
          <w:rFonts w:ascii="宋体" w:hAnsi="宋体" w:eastAsia="宋体" w:cs="宋体"/>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pPr>
        <w:pStyle w:val="46"/>
        <w:numPr>
          <w:ilvl w:val="0"/>
          <w:numId w:val="8"/>
        </w:numPr>
        <w:spacing w:after="120" w:line="360" w:lineRule="auto"/>
        <w:ind w:firstLineChars="0"/>
        <w:rPr>
          <w:rFonts w:eastAsia="宋体"/>
          <w:vanish/>
          <w:color w:val="auto"/>
          <w:szCs w:val="24"/>
          <w:highlight w:val="none"/>
        </w:rPr>
      </w:pPr>
    </w:p>
    <w:p>
      <w:pPr>
        <w:pStyle w:val="46"/>
        <w:numPr>
          <w:ilvl w:val="0"/>
          <w:numId w:val="8"/>
        </w:numPr>
        <w:spacing w:after="120" w:line="360" w:lineRule="auto"/>
        <w:ind w:firstLineChars="0"/>
        <w:rPr>
          <w:rFonts w:eastAsia="宋体"/>
          <w:vanish/>
          <w:color w:val="auto"/>
          <w:szCs w:val="24"/>
          <w:highlight w:val="none"/>
        </w:rPr>
      </w:pPr>
    </w:p>
    <w:p>
      <w:pPr>
        <w:pStyle w:val="46"/>
        <w:numPr>
          <w:ilvl w:val="0"/>
          <w:numId w:val="8"/>
        </w:numPr>
        <w:spacing w:after="120" w:line="360" w:lineRule="auto"/>
        <w:ind w:firstLineChars="0"/>
        <w:rPr>
          <w:rFonts w:eastAsia="宋体"/>
          <w:vanish/>
          <w:color w:val="auto"/>
          <w:szCs w:val="24"/>
          <w:highlight w:val="none"/>
        </w:rPr>
      </w:pPr>
    </w:p>
    <w:p>
      <w:pPr>
        <w:pStyle w:val="46"/>
        <w:numPr>
          <w:ilvl w:val="0"/>
          <w:numId w:val="8"/>
        </w:numPr>
        <w:spacing w:after="120" w:line="360" w:lineRule="auto"/>
        <w:ind w:firstLineChars="0"/>
        <w:rPr>
          <w:rFonts w:eastAsia="宋体"/>
          <w:vanish/>
          <w:color w:val="auto"/>
          <w:szCs w:val="24"/>
          <w:highlight w:val="none"/>
        </w:rPr>
      </w:pPr>
    </w:p>
    <w:p>
      <w:pPr>
        <w:pStyle w:val="11"/>
        <w:numPr>
          <w:ilvl w:val="0"/>
          <w:numId w:val="8"/>
        </w:numPr>
        <w:spacing w:line="360" w:lineRule="auto"/>
        <w:rPr>
          <w:color w:val="auto"/>
          <w:highlight w:val="none"/>
        </w:rPr>
      </w:pPr>
      <w:r>
        <w:rPr>
          <w:rFonts w:hint="eastAsia"/>
          <w:color w:val="auto"/>
          <w:highlight w:val="none"/>
        </w:rPr>
        <w:t>投标人投标工程量清单与招标工程量清单在规格、技术参数、有重大偏离，其投标文件将被拒绝。</w:t>
      </w:r>
    </w:p>
    <w:p>
      <w:pPr>
        <w:pStyle w:val="11"/>
        <w:numPr>
          <w:ilvl w:val="0"/>
          <w:numId w:val="8"/>
        </w:numPr>
        <w:spacing w:line="360" w:lineRule="auto"/>
        <w:rPr>
          <w:color w:val="auto"/>
          <w:highlight w:val="none"/>
        </w:rPr>
      </w:pPr>
      <w:r>
        <w:rPr>
          <w:rFonts w:hint="eastAsia"/>
          <w:color w:val="auto"/>
          <w:highlight w:val="none"/>
        </w:rPr>
        <w:t>为有助于投标文件的审查、评价和比较，评标期间，经评标小组或评标小组专业评审组中两人以上（含两人）以书面形式提出动仪，评标小组或评标小组专业评审组应当书面发出澄清通知，要求投标人对投标文件含义不明确的内容作出澄清。</w:t>
      </w:r>
    </w:p>
    <w:p>
      <w:pPr>
        <w:pStyle w:val="11"/>
        <w:spacing w:line="360" w:lineRule="auto"/>
        <w:rPr>
          <w:rFonts w:ascii="宋体" w:hAnsi="宋体"/>
          <w:color w:val="auto"/>
          <w:highlight w:val="none"/>
        </w:rPr>
      </w:pPr>
      <w:r>
        <w:rPr>
          <w:rFonts w:hint="eastAsia" w:ascii="宋体" w:hAnsi="宋体"/>
          <w:color w:val="auto"/>
          <w:highlight w:val="none"/>
        </w:rPr>
        <w:t>（1）投标人应以书面形式进行澄清，澄清中的承诺性意思表示在投标文件有效期内均对投标人有约束力。除评标小组对评标中发现算术错误进行修正后要求投标人以澄清形式进行的核实和确认外，澄清不得超出投标文件的范围或改变投标文件的实质性内容，超出部分不作为评标小组评审的依据。</w:t>
      </w:r>
    </w:p>
    <w:p>
      <w:pPr>
        <w:pStyle w:val="11"/>
        <w:spacing w:line="360" w:lineRule="auto"/>
        <w:rPr>
          <w:rFonts w:ascii="宋体" w:hAnsi="宋体"/>
          <w:color w:val="auto"/>
          <w:highlight w:val="none"/>
        </w:rPr>
      </w:pPr>
      <w:r>
        <w:rPr>
          <w:rFonts w:hint="eastAsia" w:ascii="宋体" w:hAnsi="宋体"/>
          <w:color w:val="auto"/>
          <w:highlight w:val="none"/>
        </w:rPr>
        <w:t>（2）评标小组或评标小组专业评审组成员均应当阅读投标人的澄清，但应独立参考澄清对投标文件进行评审，整个澄清的过程不得存在排斥潜在投标人的现象。</w:t>
      </w:r>
    </w:p>
    <w:p>
      <w:pPr>
        <w:pStyle w:val="11"/>
        <w:spacing w:line="360" w:lineRule="auto"/>
        <w:rPr>
          <w:rFonts w:ascii="宋体" w:hAnsi="宋体"/>
          <w:color w:val="auto"/>
          <w:highlight w:val="none"/>
        </w:rPr>
      </w:pPr>
      <w:r>
        <w:rPr>
          <w:rFonts w:hint="eastAsia" w:ascii="宋体" w:hAnsi="宋体"/>
          <w:color w:val="auto"/>
          <w:highlight w:val="none"/>
        </w:rPr>
        <w:t>（3）如果投标文件实质上不响应招标文件的各项要求，评标小组将按照符合性审查标准予以拒绝，不接受投标人通过修改或撤销其不符合要求的差异或保留，使之成为具有响应性的投标。</w:t>
      </w:r>
    </w:p>
    <w:p>
      <w:pPr>
        <w:spacing w:line="360" w:lineRule="auto"/>
        <w:jc w:val="center"/>
        <w:rPr>
          <w:rFonts w:ascii="宋体" w:hAnsi="宋体" w:eastAsia="宋体" w:cs="宋体"/>
          <w:b/>
          <w:color w:val="auto"/>
          <w:sz w:val="32"/>
          <w:szCs w:val="32"/>
          <w:highlight w:val="none"/>
        </w:rPr>
      </w:pPr>
    </w:p>
    <w:p>
      <w:pPr>
        <w:rPr>
          <w:rFonts w:ascii="宋体" w:hAnsi="宋体" w:eastAsia="宋体" w:cs="宋体"/>
          <w:b/>
          <w:color w:val="auto"/>
          <w:sz w:val="32"/>
          <w:szCs w:val="32"/>
          <w:highlight w:val="none"/>
        </w:rPr>
        <w:sectPr>
          <w:pgSz w:w="11906" w:h="16838"/>
          <w:pgMar w:top="1418" w:right="1361" w:bottom="1418" w:left="1418" w:header="851" w:footer="992" w:gutter="0"/>
          <w:cols w:space="720" w:num="1"/>
          <w:docGrid w:type="lines" w:linePitch="312" w:charSpace="0"/>
        </w:sectPr>
      </w:pPr>
    </w:p>
    <w:p>
      <w:pPr>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资格性、符合性评审内容</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267"/>
        <w:gridCol w:w="5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restart"/>
            <w:tcBorders>
              <w:top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continue"/>
            <w:tcBorders>
              <w:right w:val="single" w:color="auto" w:sz="4" w:space="0"/>
            </w:tcBorders>
            <w:vAlign w:val="center"/>
          </w:tcPr>
          <w:p>
            <w:pPr>
              <w:spacing w:line="420" w:lineRule="exact"/>
              <w:contextualSpacing/>
              <w:jc w:val="center"/>
              <w:rPr>
                <w:rFonts w:ascii="宋体" w:hAnsi="宋体" w:eastAsia="宋体"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签字盖章</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投标文件正本应根据招标文件要求加盖投标单位公章，并由其法定代表人或授权代表签字或签章。投标文件应尽量避免涂改、行间插字或删除。如果出现上述情况，修改之处应加盖投标人单位公章或由投标人的法定代表人或其委授权代表签字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continue"/>
            <w:tcBorders>
              <w:right w:val="single" w:color="auto" w:sz="4" w:space="0"/>
            </w:tcBorders>
            <w:vAlign w:val="center"/>
          </w:tcPr>
          <w:p>
            <w:pPr>
              <w:spacing w:line="420" w:lineRule="exact"/>
              <w:contextualSpacing/>
              <w:jc w:val="center"/>
              <w:rPr>
                <w:rFonts w:ascii="宋体" w:hAnsi="宋体" w:eastAsia="宋体"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符合第6章投标文件格式的要求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continue"/>
            <w:tcBorders>
              <w:right w:val="single" w:color="auto" w:sz="4" w:space="0"/>
            </w:tcBorders>
            <w:vAlign w:val="center"/>
          </w:tcPr>
          <w:p>
            <w:pPr>
              <w:spacing w:line="420" w:lineRule="exact"/>
              <w:contextualSpacing/>
              <w:jc w:val="center"/>
              <w:rPr>
                <w:rFonts w:ascii="宋体" w:hAnsi="宋体" w:eastAsia="宋体"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只能有一个有效投标报价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restart"/>
            <w:tcBorders>
              <w:top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continue"/>
            <w:tcBorders>
              <w:right w:val="single" w:color="auto" w:sz="4" w:space="0"/>
            </w:tcBorders>
            <w:vAlign w:val="center"/>
          </w:tcPr>
          <w:p>
            <w:pPr>
              <w:spacing w:line="420" w:lineRule="exact"/>
              <w:contextualSpacing/>
              <w:jc w:val="center"/>
              <w:rPr>
                <w:rFonts w:ascii="宋体" w:hAnsi="宋体" w:eastAsia="宋体"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投标人声明</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按规定的格式及内容要求签署《投标人声明》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continue"/>
            <w:tcBorders>
              <w:right w:val="single" w:color="auto" w:sz="4" w:space="0"/>
            </w:tcBorders>
            <w:vAlign w:val="center"/>
          </w:tcPr>
          <w:p>
            <w:pPr>
              <w:spacing w:line="420" w:lineRule="exact"/>
              <w:contextualSpacing/>
              <w:jc w:val="center"/>
              <w:rPr>
                <w:rFonts w:ascii="宋体" w:hAnsi="宋体" w:eastAsia="宋体"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restart"/>
            <w:tcBorders>
              <w:top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响应性评审</w:t>
            </w:r>
          </w:p>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标准</w:t>
            </w: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投标范围</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highlight w:val="none"/>
              </w:rPr>
              <w:t>符合第1章投标人须知第1.3.1款规定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continue"/>
            <w:tcBorders>
              <w:right w:val="single" w:color="auto" w:sz="4" w:space="0"/>
            </w:tcBorders>
            <w:vAlign w:val="center"/>
          </w:tcPr>
          <w:p>
            <w:pPr>
              <w:spacing w:line="420" w:lineRule="exact"/>
              <w:contextualSpacing/>
              <w:jc w:val="center"/>
              <w:rPr>
                <w:rFonts w:ascii="宋体" w:hAnsi="宋体" w:eastAsia="宋体"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highlight w:val="none"/>
              </w:rPr>
              <w:t>符合第1章投标人须知第1.3.2款规定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continue"/>
            <w:tcBorders>
              <w:right w:val="single" w:color="auto" w:sz="4" w:space="0"/>
            </w:tcBorders>
            <w:vAlign w:val="center"/>
          </w:tcPr>
          <w:p>
            <w:pPr>
              <w:spacing w:line="420" w:lineRule="exact"/>
              <w:contextualSpacing/>
              <w:jc w:val="center"/>
              <w:rPr>
                <w:rFonts w:ascii="宋体" w:hAnsi="宋体" w:eastAsia="宋体"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highlight w:val="none"/>
              </w:rPr>
              <w:t>符合第1章投标人须知第1.3.3款规定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continue"/>
            <w:tcBorders>
              <w:right w:val="single" w:color="auto" w:sz="4" w:space="0"/>
            </w:tcBorders>
            <w:vAlign w:val="center"/>
          </w:tcPr>
          <w:p>
            <w:pPr>
              <w:spacing w:line="420" w:lineRule="exact"/>
              <w:contextualSpacing/>
              <w:jc w:val="center"/>
              <w:rPr>
                <w:rFonts w:ascii="宋体" w:hAnsi="宋体" w:eastAsia="宋体"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highlight w:val="none"/>
              </w:rPr>
              <w:t>符合第1章投标人须知第3.3.1款规定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26" w:type="dxa"/>
            <w:vMerge w:val="continue"/>
            <w:tcBorders>
              <w:right w:val="single" w:color="auto" w:sz="4" w:space="0"/>
            </w:tcBorders>
            <w:vAlign w:val="center"/>
          </w:tcPr>
          <w:p>
            <w:pPr>
              <w:spacing w:line="420" w:lineRule="exact"/>
              <w:contextualSpacing/>
              <w:jc w:val="center"/>
              <w:rPr>
                <w:rFonts w:ascii="宋体" w:hAnsi="宋体" w:eastAsia="宋体"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55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highlight w:val="none"/>
              </w:rPr>
              <w:t>符合第1章投标人须知第3.4.1款规定</w:t>
            </w:r>
          </w:p>
        </w:tc>
      </w:tr>
    </w:tbl>
    <w:p>
      <w:pPr>
        <w:pStyle w:val="46"/>
        <w:snapToGrid w:val="0"/>
        <w:spacing w:beforeLines="50" w:afterLines="50" w:line="360" w:lineRule="auto"/>
        <w:ind w:left="420" w:firstLine="0" w:firstLineChars="0"/>
        <w:rPr>
          <w:rFonts w:ascii="宋体" w:hAnsi="宋体" w:eastAsia="宋体" w:cs="宋体"/>
          <w:color w:val="auto"/>
          <w:sz w:val="28"/>
          <w:szCs w:val="28"/>
          <w:highlight w:val="none"/>
        </w:rPr>
      </w:pPr>
    </w:p>
    <w:p>
      <w:pPr>
        <w:pStyle w:val="48"/>
        <w:snapToGrid w:val="0"/>
        <w:spacing w:beforeLines="50" w:afterLines="50" w:line="360" w:lineRule="auto"/>
        <w:ind w:left="420" w:firstLine="0" w:firstLineChars="0"/>
        <w:jc w:val="center"/>
        <w:rPr>
          <w:rFonts w:ascii="宋体" w:hAnsi="宋体" w:eastAsia="宋体"/>
          <w:b/>
          <w:bCs/>
          <w:color w:val="auto"/>
          <w:sz w:val="32"/>
          <w:szCs w:val="32"/>
          <w:highlight w:val="none"/>
        </w:rPr>
      </w:pPr>
      <w:r>
        <w:rPr>
          <w:rFonts w:hint="eastAsia" w:ascii="宋体" w:hAnsi="宋体" w:eastAsia="宋体" w:cs="宋体"/>
          <w:b/>
          <w:color w:val="auto"/>
          <w:sz w:val="32"/>
          <w:szCs w:val="32"/>
          <w:highlight w:val="none"/>
        </w:rPr>
        <w:br w:type="page"/>
      </w:r>
      <w:bookmarkStart w:id="154" w:name="第04章合同条款及格式"/>
      <w:bookmarkEnd w:id="154"/>
      <w:bookmarkStart w:id="155" w:name="_Toc13981"/>
      <w:r>
        <w:rPr>
          <w:rFonts w:hint="eastAsia" w:ascii="宋体" w:hAnsi="宋体" w:eastAsia="宋体"/>
          <w:b/>
          <w:bCs/>
          <w:color w:val="auto"/>
          <w:sz w:val="32"/>
          <w:szCs w:val="32"/>
          <w:highlight w:val="none"/>
        </w:rPr>
        <w:t>评分表</w:t>
      </w:r>
    </w:p>
    <w:tbl>
      <w:tblPr>
        <w:tblStyle w:val="2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683"/>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8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olor w:val="auto"/>
                <w:kern w:val="0"/>
                <w:highlight w:val="none"/>
              </w:rPr>
            </w:pPr>
            <w:r>
              <w:rPr>
                <w:rFonts w:hint="eastAsia" w:ascii="宋体" w:hAnsi="宋体" w:eastAsia="宋体"/>
                <w:color w:val="auto"/>
                <w:kern w:val="0"/>
                <w:highlight w:val="none"/>
              </w:rPr>
              <w:t xml:space="preserve">分值构成 </w:t>
            </w:r>
          </w:p>
          <w:p>
            <w:pPr>
              <w:spacing w:line="420" w:lineRule="exact"/>
              <w:rPr>
                <w:rFonts w:ascii="宋体" w:hAnsi="宋体" w:eastAsia="宋体"/>
                <w:color w:val="auto"/>
                <w:kern w:val="0"/>
                <w:highlight w:val="none"/>
              </w:rPr>
            </w:pPr>
            <w:r>
              <w:rPr>
                <w:rFonts w:hint="eastAsia" w:ascii="宋体" w:hAnsi="宋体" w:eastAsia="宋体"/>
                <w:color w:val="auto"/>
                <w:kern w:val="0"/>
                <w:highlight w:val="none"/>
              </w:rPr>
              <w:t>(总分1OO分)</w:t>
            </w:r>
          </w:p>
        </w:tc>
        <w:tc>
          <w:tcPr>
            <w:tcW w:w="7266" w:type="dxa"/>
            <w:gridSpan w:val="2"/>
            <w:tcBorders>
              <w:top w:val="single" w:color="auto" w:sz="4" w:space="0"/>
              <w:left w:val="nil"/>
              <w:bottom w:val="single" w:color="auto" w:sz="4" w:space="0"/>
              <w:right w:val="single" w:color="auto" w:sz="4" w:space="0"/>
            </w:tcBorders>
          </w:tcPr>
          <w:p>
            <w:pPr>
              <w:spacing w:line="420" w:lineRule="exact"/>
              <w:rPr>
                <w:rFonts w:ascii="宋体" w:hAnsi="宋体" w:eastAsia="宋体"/>
                <w:color w:val="auto"/>
                <w:kern w:val="0"/>
                <w:highlight w:val="none"/>
              </w:rPr>
            </w:pPr>
            <w:r>
              <w:rPr>
                <w:rFonts w:hint="eastAsia" w:ascii="宋体" w:hAnsi="宋体" w:eastAsia="宋体"/>
                <w:color w:val="auto"/>
                <w:kern w:val="0"/>
                <w:highlight w:val="none"/>
              </w:rPr>
              <w:t>（1）投标报价20分；</w:t>
            </w:r>
          </w:p>
          <w:p>
            <w:pPr>
              <w:spacing w:line="420" w:lineRule="exact"/>
              <w:rPr>
                <w:rFonts w:ascii="宋体" w:hAnsi="宋体" w:eastAsia="宋体"/>
                <w:color w:val="auto"/>
                <w:kern w:val="0"/>
                <w:highlight w:val="none"/>
              </w:rPr>
            </w:pPr>
            <w:r>
              <w:rPr>
                <w:rFonts w:hint="eastAsia" w:ascii="宋体" w:hAnsi="宋体" w:eastAsia="宋体"/>
                <w:color w:val="auto"/>
                <w:kern w:val="0"/>
                <w:highlight w:val="none"/>
              </w:rPr>
              <w:t>（2）商务及技术部分80分；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8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olor w:val="auto"/>
                <w:kern w:val="0"/>
                <w:highlight w:val="none"/>
              </w:rPr>
            </w:pPr>
            <w:r>
              <w:rPr>
                <w:rFonts w:hint="eastAsia" w:ascii="宋体" w:hAnsi="宋体" w:eastAsia="宋体"/>
                <w:color w:val="auto"/>
                <w:kern w:val="0"/>
                <w:highlight w:val="none"/>
              </w:rPr>
              <w:t>投标报价得分</w:t>
            </w:r>
          </w:p>
          <w:p>
            <w:pPr>
              <w:spacing w:line="420" w:lineRule="exact"/>
              <w:jc w:val="center"/>
              <w:rPr>
                <w:rFonts w:ascii="宋体" w:hAnsi="宋体" w:eastAsia="宋体"/>
                <w:color w:val="auto"/>
                <w:kern w:val="0"/>
                <w:highlight w:val="none"/>
              </w:rPr>
            </w:pPr>
            <w:r>
              <w:rPr>
                <w:rFonts w:hint="eastAsia" w:ascii="宋体" w:hAnsi="宋体" w:eastAsia="宋体"/>
                <w:color w:val="auto"/>
                <w:kern w:val="0"/>
                <w:highlight w:val="none"/>
              </w:rPr>
              <w:t>（20分）</w:t>
            </w:r>
          </w:p>
        </w:tc>
        <w:tc>
          <w:tcPr>
            <w:tcW w:w="7266" w:type="dxa"/>
            <w:gridSpan w:val="2"/>
            <w:tcBorders>
              <w:top w:val="single" w:color="auto" w:sz="4" w:space="0"/>
              <w:left w:val="nil"/>
              <w:bottom w:val="single" w:color="auto" w:sz="4" w:space="0"/>
              <w:right w:val="single" w:color="auto" w:sz="4" w:space="0"/>
            </w:tcBorders>
          </w:tcPr>
          <w:p>
            <w:pPr>
              <w:spacing w:line="420" w:lineRule="exact"/>
              <w:rPr>
                <w:rFonts w:ascii="宋体" w:hAnsi="宋体" w:eastAsia="宋体"/>
                <w:color w:val="auto"/>
                <w:highlight w:val="none"/>
              </w:rPr>
            </w:pPr>
            <w:r>
              <w:rPr>
                <w:rFonts w:hint="eastAsia" w:ascii="宋体" w:hAnsi="宋体" w:eastAsia="宋体"/>
                <w:color w:val="auto"/>
                <w:highlight w:val="none"/>
              </w:rPr>
              <w:t>1、评标基准价及报价得分的计算：</w:t>
            </w:r>
          </w:p>
          <w:p>
            <w:pPr>
              <w:spacing w:line="420" w:lineRule="exact"/>
              <w:rPr>
                <w:rFonts w:ascii="宋体" w:hAnsi="宋体" w:eastAsia="宋体"/>
                <w:color w:val="auto"/>
                <w:highlight w:val="none"/>
              </w:rPr>
            </w:pPr>
            <w:r>
              <w:rPr>
                <w:rFonts w:hint="eastAsia" w:ascii="宋体" w:hAnsi="宋体" w:eastAsia="宋体"/>
                <w:color w:val="auto"/>
                <w:highlight w:val="none"/>
              </w:rPr>
              <w:t>计算所有通过资格审查的投标单位的报价由高到低排序，取有效报价最低的三家计算算术平均值，该算术平均值为评标基准价。</w:t>
            </w:r>
          </w:p>
          <w:p>
            <w:pPr>
              <w:spacing w:line="420" w:lineRule="exact"/>
              <w:rPr>
                <w:rFonts w:ascii="宋体" w:hAnsi="宋体" w:eastAsia="宋体"/>
                <w:color w:val="auto"/>
                <w:highlight w:val="none"/>
              </w:rPr>
            </w:pPr>
            <w:r>
              <w:rPr>
                <w:rFonts w:hint="eastAsia" w:ascii="宋体" w:hAnsi="宋体" w:eastAsia="宋体"/>
                <w:color w:val="auto"/>
                <w:highlight w:val="none"/>
              </w:rPr>
              <w:t>当报价等于评标基准价时得20分，报价每高于评标基准价1%，扣1分；每低于评标基准考价1%，扣0.5分，扣至0分为止。</w:t>
            </w:r>
          </w:p>
          <w:p>
            <w:pPr>
              <w:spacing w:line="420" w:lineRule="exact"/>
              <w:rPr>
                <w:rFonts w:ascii="宋体" w:hAnsi="宋体" w:eastAsia="宋体"/>
                <w:color w:val="auto"/>
                <w:highlight w:val="none"/>
              </w:rPr>
            </w:pPr>
            <w:r>
              <w:rPr>
                <w:rFonts w:hint="eastAsia" w:ascii="宋体" w:hAnsi="宋体" w:eastAsia="宋体"/>
                <w:color w:val="auto"/>
                <w:highlight w:val="none"/>
              </w:rPr>
              <w:t>投标报价以小写和大写金额两种方式表述的，取大写金额表述的投标报价进行计算。</w:t>
            </w:r>
          </w:p>
          <w:p>
            <w:pPr>
              <w:spacing w:line="420" w:lineRule="exact"/>
              <w:rPr>
                <w:rFonts w:ascii="宋体" w:hAnsi="宋体" w:eastAsia="宋体"/>
                <w:color w:val="auto"/>
                <w:highlight w:val="none"/>
              </w:rPr>
            </w:pPr>
            <w:r>
              <w:rPr>
                <w:rFonts w:hint="eastAsia" w:ascii="宋体" w:hAnsi="宋体" w:eastAsia="宋体"/>
                <w:color w:val="auto"/>
                <w:highlight w:val="none"/>
              </w:rPr>
              <w:t>【以上计算数据保留至小数点后两位，第三位四舍五入。】</w:t>
            </w:r>
          </w:p>
          <w:p>
            <w:pPr>
              <w:spacing w:line="420" w:lineRule="exact"/>
              <w:rPr>
                <w:rFonts w:ascii="宋体" w:hAnsi="宋体" w:eastAsia="宋体"/>
                <w:color w:val="auto"/>
                <w:highlight w:val="none"/>
              </w:rPr>
            </w:pPr>
            <w:r>
              <w:rPr>
                <w:rFonts w:hint="eastAsia" w:ascii="宋体" w:hAnsi="宋体" w:eastAsia="宋体"/>
                <w:color w:val="auto"/>
                <w:highlight w:val="none"/>
              </w:rPr>
              <w:t>2、计算公式</w:t>
            </w:r>
          </w:p>
          <w:p>
            <w:pPr>
              <w:spacing w:line="420" w:lineRule="exact"/>
              <w:rPr>
                <w:rFonts w:ascii="宋体" w:hAnsi="宋体" w:eastAsia="宋体"/>
                <w:color w:val="auto"/>
                <w:highlight w:val="none"/>
              </w:rPr>
            </w:pPr>
            <w:r>
              <w:rPr>
                <w:rFonts w:hint="eastAsia" w:ascii="宋体" w:hAnsi="宋体" w:eastAsia="宋体"/>
                <w:color w:val="auto"/>
                <w:highlight w:val="none"/>
              </w:rPr>
              <w:t>评标基准价=（最低的三个有效报价之和）/3</w:t>
            </w:r>
          </w:p>
          <w:p>
            <w:pPr>
              <w:numPr>
                <w:ilvl w:val="0"/>
                <w:numId w:val="9"/>
              </w:numPr>
              <w:spacing w:line="420" w:lineRule="exact"/>
              <w:rPr>
                <w:rFonts w:ascii="宋体" w:hAnsi="宋体" w:eastAsia="宋体"/>
                <w:color w:val="auto"/>
                <w:highlight w:val="none"/>
              </w:rPr>
            </w:pPr>
            <w:r>
              <w:rPr>
                <w:rFonts w:hint="eastAsia" w:ascii="宋体" w:hAnsi="宋体" w:eastAsia="宋体"/>
                <w:color w:val="auto"/>
                <w:highlight w:val="none"/>
              </w:rPr>
              <w:t>若报价高于评标基准价，得分={100-【（报价-评标基准价）/评标基准价】×100×1}×20%</w:t>
            </w:r>
          </w:p>
          <w:p>
            <w:pPr>
              <w:numPr>
                <w:ilvl w:val="0"/>
                <w:numId w:val="9"/>
              </w:numPr>
              <w:spacing w:line="420" w:lineRule="exact"/>
              <w:rPr>
                <w:rFonts w:ascii="宋体" w:hAnsi="宋体" w:eastAsia="宋体"/>
                <w:color w:val="auto"/>
                <w:highlight w:val="none"/>
              </w:rPr>
            </w:pPr>
            <w:r>
              <w:rPr>
                <w:rFonts w:hint="eastAsia" w:ascii="宋体" w:hAnsi="宋体" w:eastAsia="宋体"/>
                <w:color w:val="auto"/>
                <w:highlight w:val="none"/>
              </w:rPr>
              <w:t>若报价低于评标基准价，得分={100+【（报价-评标基准价）/评标基准价】×100×0.5}×20%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482" w:type="dxa"/>
            <w:vMerge w:val="restart"/>
            <w:tcBorders>
              <w:top w:val="nil"/>
              <w:left w:val="single" w:color="auto" w:sz="4" w:space="0"/>
              <w:bottom w:val="single" w:color="auto" w:sz="4" w:space="0"/>
              <w:right w:val="single" w:color="auto" w:sz="4" w:space="0"/>
            </w:tcBorders>
            <w:vAlign w:val="center"/>
          </w:tcPr>
          <w:p>
            <w:pPr>
              <w:spacing w:line="420" w:lineRule="exact"/>
              <w:jc w:val="center"/>
              <w:rPr>
                <w:rFonts w:ascii="宋体" w:hAnsi="宋体" w:eastAsia="宋体"/>
                <w:color w:val="auto"/>
                <w:kern w:val="0"/>
                <w:highlight w:val="none"/>
              </w:rPr>
            </w:pPr>
            <w:r>
              <w:rPr>
                <w:rFonts w:hint="eastAsia" w:ascii="宋体" w:hAnsi="宋体" w:eastAsia="宋体"/>
                <w:color w:val="auto"/>
                <w:kern w:val="0"/>
                <w:highlight w:val="none"/>
              </w:rPr>
              <w:t>商务及技术部分得分</w:t>
            </w:r>
          </w:p>
          <w:p>
            <w:pPr>
              <w:widowControl/>
              <w:jc w:val="left"/>
              <w:rPr>
                <w:rFonts w:ascii="宋体" w:hAnsi="宋体" w:eastAsia="宋体"/>
                <w:color w:val="auto"/>
                <w:kern w:val="0"/>
                <w:highlight w:val="none"/>
              </w:rPr>
            </w:pPr>
            <w:r>
              <w:rPr>
                <w:rFonts w:hint="eastAsia" w:ascii="宋体" w:hAnsi="宋体" w:eastAsia="宋体"/>
                <w:color w:val="auto"/>
                <w:kern w:val="0"/>
                <w:highlight w:val="none"/>
              </w:rPr>
              <w:t>（80分）</w:t>
            </w:r>
          </w:p>
        </w:tc>
        <w:tc>
          <w:tcPr>
            <w:tcW w:w="1683" w:type="dxa"/>
            <w:tcBorders>
              <w:top w:val="single" w:color="auto" w:sz="4" w:space="0"/>
              <w:left w:val="nil"/>
              <w:bottom w:val="single" w:color="auto" w:sz="4" w:space="0"/>
              <w:right w:val="single" w:color="auto" w:sz="4" w:space="0"/>
            </w:tcBorders>
            <w:vAlign w:val="center"/>
          </w:tcPr>
          <w:p>
            <w:pPr>
              <w:pStyle w:val="11"/>
              <w:jc w:val="center"/>
              <w:rPr>
                <w:rFonts w:ascii="宋体" w:hAnsi="宋体"/>
                <w:color w:val="auto"/>
                <w:kern w:val="0"/>
                <w:highlight w:val="none"/>
              </w:rPr>
            </w:pPr>
            <w:r>
              <w:rPr>
                <w:rFonts w:hint="eastAsia" w:ascii="宋体" w:hAnsi="宋体"/>
                <w:color w:val="auto"/>
                <w:kern w:val="0"/>
                <w:highlight w:val="none"/>
              </w:rPr>
              <w:t>纳税情况</w:t>
            </w:r>
          </w:p>
          <w:p>
            <w:pPr>
              <w:pStyle w:val="11"/>
              <w:jc w:val="center"/>
              <w:rPr>
                <w:rFonts w:ascii="宋体" w:hAnsi="宋体"/>
                <w:color w:val="auto"/>
                <w:kern w:val="0"/>
                <w:highlight w:val="none"/>
              </w:rPr>
            </w:pPr>
            <w:r>
              <w:rPr>
                <w:rFonts w:hint="eastAsia" w:ascii="宋体" w:hAnsi="宋体"/>
                <w:color w:val="auto"/>
                <w:kern w:val="0"/>
                <w:highlight w:val="none"/>
              </w:rPr>
              <w:t>（10分）</w:t>
            </w:r>
          </w:p>
        </w:tc>
        <w:tc>
          <w:tcPr>
            <w:tcW w:w="5583" w:type="dxa"/>
            <w:tcBorders>
              <w:top w:val="single" w:color="auto" w:sz="4" w:space="0"/>
              <w:left w:val="nil"/>
              <w:bottom w:val="single" w:color="auto" w:sz="4" w:space="0"/>
              <w:right w:val="single" w:color="auto" w:sz="4" w:space="0"/>
            </w:tcBorders>
            <w:vAlign w:val="center"/>
          </w:tcPr>
          <w:p>
            <w:pPr>
              <w:spacing w:line="420" w:lineRule="exact"/>
              <w:rPr>
                <w:rFonts w:ascii="宋体" w:hAnsi="宋体" w:eastAsia="宋体"/>
                <w:color w:val="auto"/>
                <w:kern w:val="0"/>
                <w:highlight w:val="none"/>
              </w:rPr>
            </w:pPr>
            <w:r>
              <w:rPr>
                <w:rFonts w:hint="eastAsia" w:ascii="宋体" w:hAnsi="宋体" w:eastAsia="宋体"/>
                <w:color w:val="auto"/>
                <w:kern w:val="0"/>
                <w:highlight w:val="none"/>
              </w:rPr>
              <w:t>投标人在2019年获得税务机关评定为“纳税信用A级”的得10分；投标人在2019年获得税务机关评定为“纳税信用B级”的得5分；其余不得分。</w:t>
            </w:r>
          </w:p>
          <w:p>
            <w:pPr>
              <w:spacing w:line="420" w:lineRule="exact"/>
              <w:rPr>
                <w:rFonts w:ascii="宋体" w:hAnsi="宋体" w:eastAsia="宋体"/>
                <w:color w:val="auto"/>
                <w:kern w:val="0"/>
                <w:highlight w:val="none"/>
              </w:rPr>
            </w:pPr>
            <w:r>
              <w:rPr>
                <w:rFonts w:hint="eastAsia" w:ascii="宋体" w:hAnsi="宋体" w:eastAsia="宋体"/>
                <w:color w:val="auto"/>
                <w:kern w:val="0"/>
                <w:highlight w:val="none"/>
              </w:rPr>
              <w:t>【“纳税信用等级”以国家税务总局网站“纳税信用A级纳税人名单公布栏”查询结果为准，须提交国家税务总局网站“纳税信用A级纳税人名单公布栏(http://www.chinatax.gov.cn/)”查询结果(查询结果不包括子公司、分公司)的网页截图并加盖投标人印章，不符合条件或无提供查询结果网页截图或无加盖投标人印章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highlight w:val="none"/>
              </w:rPr>
            </w:pPr>
          </w:p>
        </w:tc>
        <w:tc>
          <w:tcPr>
            <w:tcW w:w="1683"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eastAsia="宋体"/>
                <w:color w:val="auto"/>
                <w:kern w:val="0"/>
                <w:highlight w:val="none"/>
              </w:rPr>
            </w:pPr>
            <w:r>
              <w:rPr>
                <w:rFonts w:hint="eastAsia" w:ascii="宋体" w:hAnsi="宋体" w:eastAsia="宋体"/>
                <w:color w:val="auto"/>
                <w:kern w:val="0"/>
                <w:highlight w:val="none"/>
              </w:rPr>
              <w:t>同类业绩</w:t>
            </w:r>
          </w:p>
          <w:p>
            <w:pPr>
              <w:spacing w:line="420" w:lineRule="exact"/>
              <w:jc w:val="center"/>
              <w:rPr>
                <w:rFonts w:ascii="宋体" w:hAnsi="宋体" w:eastAsia="宋体"/>
                <w:color w:val="auto"/>
                <w:kern w:val="0"/>
                <w:highlight w:val="none"/>
              </w:rPr>
            </w:pPr>
            <w:r>
              <w:rPr>
                <w:rFonts w:hint="eastAsia" w:ascii="宋体" w:hAnsi="宋体" w:eastAsia="宋体"/>
                <w:color w:val="auto"/>
                <w:kern w:val="0"/>
                <w:highlight w:val="none"/>
              </w:rPr>
              <w:t>（10分）</w:t>
            </w:r>
          </w:p>
        </w:tc>
        <w:tc>
          <w:tcPr>
            <w:tcW w:w="5583" w:type="dxa"/>
            <w:tcBorders>
              <w:top w:val="single" w:color="auto" w:sz="4" w:space="0"/>
              <w:left w:val="nil"/>
              <w:bottom w:val="single" w:color="auto" w:sz="4" w:space="0"/>
              <w:right w:val="single" w:color="auto" w:sz="4" w:space="0"/>
            </w:tcBorders>
            <w:vAlign w:val="center"/>
          </w:tcPr>
          <w:p>
            <w:pPr>
              <w:spacing w:line="420" w:lineRule="exact"/>
              <w:rPr>
                <w:rFonts w:ascii="宋体" w:hAnsi="宋体" w:eastAsia="宋体"/>
                <w:color w:val="auto"/>
                <w:kern w:val="0"/>
                <w:highlight w:val="none"/>
              </w:rPr>
            </w:pPr>
            <w:r>
              <w:rPr>
                <w:rFonts w:hint="eastAsia" w:ascii="宋体" w:hAnsi="宋体" w:eastAsia="宋体"/>
                <w:color w:val="auto"/>
                <w:kern w:val="0"/>
                <w:highlight w:val="none"/>
              </w:rPr>
              <w:t>自2017年1月1日至今独立完成过由南沙区属国企或其参股公司发包50万或以上的绿化相关业绩的项目，每项得5分，最多得10分。</w:t>
            </w:r>
          </w:p>
          <w:p>
            <w:pPr>
              <w:spacing w:line="420" w:lineRule="exact"/>
              <w:rPr>
                <w:rFonts w:ascii="宋体" w:hAnsi="宋体" w:eastAsia="宋体"/>
                <w:color w:val="auto"/>
                <w:kern w:val="0"/>
                <w:highlight w:val="none"/>
              </w:rPr>
            </w:pPr>
            <w:r>
              <w:rPr>
                <w:rFonts w:hint="eastAsia" w:ascii="宋体" w:hAnsi="宋体" w:eastAsia="宋体"/>
                <w:color w:val="auto"/>
                <w:kern w:val="0"/>
                <w:highlight w:val="none"/>
              </w:rPr>
              <w:t>【附南沙区属国企的相关证明文件、项目施工合同及竣工验收资料复印件。】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highlight w:val="none"/>
              </w:rPr>
            </w:pPr>
          </w:p>
        </w:tc>
        <w:tc>
          <w:tcPr>
            <w:tcW w:w="1683" w:type="dxa"/>
            <w:tcBorders>
              <w:top w:val="single" w:color="auto" w:sz="4" w:space="0"/>
              <w:left w:val="nil"/>
              <w:bottom w:val="single" w:color="auto" w:sz="4" w:space="0"/>
              <w:right w:val="single" w:color="auto" w:sz="4" w:space="0"/>
            </w:tcBorders>
            <w:vAlign w:val="center"/>
          </w:tcPr>
          <w:p>
            <w:pPr>
              <w:pStyle w:val="11"/>
              <w:jc w:val="center"/>
              <w:rPr>
                <w:rFonts w:ascii="宋体" w:hAnsi="宋体"/>
                <w:color w:val="auto"/>
                <w:kern w:val="0"/>
                <w:highlight w:val="none"/>
              </w:rPr>
            </w:pPr>
            <w:r>
              <w:rPr>
                <w:rFonts w:hint="eastAsia" w:ascii="宋体" w:hAnsi="宋体"/>
                <w:color w:val="auto"/>
                <w:kern w:val="0"/>
                <w:highlight w:val="none"/>
              </w:rPr>
              <w:t>人员情况</w:t>
            </w:r>
          </w:p>
          <w:p>
            <w:pPr>
              <w:pStyle w:val="11"/>
              <w:jc w:val="center"/>
              <w:rPr>
                <w:rFonts w:ascii="宋体" w:hAnsi="宋体"/>
                <w:color w:val="auto"/>
                <w:highlight w:val="none"/>
              </w:rPr>
            </w:pPr>
            <w:r>
              <w:rPr>
                <w:rFonts w:hint="eastAsia" w:ascii="宋体" w:hAnsi="宋体"/>
                <w:color w:val="auto"/>
                <w:kern w:val="0"/>
                <w:highlight w:val="none"/>
              </w:rPr>
              <w:t>（10分）</w:t>
            </w:r>
          </w:p>
        </w:tc>
        <w:tc>
          <w:tcPr>
            <w:tcW w:w="5583" w:type="dxa"/>
            <w:tcBorders>
              <w:top w:val="single" w:color="auto" w:sz="4" w:space="0"/>
              <w:left w:val="nil"/>
              <w:bottom w:val="single" w:color="auto" w:sz="4" w:space="0"/>
              <w:right w:val="single" w:color="auto" w:sz="4" w:space="0"/>
            </w:tcBorders>
            <w:vAlign w:val="center"/>
          </w:tcPr>
          <w:p>
            <w:pPr>
              <w:pStyle w:val="46"/>
              <w:numPr>
                <w:ilvl w:val="0"/>
                <w:numId w:val="10"/>
              </w:numPr>
              <w:spacing w:line="420" w:lineRule="exact"/>
              <w:ind w:firstLineChars="0"/>
              <w:rPr>
                <w:rFonts w:ascii="宋体" w:hAnsi="宋体" w:eastAsia="宋体"/>
                <w:color w:val="auto"/>
                <w:kern w:val="0"/>
                <w:highlight w:val="none"/>
              </w:rPr>
            </w:pPr>
            <w:r>
              <w:rPr>
                <w:rFonts w:hint="eastAsia" w:ascii="宋体" w:hAnsi="宋体" w:eastAsia="宋体"/>
                <w:color w:val="auto"/>
                <w:kern w:val="0"/>
                <w:highlight w:val="none"/>
              </w:rPr>
              <w:t>拟派本项目负责人具有园林专业中级称或以上职称：</w:t>
            </w:r>
          </w:p>
          <w:p>
            <w:pPr>
              <w:spacing w:line="420" w:lineRule="exact"/>
              <w:ind w:firstLine="315" w:firstLineChars="150"/>
              <w:rPr>
                <w:rFonts w:ascii="宋体" w:hAnsi="宋体" w:eastAsia="宋体"/>
                <w:color w:val="auto"/>
                <w:kern w:val="0"/>
                <w:highlight w:val="none"/>
              </w:rPr>
            </w:pPr>
            <w:r>
              <w:rPr>
                <w:rFonts w:hint="eastAsia" w:ascii="宋体" w:hAnsi="宋体" w:eastAsia="宋体"/>
                <w:color w:val="auto"/>
                <w:kern w:val="0"/>
                <w:highlight w:val="none"/>
              </w:rPr>
              <w:t>得4分。</w:t>
            </w:r>
          </w:p>
          <w:p>
            <w:pPr>
              <w:spacing w:line="420" w:lineRule="exact"/>
              <w:rPr>
                <w:rFonts w:ascii="宋体" w:hAnsi="宋体" w:eastAsia="宋体"/>
                <w:color w:val="auto"/>
                <w:kern w:val="0"/>
                <w:highlight w:val="none"/>
              </w:rPr>
            </w:pPr>
            <w:r>
              <w:rPr>
                <w:rFonts w:hint="eastAsia" w:ascii="宋体" w:hAnsi="宋体" w:eastAsia="宋体"/>
                <w:color w:val="auto"/>
                <w:kern w:val="0"/>
                <w:highlight w:val="none"/>
              </w:rPr>
              <w:t>2、拟派技术负责人具有建筑工程管理专业中级称或以上职称：4分。</w:t>
            </w:r>
          </w:p>
          <w:p>
            <w:pPr>
              <w:spacing w:line="420" w:lineRule="exact"/>
              <w:rPr>
                <w:rFonts w:ascii="宋体" w:hAnsi="宋体" w:eastAsia="宋体"/>
                <w:color w:val="auto"/>
                <w:kern w:val="0"/>
                <w:highlight w:val="none"/>
              </w:rPr>
            </w:pPr>
            <w:r>
              <w:rPr>
                <w:rFonts w:hint="eastAsia" w:ascii="宋体" w:hAnsi="宋体" w:eastAsia="宋体"/>
                <w:color w:val="auto"/>
                <w:kern w:val="0"/>
                <w:highlight w:val="none"/>
              </w:rPr>
              <w:t>3、拟派施工管理人员具有施工管理专业中级称或以上职称人：得2分。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highlight w:val="none"/>
              </w:rPr>
            </w:pPr>
          </w:p>
        </w:tc>
        <w:tc>
          <w:tcPr>
            <w:tcW w:w="1683" w:type="dxa"/>
            <w:tcBorders>
              <w:top w:val="single" w:color="auto" w:sz="4" w:space="0"/>
              <w:left w:val="nil"/>
              <w:bottom w:val="single" w:color="auto" w:sz="4" w:space="0"/>
              <w:right w:val="single" w:color="auto" w:sz="4" w:space="0"/>
            </w:tcBorders>
            <w:vAlign w:val="center"/>
          </w:tcPr>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服务便利性</w:t>
            </w:r>
          </w:p>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（10分）</w:t>
            </w:r>
          </w:p>
        </w:tc>
        <w:tc>
          <w:tcPr>
            <w:tcW w:w="5583" w:type="dxa"/>
            <w:tcBorders>
              <w:top w:val="single" w:color="auto" w:sz="4" w:space="0"/>
              <w:left w:val="nil"/>
              <w:bottom w:val="single" w:color="auto" w:sz="4" w:space="0"/>
              <w:right w:val="single" w:color="auto" w:sz="4" w:space="0"/>
            </w:tcBorders>
            <w:vAlign w:val="center"/>
          </w:tcPr>
          <w:p>
            <w:pPr>
              <w:pStyle w:val="45"/>
              <w:ind w:firstLine="0" w:firstLineChars="0"/>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投标人对实施本项目服务便利保障：</w:t>
            </w:r>
          </w:p>
          <w:p>
            <w:pPr>
              <w:pStyle w:val="45"/>
              <w:ind w:firstLine="0" w:firstLineChars="0"/>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工商注册地点在南沙区的企业得10分；</w:t>
            </w:r>
          </w:p>
          <w:p>
            <w:pPr>
              <w:pStyle w:val="45"/>
              <w:ind w:firstLine="0" w:firstLineChars="0"/>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工商注册地点在广州市（南沙区除外）的企业得5分</w:t>
            </w:r>
          </w:p>
          <w:p>
            <w:pPr>
              <w:pStyle w:val="45"/>
              <w:ind w:firstLine="0" w:firstLineChars="0"/>
              <w:rPr>
                <w:rFonts w:ascii="宋体" w:eastAsia="宋体"/>
                <w:color w:val="auto"/>
                <w:kern w:val="0"/>
                <w:sz w:val="21"/>
                <w:szCs w:val="21"/>
                <w:highlight w:val="none"/>
              </w:rPr>
            </w:pPr>
            <w:r>
              <w:rPr>
                <w:rFonts w:hint="eastAsia" w:ascii="宋体" w:eastAsia="宋体"/>
                <w:color w:val="auto"/>
                <w:kern w:val="0"/>
                <w:sz w:val="21"/>
                <w:szCs w:val="21"/>
                <w:highlight w:val="none"/>
              </w:rPr>
              <w:t>其余不得分。</w:t>
            </w:r>
          </w:p>
          <w:p>
            <w:pPr>
              <w:spacing w:line="273" w:lineRule="auto"/>
              <w:jc w:val="left"/>
              <w:rPr>
                <w:rFonts w:ascii="宋体" w:hAnsi="宋体" w:eastAsia="宋体"/>
                <w:color w:val="auto"/>
                <w:kern w:val="0"/>
                <w:highlight w:val="none"/>
              </w:rPr>
            </w:pPr>
            <w:r>
              <w:rPr>
                <w:rFonts w:hint="eastAsia" w:ascii="宋体" w:hAnsi="宋体" w:eastAsia="宋体"/>
                <w:color w:val="auto"/>
                <w:kern w:val="0"/>
                <w:highlight w:val="none"/>
              </w:rPr>
              <w:t>【南沙本地企业仅需提供营业执照（含分支机构营业执照），非南沙本地企业除上述营业执照外还需提供固定办公地点证明材料复印件（办公地点如为自有，则应提供房屋产权证明；如为租赁，则应提供租赁合同及出租屋管理部门备案证明；如为第三方无偿提供使用的，则应提供无偿使用协议书及公证机构出具有公正书）；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highlight w:val="none"/>
              </w:rPr>
            </w:pPr>
          </w:p>
        </w:tc>
        <w:tc>
          <w:tcPr>
            <w:tcW w:w="1683" w:type="dxa"/>
            <w:tcBorders>
              <w:top w:val="single" w:color="auto" w:sz="4" w:space="0"/>
              <w:left w:val="nil"/>
              <w:bottom w:val="single" w:color="auto" w:sz="4" w:space="0"/>
              <w:right w:val="single" w:color="auto" w:sz="4" w:space="0"/>
            </w:tcBorders>
            <w:vAlign w:val="center"/>
          </w:tcPr>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工程概况及总体施工部署</w:t>
            </w:r>
          </w:p>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w:t>
            </w:r>
          </w:p>
        </w:tc>
        <w:tc>
          <w:tcPr>
            <w:tcW w:w="5583" w:type="dxa"/>
            <w:tcBorders>
              <w:top w:val="single" w:color="auto" w:sz="4" w:space="0"/>
              <w:left w:val="nil"/>
              <w:bottom w:val="single" w:color="auto" w:sz="4" w:space="0"/>
              <w:right w:val="single" w:color="auto" w:sz="4" w:space="0"/>
            </w:tcBorders>
            <w:vAlign w:val="center"/>
          </w:tcPr>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[优秀] 工程概况描述十分详细，总体施工部署完全科学可靠、完善，完全可行的，得8-10分；</w:t>
            </w:r>
          </w:p>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[一般] 工程概况描述一般详细，总体施工部署基本科学可靠、完善，基本可行的，得4-7分；</w:t>
            </w:r>
          </w:p>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[较差] 工程概况描述不详细，总体施工部署不科学可靠、完善，不可行的，得0-3分。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highlight w:val="none"/>
              </w:rPr>
            </w:pPr>
          </w:p>
        </w:tc>
        <w:tc>
          <w:tcPr>
            <w:tcW w:w="1683" w:type="dxa"/>
            <w:tcBorders>
              <w:top w:val="single" w:color="auto" w:sz="4" w:space="0"/>
              <w:left w:val="nil"/>
              <w:bottom w:val="single" w:color="auto" w:sz="4" w:space="0"/>
              <w:right w:val="single" w:color="auto" w:sz="4" w:space="0"/>
            </w:tcBorders>
            <w:vAlign w:val="center"/>
          </w:tcPr>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施工工艺流程及说明</w:t>
            </w:r>
          </w:p>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w:t>
            </w:r>
          </w:p>
        </w:tc>
        <w:tc>
          <w:tcPr>
            <w:tcW w:w="5583" w:type="dxa"/>
            <w:tcBorders>
              <w:top w:val="single" w:color="auto" w:sz="4" w:space="0"/>
              <w:left w:val="nil"/>
              <w:bottom w:val="single" w:color="auto" w:sz="4" w:space="0"/>
              <w:right w:val="single" w:color="auto" w:sz="4" w:space="0"/>
            </w:tcBorders>
            <w:vAlign w:val="center"/>
          </w:tcPr>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优秀] 方案完全科学可靠、完善，完全可行的，得8-10分；</w:t>
            </w:r>
          </w:p>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[一般] 方案基本科学可靠、完善，可行的，得4-7分；</w:t>
            </w:r>
          </w:p>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[较差] 方案欠科学可靠、完善的，得0-3分。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highlight w:val="none"/>
              </w:rPr>
            </w:pPr>
          </w:p>
        </w:tc>
        <w:tc>
          <w:tcPr>
            <w:tcW w:w="1683" w:type="dxa"/>
            <w:tcBorders>
              <w:top w:val="single" w:color="auto" w:sz="4" w:space="0"/>
              <w:left w:val="nil"/>
              <w:bottom w:val="single" w:color="auto" w:sz="4" w:space="0"/>
              <w:right w:val="single" w:color="auto" w:sz="4" w:space="0"/>
            </w:tcBorders>
            <w:vAlign w:val="center"/>
          </w:tcPr>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进度计划安排及工期保证措施</w:t>
            </w:r>
          </w:p>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w:t>
            </w:r>
          </w:p>
        </w:tc>
        <w:tc>
          <w:tcPr>
            <w:tcW w:w="5583" w:type="dxa"/>
            <w:tcBorders>
              <w:top w:val="single" w:color="auto" w:sz="4" w:space="0"/>
              <w:left w:val="nil"/>
              <w:bottom w:val="single" w:color="auto" w:sz="4" w:space="0"/>
              <w:right w:val="single" w:color="auto" w:sz="4" w:space="0"/>
            </w:tcBorders>
            <w:vAlign w:val="center"/>
          </w:tcPr>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[优秀] 措施完全科学可靠、完善，完全可行的，得8-10分；</w:t>
            </w:r>
          </w:p>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[一般] 措施基本科学可靠、完善，可行的，得4-7分；</w:t>
            </w:r>
          </w:p>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[较差] 措施欠科学可靠、完善的，得0-3分。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highlight w:val="none"/>
              </w:rPr>
            </w:pPr>
          </w:p>
        </w:tc>
        <w:tc>
          <w:tcPr>
            <w:tcW w:w="1683" w:type="dxa"/>
            <w:tcBorders>
              <w:top w:val="single" w:color="auto" w:sz="4" w:space="0"/>
              <w:left w:val="nil"/>
              <w:bottom w:val="single" w:color="auto" w:sz="4" w:space="0"/>
              <w:right w:val="single" w:color="auto" w:sz="4" w:space="0"/>
            </w:tcBorders>
            <w:vAlign w:val="center"/>
          </w:tcPr>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质量保证措施</w:t>
            </w:r>
          </w:p>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5583" w:type="dxa"/>
            <w:tcBorders>
              <w:top w:val="single" w:color="auto" w:sz="4" w:space="0"/>
              <w:left w:val="nil"/>
              <w:bottom w:val="single" w:color="auto" w:sz="4" w:space="0"/>
              <w:right w:val="single" w:color="auto" w:sz="4" w:space="0"/>
            </w:tcBorders>
            <w:vAlign w:val="center"/>
          </w:tcPr>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[优秀] 措施完全科学可靠、完善，完全可行的，得4-5分；</w:t>
            </w:r>
          </w:p>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[一般] 措施基本科学可靠、完善，可行的，得2-3分；</w:t>
            </w:r>
          </w:p>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[较差] 措施欠科学可靠、完善的，得0-1分。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highlight w:val="none"/>
              </w:rPr>
            </w:pPr>
          </w:p>
        </w:tc>
        <w:tc>
          <w:tcPr>
            <w:tcW w:w="1683" w:type="dxa"/>
            <w:tcBorders>
              <w:top w:val="single" w:color="auto" w:sz="4" w:space="0"/>
              <w:left w:val="nil"/>
              <w:bottom w:val="single" w:color="auto" w:sz="4" w:space="0"/>
              <w:right w:val="single" w:color="auto" w:sz="4" w:space="0"/>
            </w:tcBorders>
            <w:vAlign w:val="center"/>
          </w:tcPr>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安全文明施工措施</w:t>
            </w:r>
          </w:p>
          <w:p>
            <w:pPr>
              <w:pStyle w:val="42"/>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5583" w:type="dxa"/>
            <w:tcBorders>
              <w:top w:val="single" w:color="auto" w:sz="4" w:space="0"/>
              <w:left w:val="nil"/>
              <w:bottom w:val="single" w:color="auto" w:sz="4" w:space="0"/>
              <w:right w:val="single" w:color="auto" w:sz="4" w:space="0"/>
            </w:tcBorders>
            <w:vAlign w:val="center"/>
          </w:tcPr>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[优秀] 措施完全科学可靠、完善，完全可行的，得4-5分；</w:t>
            </w:r>
          </w:p>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[一般] 措施基本科学可靠、完善，可行的，得2-3分；</w:t>
            </w:r>
          </w:p>
          <w:p>
            <w:pPr>
              <w:pStyle w:val="4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[较差] 措施欠科学可靠、完善的，得0-1分。</w:t>
            </w:r>
          </w:p>
        </w:tc>
      </w:tr>
    </w:tbl>
    <w:p>
      <w:pPr>
        <w:pStyle w:val="11"/>
        <w:rPr>
          <w:color w:val="auto"/>
          <w:highlight w:val="none"/>
        </w:rPr>
      </w:pPr>
      <w:r>
        <w:rPr>
          <w:color w:val="auto"/>
          <w:highlight w:val="none"/>
        </w:rPr>
        <w:t xml:space="preserve"> </w:t>
      </w:r>
    </w:p>
    <w:p>
      <w:pPr>
        <w:snapToGrid w:val="0"/>
        <w:spacing w:line="360" w:lineRule="auto"/>
        <w:ind w:firstLine="105" w:firstLineChars="50"/>
        <w:rPr>
          <w:rFonts w:ascii="宋体" w:hAnsi="宋体" w:eastAsia="宋体"/>
          <w:color w:val="auto"/>
          <w:highlight w:val="none"/>
        </w:rPr>
      </w:pPr>
      <w:r>
        <w:rPr>
          <w:rFonts w:hint="eastAsia" w:ascii="宋体" w:hAnsi="宋体" w:eastAsia="宋体"/>
          <w:color w:val="auto"/>
          <w:highlight w:val="none"/>
        </w:rPr>
        <w:t>备注：</w:t>
      </w:r>
    </w:p>
    <w:p>
      <w:pPr>
        <w:snapToGrid w:val="0"/>
        <w:spacing w:line="360" w:lineRule="auto"/>
        <w:rPr>
          <w:rFonts w:ascii="宋体" w:hAnsi="宋体" w:eastAsia="宋体"/>
          <w:color w:val="auto"/>
          <w:highlight w:val="none"/>
        </w:rPr>
      </w:pPr>
      <w:r>
        <w:rPr>
          <w:rFonts w:hint="eastAsia" w:ascii="宋体" w:hAnsi="宋体" w:eastAsia="宋体"/>
          <w:color w:val="auto"/>
          <w:highlight w:val="none"/>
        </w:rPr>
        <w:t>招标文件要求提交的与评价指标体系相关的各类有效资料，投标人如未按要求提交的，该项评分为零分。</w:t>
      </w:r>
    </w:p>
    <w:p>
      <w:pPr>
        <w:snapToGrid w:val="0"/>
        <w:spacing w:line="360" w:lineRule="auto"/>
        <w:rPr>
          <w:rFonts w:ascii="宋体" w:hAnsi="宋体" w:eastAsia="宋体"/>
          <w:color w:val="auto"/>
          <w:highlight w:val="none"/>
        </w:rPr>
      </w:pPr>
      <w:r>
        <w:rPr>
          <w:rFonts w:hint="eastAsia" w:ascii="宋体" w:hAnsi="宋体" w:eastAsia="宋体"/>
          <w:color w:val="auto"/>
          <w:highlight w:val="none"/>
        </w:rPr>
        <w:t>商务及技术评分：所有评委评分分值的算术平均值（四舍五入后，小数点后保留两位有效数）。投标人的总得分为：综合得分（总得分）＝投标报价得分＋商务及技术部分得分</w:t>
      </w:r>
    </w:p>
    <w:p>
      <w:pPr>
        <w:adjustRightInd w:val="0"/>
        <w:snapToGrid w:val="0"/>
        <w:spacing w:line="360" w:lineRule="auto"/>
        <w:rPr>
          <w:rFonts w:ascii="宋体" w:hAnsi="宋体" w:eastAsia="宋体"/>
          <w:color w:val="auto"/>
          <w:highlight w:val="none"/>
        </w:rPr>
      </w:pPr>
      <w:r>
        <w:rPr>
          <w:rFonts w:hint="eastAsia" w:ascii="宋体" w:hAnsi="宋体" w:eastAsia="宋体"/>
          <w:color w:val="auto"/>
          <w:highlight w:val="none"/>
        </w:rPr>
        <w:t xml:space="preserve"> </w:t>
      </w:r>
    </w:p>
    <w:p>
      <w:pPr>
        <w:rPr>
          <w:rFonts w:hint="eastAsia" w:eastAsia="宋体"/>
          <w:b/>
          <w:color w:val="auto"/>
          <w:kern w:val="44"/>
          <w:sz w:val="44"/>
          <w:szCs w:val="44"/>
          <w:highlight w:val="none"/>
          <w:lang w:val="zh-CN"/>
        </w:rPr>
      </w:pPr>
      <w:r>
        <w:rPr>
          <w:rFonts w:hint="eastAsia" w:eastAsia="宋体"/>
          <w:b/>
          <w:color w:val="auto"/>
          <w:kern w:val="44"/>
          <w:sz w:val="44"/>
          <w:szCs w:val="44"/>
          <w:highlight w:val="none"/>
          <w:lang w:val="zh-CN"/>
        </w:rPr>
        <w:br w:type="page"/>
      </w:r>
    </w:p>
    <w:p>
      <w:pPr>
        <w:pStyle w:val="46"/>
        <w:snapToGrid w:val="0"/>
        <w:spacing w:beforeLines="50" w:afterLines="50" w:line="360" w:lineRule="auto"/>
        <w:ind w:left="420" w:firstLine="0" w:firstLineChars="0"/>
        <w:jc w:val="center"/>
        <w:rPr>
          <w:rFonts w:eastAsia="宋体"/>
          <w:b/>
          <w:color w:val="auto"/>
          <w:highlight w:val="none"/>
        </w:rPr>
      </w:pPr>
      <w:r>
        <w:rPr>
          <w:rFonts w:hint="eastAsia" w:eastAsia="宋体"/>
          <w:b/>
          <w:color w:val="auto"/>
          <w:kern w:val="44"/>
          <w:sz w:val="44"/>
          <w:szCs w:val="44"/>
          <w:highlight w:val="none"/>
          <w:lang w:val="zh-CN"/>
        </w:rPr>
        <w:t>第</w:t>
      </w:r>
      <w:r>
        <w:rPr>
          <w:rFonts w:hint="eastAsia" w:eastAsia="宋体"/>
          <w:b/>
          <w:color w:val="auto"/>
          <w:kern w:val="44"/>
          <w:sz w:val="44"/>
          <w:szCs w:val="44"/>
          <w:highlight w:val="none"/>
        </w:rPr>
        <w:t>3</w:t>
      </w:r>
      <w:r>
        <w:rPr>
          <w:rFonts w:hint="eastAsia" w:eastAsia="宋体"/>
          <w:b/>
          <w:color w:val="auto"/>
          <w:kern w:val="44"/>
          <w:sz w:val="44"/>
          <w:szCs w:val="44"/>
          <w:highlight w:val="none"/>
          <w:lang w:val="zh-CN"/>
        </w:rPr>
        <w:t>章　合同条款及格式</w:t>
      </w:r>
      <w:bookmarkEnd w:id="155"/>
    </w:p>
    <w:p>
      <w:pPr>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（GF—2013—0201）</w:t>
      </w:r>
    </w:p>
    <w:p>
      <w:pPr>
        <w:jc w:val="center"/>
        <w:rPr>
          <w:rFonts w:ascii="宋体" w:hAnsi="宋体" w:eastAsia="宋体" w:cs="宋体"/>
          <w:b/>
          <w:color w:val="auto"/>
          <w:sz w:val="52"/>
          <w:szCs w:val="52"/>
          <w:highlight w:val="none"/>
        </w:rPr>
      </w:pPr>
    </w:p>
    <w:p>
      <w:pPr>
        <w:jc w:val="center"/>
        <w:rPr>
          <w:rFonts w:ascii="宋体" w:hAnsi="宋体" w:eastAsia="宋体" w:cs="宋体"/>
          <w:b/>
          <w:color w:val="auto"/>
          <w:sz w:val="52"/>
          <w:szCs w:val="52"/>
          <w:highlight w:val="none"/>
        </w:rPr>
      </w:pPr>
    </w:p>
    <w:p>
      <w:pPr>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南沙湿地二期入口广场景观提升工程</w:t>
      </w:r>
    </w:p>
    <w:p>
      <w:pPr>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施工合同</w:t>
      </w:r>
      <w:r>
        <w:rPr>
          <w:rFonts w:hint="eastAsia" w:ascii="宋体" w:hAnsi="宋体" w:eastAsia="宋体" w:cs="宋体"/>
          <w:b/>
          <w:color w:val="auto"/>
          <w:sz w:val="52"/>
          <w:szCs w:val="52"/>
          <w:highlight w:val="none"/>
        </w:rPr>
        <w:br w:type="textWrapping"/>
      </w:r>
    </w:p>
    <w:p>
      <w:pPr>
        <w:jc w:val="center"/>
        <w:rPr>
          <w:rFonts w:ascii="宋体" w:hAnsi="宋体" w:eastAsia="宋体" w:cs="宋体"/>
          <w:b/>
          <w:color w:val="auto"/>
          <w:sz w:val="72"/>
          <w:szCs w:val="72"/>
          <w:highlight w:val="none"/>
        </w:rPr>
      </w:pPr>
    </w:p>
    <w:p>
      <w:pPr>
        <w:jc w:val="center"/>
        <w:rPr>
          <w:rFonts w:ascii="宋体" w:hAnsi="宋体" w:eastAsia="宋体" w:cs="宋体"/>
          <w:b/>
          <w:color w:val="auto"/>
          <w:sz w:val="72"/>
          <w:szCs w:val="72"/>
          <w:highlight w:val="none"/>
        </w:rPr>
      </w:pPr>
    </w:p>
    <w:p>
      <w:pPr>
        <w:rPr>
          <w:rFonts w:ascii="宋体" w:hAnsi="宋体" w:eastAsia="宋体" w:cs="宋体"/>
          <w:b/>
          <w:color w:val="auto"/>
          <w:sz w:val="28"/>
          <w:szCs w:val="28"/>
          <w:highlight w:val="none"/>
        </w:rPr>
      </w:pPr>
    </w:p>
    <w:p>
      <w:pPr>
        <w:rPr>
          <w:rFonts w:ascii="宋体" w:hAnsi="宋体" w:eastAsia="宋体" w:cs="宋体"/>
          <w:b/>
          <w:color w:val="auto"/>
          <w:sz w:val="28"/>
          <w:szCs w:val="28"/>
          <w:highlight w:val="none"/>
        </w:rPr>
      </w:pPr>
    </w:p>
    <w:p>
      <w:pPr>
        <w:rPr>
          <w:rFonts w:ascii="宋体" w:hAnsi="宋体" w:eastAsia="宋体" w:cs="宋体"/>
          <w:b/>
          <w:color w:val="auto"/>
          <w:sz w:val="28"/>
          <w:szCs w:val="28"/>
          <w:highlight w:val="none"/>
        </w:rPr>
      </w:pPr>
    </w:p>
    <w:p>
      <w:pPr>
        <w:rPr>
          <w:rFonts w:ascii="宋体" w:hAnsi="宋体" w:eastAsia="宋体" w:cs="宋体"/>
          <w:b/>
          <w:color w:val="auto"/>
          <w:sz w:val="28"/>
          <w:szCs w:val="28"/>
          <w:highlight w:val="none"/>
        </w:rPr>
      </w:pPr>
    </w:p>
    <w:p>
      <w:pPr>
        <w:rPr>
          <w:rFonts w:ascii="宋体" w:hAnsi="宋体" w:eastAsia="宋体" w:cs="宋体"/>
          <w:b/>
          <w:color w:val="auto"/>
          <w:sz w:val="28"/>
          <w:szCs w:val="28"/>
          <w:highlight w:val="none"/>
        </w:rPr>
      </w:pPr>
    </w:p>
    <w:p>
      <w:pPr>
        <w:ind w:right="2719" w:rightChars="1295" w:firstLine="1785" w:firstLineChars="850"/>
        <w:rPr>
          <w:rFonts w:ascii="宋体" w:hAnsi="宋体" w:eastAsia="宋体" w:cs="宋体"/>
          <w:b/>
          <w:color w:val="auto"/>
          <w:sz w:val="32"/>
          <w:szCs w:val="28"/>
          <w:highlight w:val="none"/>
        </w:rPr>
      </w:pPr>
      <w:r>
        <w:rPr>
          <w:rFonts w:ascii="宋体" w:hAnsi="宋体" w:eastAsia="宋体" w:cs="宋体"/>
          <w:color w:val="auto"/>
          <w:highlight w:val="none"/>
        </w:rPr>
        <w:pict>
          <v:shape id="文本框 2" o:spid="_x0000_s1032"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c0tcdgAAAAJAQAADwAAAAAAAAABACAAAAAiAAAAZHJzL2Rvd25yZXYueG1sUEsBAhQAFAAA&#10;AAgAh07iQHjms6zvAQAAzAMAAA4AAAAAAAAAAQAgAAAAJwEAAGRycy9lMm9Eb2MueG1sUEsFBgAA&#10;AAAGAAYAWQEAAIgFA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ascii="宋体" w:hAnsi="宋体" w:eastAsia="宋体" w:cs="宋体"/>
          <w:b/>
          <w:color w:val="auto"/>
          <w:sz w:val="32"/>
          <w:szCs w:val="28"/>
          <w:highlight w:val="none"/>
        </w:rPr>
        <w:t>住房和城乡建设部</w:t>
      </w:r>
    </w:p>
    <w:p>
      <w:pPr>
        <w:ind w:right="2719" w:rightChars="1295"/>
        <w:jc w:val="center"/>
        <w:rPr>
          <w:rFonts w:ascii="宋体" w:hAnsi="宋体" w:eastAsia="宋体" w:cs="宋体"/>
          <w:b/>
          <w:color w:val="auto"/>
          <w:sz w:val="32"/>
          <w:szCs w:val="28"/>
          <w:highlight w:val="none"/>
        </w:rPr>
      </w:pPr>
      <w:r>
        <w:rPr>
          <w:rFonts w:hint="eastAsia" w:ascii="宋体" w:hAnsi="宋体" w:eastAsia="宋体" w:cs="宋体"/>
          <w:b/>
          <w:color w:val="auto"/>
          <w:sz w:val="32"/>
          <w:szCs w:val="28"/>
          <w:highlight w:val="none"/>
        </w:rPr>
        <w:t>国家工商行政管理总局</w:t>
      </w:r>
    </w:p>
    <w:p>
      <w:pPr>
        <w:rPr>
          <w:rFonts w:ascii="宋体" w:hAnsi="宋体" w:eastAsia="宋体" w:cs="宋体"/>
          <w:color w:val="auto"/>
          <w:sz w:val="30"/>
          <w:highlight w:val="none"/>
          <w:u w:val="single"/>
        </w:rPr>
      </w:pPr>
      <w:r>
        <w:rPr>
          <w:rFonts w:hint="eastAsia" w:ascii="宋体" w:hAnsi="宋体" w:eastAsia="宋体" w:cs="宋体"/>
          <w:color w:val="auto"/>
          <w:sz w:val="30"/>
          <w:highlight w:val="none"/>
        </w:rPr>
        <w:t xml:space="preserve">                  </w:t>
      </w:r>
    </w:p>
    <w:p>
      <w:pPr>
        <w:rPr>
          <w:rFonts w:ascii="宋体" w:hAnsi="宋体" w:eastAsia="宋体" w:cs="宋体"/>
          <w:b/>
          <w:color w:val="auto"/>
          <w:sz w:val="52"/>
          <w:szCs w:val="52"/>
          <w:highlight w:val="none"/>
        </w:rPr>
      </w:pPr>
    </w:p>
    <w:p>
      <w:pPr>
        <w:keepNext/>
        <w:keepLines/>
        <w:spacing w:line="400" w:lineRule="exact"/>
        <w:outlineLvl w:val="2"/>
        <w:rPr>
          <w:rFonts w:ascii="宋体" w:hAnsi="宋体" w:eastAsia="宋体" w:cs="宋体"/>
          <w:b/>
          <w:bCs/>
          <w:color w:val="auto"/>
          <w:sz w:val="24"/>
          <w:szCs w:val="24"/>
          <w:highlight w:val="none"/>
        </w:rPr>
      </w:pPr>
    </w:p>
    <w:p>
      <w:pPr>
        <w:pStyle w:val="2"/>
        <w:rPr>
          <w:color w:val="auto"/>
          <w:highlight w:val="none"/>
        </w:rPr>
      </w:pPr>
    </w:p>
    <w:p>
      <w:pPr>
        <w:keepNext/>
        <w:keepLines/>
        <w:spacing w:line="400" w:lineRule="exact"/>
        <w:jc w:val="center"/>
        <w:outlineLvl w:val="2"/>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第一部分 合同协议书</w:t>
      </w:r>
    </w:p>
    <w:p>
      <w:pPr>
        <w:spacing w:line="400" w:lineRule="exact"/>
        <w:rPr>
          <w:rFonts w:ascii="宋体" w:hAnsi="宋体" w:eastAsia="宋体" w:cs="宋体"/>
          <w:b/>
          <w:color w:val="auto"/>
          <w:sz w:val="24"/>
          <w:szCs w:val="24"/>
          <w:highlight w:val="none"/>
        </w:rPr>
      </w:pPr>
    </w:p>
    <w:p>
      <w:pPr>
        <w:spacing w:line="400" w:lineRule="exact"/>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广州南沙旅游发展有限公司、广州南沙湿地旅游发展有限公司、广州南沙建设维护管理有限公司</w:t>
      </w:r>
    </w:p>
    <w:p>
      <w:pPr>
        <w:spacing w:line="400" w:lineRule="exact"/>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根据《中华人民共和国合同法》、《中华人民共和国建筑法》及有关法律规定，遵循平等、自愿、公平和诚实信用的原则，双方就</w:t>
      </w:r>
      <w:r>
        <w:rPr>
          <w:rFonts w:hint="eastAsia" w:ascii="宋体" w:hAnsi="宋体" w:eastAsia="宋体" w:cs="宋体"/>
          <w:color w:val="auto"/>
          <w:sz w:val="24"/>
          <w:szCs w:val="24"/>
          <w:highlight w:val="none"/>
          <w:u w:val="single"/>
        </w:rPr>
        <w:t>南沙湿地景区二期入口广场景观提升工程</w:t>
      </w:r>
      <w:r>
        <w:rPr>
          <w:rFonts w:hint="eastAsia" w:ascii="宋体" w:hAnsi="宋体" w:eastAsia="宋体" w:cs="宋体"/>
          <w:color w:val="auto"/>
          <w:sz w:val="24"/>
          <w:szCs w:val="24"/>
          <w:highlight w:val="none"/>
        </w:rPr>
        <w:t>项目及有关事项协商一致，共同达成如下协议：</w:t>
      </w:r>
    </w:p>
    <w:p>
      <w:pPr>
        <w:keepNext/>
        <w:keepLines/>
        <w:spacing w:line="400" w:lineRule="exact"/>
        <w:outlineLvl w:val="3"/>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一、工程概况</w:t>
      </w:r>
    </w:p>
    <w:p>
      <w:pPr>
        <w:spacing w:line="400" w:lineRule="exact"/>
        <w:ind w:firstLine="470" w:firstLineChars="196"/>
        <w:rPr>
          <w:rFonts w:ascii="宋体" w:hAnsi="宋体" w:eastAsia="宋体" w:cs="宋体"/>
          <w:color w:val="auto"/>
          <w:kern w:val="0"/>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u w:val="single"/>
        </w:rPr>
        <w:t>南沙湿地景区二期入口广场景观提升工程</w:t>
      </w:r>
    </w:p>
    <w:p>
      <w:pPr>
        <w:spacing w:line="400" w:lineRule="exact"/>
        <w:ind w:firstLine="470" w:firstLineChars="196"/>
        <w:rPr>
          <w:rFonts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kern w:val="0"/>
          <w:sz w:val="24"/>
          <w:szCs w:val="24"/>
          <w:highlight w:val="none"/>
          <w:u w:val="single"/>
        </w:rPr>
        <w:t xml:space="preserve"> 广州市南沙区湿地景区二期内  </w:t>
      </w:r>
    </w:p>
    <w:p>
      <w:pPr>
        <w:spacing w:line="400" w:lineRule="exact"/>
        <w:ind w:firstLine="470" w:firstLineChars="196"/>
        <w:rPr>
          <w:rFonts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Cs/>
          <w:color w:val="auto"/>
          <w:sz w:val="24"/>
          <w:szCs w:val="24"/>
          <w:highlight w:val="none"/>
          <w:u w:val="single"/>
        </w:rPr>
        <w:t xml:space="preserve">                          </w:t>
      </w:r>
    </w:p>
    <w:p>
      <w:pPr>
        <w:spacing w:line="400" w:lineRule="exact"/>
        <w:ind w:firstLine="470" w:firstLineChars="196"/>
        <w:rPr>
          <w:rFonts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自筹资金</w:t>
      </w:r>
    </w:p>
    <w:p>
      <w:pPr>
        <w:spacing w:line="400" w:lineRule="exact"/>
        <w:ind w:firstLine="470" w:firstLineChars="196"/>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Cs/>
          <w:color w:val="auto"/>
          <w:sz w:val="24"/>
          <w:szCs w:val="24"/>
          <w:highlight w:val="none"/>
        </w:rPr>
        <w:t>5.工程内容：</w:t>
      </w:r>
      <w:r>
        <w:rPr>
          <w:rFonts w:hint="eastAsia" w:cs="仿宋_GB2312" w:asciiTheme="minorEastAsia" w:hAnsiTheme="minorEastAsia" w:eastAsiaTheme="minorEastAsia"/>
          <w:bCs/>
          <w:color w:val="auto"/>
          <w:sz w:val="24"/>
          <w:szCs w:val="24"/>
          <w:highlight w:val="none"/>
        </w:rPr>
        <w:t>项目位于南沙区十九涌南沙湿地景区二期内。主要内容包括但不限于清除原场地杂草，乔木、灌木及地被的种植及养护，种植土换填，预制混凝土仿圆木桩花基等。</w:t>
      </w:r>
    </w:p>
    <w:p>
      <w:pPr>
        <w:spacing w:line="400" w:lineRule="exact"/>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招标图纸及工程量清单范围内施工专业承包</w:t>
      </w:r>
      <w:r>
        <w:rPr>
          <w:rFonts w:ascii="宋体" w:hAnsi="宋体" w:eastAsia="宋体" w:cs="宋体"/>
          <w:color w:val="auto"/>
          <w:sz w:val="24"/>
          <w:szCs w:val="24"/>
          <w:highlight w:val="none"/>
        </w:rPr>
        <w:t>（承包方需按发包人要求施工，根据现场实际情况施工，设计图纸有调整时，必须服从要求调整）</w:t>
      </w:r>
      <w:r>
        <w:rPr>
          <w:rFonts w:hint="eastAsia" w:ascii="宋体" w:hAnsi="宋体" w:eastAsia="宋体" w:cs="宋体"/>
          <w:color w:val="auto"/>
          <w:sz w:val="24"/>
          <w:szCs w:val="24"/>
          <w:highlight w:val="none"/>
        </w:rPr>
        <w:t>。</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二、合同工期</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计划完工日期：2020年9月20日前竣工验收合格。</w:t>
      </w:r>
    </w:p>
    <w:p>
      <w:pPr>
        <w:keepNext/>
        <w:keepLines/>
        <w:spacing w:line="400" w:lineRule="exact"/>
        <w:outlineLvl w:val="3"/>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三、质量标准</w:t>
      </w:r>
    </w:p>
    <w:p>
      <w:pPr>
        <w:spacing w:line="400" w:lineRule="exact"/>
        <w:ind w:firstLine="45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国家、省或行业现行的工程建设质量验收标准及规范合格或以上</w:t>
      </w:r>
      <w:r>
        <w:rPr>
          <w:rFonts w:hint="eastAsia" w:ascii="宋体" w:hAnsi="宋体" w:eastAsia="宋体" w:cs="宋体"/>
          <w:color w:val="auto"/>
          <w:sz w:val="24"/>
          <w:szCs w:val="24"/>
          <w:highlight w:val="none"/>
        </w:rPr>
        <w:t>标准。</w:t>
      </w:r>
    </w:p>
    <w:p>
      <w:pPr>
        <w:keepNext/>
        <w:keepLines/>
        <w:spacing w:line="400" w:lineRule="exact"/>
        <w:outlineLvl w:val="3"/>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四、签约合同价</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合同价格形式</w:t>
      </w:r>
      <w:r>
        <w:rPr>
          <w:rFonts w:ascii="宋体" w:hAnsi="宋体" w:eastAsia="宋体" w:cs="宋体"/>
          <w:bCs/>
          <w:color w:val="auto"/>
          <w:sz w:val="24"/>
          <w:szCs w:val="24"/>
          <w:highlight w:val="none"/>
        </w:rPr>
        <w:t>与支付方式</w:t>
      </w:r>
      <w:r>
        <w:rPr>
          <w:rFonts w:hint="eastAsia" w:ascii="宋体" w:hAnsi="宋体" w:eastAsia="宋体" w:cs="宋体"/>
          <w:bCs/>
          <w:color w:val="auto"/>
          <w:sz w:val="24"/>
          <w:szCs w:val="24"/>
          <w:highlight w:val="none"/>
        </w:rPr>
        <w:tab/>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pPr>
        <w:spacing w:line="400" w:lineRule="exact"/>
        <w:ind w:firstLine="48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40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人民币（小写）RMB¥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pPr>
        <w:spacing w:line="400" w:lineRule="exact"/>
        <w:ind w:left="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pPr>
        <w:spacing w:line="400" w:lineRule="exact"/>
        <w:ind w:firstLine="48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40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人民币（小写）RMB¥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2）暂列金额：</w:t>
      </w:r>
    </w:p>
    <w:p>
      <w:pPr>
        <w:spacing w:line="400" w:lineRule="exact"/>
        <w:ind w:firstLine="48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40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人民币（小写）RMB¥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Style w:val="2"/>
        <w:numPr>
          <w:ilvl w:val="0"/>
          <w:numId w:val="11"/>
        </w:numPr>
        <w:ind w:firstLine="480" w:firstLineChars="200"/>
        <w:rPr>
          <w:rFonts w:eastAsia="宋体"/>
          <w:color w:val="auto"/>
          <w:sz w:val="24"/>
          <w:szCs w:val="24"/>
          <w:highlight w:val="none"/>
          <w:u w:val="single"/>
        </w:rPr>
      </w:pPr>
      <w:r>
        <w:rPr>
          <w:rFonts w:hint="eastAsia" w:eastAsia="宋体"/>
          <w:color w:val="auto"/>
          <w:sz w:val="24"/>
          <w:szCs w:val="24"/>
          <w:highlight w:val="none"/>
        </w:rPr>
        <w:t>合同价格形式：</w:t>
      </w:r>
      <w:r>
        <w:rPr>
          <w:rFonts w:hint="eastAsia" w:eastAsia="宋体"/>
          <w:color w:val="auto"/>
          <w:sz w:val="24"/>
          <w:szCs w:val="24"/>
          <w:highlight w:val="none"/>
          <w:u w:val="single"/>
        </w:rPr>
        <w:t xml:space="preserve">     综合单价包干          </w:t>
      </w:r>
      <w:r>
        <w:rPr>
          <w:rFonts w:eastAsia="宋体"/>
          <w:color w:val="auto"/>
          <w:sz w:val="24"/>
          <w:szCs w:val="24"/>
          <w:highlight w:val="none"/>
          <w:u w:val="single"/>
        </w:rPr>
        <w:t>。</w:t>
      </w:r>
    </w:p>
    <w:p>
      <w:pPr>
        <w:pStyle w:val="2"/>
        <w:numPr>
          <w:ilvl w:val="0"/>
          <w:numId w:val="11"/>
        </w:numPr>
        <w:spacing w:line="360" w:lineRule="auto"/>
        <w:ind w:firstLine="480" w:firstLineChars="200"/>
        <w:rPr>
          <w:rFonts w:eastAsia="宋体"/>
          <w:color w:val="auto"/>
          <w:sz w:val="24"/>
          <w:szCs w:val="24"/>
          <w:highlight w:val="none"/>
          <w:u w:val="single"/>
        </w:rPr>
      </w:pPr>
      <w:r>
        <w:rPr>
          <w:rFonts w:hint="eastAsia" w:eastAsia="宋体"/>
          <w:color w:val="auto"/>
          <w:sz w:val="24"/>
          <w:szCs w:val="24"/>
          <w:highlight w:val="none"/>
          <w:u w:val="single"/>
        </w:rPr>
        <w:t>支付方式：（此部分需根据实际情况补充）</w:t>
      </w:r>
    </w:p>
    <w:p>
      <w:pPr>
        <w:pStyle w:val="2"/>
        <w:numPr>
          <w:ilvl w:val="255"/>
          <w:numId w:val="0"/>
        </w:numPr>
        <w:spacing w:line="360" w:lineRule="auto"/>
        <w:ind w:firstLine="480" w:firstLineChars="200"/>
        <w:rPr>
          <w:rFonts w:eastAsia="宋体"/>
          <w:color w:val="auto"/>
          <w:sz w:val="24"/>
          <w:szCs w:val="24"/>
          <w:highlight w:val="none"/>
          <w:u w:val="single"/>
        </w:rPr>
      </w:pPr>
      <w:r>
        <w:rPr>
          <w:rFonts w:hint="eastAsia" w:eastAsia="宋体"/>
          <w:color w:val="auto"/>
          <w:sz w:val="24"/>
          <w:szCs w:val="24"/>
          <w:highlight w:val="none"/>
          <w:u w:val="single"/>
        </w:rPr>
        <w:t xml:space="preserve">承包方收款账号信息： </w:t>
      </w:r>
    </w:p>
    <w:p>
      <w:pPr>
        <w:pStyle w:val="2"/>
        <w:numPr>
          <w:ilvl w:val="255"/>
          <w:numId w:val="0"/>
        </w:numPr>
        <w:spacing w:line="360" w:lineRule="auto"/>
        <w:ind w:firstLine="480" w:firstLineChars="200"/>
        <w:rPr>
          <w:rFonts w:eastAsia="宋体"/>
          <w:color w:val="auto"/>
          <w:sz w:val="24"/>
          <w:szCs w:val="24"/>
          <w:highlight w:val="none"/>
          <w:u w:val="single"/>
        </w:rPr>
      </w:pPr>
      <w:r>
        <w:rPr>
          <w:rFonts w:hint="eastAsia" w:eastAsia="宋体"/>
          <w:color w:val="auto"/>
          <w:sz w:val="24"/>
          <w:szCs w:val="24"/>
          <w:highlight w:val="none"/>
          <w:u w:val="single"/>
        </w:rPr>
        <w:t>账户名称：</w:t>
      </w:r>
    </w:p>
    <w:p>
      <w:pPr>
        <w:pStyle w:val="2"/>
        <w:numPr>
          <w:ilvl w:val="255"/>
          <w:numId w:val="0"/>
        </w:numPr>
        <w:spacing w:line="360" w:lineRule="auto"/>
        <w:ind w:firstLine="480" w:firstLineChars="200"/>
        <w:rPr>
          <w:rFonts w:eastAsia="宋体"/>
          <w:color w:val="auto"/>
          <w:sz w:val="24"/>
          <w:szCs w:val="24"/>
          <w:highlight w:val="none"/>
          <w:u w:val="single"/>
        </w:rPr>
      </w:pPr>
      <w:r>
        <w:rPr>
          <w:rFonts w:hint="eastAsia" w:eastAsia="宋体"/>
          <w:color w:val="auto"/>
          <w:sz w:val="24"/>
          <w:szCs w:val="24"/>
          <w:highlight w:val="none"/>
          <w:u w:val="single"/>
        </w:rPr>
        <w:t>开户银行:</w:t>
      </w:r>
    </w:p>
    <w:p>
      <w:pPr>
        <w:pStyle w:val="2"/>
        <w:numPr>
          <w:ilvl w:val="255"/>
          <w:numId w:val="0"/>
        </w:numPr>
        <w:spacing w:line="360" w:lineRule="auto"/>
        <w:ind w:firstLine="480" w:firstLineChars="200"/>
        <w:rPr>
          <w:rFonts w:eastAsia="宋体"/>
          <w:color w:val="auto"/>
          <w:sz w:val="24"/>
          <w:szCs w:val="24"/>
          <w:highlight w:val="none"/>
          <w:u w:val="single"/>
        </w:rPr>
      </w:pPr>
      <w:r>
        <w:rPr>
          <w:rFonts w:hint="eastAsia" w:eastAsia="宋体"/>
          <w:color w:val="auto"/>
          <w:sz w:val="24"/>
          <w:szCs w:val="24"/>
          <w:highlight w:val="none"/>
          <w:u w:val="single"/>
        </w:rPr>
        <w:t>账    号：</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五、项目经理</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w:t>
      </w:r>
      <w:r>
        <w:rPr>
          <w:rFonts w:hint="eastAsia" w:ascii="宋体" w:hAnsi="宋体" w:eastAsia="宋体" w:cs="宋体"/>
          <w:bCs/>
          <w:color w:val="auto"/>
          <w:sz w:val="24"/>
          <w:szCs w:val="24"/>
          <w:highlight w:val="none"/>
        </w:rPr>
        <w:t xml:space="preserve">    </w:t>
      </w:r>
    </w:p>
    <w:p>
      <w:pPr>
        <w:spacing w:line="400" w:lineRule="exact"/>
        <w:ind w:firstLine="480" w:firstLineChars="20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六、合同文件构成</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（2）投标函及其附录（如有）； </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spacing w:line="400" w:lineRule="exac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七、承诺</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pPr>
        <w:spacing w:line="40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   八、词语含义</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keepNext/>
        <w:keepLines/>
        <w:spacing w:line="400" w:lineRule="exact"/>
        <w:outlineLvl w:val="3"/>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 xml:space="preserve"> 九、签订时间</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keepNext/>
        <w:keepLines/>
        <w:spacing w:line="400" w:lineRule="exact"/>
        <w:outlineLvl w:val="3"/>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十、签订地点</w:t>
      </w:r>
    </w:p>
    <w:p>
      <w:pPr>
        <w:spacing w:line="400" w:lineRule="exact"/>
        <w:ind w:firstLine="470" w:firstLineChars="196"/>
        <w:rPr>
          <w:rFonts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本合同在</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keepNext/>
        <w:keepLines/>
        <w:spacing w:line="400" w:lineRule="exact"/>
        <w:outlineLvl w:val="3"/>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十一、补充协议</w:t>
      </w:r>
    </w:p>
    <w:p>
      <w:pPr>
        <w:spacing w:line="40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keepNext/>
        <w:keepLines/>
        <w:spacing w:line="400" w:lineRule="exact"/>
        <w:outlineLvl w:val="3"/>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十二、合同生效</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双方签字并盖章</w:t>
      </w:r>
      <w:r>
        <w:rPr>
          <w:rFonts w:ascii="宋体" w:hAnsi="宋体" w:eastAsia="宋体" w:cs="宋体"/>
          <w:bCs/>
          <w:color w:val="auto"/>
          <w:sz w:val="24"/>
          <w:szCs w:val="24"/>
          <w:highlight w:val="none"/>
          <w:u w:val="single"/>
        </w:rPr>
        <w:t>之日起</w:t>
      </w:r>
      <w:r>
        <w:rPr>
          <w:rFonts w:hint="eastAsia" w:ascii="宋体" w:hAnsi="宋体" w:eastAsia="宋体" w:cs="宋体"/>
          <w:bCs/>
          <w:color w:val="auto"/>
          <w:sz w:val="24"/>
          <w:szCs w:val="24"/>
          <w:highlight w:val="none"/>
        </w:rPr>
        <w:t>生效。</w:t>
      </w:r>
    </w:p>
    <w:p>
      <w:pPr>
        <w:keepNext/>
        <w:keepLines/>
        <w:spacing w:line="400" w:lineRule="exact"/>
        <w:outlineLvl w:val="3"/>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十三、合同份数</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1、本合同正本壹式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2、本合同副本壹式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3、本合同正、副本均具有同等法律效力</w:t>
      </w:r>
    </w:p>
    <w:p>
      <w:pPr>
        <w:spacing w:line="400" w:lineRule="exact"/>
        <w:ind w:firstLine="480" w:firstLineChars="200"/>
        <w:rPr>
          <w:rFonts w:ascii="宋体" w:hAnsi="宋体" w:eastAsia="宋体" w:cs="宋体"/>
          <w:bCs/>
          <w:color w:val="auto"/>
          <w:sz w:val="24"/>
          <w:szCs w:val="24"/>
          <w:highlight w:val="none"/>
        </w:rPr>
      </w:pPr>
    </w:p>
    <w:p>
      <w:pPr>
        <w:spacing w:line="400" w:lineRule="exact"/>
        <w:rPr>
          <w:rFonts w:ascii="宋体" w:hAnsi="宋体" w:eastAsia="宋体" w:cs="宋体"/>
          <w:bCs/>
          <w:color w:val="auto"/>
          <w:sz w:val="24"/>
          <w:szCs w:val="24"/>
          <w:highlight w:val="none"/>
        </w:rPr>
      </w:pPr>
    </w:p>
    <w:p>
      <w:pPr>
        <w:spacing w:line="400" w:lineRule="exact"/>
        <w:rPr>
          <w:rFonts w:ascii="宋体" w:hAnsi="宋体" w:eastAsia="宋体" w:cs="宋体"/>
          <w:color w:val="auto"/>
          <w:sz w:val="24"/>
          <w:szCs w:val="24"/>
          <w:highlight w:val="none"/>
        </w:rPr>
      </w:pPr>
    </w:p>
    <w:p>
      <w:pPr>
        <w:spacing w:line="400" w:lineRule="exact"/>
        <w:rPr>
          <w:rFonts w:ascii="宋体" w:hAnsi="宋体" w:eastAsia="宋体" w:cs="宋体"/>
          <w:color w:val="auto"/>
          <w:sz w:val="24"/>
          <w:szCs w:val="24"/>
          <w:highlight w:val="none"/>
        </w:rPr>
      </w:pPr>
    </w:p>
    <w:p>
      <w:pPr>
        <w:spacing w:line="400" w:lineRule="exact"/>
        <w:rPr>
          <w:rFonts w:ascii="宋体" w:hAnsi="宋体" w:eastAsia="宋体" w:cs="宋体"/>
          <w:color w:val="auto"/>
          <w:sz w:val="24"/>
          <w:szCs w:val="24"/>
          <w:highlight w:val="none"/>
        </w:rPr>
      </w:pP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  (公章)</w:t>
      </w:r>
    </w:p>
    <w:p>
      <w:pPr>
        <w:spacing w:line="400" w:lineRule="exac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                          经办人：</w:t>
      </w:r>
    </w:p>
    <w:p>
      <w:pPr>
        <w:spacing w:line="400" w:lineRule="exact"/>
        <w:rPr>
          <w:rFonts w:ascii="宋体" w:hAnsi="宋体" w:eastAsia="宋体" w:cs="宋体"/>
          <w:color w:val="auto"/>
          <w:sz w:val="24"/>
          <w:szCs w:val="24"/>
          <w:highlight w:val="none"/>
        </w:rPr>
      </w:pP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pPr>
        <w:spacing w:line="400" w:lineRule="exact"/>
        <w:rPr>
          <w:rFonts w:ascii="宋体" w:hAnsi="宋体" w:eastAsia="宋体" w:cs="宋体"/>
          <w:color w:val="auto"/>
          <w:sz w:val="24"/>
          <w:szCs w:val="24"/>
          <w:highlight w:val="none"/>
        </w:rPr>
      </w:pP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pPr>
        <w:spacing w:line="400" w:lineRule="exac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开户名称：</w:t>
      </w:r>
      <w:r>
        <w:rPr>
          <w:rFonts w:hint="eastAsia" w:ascii="宋体" w:hAnsi="宋体" w:eastAsia="宋体" w:cs="宋体"/>
          <w:color w:val="auto"/>
          <w:sz w:val="24"/>
          <w:szCs w:val="24"/>
          <w:highlight w:val="none"/>
          <w:u w:val="single"/>
        </w:rPr>
        <w:t xml:space="preserve">                   </w:t>
      </w:r>
    </w:p>
    <w:p>
      <w:pPr>
        <w:spacing w:line="400" w:lineRule="exact"/>
        <w:rPr>
          <w:rFonts w:ascii="宋体" w:hAnsi="宋体" w:eastAsia="宋体" w:cs="宋体"/>
          <w:color w:val="auto"/>
          <w:sz w:val="24"/>
          <w:szCs w:val="24"/>
          <w:highlight w:val="none"/>
        </w:rPr>
      </w:pP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spacing w:line="400" w:lineRule="exact"/>
        <w:rPr>
          <w:rFonts w:ascii="宋体" w:hAnsi="宋体" w:eastAsia="宋体" w:cs="宋体"/>
          <w:color w:val="auto"/>
          <w:sz w:val="24"/>
          <w:szCs w:val="24"/>
          <w:highlight w:val="none"/>
        </w:rPr>
      </w:pP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pPr>
        <w:pStyle w:val="5"/>
        <w:spacing w:before="156"/>
        <w:rPr>
          <w:rFonts w:ascii="宋体" w:eastAsia="宋体"/>
          <w:color w:val="auto"/>
          <w:sz w:val="24"/>
          <w:szCs w:val="24"/>
          <w:highlight w:val="none"/>
        </w:rPr>
      </w:pPr>
      <w:r>
        <w:rPr>
          <w:rFonts w:hint="eastAsia" w:ascii="宋体" w:eastAsia="宋体"/>
          <w:bCs/>
          <w:color w:val="auto"/>
          <w:sz w:val="24"/>
          <w:szCs w:val="24"/>
          <w:highlight w:val="none"/>
        </w:rPr>
        <w:br w:type="page"/>
      </w:r>
      <w:r>
        <w:rPr>
          <w:rFonts w:hint="eastAsia" w:ascii="宋体" w:eastAsia="宋体"/>
          <w:color w:val="auto"/>
          <w:sz w:val="24"/>
          <w:szCs w:val="24"/>
          <w:highlight w:val="none"/>
        </w:rPr>
        <w:t>第二部分 通用合同条款</w:t>
      </w:r>
      <w:bookmarkStart w:id="156" w:name="_Toc337558727"/>
    </w:p>
    <w:p>
      <w:pPr>
        <w:pStyle w:val="6"/>
        <w:spacing w:before="120" w:after="120" w:line="360" w:lineRule="auto"/>
        <w:rPr>
          <w:rFonts w:ascii="宋体" w:hAnsi="宋体" w:eastAsia="宋体" w:cs="宋体"/>
          <w:b w:val="0"/>
          <w:color w:val="auto"/>
          <w:sz w:val="24"/>
          <w:szCs w:val="24"/>
          <w:highlight w:val="none"/>
        </w:rPr>
      </w:pPr>
      <w:bookmarkStart w:id="157" w:name="_Toc351203495"/>
      <w:r>
        <w:rPr>
          <w:rFonts w:hint="eastAsia" w:ascii="宋体" w:hAnsi="宋体" w:eastAsia="宋体" w:cs="宋体"/>
          <w:b w:val="0"/>
          <w:color w:val="auto"/>
          <w:sz w:val="24"/>
          <w:szCs w:val="24"/>
          <w:highlight w:val="none"/>
        </w:rPr>
        <w:t>1.</w:t>
      </w:r>
      <w:bookmarkStart w:id="158" w:name="_Toc303538974"/>
      <w:bookmarkEnd w:id="158"/>
      <w:bookmarkStart w:id="159" w:name="_Toc303538973"/>
      <w:bookmarkEnd w:id="159"/>
      <w:bookmarkStart w:id="160" w:name="_Toc303538972"/>
      <w:bookmarkEnd w:id="160"/>
      <w:bookmarkStart w:id="161" w:name="_Toc303538976"/>
      <w:bookmarkEnd w:id="161"/>
      <w:bookmarkStart w:id="162" w:name="_Toc303538975"/>
      <w:bookmarkEnd w:id="162"/>
      <w:bookmarkStart w:id="163" w:name="_Toc296346528"/>
      <w:bookmarkStart w:id="164" w:name="_Toc296503027"/>
      <w:r>
        <w:rPr>
          <w:rFonts w:hint="eastAsia" w:ascii="宋体" w:hAnsi="宋体" w:eastAsia="宋体" w:cs="宋体"/>
          <w:b w:val="0"/>
          <w:color w:val="auto"/>
          <w:sz w:val="24"/>
          <w:szCs w:val="24"/>
          <w:highlight w:val="none"/>
        </w:rPr>
        <w:t xml:space="preserve"> 一般约定</w:t>
      </w:r>
      <w:bookmarkEnd w:id="156"/>
      <w:bookmarkEnd w:id="157"/>
      <w:bookmarkEnd w:id="163"/>
      <w:bookmarkEnd w:id="164"/>
    </w:p>
    <w:p>
      <w:pPr>
        <w:pStyle w:val="7"/>
        <w:spacing w:before="120" w:after="120" w:line="360" w:lineRule="auto"/>
        <w:ind w:firstLine="480" w:firstLineChars="200"/>
        <w:rPr>
          <w:rFonts w:ascii="宋体" w:hAnsi="宋体" w:eastAsia="宋体" w:cs="宋体"/>
          <w:b w:val="0"/>
          <w:color w:val="auto"/>
          <w:sz w:val="24"/>
          <w:szCs w:val="24"/>
          <w:highlight w:val="none"/>
        </w:rPr>
      </w:pPr>
      <w:bookmarkStart w:id="165" w:name="_Toc337558728"/>
      <w:bookmarkStart w:id="166" w:name="_Toc296346529"/>
      <w:bookmarkStart w:id="167" w:name="_Toc296503028"/>
      <w:bookmarkStart w:id="168" w:name="_Toc351203496"/>
      <w:r>
        <w:rPr>
          <w:rFonts w:hint="eastAsia" w:ascii="宋体" w:hAnsi="宋体" w:eastAsia="宋体" w:cs="宋体"/>
          <w:b w:val="0"/>
          <w:color w:val="auto"/>
          <w:sz w:val="24"/>
          <w:szCs w:val="24"/>
          <w:highlight w:val="none"/>
        </w:rPr>
        <w:t>1.1词语定义</w:t>
      </w:r>
      <w:bookmarkEnd w:id="165"/>
      <w:bookmarkEnd w:id="166"/>
      <w:bookmarkEnd w:id="167"/>
      <w:r>
        <w:rPr>
          <w:rFonts w:hint="eastAsia" w:ascii="宋体" w:hAnsi="宋体" w:eastAsia="宋体" w:cs="宋体"/>
          <w:b w:val="0"/>
          <w:color w:val="auto"/>
          <w:sz w:val="24"/>
          <w:szCs w:val="24"/>
          <w:highlight w:val="none"/>
        </w:rPr>
        <w:t>与解释</w:t>
      </w:r>
      <w:bookmarkEnd w:id="168"/>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合同协议书、通用合同条款、专用合同条款中的下列词语具有本款所赋予的含义：</w:t>
      </w:r>
    </w:p>
    <w:p>
      <w:pPr>
        <w:autoSpaceDE w:val="0"/>
        <w:autoSpaceDN w:val="0"/>
        <w:adjustRightInd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1.1.1 合同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eastAsia="宋体" w:cs="宋体"/>
          <w:color w:val="auto"/>
          <w:sz w:val="24"/>
          <w:szCs w:val="24"/>
          <w:highlight w:val="none"/>
        </w:rPr>
        <w:t>及其附件</w:t>
      </w:r>
      <w:r>
        <w:rPr>
          <w:rFonts w:hint="eastAsia" w:ascii="宋体" w:hAnsi="宋体" w:eastAsia="宋体" w:cs="宋体"/>
          <w:color w:val="auto"/>
          <w:kern w:val="0"/>
          <w:sz w:val="24"/>
          <w:szCs w:val="24"/>
          <w:highlight w:val="none"/>
        </w:rPr>
        <w:t>、通用合同条款、技术标准和要求、图纸、已标价工程量清单或预算书以及其他合同文件。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合同协议书：是指构成合同的由发包人和承包人共同签署的称为“合同协议书”的书面文件。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中标通知书：是指构成合同的由发包人通知承包人中标的书面文件。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1.1.1.4 投标函：是指构成合同的由承包人填写并签署的用于投标的称为“投标函”的文件。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1.1.1.5 投标函附录：是指构成合同的附在投标函后的称为“投标函附录”的文件。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1.1.1.6 技术标准和要求：是指构成合同的施工应当遵守的或指导施工的国家、行业或地方的技术标准和要求，以及合同约定的技术标准和要求。</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68" w:firstLineChars="19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68" w:firstLineChars="19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1.1.1.9 预算书：是指构成合同的由承包人按照发包人规定的格式和要求编制的工程预算文件。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1.1.2 合同当事人及其他相关方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1.1.2.1 合同当事人：是指发包人和（或）承包人。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1.1.2.2 发包人：是指与承包人签订合同协议书的当事人及取得该当事人资格的合法继承人。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1.1.2.4 监理人：是指在专用合同条款中指明的，受发包人委托按照法律规定进行工程监督管理的法人或其他组织。</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1.1.2.5 设计人：是指在专用合同条款中指明的，受发包人委托负责工程设计并具备相应工程设计资质的法人或其他组织。</w:t>
      </w:r>
    </w:p>
    <w:p>
      <w:pPr>
        <w:spacing w:line="360" w:lineRule="auto"/>
        <w:ind w:firstLine="468" w:firstLineChars="19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1.1.2.6 分包人：</w:t>
      </w:r>
      <w:bookmarkStart w:id="169" w:name="#go5"/>
      <w:bookmarkEnd w:id="169"/>
      <w:r>
        <w:rPr>
          <w:rFonts w:hint="eastAsia" w:ascii="宋体" w:hAnsi="宋体" w:eastAsia="宋体" w:cs="宋体"/>
          <w:color w:val="auto"/>
          <w:kern w:val="0"/>
          <w:sz w:val="24"/>
          <w:szCs w:val="24"/>
          <w:highlight w:val="none"/>
        </w:rPr>
        <w:t>是指按照法律规定和合同约定，分包部分工程或工作，并与承包人签订分包合同的具有相应资质的法人。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1.1.2.7 发包人代表：是指由发包人任命并派驻施工现场在发包人授权范围内行使发包人权利的人。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1.1.2.8 项目经理：是指由承包人任命并派驻施工现场，在承包人授权范围内负责合同履行，且按照法律规定具有相应资格的项目负责人。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1.1.2.9 总监理工程师：是指由监理人任命并派驻施工现场进行工程监理的总负责人。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工程和设备</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 工程：是指与合同协议书中工程承包范围对应的永久工程和（或）临时工程。</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1.1.3.2 永久工程：是指按合同约定建造并移交给发包人的工程，包括工程设备。</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1.1.3.3 临时工程：是指为完成合同约定的永久工程所修建的各类临时性工程，不包括施工设备。</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1.1.3.4 单位工程：是指在合同协议书中指明的，具备独立施工条件并能形成独立使用功能的永久工程。</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1.1.3.5 工程设备：是指构成永久工程的机电设备、金属结构设备、仪器及其他类似的设备和装置。</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1.1.3.6 施工设备：是指为完成合同约定的各项工作所需的设备、器具和其他物品，但不包括工程设备、临时工程和材料。</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1.1.3.7 施工现场：是指用于工程施工的场所，以及在专用合同条款中指明作为施工场所组成部分的其他场所，包括永久占地和临时占地。</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1.1.3.8临时设施：是指为完成合同约定的各项工作所服务的临时性生产和生活设施。</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永久占地：是指专用合同条款中指明为实施工程需永久占用的土地。</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1.1.3.10 临时占地：是指专用合同条款中指明为实施工程需要临时占用的土地。</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日期和期限</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87" w:firstLineChars="203"/>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1.1.4.3 工期：是指在合同协议书约定的承包人完成工程所需的期限，包括按照合同约定所作的期限变更。</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1.1.4.4 缺陷责任期：是指承包人按照合同约定承担缺陷修复义务，且发包人预留质量保证金的期限，自工程实际竣工日期起计算。</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1.1.4.5 保修期：是指承包人按照合同约定对工程承担保修责任的期限，从工程竣工验收合格之日起计算。</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1.1.4.6 基准日期：招标发包的工程以投标截止日前28天的日期为基准日期，直接发包的工程以合同签订日前28天的日期为基准日期。</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1.1.4.7 天：除特别指明外，均指日历天。合同中按天计算时间的，开始当天不计入，从次日开始计算，期限最后一天的截止时间为当天24:00时。</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 合同价格和费用</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1.1.5.1 签约合同价：是指</w:t>
      </w:r>
      <w:r>
        <w:rPr>
          <w:rFonts w:hint="eastAsia" w:ascii="宋体" w:hAnsi="宋体" w:eastAsia="宋体" w:cs="宋体"/>
          <w:color w:val="auto"/>
          <w:sz w:val="24"/>
          <w:szCs w:val="24"/>
          <w:highlight w:val="none"/>
        </w:rPr>
        <w:t>发包人和承包人在合同协议书中确定的总金额，包括安全文明施工费、暂估价及暂列金额等。</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1.1.5.2 合同价格：是指发包人用于支付承包人按照合同约定完成承包范围内全部工作的金额，包括合同履行过程中按合同约定发生的价格变化。</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1.1.5.3 费用：是指为履行合同所发生的或将要发生的所有必需的开支，包括管理费和应分摊的其他费用，但不包括利润。</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1.1.5.6 计日工：是指合同履行过程中，承包人完成发包人提出的零星工作或需要采用计日工计价的变更工作时，按合同中约定的单价计价的一种方式。</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1.1.5.7 质量保证金</w:t>
      </w:r>
      <w:bookmarkStart w:id="170" w:name="#go2"/>
      <w:bookmarkEnd w:id="170"/>
      <w:r>
        <w:rPr>
          <w:rFonts w:hint="eastAsia" w:ascii="宋体" w:hAnsi="宋体" w:eastAsia="宋体" w:cs="宋体"/>
          <w:color w:val="auto"/>
          <w:kern w:val="0"/>
          <w:sz w:val="24"/>
          <w:szCs w:val="24"/>
          <w:highlight w:val="none"/>
        </w:rPr>
        <w:t>：是指按照第15.3款〔质量保证金〕约定承包人用于保证其在缺陷责任期内履行缺陷修补义务的担保</w:t>
      </w:r>
      <w:r>
        <w:rPr>
          <w:rFonts w:hint="eastAsia" w:ascii="宋体" w:hAnsi="宋体" w:eastAsia="宋体" w:cs="宋体"/>
          <w:color w:val="auto"/>
          <w:sz w:val="24"/>
          <w:szCs w:val="24"/>
          <w:highlight w:val="none"/>
        </w:rPr>
        <w:t>。</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1.1.5.8 总价项目：是指在现行国家、行业以及地方的计量规则中无工程量计算规则，在已标价工程量清单或预算书中以总价或以费率形式计算的项目。</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1.1.6 其他</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1.1.6.1 书面形式：是指合同文件、信函、电报、传真等可以有形地表现所载内容的形式。</w:t>
      </w:r>
    </w:p>
    <w:p>
      <w:pPr>
        <w:pStyle w:val="7"/>
        <w:spacing w:before="120" w:after="12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71" w:name="_Toc296503029"/>
      <w:bookmarkStart w:id="172" w:name="_Toc351203497"/>
      <w:bookmarkStart w:id="173" w:name="_Toc337558729"/>
      <w:bookmarkStart w:id="174" w:name="_Toc296346530"/>
      <w:r>
        <w:rPr>
          <w:rFonts w:hint="eastAsia" w:ascii="宋体" w:hAnsi="宋体" w:eastAsia="宋体" w:cs="宋体"/>
          <w:b w:val="0"/>
          <w:color w:val="auto"/>
          <w:sz w:val="24"/>
          <w:szCs w:val="24"/>
          <w:highlight w:val="none"/>
        </w:rPr>
        <w:t>1.2语言文字</w:t>
      </w:r>
      <w:bookmarkEnd w:id="171"/>
      <w:bookmarkEnd w:id="172"/>
      <w:bookmarkEnd w:id="173"/>
      <w:bookmarkEnd w:id="174"/>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合同以中国的汉语简体文字编写、解释和说明。合同当事人在专用合同条款中约定使用两种以上语言时，汉语为优先解释和说明合同的语言。</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175" w:name="_Toc296503030"/>
      <w:bookmarkStart w:id="176" w:name="_Toc351203498"/>
      <w:bookmarkStart w:id="177" w:name="_Toc337558730"/>
      <w:bookmarkStart w:id="178" w:name="_Toc296346531"/>
      <w:r>
        <w:rPr>
          <w:rFonts w:hint="eastAsia" w:ascii="宋体" w:hAnsi="宋体" w:eastAsia="宋体" w:cs="宋体"/>
          <w:b w:val="0"/>
          <w:color w:val="auto"/>
          <w:sz w:val="24"/>
          <w:szCs w:val="24"/>
          <w:highlight w:val="none"/>
        </w:rPr>
        <w:t>1.3法律</w:t>
      </w:r>
      <w:bookmarkEnd w:id="175"/>
      <w:bookmarkEnd w:id="176"/>
      <w:bookmarkEnd w:id="177"/>
      <w:bookmarkEnd w:id="178"/>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合同当事人可以在专用合同条款中约定合同适用的其他规范性文件。</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179" w:name="_Toc351203499"/>
      <w:r>
        <w:rPr>
          <w:rFonts w:hint="eastAsia" w:ascii="宋体" w:hAnsi="宋体" w:eastAsia="宋体" w:cs="宋体"/>
          <w:b w:val="0"/>
          <w:color w:val="auto"/>
          <w:sz w:val="24"/>
          <w:szCs w:val="24"/>
          <w:highlight w:val="none"/>
        </w:rPr>
        <w:t>1.4 标准和规范</w:t>
      </w:r>
      <w:bookmarkEnd w:id="179"/>
    </w:p>
    <w:p>
      <w:pPr>
        <w:autoSpaceDE w:val="0"/>
        <w:autoSpaceDN w:val="0"/>
        <w:adjustRightInd w:val="0"/>
        <w:spacing w:line="360" w:lineRule="auto"/>
        <w:ind w:firstLine="64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180" w:name="_Toc351203500"/>
      <w:r>
        <w:rPr>
          <w:rFonts w:hint="eastAsia" w:ascii="宋体" w:hAnsi="宋体" w:eastAsia="宋体" w:cs="宋体"/>
          <w:b w:val="0"/>
          <w:color w:val="auto"/>
          <w:sz w:val="24"/>
          <w:szCs w:val="24"/>
          <w:highlight w:val="none"/>
        </w:rPr>
        <w:t>1</w:t>
      </w:r>
      <w:bookmarkStart w:id="181" w:name="_Toc296346532"/>
      <w:bookmarkStart w:id="182" w:name="_Toc337558731"/>
      <w:bookmarkStart w:id="183" w:name="_Toc296503031"/>
      <w:r>
        <w:rPr>
          <w:rFonts w:hint="eastAsia" w:ascii="宋体" w:hAnsi="宋体" w:eastAsia="宋体" w:cs="宋体"/>
          <w:b w:val="0"/>
          <w:color w:val="auto"/>
          <w:sz w:val="24"/>
          <w:szCs w:val="24"/>
          <w:highlight w:val="none"/>
        </w:rPr>
        <w:t>.5 合同文件的优先顺序</w:t>
      </w:r>
      <w:bookmarkEnd w:id="180"/>
      <w:bookmarkEnd w:id="181"/>
      <w:bookmarkEnd w:id="182"/>
      <w:bookmarkEnd w:id="183"/>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组成合同的各项文件应互相解释，互为说明。除专用合同条款另有约定外，解释合同文件的优先顺序如下：</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（1）合同协议书；</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（2）中标通知书（如有）；</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（3）投标函及其附录（如有）；</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（4）专用合同条款</w:t>
      </w:r>
      <w:r>
        <w:rPr>
          <w:rFonts w:hint="eastAsia" w:ascii="宋体" w:hAnsi="宋体" w:eastAsia="宋体" w:cs="宋体"/>
          <w:color w:val="auto"/>
          <w:sz w:val="24"/>
          <w:szCs w:val="24"/>
          <w:highlight w:val="none"/>
        </w:rPr>
        <w:t>及其附件</w:t>
      </w:r>
      <w:r>
        <w:rPr>
          <w:rFonts w:hint="eastAsia" w:ascii="宋体" w:hAnsi="宋体" w:eastAsia="宋体" w:cs="宋体"/>
          <w:color w:val="auto"/>
          <w:kern w:val="0"/>
          <w:sz w:val="24"/>
          <w:szCs w:val="24"/>
          <w:highlight w:val="none"/>
        </w:rPr>
        <w:t>；</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（5）通用合同条款；</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（6）技术标准和要求；</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（7）图纸；</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（8）已标价工程量清单或预算书；</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（9）其他合同文件。</w:t>
      </w:r>
    </w:p>
    <w:p>
      <w:pPr>
        <w:spacing w:line="360" w:lineRule="auto"/>
        <w:ind w:firstLine="511" w:firstLineChars="21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spacing w:line="360" w:lineRule="auto"/>
        <w:ind w:firstLine="511" w:firstLineChars="21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在合同订立及履行过程中形成的与合同有关的文件均构成合同文件组成部分，并根据其性质确定优先解释顺序。</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184" w:name="_Toc351203501"/>
      <w:r>
        <w:rPr>
          <w:rFonts w:hint="eastAsia" w:ascii="宋体" w:hAnsi="宋体" w:eastAsia="宋体" w:cs="宋体"/>
          <w:b w:val="0"/>
          <w:color w:val="auto"/>
          <w:sz w:val="24"/>
          <w:szCs w:val="24"/>
          <w:highlight w:val="none"/>
        </w:rPr>
        <w:t>1</w:t>
      </w:r>
      <w:bookmarkStart w:id="185" w:name="_Toc296346533"/>
      <w:bookmarkStart w:id="186" w:name="_Toc337558732"/>
      <w:bookmarkStart w:id="187" w:name="_Toc296503032"/>
      <w:r>
        <w:rPr>
          <w:rFonts w:hint="eastAsia" w:ascii="宋体" w:hAnsi="宋体" w:eastAsia="宋体" w:cs="宋体"/>
          <w:b w:val="0"/>
          <w:color w:val="auto"/>
          <w:sz w:val="24"/>
          <w:szCs w:val="24"/>
          <w:highlight w:val="none"/>
        </w:rPr>
        <w:t>.6图纸和承包人文件</w:t>
      </w:r>
      <w:bookmarkEnd w:id="184"/>
      <w:bookmarkEnd w:id="185"/>
      <w:bookmarkEnd w:id="186"/>
      <w:bookmarkEnd w:id="187"/>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 图纸的提供和交底</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因发包人未按合同约定提供图纸导致承包人费用增加和（或）工期延误的，按照第7.5.1项〔因发包人原因导致工期延误〕约定办理。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图纸的错误</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 图纸的修改和补充</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 承包人文件</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1.6.5 图纸和承包人文件的保管</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除专用合同条款另有约定外，承包人应在施工现场另外保存一套完整的图纸和承包人文件，供发包人、监理人及有关人员进行工程检查时使用。</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188" w:name="_Toc351203502"/>
      <w:r>
        <w:rPr>
          <w:rFonts w:hint="eastAsia" w:ascii="宋体" w:hAnsi="宋体" w:eastAsia="宋体" w:cs="宋体"/>
          <w:b w:val="0"/>
          <w:color w:val="auto"/>
          <w:sz w:val="24"/>
          <w:szCs w:val="24"/>
          <w:highlight w:val="none"/>
        </w:rPr>
        <w:t>1</w:t>
      </w:r>
      <w:bookmarkStart w:id="189" w:name="_Toc296346534"/>
      <w:bookmarkStart w:id="190" w:name="_Toc337558733"/>
      <w:bookmarkStart w:id="191" w:name="_Toc296503033"/>
      <w:r>
        <w:rPr>
          <w:rFonts w:hint="eastAsia" w:ascii="宋体" w:hAnsi="宋体" w:eastAsia="宋体" w:cs="宋体"/>
          <w:b w:val="0"/>
          <w:color w:val="auto"/>
          <w:sz w:val="24"/>
          <w:szCs w:val="24"/>
          <w:highlight w:val="none"/>
        </w:rPr>
        <w:t>.7联络</w:t>
      </w:r>
      <w:bookmarkEnd w:id="188"/>
      <w:bookmarkEnd w:id="189"/>
      <w:bookmarkEnd w:id="190"/>
      <w:bookmarkEnd w:id="191"/>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r>
        <w:rPr>
          <w:rFonts w:ascii="宋体" w:hAnsi="宋体" w:eastAsia="宋体" w:cs="宋体"/>
          <w:color w:val="auto"/>
          <w:kern w:val="0"/>
          <w:sz w:val="24"/>
          <w:szCs w:val="24"/>
          <w:highlight w:val="none"/>
        </w:rPr>
        <w:t>，因未及时通知导致他方损失的，应负赔偿责任。</w:t>
      </w:r>
      <w:r>
        <w:rPr>
          <w:rFonts w:hint="eastAsia" w:ascii="宋体" w:hAnsi="宋体" w:eastAsia="宋体" w:cs="宋体"/>
          <w:color w:val="auto"/>
          <w:kern w:val="0"/>
          <w:sz w:val="24"/>
          <w:szCs w:val="24"/>
          <w:highlight w:val="none"/>
        </w:rPr>
        <w:t>。</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192" w:name="_Toc351203503"/>
      <w:r>
        <w:rPr>
          <w:rFonts w:hint="eastAsia" w:ascii="宋体" w:hAnsi="宋体" w:eastAsia="宋体" w:cs="宋体"/>
          <w:b w:val="0"/>
          <w:color w:val="auto"/>
          <w:sz w:val="24"/>
          <w:szCs w:val="24"/>
          <w:highlight w:val="none"/>
        </w:rPr>
        <w:t>1</w:t>
      </w:r>
      <w:bookmarkStart w:id="193" w:name="_Toc296503035"/>
      <w:bookmarkStart w:id="194" w:name="_Toc296346536"/>
      <w:bookmarkStart w:id="195" w:name="_Toc337558734"/>
      <w:r>
        <w:rPr>
          <w:rFonts w:hint="eastAsia" w:ascii="宋体" w:hAnsi="宋体" w:eastAsia="宋体" w:cs="宋体"/>
          <w:b w:val="0"/>
          <w:color w:val="auto"/>
          <w:sz w:val="24"/>
          <w:szCs w:val="24"/>
          <w:highlight w:val="none"/>
        </w:rPr>
        <w:t>.8严禁贿赂</w:t>
      </w:r>
      <w:bookmarkEnd w:id="192"/>
      <w:bookmarkEnd w:id="193"/>
      <w:bookmarkEnd w:id="194"/>
      <w:bookmarkEnd w:id="195"/>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196" w:name="_Toc351203504"/>
      <w:r>
        <w:rPr>
          <w:rFonts w:hint="eastAsia" w:ascii="宋体" w:hAnsi="宋体" w:eastAsia="宋体" w:cs="宋体"/>
          <w:b w:val="0"/>
          <w:color w:val="auto"/>
          <w:sz w:val="24"/>
          <w:szCs w:val="24"/>
          <w:highlight w:val="none"/>
        </w:rPr>
        <w:t>1</w:t>
      </w:r>
      <w:bookmarkStart w:id="197" w:name="_Toc296346537"/>
      <w:bookmarkStart w:id="198" w:name="_Toc337558735"/>
      <w:bookmarkStart w:id="199" w:name="_Toc296503036"/>
      <w:r>
        <w:rPr>
          <w:rFonts w:hint="eastAsia" w:ascii="宋体" w:hAnsi="宋体" w:eastAsia="宋体" w:cs="宋体"/>
          <w:b w:val="0"/>
          <w:color w:val="auto"/>
          <w:sz w:val="24"/>
          <w:szCs w:val="24"/>
          <w:highlight w:val="none"/>
        </w:rPr>
        <w:t>.9化石、文物</w:t>
      </w:r>
      <w:bookmarkEnd w:id="196"/>
      <w:bookmarkEnd w:id="197"/>
      <w:bookmarkEnd w:id="198"/>
      <w:bookmarkEnd w:id="199"/>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承包人发现文物后不及时报告或隐瞒不报，致使文物丢失或损坏的，应赔偿损失，并承担相应的法律责任。</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00" w:name="_Toc351203505"/>
      <w:r>
        <w:rPr>
          <w:rFonts w:hint="eastAsia" w:ascii="宋体" w:hAnsi="宋体" w:eastAsia="宋体" w:cs="宋体"/>
          <w:b w:val="0"/>
          <w:color w:val="auto"/>
          <w:sz w:val="24"/>
          <w:szCs w:val="24"/>
          <w:highlight w:val="none"/>
        </w:rPr>
        <w:t>1</w:t>
      </w:r>
      <w:bookmarkStart w:id="201" w:name="_Toc337558736"/>
      <w:r>
        <w:rPr>
          <w:rFonts w:hint="eastAsia" w:ascii="宋体" w:hAnsi="宋体" w:eastAsia="宋体" w:cs="宋体"/>
          <w:b w:val="0"/>
          <w:color w:val="auto"/>
          <w:sz w:val="24"/>
          <w:szCs w:val="24"/>
          <w:highlight w:val="none"/>
        </w:rPr>
        <w:t>.10交通运输</w:t>
      </w:r>
      <w:bookmarkEnd w:id="200"/>
      <w:bookmarkEnd w:id="201"/>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1.10.1 出入现场的权利</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1.10.2 场外交通</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1.10.3场内交通</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发包人应提供场内交通设施的技术参数和具体条件，并应按照专用合同条款的约定向承包人免费提供满足工程施工所需的场内道路和交通设施。因承包人</w:t>
      </w:r>
      <w:r>
        <w:rPr>
          <w:rFonts w:ascii="宋体" w:hAnsi="宋体" w:eastAsia="宋体" w:cs="宋体"/>
          <w:color w:val="auto"/>
          <w:kern w:val="0"/>
          <w:sz w:val="24"/>
          <w:szCs w:val="24"/>
          <w:highlight w:val="none"/>
        </w:rPr>
        <w:t>使用、管理不当等</w:t>
      </w:r>
      <w:r>
        <w:rPr>
          <w:rFonts w:hint="eastAsia" w:ascii="宋体" w:hAnsi="宋体" w:eastAsia="宋体" w:cs="宋体"/>
          <w:color w:val="auto"/>
          <w:kern w:val="0"/>
          <w:sz w:val="24"/>
          <w:szCs w:val="24"/>
          <w:highlight w:val="none"/>
        </w:rPr>
        <w:t>原因造成上述道路或交通设施损坏的，承包人负责修复并承担由此增加的费用。</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场外交通和场内交通的边界由合同当事人在专用合同条款中约定。</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1.10.4 超大件和超重件的运输</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1.10.5 道路和桥梁的损坏责任</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因承包人运输造成施工场地内外公共道路和桥梁损坏的，由承包人承担修复损坏的全部费用和可能引起的赔偿。</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1.10.6 水路和航空运输</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02" w:name="_Toc351203506"/>
      <w:r>
        <w:rPr>
          <w:rFonts w:hint="eastAsia" w:ascii="宋体" w:hAnsi="宋体" w:eastAsia="宋体" w:cs="宋体"/>
          <w:b w:val="0"/>
          <w:color w:val="auto"/>
          <w:sz w:val="24"/>
          <w:szCs w:val="24"/>
          <w:highlight w:val="none"/>
        </w:rPr>
        <w:t>1</w:t>
      </w:r>
      <w:bookmarkStart w:id="203" w:name="_Toc296503037"/>
      <w:bookmarkStart w:id="204" w:name="_Toc296346538"/>
      <w:bookmarkStart w:id="205" w:name="_Toc337558737"/>
      <w:r>
        <w:rPr>
          <w:rFonts w:hint="eastAsia" w:ascii="宋体" w:hAnsi="宋体" w:eastAsia="宋体" w:cs="宋体"/>
          <w:b w:val="0"/>
          <w:color w:val="auto"/>
          <w:sz w:val="24"/>
          <w:szCs w:val="24"/>
          <w:highlight w:val="none"/>
        </w:rPr>
        <w:t>.11知识产权</w:t>
      </w:r>
      <w:bookmarkEnd w:id="202"/>
      <w:r>
        <w:rPr>
          <w:rFonts w:hint="eastAsia" w:ascii="宋体" w:hAnsi="宋体" w:eastAsia="宋体" w:cs="宋体"/>
          <w:b w:val="0"/>
          <w:color w:val="auto"/>
          <w:sz w:val="24"/>
          <w:szCs w:val="24"/>
          <w:highlight w:val="none"/>
        </w:rPr>
        <w:t xml:space="preserve"> </w:t>
      </w:r>
      <w:bookmarkEnd w:id="203"/>
      <w:bookmarkEnd w:id="204"/>
      <w:bookmarkEnd w:id="205"/>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1.11.4 除专用合同条款另有约定外，承包人在合同签订前和签订时已确定采用的专利、专有技术、技术秘密的使用费已包含在签约合同价中。</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06" w:name="_Toc351203507"/>
      <w:r>
        <w:rPr>
          <w:rFonts w:hint="eastAsia" w:ascii="宋体" w:hAnsi="宋体" w:eastAsia="宋体" w:cs="宋体"/>
          <w:b w:val="0"/>
          <w:color w:val="auto"/>
          <w:sz w:val="24"/>
          <w:szCs w:val="24"/>
          <w:highlight w:val="none"/>
        </w:rPr>
        <w:t>1</w:t>
      </w:r>
      <w:bookmarkStart w:id="207" w:name="_Toc337558738"/>
      <w:r>
        <w:rPr>
          <w:rFonts w:hint="eastAsia" w:ascii="宋体" w:hAnsi="宋体" w:eastAsia="宋体" w:cs="宋体"/>
          <w:b w:val="0"/>
          <w:color w:val="auto"/>
          <w:sz w:val="24"/>
          <w:szCs w:val="24"/>
          <w:highlight w:val="none"/>
        </w:rPr>
        <w:t>.12保密</w:t>
      </w:r>
      <w:bookmarkEnd w:id="206"/>
      <w:bookmarkEnd w:id="207"/>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除法律规定或合同另有约定外，未经发包人同意，承包人不得将发包人提供的</w:t>
      </w:r>
      <w:r>
        <w:rPr>
          <w:rFonts w:ascii="宋体" w:hAnsi="宋体" w:eastAsia="宋体" w:cs="宋体"/>
          <w:color w:val="auto"/>
          <w:kern w:val="0"/>
          <w:sz w:val="24"/>
          <w:szCs w:val="24"/>
          <w:highlight w:val="none"/>
        </w:rPr>
        <w:t>所有</w:t>
      </w:r>
      <w:r>
        <w:rPr>
          <w:rFonts w:hint="eastAsia" w:ascii="宋体" w:hAnsi="宋体" w:eastAsia="宋体" w:cs="宋体"/>
          <w:color w:val="auto"/>
          <w:kern w:val="0"/>
          <w:sz w:val="24"/>
          <w:szCs w:val="24"/>
          <w:highlight w:val="none"/>
        </w:rPr>
        <w:t>图纸、文件以及声明需要保密的资料信息等商业秘密泄露给第三方。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除法律规定或合同另有约定外，未经承包人同意，发包人不得将承包人提供的技术秘密及声明需要保密的资料信息等商业秘密泄露给第三方。</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08" w:name="_Toc351203508"/>
      <w:r>
        <w:rPr>
          <w:rFonts w:hint="eastAsia" w:ascii="宋体" w:hAnsi="宋体" w:eastAsia="宋体" w:cs="宋体"/>
          <w:b w:val="0"/>
          <w:color w:val="auto"/>
          <w:sz w:val="24"/>
          <w:szCs w:val="24"/>
          <w:highlight w:val="none"/>
        </w:rPr>
        <w:t>1.13工程量清单错误的修正</w:t>
      </w:r>
      <w:bookmarkEnd w:id="208"/>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（1）工程量清单存在缺项、漏项的；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（2）工程量清单偏差超出专用合同条款约定的工程量偏差范围的；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（3）未按照国家现行计量规范强制性规定计量的。</w:t>
      </w:r>
    </w:p>
    <w:p>
      <w:pPr>
        <w:pStyle w:val="6"/>
        <w:spacing w:before="120" w:after="120" w:line="360" w:lineRule="auto"/>
        <w:rPr>
          <w:rFonts w:ascii="宋体" w:hAnsi="宋体" w:eastAsia="宋体" w:cs="宋体"/>
          <w:b w:val="0"/>
          <w:color w:val="auto"/>
          <w:sz w:val="24"/>
          <w:szCs w:val="24"/>
          <w:highlight w:val="none"/>
        </w:rPr>
      </w:pPr>
      <w:bookmarkStart w:id="209" w:name="_Toc351203509"/>
      <w:r>
        <w:rPr>
          <w:rFonts w:hint="eastAsia" w:ascii="宋体" w:hAnsi="宋体" w:eastAsia="宋体" w:cs="宋体"/>
          <w:b w:val="0"/>
          <w:color w:val="auto"/>
          <w:sz w:val="24"/>
          <w:szCs w:val="24"/>
          <w:highlight w:val="none"/>
        </w:rPr>
        <w:t>2</w:t>
      </w:r>
      <w:bookmarkStart w:id="210" w:name="_Toc337558739"/>
      <w:bookmarkStart w:id="211" w:name="_Toc296346539"/>
      <w:bookmarkStart w:id="212" w:name="_Toc296503038"/>
      <w:bookmarkStart w:id="213" w:name="OLE_LINK1"/>
      <w:bookmarkStart w:id="214" w:name="OLE_LINK2"/>
      <w:r>
        <w:rPr>
          <w:rFonts w:hint="eastAsia" w:ascii="宋体" w:hAnsi="宋体" w:eastAsia="宋体" w:cs="宋体"/>
          <w:b w:val="0"/>
          <w:color w:val="auto"/>
          <w:sz w:val="24"/>
          <w:szCs w:val="24"/>
          <w:highlight w:val="none"/>
        </w:rPr>
        <w:t>. 发包人</w:t>
      </w:r>
      <w:bookmarkEnd w:id="209"/>
      <w:bookmarkEnd w:id="210"/>
      <w:bookmarkEnd w:id="211"/>
      <w:bookmarkEnd w:id="212"/>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15" w:name="_Toc351203510"/>
      <w:r>
        <w:rPr>
          <w:rFonts w:hint="eastAsia" w:ascii="宋体" w:hAnsi="宋体" w:eastAsia="宋体" w:cs="宋体"/>
          <w:b w:val="0"/>
          <w:color w:val="auto"/>
          <w:sz w:val="24"/>
          <w:szCs w:val="24"/>
          <w:highlight w:val="none"/>
        </w:rPr>
        <w:t>2</w:t>
      </w:r>
      <w:bookmarkStart w:id="216" w:name="_Toc296503039"/>
      <w:bookmarkStart w:id="217" w:name="_Toc296346540"/>
      <w:bookmarkStart w:id="218" w:name="_Toc337558740"/>
      <w:r>
        <w:rPr>
          <w:rFonts w:hint="eastAsia" w:ascii="宋体" w:hAnsi="宋体" w:eastAsia="宋体" w:cs="宋体"/>
          <w:b w:val="0"/>
          <w:color w:val="auto"/>
          <w:sz w:val="24"/>
          <w:szCs w:val="24"/>
          <w:highlight w:val="none"/>
        </w:rPr>
        <w:t>.1 许可或批准</w:t>
      </w:r>
      <w:bookmarkEnd w:id="215"/>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因发包人原因未能及时办理完毕前述许可、批准或备案，由发包人承担由此增加的费用和（或）延误的工期，并支付承包人合理的利润。</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19" w:name="_Toc351203511"/>
      <w:r>
        <w:rPr>
          <w:rFonts w:hint="eastAsia" w:ascii="宋体" w:hAnsi="宋体" w:eastAsia="宋体" w:cs="宋体"/>
          <w:b w:val="0"/>
          <w:color w:val="auto"/>
          <w:sz w:val="24"/>
          <w:szCs w:val="24"/>
          <w:highlight w:val="none"/>
        </w:rPr>
        <w:t>2.2 发包人代表</w:t>
      </w:r>
      <w:bookmarkEnd w:id="219"/>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发包人代表不能按照合同约定履行其职责及义务，并导致合同无法继续正常履行的，承包人可以要求发包人撤换发包人代表</w:t>
      </w:r>
      <w:r>
        <w:rPr>
          <w:rFonts w:ascii="宋体" w:hAnsi="宋体" w:eastAsia="宋体" w:cs="宋体"/>
          <w:color w:val="auto"/>
          <w:kern w:val="0"/>
          <w:sz w:val="24"/>
          <w:szCs w:val="24"/>
          <w:highlight w:val="none"/>
        </w:rPr>
        <w:t>，经发包人核实后，视情况决定是否进行更换发包人代表</w:t>
      </w:r>
      <w:r>
        <w:rPr>
          <w:rFonts w:hint="eastAsia" w:ascii="宋体" w:hAnsi="宋体" w:eastAsia="宋体" w:cs="宋体"/>
          <w:color w:val="auto"/>
          <w:kern w:val="0"/>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不属于法定必须监理的工程，监理人的职权可以由发包人代表或发包人指定的其他人员行使。</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20" w:name="_Toc351203512"/>
      <w:r>
        <w:rPr>
          <w:rFonts w:hint="eastAsia" w:ascii="宋体" w:hAnsi="宋体" w:eastAsia="宋体" w:cs="宋体"/>
          <w:b w:val="0"/>
          <w:color w:val="auto"/>
          <w:sz w:val="24"/>
          <w:szCs w:val="24"/>
          <w:highlight w:val="none"/>
        </w:rPr>
        <w:t>2.3 发包人人员</w:t>
      </w:r>
      <w:bookmarkEnd w:id="220"/>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发包人人员包括发包人代表及其他由发包人派驻施工现场的人员。</w:t>
      </w:r>
      <w:bookmarkEnd w:id="216"/>
      <w:bookmarkEnd w:id="217"/>
      <w:bookmarkEnd w:id="218"/>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21" w:name="_Toc351203513"/>
      <w:r>
        <w:rPr>
          <w:rFonts w:hint="eastAsia" w:ascii="宋体" w:hAnsi="宋体" w:eastAsia="宋体" w:cs="宋体"/>
          <w:b w:val="0"/>
          <w:color w:val="auto"/>
          <w:sz w:val="24"/>
          <w:szCs w:val="24"/>
          <w:highlight w:val="none"/>
        </w:rPr>
        <w:t>2</w:t>
      </w:r>
      <w:bookmarkStart w:id="222" w:name="_Toc296503040"/>
      <w:bookmarkStart w:id="223" w:name="_Toc337558741"/>
      <w:bookmarkStart w:id="224" w:name="_Toc296346541"/>
      <w:r>
        <w:rPr>
          <w:rFonts w:hint="eastAsia" w:ascii="宋体" w:hAnsi="宋体" w:eastAsia="宋体" w:cs="宋体"/>
          <w:b w:val="0"/>
          <w:color w:val="auto"/>
          <w:sz w:val="24"/>
          <w:szCs w:val="24"/>
          <w:highlight w:val="none"/>
        </w:rPr>
        <w:t>.4 施工现场、施工条件和基础资料的提供</w:t>
      </w:r>
      <w:bookmarkEnd w:id="221"/>
      <w:r>
        <w:rPr>
          <w:rFonts w:hint="eastAsia" w:ascii="宋体" w:hAnsi="宋体" w:eastAsia="宋体" w:cs="宋体"/>
          <w:b w:val="0"/>
          <w:color w:val="auto"/>
          <w:sz w:val="24"/>
          <w:szCs w:val="24"/>
          <w:highlight w:val="none"/>
        </w:rPr>
        <w:t xml:space="preserve"> </w:t>
      </w:r>
      <w:bookmarkEnd w:id="222"/>
      <w:bookmarkEnd w:id="223"/>
      <w:bookmarkEnd w:id="224"/>
      <w:r>
        <w:rPr>
          <w:rFonts w:hint="eastAsia" w:ascii="宋体" w:hAnsi="宋体" w:eastAsia="宋体" w:cs="宋体"/>
          <w:b w:val="0"/>
          <w:color w:val="auto"/>
          <w:sz w:val="24"/>
          <w:szCs w:val="24"/>
          <w:highlight w:val="none"/>
        </w:rPr>
        <w:t xml:space="preserve"> </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 提供施工现场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w:t>
      </w:r>
      <w:bookmarkEnd w:id="213"/>
      <w:bookmarkEnd w:id="214"/>
      <w:r>
        <w:rPr>
          <w:rFonts w:hint="eastAsia" w:ascii="宋体" w:hAnsi="宋体" w:eastAsia="宋体" w:cs="宋体"/>
          <w:color w:val="auto"/>
          <w:kern w:val="0"/>
          <w:sz w:val="24"/>
          <w:szCs w:val="24"/>
          <w:highlight w:val="none"/>
        </w:rPr>
        <w:t>专用合同条款另有约定外，发包人应最迟于开工日期7天前向承包人移交施工现场。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 提供施工条件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除专用合同条款另有约定外，发包人应负责提供施工所需要的条件，包括：</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（1）将施工用水、电力、通讯线路等施工所必需的条件接至施工现场内；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（2）保证向承包人提供正常施工所需要的进入施工现场的交通条件；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（3）协调处理施工现场周围地下管线和邻近建筑物、构筑物、古树名木的保护工作，并承担相关费用；</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（4）按照专用合同条款约定应提供的其他设施和条件。</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2.4.3 提供基础资料</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 逾期提供的责任</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因发包人原因未能按合同约定及时向承包人提供施工现场、施工条件、基础资料的，由发包人承担由此增加的</w:t>
      </w:r>
      <w:r>
        <w:rPr>
          <w:rFonts w:ascii="宋体" w:hAnsi="宋体" w:eastAsia="宋体" w:cs="宋体"/>
          <w:color w:val="auto"/>
          <w:kern w:val="0"/>
          <w:sz w:val="24"/>
          <w:szCs w:val="24"/>
          <w:highlight w:val="none"/>
        </w:rPr>
        <w:t>合理</w:t>
      </w:r>
      <w:r>
        <w:rPr>
          <w:rFonts w:hint="eastAsia" w:ascii="宋体" w:hAnsi="宋体" w:eastAsia="宋体" w:cs="宋体"/>
          <w:color w:val="auto"/>
          <w:kern w:val="0"/>
          <w:sz w:val="24"/>
          <w:szCs w:val="24"/>
          <w:highlight w:val="none"/>
        </w:rPr>
        <w:t>费用和（或）延误的工期。</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25" w:name="_Toc351203514"/>
      <w:r>
        <w:rPr>
          <w:rFonts w:hint="eastAsia" w:ascii="宋体" w:hAnsi="宋体" w:eastAsia="宋体" w:cs="宋体"/>
          <w:b w:val="0"/>
          <w:color w:val="auto"/>
          <w:sz w:val="24"/>
          <w:szCs w:val="24"/>
          <w:highlight w:val="none"/>
        </w:rPr>
        <w:t>2.5 支付担保</w:t>
      </w:r>
      <w:bookmarkEnd w:id="225"/>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26" w:name="_Toc351203515"/>
      <w:r>
        <w:rPr>
          <w:rFonts w:hint="eastAsia" w:ascii="宋体" w:hAnsi="宋体" w:eastAsia="宋体" w:cs="宋体"/>
          <w:b w:val="0"/>
          <w:color w:val="auto"/>
          <w:sz w:val="24"/>
          <w:szCs w:val="24"/>
          <w:highlight w:val="none"/>
        </w:rPr>
        <w:t>2.6 支付合同价款</w:t>
      </w:r>
      <w:bookmarkEnd w:id="226"/>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发包人应按合同约定向承包人及时支付合同价款。</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27" w:name="_Toc351203516"/>
      <w:r>
        <w:rPr>
          <w:rFonts w:hint="eastAsia" w:ascii="宋体" w:hAnsi="宋体" w:eastAsia="宋体" w:cs="宋体"/>
          <w:b w:val="0"/>
          <w:color w:val="auto"/>
          <w:sz w:val="24"/>
          <w:szCs w:val="24"/>
          <w:highlight w:val="none"/>
        </w:rPr>
        <w:t>2.7 组织竣工验收</w:t>
      </w:r>
      <w:bookmarkEnd w:id="227"/>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发包人应按合同约定及时组织竣工验收。</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28" w:name="_Toc351203517"/>
      <w:r>
        <w:rPr>
          <w:rFonts w:hint="eastAsia" w:ascii="宋体" w:hAnsi="宋体" w:eastAsia="宋体" w:cs="宋体"/>
          <w:b w:val="0"/>
          <w:color w:val="auto"/>
          <w:sz w:val="24"/>
          <w:szCs w:val="24"/>
          <w:highlight w:val="none"/>
        </w:rPr>
        <w:t>2.8 现场统一管理协议</w:t>
      </w:r>
      <w:bookmarkEnd w:id="228"/>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pPr>
        <w:pStyle w:val="6"/>
        <w:spacing w:before="120" w:after="120" w:line="360" w:lineRule="auto"/>
        <w:rPr>
          <w:rFonts w:ascii="宋体" w:hAnsi="宋体" w:eastAsia="宋体" w:cs="宋体"/>
          <w:b w:val="0"/>
          <w:color w:val="auto"/>
          <w:sz w:val="24"/>
          <w:szCs w:val="24"/>
          <w:highlight w:val="none"/>
        </w:rPr>
      </w:pPr>
      <w:bookmarkStart w:id="229" w:name="_Toc351203518"/>
      <w:r>
        <w:rPr>
          <w:rFonts w:hint="eastAsia" w:ascii="宋体" w:hAnsi="宋体" w:eastAsia="宋体" w:cs="宋体"/>
          <w:b w:val="0"/>
          <w:color w:val="auto"/>
          <w:sz w:val="24"/>
          <w:szCs w:val="24"/>
          <w:highlight w:val="none"/>
        </w:rPr>
        <w:t>3</w:t>
      </w:r>
      <w:bookmarkStart w:id="230" w:name="_Toc337558746"/>
      <w:bookmarkStart w:id="231" w:name="_Toc296503045"/>
      <w:bookmarkStart w:id="232" w:name="_Toc296346546"/>
      <w:r>
        <w:rPr>
          <w:rFonts w:hint="eastAsia" w:ascii="宋体" w:hAnsi="宋体" w:eastAsia="宋体" w:cs="宋体"/>
          <w:b w:val="0"/>
          <w:color w:val="auto"/>
          <w:sz w:val="24"/>
          <w:szCs w:val="24"/>
          <w:highlight w:val="none"/>
        </w:rPr>
        <w:t>. 承包人</w:t>
      </w:r>
      <w:bookmarkEnd w:id="229"/>
      <w:bookmarkEnd w:id="230"/>
      <w:bookmarkEnd w:id="231"/>
      <w:bookmarkEnd w:id="232"/>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33" w:name="_Toc351203519"/>
      <w:r>
        <w:rPr>
          <w:rFonts w:hint="eastAsia" w:ascii="宋体" w:hAnsi="宋体" w:eastAsia="宋体" w:cs="宋体"/>
          <w:b w:val="0"/>
          <w:color w:val="auto"/>
          <w:sz w:val="24"/>
          <w:szCs w:val="24"/>
          <w:highlight w:val="none"/>
        </w:rPr>
        <w:t>3</w:t>
      </w:r>
      <w:bookmarkStart w:id="234" w:name="_Toc296346547"/>
      <w:bookmarkStart w:id="235" w:name="_Toc296503046"/>
      <w:bookmarkStart w:id="236" w:name="_Toc337558747"/>
      <w:r>
        <w:rPr>
          <w:rFonts w:hint="eastAsia" w:ascii="宋体" w:hAnsi="宋体" w:eastAsia="宋体" w:cs="宋体"/>
          <w:b w:val="0"/>
          <w:color w:val="auto"/>
          <w:sz w:val="24"/>
          <w:szCs w:val="24"/>
          <w:highlight w:val="none"/>
        </w:rPr>
        <w:t>.1 承包人的一般义务</w:t>
      </w:r>
      <w:bookmarkEnd w:id="233"/>
      <w:bookmarkEnd w:id="234"/>
      <w:bookmarkEnd w:id="235"/>
      <w:bookmarkEnd w:id="236"/>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承包人在履行合同过程中应遵守法律和工程建设标准规范，并履行以下义务：</w:t>
      </w:r>
    </w:p>
    <w:p>
      <w:pPr>
        <w:numPr>
          <w:ilvl w:val="0"/>
          <w:numId w:val="12"/>
        </w:num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办理法律规定应由承包人办理的许可和批准，并将办理结果书面报送发包人留存；</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（2）按法律规定和合同约定完成工程，并在保修期内承担保修义务；</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（3）按法律规定和合同约定采取施工安全和环境保护措施，办理工伤保险，确保工程及人员、材料、设备和设施的安全；</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（6）按照第6.3款〔环境保护〕约定负责施工场地及其周边环境与生态的保护工作；</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（7）按第6.1款〔安全文明施工〕约定采取施工安全措施，确保工程及其人员、材料、设备和设施的安全，防止因工程施工造成的人身伤害和财产损失；</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（8）将发包人按合同约定支付的各项价款专用于合同工程，且应及时支付其雇用人员工资，并及时向分包人支付合同价款；</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（10）应履行的其他义务。</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37" w:name="_Toc351203520"/>
      <w:r>
        <w:rPr>
          <w:rFonts w:hint="eastAsia" w:ascii="宋体" w:hAnsi="宋体" w:eastAsia="宋体" w:cs="宋体"/>
          <w:b w:val="0"/>
          <w:color w:val="auto"/>
          <w:sz w:val="24"/>
          <w:szCs w:val="24"/>
          <w:highlight w:val="none"/>
        </w:rPr>
        <w:t>3</w:t>
      </w:r>
      <w:bookmarkStart w:id="238" w:name="_Toc296503047"/>
      <w:bookmarkStart w:id="239" w:name="_Toc337558748"/>
      <w:bookmarkStart w:id="240" w:name="_Toc296346548"/>
      <w:r>
        <w:rPr>
          <w:rFonts w:hint="eastAsia" w:ascii="宋体" w:hAnsi="宋体" w:eastAsia="宋体" w:cs="宋体"/>
          <w:b w:val="0"/>
          <w:color w:val="auto"/>
          <w:sz w:val="24"/>
          <w:szCs w:val="24"/>
          <w:highlight w:val="none"/>
        </w:rPr>
        <w:t xml:space="preserve">.2 </w:t>
      </w:r>
      <w:bookmarkEnd w:id="237"/>
      <w:r>
        <w:rPr>
          <w:rFonts w:hint="eastAsia" w:ascii="宋体" w:hAnsi="宋体" w:eastAsia="宋体" w:cs="宋体"/>
          <w:b w:val="0"/>
          <w:color w:val="auto"/>
          <w:sz w:val="24"/>
          <w:szCs w:val="24"/>
          <w:highlight w:val="none"/>
        </w:rPr>
        <w:t>项目经理</w:t>
      </w:r>
      <w:bookmarkEnd w:id="238"/>
      <w:bookmarkEnd w:id="239"/>
      <w:bookmarkEnd w:id="240"/>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承包人违反上述约定的，应按照专用合同条款的约定，承担违约责任。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41" w:name="_Toc351203521"/>
      <w:r>
        <w:rPr>
          <w:rFonts w:hint="eastAsia" w:ascii="宋体" w:hAnsi="宋体" w:eastAsia="宋体" w:cs="宋体"/>
          <w:b w:val="0"/>
          <w:color w:val="auto"/>
          <w:sz w:val="24"/>
          <w:szCs w:val="24"/>
          <w:highlight w:val="none"/>
        </w:rPr>
        <w:t>3</w:t>
      </w:r>
      <w:bookmarkStart w:id="242" w:name="_Toc296346549"/>
      <w:bookmarkStart w:id="243" w:name="_Toc296503048"/>
      <w:bookmarkStart w:id="244" w:name="_Toc337558749"/>
      <w:r>
        <w:rPr>
          <w:rFonts w:hint="eastAsia" w:ascii="宋体" w:hAnsi="宋体" w:eastAsia="宋体" w:cs="宋体"/>
          <w:b w:val="0"/>
          <w:color w:val="auto"/>
          <w:sz w:val="24"/>
          <w:szCs w:val="24"/>
          <w:highlight w:val="none"/>
        </w:rPr>
        <w:t xml:space="preserve">.3 </w:t>
      </w:r>
      <w:bookmarkEnd w:id="242"/>
      <w:bookmarkEnd w:id="243"/>
      <w:r>
        <w:rPr>
          <w:rFonts w:hint="eastAsia" w:ascii="宋体" w:hAnsi="宋体" w:eastAsia="宋体" w:cs="宋体"/>
          <w:b w:val="0"/>
          <w:color w:val="auto"/>
          <w:sz w:val="24"/>
          <w:szCs w:val="24"/>
          <w:highlight w:val="none"/>
        </w:rPr>
        <w:t>承包人人员</w:t>
      </w:r>
      <w:bookmarkEnd w:id="241"/>
      <w:bookmarkEnd w:id="244"/>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特殊工种作业人员均应持有相应的资格证明，监理人可以随时检查。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3.3.5 承包人擅自更换主要施工管理人员，或前述人员未经监理人或发包人同意擅自离开施工现场的，应按照专用合同条款约定承担违约责任。</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45" w:name="_Toc351203522"/>
      <w:r>
        <w:rPr>
          <w:rFonts w:hint="eastAsia" w:ascii="宋体" w:hAnsi="宋体" w:eastAsia="宋体" w:cs="宋体"/>
          <w:b w:val="0"/>
          <w:color w:val="auto"/>
          <w:sz w:val="24"/>
          <w:szCs w:val="24"/>
          <w:highlight w:val="none"/>
        </w:rPr>
        <w:t>3</w:t>
      </w:r>
      <w:bookmarkStart w:id="246" w:name="_Toc296346551"/>
      <w:bookmarkStart w:id="247" w:name="_Toc337558750"/>
      <w:bookmarkStart w:id="248" w:name="_Toc296503050"/>
      <w:r>
        <w:rPr>
          <w:rFonts w:hint="eastAsia" w:ascii="宋体" w:hAnsi="宋体" w:eastAsia="宋体" w:cs="宋体"/>
          <w:b w:val="0"/>
          <w:color w:val="auto"/>
          <w:sz w:val="24"/>
          <w:szCs w:val="24"/>
          <w:highlight w:val="none"/>
        </w:rPr>
        <w:t>.4 承包人现场查勘</w:t>
      </w:r>
      <w:bookmarkEnd w:id="245"/>
      <w:bookmarkEnd w:id="246"/>
      <w:bookmarkEnd w:id="247"/>
      <w:bookmarkEnd w:id="248"/>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承包人应对基于发包人按照第2.4.3项〔提供基础资料〕提交的基础资料所做出的解释负责，但因基础资料存在错误、遗漏导致承包人解释失实的，由发包人承担责任。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49" w:name="_Toc351203523"/>
      <w:r>
        <w:rPr>
          <w:rFonts w:hint="eastAsia" w:ascii="宋体" w:hAnsi="宋体" w:eastAsia="宋体" w:cs="宋体"/>
          <w:b w:val="0"/>
          <w:color w:val="auto"/>
          <w:sz w:val="24"/>
          <w:szCs w:val="24"/>
          <w:highlight w:val="none"/>
        </w:rPr>
        <w:t>3</w:t>
      </w:r>
      <w:bookmarkStart w:id="250" w:name="_Toc337558751"/>
      <w:bookmarkStart w:id="251" w:name="_Toc296503051"/>
      <w:bookmarkStart w:id="252" w:name="_Toc296346552"/>
      <w:r>
        <w:rPr>
          <w:rFonts w:hint="eastAsia" w:ascii="宋体" w:hAnsi="宋体" w:eastAsia="宋体" w:cs="宋体"/>
          <w:b w:val="0"/>
          <w:color w:val="auto"/>
          <w:sz w:val="24"/>
          <w:szCs w:val="24"/>
          <w:highlight w:val="none"/>
        </w:rPr>
        <w:t>.5 分包</w:t>
      </w:r>
      <w:bookmarkEnd w:id="249"/>
      <w:bookmarkEnd w:id="250"/>
      <w:bookmarkEnd w:id="251"/>
      <w:bookmarkEnd w:id="252"/>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分包的一般约定</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承包人不得以劳务分包的名义转包或违法分包工程。</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 分包的确定</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 分包管理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3.5.4 分包合同价款</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（2）生效法律文书要求发包人向分包人支付分包合同价款的，发包人有权从应付承包人工程款中扣除该部分款项。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3.5.5 分包合同权益的转让</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53" w:name="_Toc351203524"/>
    </w:p>
    <w:p>
      <w:pPr>
        <w:pStyle w:val="7"/>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53"/>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（2）在承包人负责照管期间，因承包人原因造成工程、材料、工程设备损坏的，由承包人负责修复或更换，并承担由此增加的费用和（或）延误的工期。</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54" w:name="_Toc351203525"/>
      <w:r>
        <w:rPr>
          <w:rFonts w:hint="eastAsia" w:ascii="宋体" w:hAnsi="宋体" w:eastAsia="宋体" w:cs="宋体"/>
          <w:b w:val="0"/>
          <w:color w:val="auto"/>
          <w:sz w:val="24"/>
          <w:szCs w:val="24"/>
          <w:highlight w:val="none"/>
        </w:rPr>
        <w:t>3</w:t>
      </w:r>
      <w:bookmarkStart w:id="255" w:name="_Toc337558752"/>
      <w:bookmarkStart w:id="256" w:name="_Toc296503052"/>
      <w:bookmarkStart w:id="257" w:name="_Toc296346553"/>
      <w:r>
        <w:rPr>
          <w:rFonts w:hint="eastAsia" w:ascii="宋体" w:hAnsi="宋体" w:eastAsia="宋体" w:cs="宋体"/>
          <w:b w:val="0"/>
          <w:color w:val="auto"/>
          <w:sz w:val="24"/>
          <w:szCs w:val="24"/>
          <w:highlight w:val="none"/>
        </w:rPr>
        <w:t>.7 履约担保</w:t>
      </w:r>
      <w:bookmarkEnd w:id="254"/>
      <w:bookmarkEnd w:id="255"/>
      <w:bookmarkEnd w:id="256"/>
      <w:bookmarkEnd w:id="257"/>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58" w:name="_Toc351203526"/>
      <w:r>
        <w:rPr>
          <w:rFonts w:hint="eastAsia" w:ascii="宋体" w:hAnsi="宋体" w:eastAsia="宋体" w:cs="宋体"/>
          <w:b w:val="0"/>
          <w:color w:val="auto"/>
          <w:sz w:val="24"/>
          <w:szCs w:val="24"/>
          <w:highlight w:val="none"/>
        </w:rPr>
        <w:t>3.8 联合体</w:t>
      </w:r>
      <w:bookmarkEnd w:id="258"/>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3.8.1 联合体各方应共同与发包人签订合同协议书。联合体各方应为履行合同向发包人承担连带责任。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3.8.2 联合体协议经发包人确认后作为合同附件。在履行合同过程中，未经发包人同意，不得修改联合体协议。</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3.8.3 联合体牵头人负责与发包人和监理人联系，并接受指示，负责组织联合体各成员全面履行合同。</w:t>
      </w:r>
    </w:p>
    <w:p>
      <w:pPr>
        <w:pStyle w:val="6"/>
        <w:spacing w:before="120" w:after="120" w:line="360" w:lineRule="auto"/>
        <w:rPr>
          <w:rFonts w:ascii="宋体" w:hAnsi="宋体" w:eastAsia="宋体" w:cs="宋体"/>
          <w:b w:val="0"/>
          <w:color w:val="auto"/>
          <w:sz w:val="24"/>
          <w:szCs w:val="24"/>
          <w:highlight w:val="none"/>
        </w:rPr>
      </w:pPr>
      <w:bookmarkStart w:id="259" w:name="_Toc351203527"/>
      <w:r>
        <w:rPr>
          <w:rFonts w:hint="eastAsia" w:ascii="宋体" w:hAnsi="宋体" w:eastAsia="宋体" w:cs="宋体"/>
          <w:b w:val="0"/>
          <w:color w:val="auto"/>
          <w:sz w:val="24"/>
          <w:szCs w:val="24"/>
          <w:highlight w:val="none"/>
        </w:rPr>
        <w:t>4</w:t>
      </w:r>
      <w:bookmarkStart w:id="260" w:name="_Toc296503053"/>
      <w:bookmarkStart w:id="261" w:name="_Toc296346554"/>
      <w:bookmarkStart w:id="262" w:name="_Toc337558753"/>
      <w:r>
        <w:rPr>
          <w:rFonts w:hint="eastAsia" w:ascii="宋体" w:hAnsi="宋体" w:eastAsia="宋体" w:cs="宋体"/>
          <w:b w:val="0"/>
          <w:color w:val="auto"/>
          <w:sz w:val="24"/>
          <w:szCs w:val="24"/>
          <w:highlight w:val="none"/>
        </w:rPr>
        <w:t>. 监</w:t>
      </w:r>
      <w:bookmarkEnd w:id="260"/>
      <w:bookmarkEnd w:id="261"/>
      <w:r>
        <w:rPr>
          <w:rFonts w:hint="eastAsia" w:ascii="宋体" w:hAnsi="宋体" w:eastAsia="宋体" w:cs="宋体"/>
          <w:b w:val="0"/>
          <w:color w:val="auto"/>
          <w:sz w:val="24"/>
          <w:szCs w:val="24"/>
          <w:highlight w:val="none"/>
        </w:rPr>
        <w:t>理人</w:t>
      </w:r>
      <w:bookmarkEnd w:id="259"/>
      <w:bookmarkEnd w:id="262"/>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63" w:name="_Toc351203528"/>
      <w:r>
        <w:rPr>
          <w:rFonts w:hint="eastAsia" w:ascii="宋体" w:hAnsi="宋体" w:eastAsia="宋体" w:cs="宋体"/>
          <w:b w:val="0"/>
          <w:color w:val="auto"/>
          <w:sz w:val="24"/>
          <w:szCs w:val="24"/>
          <w:highlight w:val="none"/>
        </w:rPr>
        <w:t>4</w:t>
      </w:r>
      <w:bookmarkStart w:id="264" w:name="_Toc296346555"/>
      <w:bookmarkStart w:id="265" w:name="_Toc296503054"/>
      <w:bookmarkStart w:id="266" w:name="_Toc337558754"/>
      <w:r>
        <w:rPr>
          <w:rFonts w:hint="eastAsia" w:ascii="宋体" w:hAnsi="宋体" w:eastAsia="宋体" w:cs="宋体"/>
          <w:b w:val="0"/>
          <w:color w:val="auto"/>
          <w:sz w:val="24"/>
          <w:szCs w:val="24"/>
          <w:highlight w:val="none"/>
        </w:rPr>
        <w:t>.1监理人的一般规定</w:t>
      </w:r>
      <w:bookmarkEnd w:id="263"/>
      <w:bookmarkEnd w:id="264"/>
      <w:bookmarkEnd w:id="265"/>
      <w:bookmarkEnd w:id="266"/>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除专用合同条款另有约定外，监理人在施工现场的办公场所、生活场所由承包人提供，所发生的费用由发包人承担。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67" w:name="_Toc351203529"/>
      <w:r>
        <w:rPr>
          <w:rFonts w:hint="eastAsia" w:ascii="宋体" w:hAnsi="宋体" w:eastAsia="宋体" w:cs="宋体"/>
          <w:b w:val="0"/>
          <w:color w:val="auto"/>
          <w:sz w:val="24"/>
          <w:szCs w:val="24"/>
          <w:highlight w:val="none"/>
        </w:rPr>
        <w:t>4</w:t>
      </w:r>
      <w:bookmarkStart w:id="268" w:name="_Toc337558755"/>
      <w:r>
        <w:rPr>
          <w:rFonts w:hint="eastAsia" w:ascii="宋体" w:hAnsi="宋体" w:eastAsia="宋体" w:cs="宋体"/>
          <w:b w:val="0"/>
          <w:color w:val="auto"/>
          <w:sz w:val="24"/>
          <w:szCs w:val="24"/>
          <w:highlight w:val="none"/>
        </w:rPr>
        <w:t>.2监理人员</w:t>
      </w:r>
      <w:bookmarkEnd w:id="267"/>
      <w:bookmarkEnd w:id="268"/>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69" w:name="_Toc351203530"/>
      <w:r>
        <w:rPr>
          <w:rFonts w:hint="eastAsia" w:ascii="宋体" w:hAnsi="宋体" w:eastAsia="宋体" w:cs="宋体"/>
          <w:b w:val="0"/>
          <w:color w:val="auto"/>
          <w:sz w:val="24"/>
          <w:szCs w:val="24"/>
          <w:highlight w:val="none"/>
        </w:rPr>
        <w:t>4</w:t>
      </w:r>
      <w:bookmarkStart w:id="270" w:name="_Toc296503055"/>
      <w:bookmarkStart w:id="271" w:name="_Toc296346556"/>
      <w:bookmarkStart w:id="272" w:name="_Toc337558756"/>
      <w:r>
        <w:rPr>
          <w:rFonts w:hint="eastAsia" w:ascii="宋体" w:hAnsi="宋体" w:eastAsia="宋体" w:cs="宋体"/>
          <w:b w:val="0"/>
          <w:color w:val="auto"/>
          <w:sz w:val="24"/>
          <w:szCs w:val="24"/>
          <w:highlight w:val="none"/>
        </w:rPr>
        <w:t>.3</w:t>
      </w:r>
      <w:bookmarkEnd w:id="270"/>
      <w:bookmarkEnd w:id="271"/>
      <w:r>
        <w:rPr>
          <w:rFonts w:hint="eastAsia" w:ascii="宋体" w:hAnsi="宋体" w:eastAsia="宋体" w:cs="宋体"/>
          <w:b w:val="0"/>
          <w:color w:val="auto"/>
          <w:sz w:val="24"/>
          <w:szCs w:val="24"/>
          <w:highlight w:val="none"/>
        </w:rPr>
        <w:t>监理人的指</w:t>
      </w:r>
      <w:bookmarkEnd w:id="272"/>
      <w:r>
        <w:rPr>
          <w:rFonts w:hint="eastAsia" w:ascii="宋体" w:hAnsi="宋体" w:eastAsia="宋体" w:cs="宋体"/>
          <w:b w:val="0"/>
          <w:color w:val="auto"/>
          <w:sz w:val="24"/>
          <w:szCs w:val="24"/>
          <w:highlight w:val="none"/>
        </w:rPr>
        <w:t>示</w:t>
      </w:r>
      <w:bookmarkEnd w:id="269"/>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120" w:after="120" w:line="360" w:lineRule="auto"/>
        <w:ind w:firstLine="480" w:firstLineChars="200"/>
        <w:rPr>
          <w:rFonts w:ascii="宋体" w:hAnsi="宋体" w:eastAsia="宋体" w:cs="宋体"/>
          <w:b w:val="0"/>
          <w:color w:val="auto"/>
          <w:sz w:val="24"/>
          <w:szCs w:val="24"/>
          <w:highlight w:val="none"/>
        </w:rPr>
      </w:pPr>
      <w:bookmarkStart w:id="273" w:name="_Toc351203531"/>
      <w:r>
        <w:rPr>
          <w:rFonts w:hint="eastAsia" w:ascii="宋体" w:hAnsi="宋体" w:eastAsia="宋体" w:cs="宋体"/>
          <w:b w:val="0"/>
          <w:color w:val="auto"/>
          <w:sz w:val="24"/>
          <w:szCs w:val="24"/>
          <w:highlight w:val="none"/>
        </w:rPr>
        <w:t>4</w:t>
      </w:r>
      <w:bookmarkStart w:id="274" w:name="_Toc337558757"/>
      <w:bookmarkStart w:id="275" w:name="_Toc296503057"/>
      <w:bookmarkStart w:id="276" w:name="_Toc296346558"/>
      <w:r>
        <w:rPr>
          <w:rFonts w:hint="eastAsia" w:ascii="宋体" w:hAnsi="宋体" w:eastAsia="宋体" w:cs="宋体"/>
          <w:b w:val="0"/>
          <w:color w:val="auto"/>
          <w:sz w:val="24"/>
          <w:szCs w:val="24"/>
          <w:highlight w:val="none"/>
        </w:rPr>
        <w:t>.4 商定或确定</w:t>
      </w:r>
      <w:bookmarkEnd w:id="273"/>
      <w:bookmarkEnd w:id="274"/>
      <w:bookmarkEnd w:id="275"/>
      <w:bookmarkEnd w:id="276"/>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pacing w:before="120" w:after="120" w:line="360" w:lineRule="auto"/>
        <w:rPr>
          <w:rFonts w:ascii="宋体" w:hAnsi="宋体" w:eastAsia="宋体" w:cs="宋体"/>
          <w:b w:val="0"/>
          <w:color w:val="auto"/>
          <w:sz w:val="24"/>
          <w:szCs w:val="24"/>
          <w:highlight w:val="none"/>
        </w:rPr>
      </w:pPr>
      <w:bookmarkStart w:id="277" w:name="_Toc351203532"/>
      <w:r>
        <w:rPr>
          <w:rFonts w:hint="eastAsia" w:ascii="宋体" w:hAnsi="宋体" w:eastAsia="宋体" w:cs="宋体"/>
          <w:b w:val="0"/>
          <w:color w:val="auto"/>
          <w:sz w:val="24"/>
          <w:szCs w:val="24"/>
          <w:highlight w:val="none"/>
        </w:rPr>
        <w:t>5</w:t>
      </w:r>
      <w:bookmarkStart w:id="278" w:name="_Toc337558758"/>
      <w:r>
        <w:rPr>
          <w:rFonts w:hint="eastAsia" w:ascii="宋体" w:hAnsi="宋体" w:eastAsia="宋体" w:cs="宋体"/>
          <w:b w:val="0"/>
          <w:color w:val="auto"/>
          <w:sz w:val="24"/>
          <w:szCs w:val="24"/>
          <w:highlight w:val="none"/>
        </w:rPr>
        <w:t>. 工程质量</w:t>
      </w:r>
      <w:bookmarkEnd w:id="277"/>
      <w:bookmarkEnd w:id="278"/>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79" w:name="_Toc351203533"/>
      <w:r>
        <w:rPr>
          <w:rFonts w:hint="eastAsia" w:ascii="宋体" w:hAnsi="宋体" w:eastAsia="宋体" w:cs="宋体"/>
          <w:b w:val="0"/>
          <w:color w:val="auto"/>
          <w:sz w:val="24"/>
          <w:szCs w:val="24"/>
          <w:highlight w:val="none"/>
        </w:rPr>
        <w:t>5</w:t>
      </w:r>
      <w:bookmarkStart w:id="280" w:name="_Toc337558759"/>
      <w:r>
        <w:rPr>
          <w:rFonts w:hint="eastAsia" w:ascii="宋体" w:hAnsi="宋体" w:eastAsia="宋体" w:cs="宋体"/>
          <w:b w:val="0"/>
          <w:color w:val="auto"/>
          <w:sz w:val="24"/>
          <w:szCs w:val="24"/>
          <w:highlight w:val="none"/>
        </w:rPr>
        <w:t>.1质量要求</w:t>
      </w:r>
      <w:bookmarkEnd w:id="279"/>
      <w:bookmarkEnd w:id="280"/>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81" w:name="_Toc351203534"/>
      <w:r>
        <w:rPr>
          <w:rFonts w:hint="eastAsia" w:ascii="宋体" w:hAnsi="宋体" w:eastAsia="宋体" w:cs="宋体"/>
          <w:b w:val="0"/>
          <w:color w:val="auto"/>
          <w:sz w:val="24"/>
          <w:szCs w:val="24"/>
          <w:highlight w:val="none"/>
        </w:rPr>
        <w:t>5</w:t>
      </w:r>
      <w:bookmarkStart w:id="282" w:name="_Toc337558760"/>
      <w:r>
        <w:rPr>
          <w:rFonts w:hint="eastAsia" w:ascii="宋体" w:hAnsi="宋体" w:eastAsia="宋体" w:cs="宋体"/>
          <w:b w:val="0"/>
          <w:color w:val="auto"/>
          <w:sz w:val="24"/>
          <w:szCs w:val="24"/>
          <w:highlight w:val="none"/>
        </w:rPr>
        <w:t>.2质量保证措施</w:t>
      </w:r>
      <w:bookmarkEnd w:id="281"/>
      <w:bookmarkEnd w:id="282"/>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 发包人的质量管理</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发包人应按照法律规定及合同约定完成与工程质量有关的各项工作。</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5.2.2 承包人的质量管理</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承包人应对施工人员进行质量教育和技术培训，定期考核施工人员的劳动技能，严格执行施工规范和操作规程。</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5.2.3 监理人的质量检查和检验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83" w:name="_Toc351203535"/>
      <w:r>
        <w:rPr>
          <w:rFonts w:hint="eastAsia" w:ascii="宋体" w:hAnsi="宋体" w:eastAsia="宋体" w:cs="宋体"/>
          <w:b w:val="0"/>
          <w:color w:val="auto"/>
          <w:sz w:val="24"/>
          <w:szCs w:val="24"/>
          <w:highlight w:val="none"/>
        </w:rPr>
        <w:t>5</w:t>
      </w:r>
      <w:bookmarkStart w:id="284" w:name="_Toc337558761"/>
      <w:r>
        <w:rPr>
          <w:rFonts w:hint="eastAsia" w:ascii="宋体" w:hAnsi="宋体" w:eastAsia="宋体" w:cs="宋体"/>
          <w:b w:val="0"/>
          <w:color w:val="auto"/>
          <w:sz w:val="24"/>
          <w:szCs w:val="24"/>
          <w:highlight w:val="none"/>
        </w:rPr>
        <w:t>.3 隐蔽工程检查</w:t>
      </w:r>
      <w:bookmarkEnd w:id="283"/>
      <w:bookmarkEnd w:id="284"/>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5.3.1承包人自检</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承包人应当对工程隐蔽部位进行自检，并经自检确认是否具备覆盖条件。</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5.3.2检查程序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5.3.3 重新检查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5.3.4 承包人私自覆盖</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85" w:name="_Toc351203536"/>
      <w:r>
        <w:rPr>
          <w:rFonts w:hint="eastAsia" w:ascii="宋体" w:hAnsi="宋体" w:eastAsia="宋体" w:cs="宋体"/>
          <w:b w:val="0"/>
          <w:color w:val="auto"/>
          <w:sz w:val="24"/>
          <w:szCs w:val="24"/>
          <w:highlight w:val="none"/>
        </w:rPr>
        <w:t>5</w:t>
      </w:r>
      <w:bookmarkStart w:id="286" w:name="_Toc337558762"/>
      <w:r>
        <w:rPr>
          <w:rFonts w:hint="eastAsia" w:ascii="宋体" w:hAnsi="宋体" w:eastAsia="宋体" w:cs="宋体"/>
          <w:b w:val="0"/>
          <w:color w:val="auto"/>
          <w:sz w:val="24"/>
          <w:szCs w:val="24"/>
          <w:highlight w:val="none"/>
        </w:rPr>
        <w:t>.4不合格工程的处理</w:t>
      </w:r>
      <w:bookmarkEnd w:id="285"/>
      <w:bookmarkEnd w:id="286"/>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5.4.2 因发包人原因造成工程不合格的，由此增加的费用和（或）延误的工期由发包人承担，并支付承包人合理的利润。</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87" w:name="_Toc351203537"/>
      <w:r>
        <w:rPr>
          <w:rFonts w:hint="eastAsia" w:ascii="宋体" w:hAnsi="宋体" w:eastAsia="宋体" w:cs="宋体"/>
          <w:b w:val="0"/>
          <w:color w:val="auto"/>
          <w:sz w:val="24"/>
          <w:szCs w:val="24"/>
          <w:highlight w:val="none"/>
        </w:rPr>
        <w:t>5.5 质量争议检测</w:t>
      </w:r>
      <w:bookmarkEnd w:id="287"/>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合同当事人均有责任的，由双方根据其责任分别承担。合同当事人无法达成一致的，按照第4.4款〔商定或确定〕执行。</w:t>
      </w:r>
    </w:p>
    <w:p>
      <w:pPr>
        <w:pStyle w:val="6"/>
        <w:spacing w:before="120" w:after="120" w:line="360" w:lineRule="auto"/>
        <w:rPr>
          <w:rFonts w:ascii="宋体" w:hAnsi="宋体" w:eastAsia="宋体" w:cs="宋体"/>
          <w:b w:val="0"/>
          <w:color w:val="auto"/>
          <w:sz w:val="24"/>
          <w:szCs w:val="24"/>
          <w:highlight w:val="none"/>
        </w:rPr>
      </w:pPr>
      <w:bookmarkStart w:id="288" w:name="_Toc351203538"/>
      <w:r>
        <w:rPr>
          <w:rFonts w:hint="eastAsia" w:ascii="宋体" w:hAnsi="宋体" w:eastAsia="宋体" w:cs="宋体"/>
          <w:b w:val="0"/>
          <w:color w:val="auto"/>
          <w:sz w:val="24"/>
          <w:szCs w:val="24"/>
          <w:highlight w:val="none"/>
        </w:rPr>
        <w:t>6</w:t>
      </w:r>
      <w:bookmarkStart w:id="289" w:name="_Toc337558763"/>
      <w:r>
        <w:rPr>
          <w:rFonts w:hint="eastAsia" w:ascii="宋体" w:hAnsi="宋体" w:eastAsia="宋体" w:cs="宋体"/>
          <w:b w:val="0"/>
          <w:color w:val="auto"/>
          <w:sz w:val="24"/>
          <w:szCs w:val="24"/>
          <w:highlight w:val="none"/>
        </w:rPr>
        <w:t>. 安全文明施工与环境保护</w:t>
      </w:r>
      <w:bookmarkEnd w:id="288"/>
      <w:bookmarkEnd w:id="289"/>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90" w:name="_Toc351203539"/>
      <w:r>
        <w:rPr>
          <w:rFonts w:hint="eastAsia" w:ascii="宋体" w:hAnsi="宋体" w:eastAsia="宋体" w:cs="宋体"/>
          <w:b w:val="0"/>
          <w:color w:val="auto"/>
          <w:sz w:val="24"/>
          <w:szCs w:val="24"/>
          <w:highlight w:val="none"/>
        </w:rPr>
        <w:t>6</w:t>
      </w:r>
      <w:bookmarkStart w:id="291" w:name="_Toc337558764"/>
      <w:r>
        <w:rPr>
          <w:rFonts w:hint="eastAsia" w:ascii="宋体" w:hAnsi="宋体" w:eastAsia="宋体" w:cs="宋体"/>
          <w:b w:val="0"/>
          <w:color w:val="auto"/>
          <w:sz w:val="24"/>
          <w:szCs w:val="24"/>
          <w:highlight w:val="none"/>
        </w:rPr>
        <w:t>.1安全文明施工</w:t>
      </w:r>
      <w:bookmarkEnd w:id="290"/>
      <w:bookmarkEnd w:id="29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6.1.1安全生产要求</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szCs w:val="24"/>
          <w:highlight w:val="none"/>
        </w:rPr>
        <w:t>政府有关行政管理部门</w:t>
      </w:r>
      <w:r>
        <w:rPr>
          <w:rFonts w:hint="eastAsia" w:ascii="宋体" w:hAnsi="宋体" w:eastAsia="宋体" w:cs="宋体"/>
          <w:color w:val="auto"/>
          <w:sz w:val="24"/>
          <w:szCs w:val="24"/>
          <w:highlight w:val="none"/>
        </w:rPr>
        <w:t>采取应急措施。</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因安全生产需要暂停施工的，按照第7.8款〔暂停施工〕的约定执行。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6.1.2 安全生产保证措施</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承包人应当按照有关</w:t>
      </w:r>
      <w:r>
        <w:rPr>
          <w:rFonts w:hint="eastAsia" w:ascii="宋体" w:hAnsi="宋体" w:eastAsia="宋体" w:cs="宋体"/>
          <w:color w:val="auto"/>
          <w:kern w:val="0"/>
          <w:sz w:val="24"/>
          <w:szCs w:val="24"/>
          <w:highlight w:val="none"/>
        </w:rPr>
        <w:t>规定编制安全技术措施或者专项施工方案，</w:t>
      </w:r>
      <w:r>
        <w:rPr>
          <w:rFonts w:hint="eastAsia" w:ascii="宋体" w:hAnsi="宋体" w:eastAsia="宋体" w:cs="宋体"/>
          <w:color w:val="auto"/>
          <w:sz w:val="24"/>
          <w:szCs w:val="24"/>
          <w:highlight w:val="none"/>
        </w:rPr>
        <w:t>建立安全生产责任制度、治安保卫制度及安全生产教育培训制度，并</w:t>
      </w:r>
      <w:r>
        <w:rPr>
          <w:rFonts w:hint="eastAsia" w:ascii="宋体" w:hAnsi="宋体" w:eastAsia="宋体" w:cs="宋体"/>
          <w:color w:val="auto"/>
          <w:kern w:val="0"/>
          <w:sz w:val="24"/>
          <w:szCs w:val="24"/>
          <w:highlight w:val="none"/>
        </w:rPr>
        <w:t>按安全生产法律规定及合同约定履行安全职责，如实</w:t>
      </w:r>
      <w:r>
        <w:rPr>
          <w:rFonts w:hint="eastAsia" w:ascii="宋体" w:hAnsi="宋体" w:eastAsia="宋体" w:cs="宋体"/>
          <w:color w:val="auto"/>
          <w:sz w:val="24"/>
          <w:szCs w:val="24"/>
          <w:highlight w:val="none"/>
        </w:rPr>
        <w:t>编制工程安全生产的有关记录，</w:t>
      </w:r>
      <w:r>
        <w:rPr>
          <w:rFonts w:hint="eastAsia" w:ascii="宋体" w:hAnsi="宋体" w:eastAsia="宋体" w:cs="宋体"/>
          <w:color w:val="auto"/>
          <w:kern w:val="0"/>
          <w:sz w:val="24"/>
          <w:szCs w:val="24"/>
          <w:highlight w:val="none"/>
        </w:rPr>
        <w:t>接受发包人、监理人及政府安全监督部门的检查与监督。</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6.1.3特别安全生产事项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6.1.4 治安保卫</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6.1.5 文明施工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6.1.6 安全文明施工费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6.1.7 紧急情况处理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6.1.8 事故处理</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 安全生产责任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6.1.9.1 发包人的安全责任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发包人应负责赔偿以下各种情况造成的损失：</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（1）工程或工程的任何部分对土地的占用所造成的第三者财产损失；</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（2）由于发包人原因在施工场地及其毗邻地带造成的第三者人身伤亡和财产损失；</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（3）由于发包人原因对承包人、监理人造成的人员人身伤亡和财产损失；</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（4）由于发包人原因造成的发包人自身人员的人身伤害以及财产损失。</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6.1.9.2 承包人的安全责任</w:t>
      </w: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由于承包人原因在施工场地内及其毗邻地带造成的发包人、监理人以及第三者人员伤亡和财产损失，由承包人负责赔偿。</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92" w:name="_Toc351203540"/>
      <w:r>
        <w:rPr>
          <w:rFonts w:hint="eastAsia" w:ascii="宋体" w:hAnsi="宋体" w:eastAsia="宋体" w:cs="宋体"/>
          <w:b w:val="0"/>
          <w:color w:val="auto"/>
          <w:sz w:val="24"/>
          <w:szCs w:val="24"/>
          <w:highlight w:val="none"/>
        </w:rPr>
        <w:t>6</w:t>
      </w:r>
      <w:bookmarkStart w:id="293" w:name="_Toc337558765"/>
      <w:r>
        <w:rPr>
          <w:rFonts w:hint="eastAsia" w:ascii="宋体" w:hAnsi="宋体" w:eastAsia="宋体" w:cs="宋体"/>
          <w:b w:val="0"/>
          <w:color w:val="auto"/>
          <w:sz w:val="24"/>
          <w:szCs w:val="24"/>
          <w:highlight w:val="none"/>
        </w:rPr>
        <w:t>.2 职业健康</w:t>
      </w:r>
      <w:bookmarkEnd w:id="292"/>
      <w:bookmarkEnd w:id="293"/>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6.2.1 劳动保护</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6.2.2 生活条件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94" w:name="_Toc351203541"/>
      <w:r>
        <w:rPr>
          <w:rFonts w:hint="eastAsia" w:ascii="宋体" w:hAnsi="宋体" w:eastAsia="宋体" w:cs="宋体"/>
          <w:b w:val="0"/>
          <w:color w:val="auto"/>
          <w:sz w:val="24"/>
          <w:szCs w:val="24"/>
          <w:highlight w:val="none"/>
        </w:rPr>
        <w:t>6</w:t>
      </w:r>
      <w:bookmarkStart w:id="295" w:name="_Toc337558766"/>
      <w:r>
        <w:rPr>
          <w:rFonts w:hint="eastAsia" w:ascii="宋体" w:hAnsi="宋体" w:eastAsia="宋体" w:cs="宋体"/>
          <w:b w:val="0"/>
          <w:color w:val="auto"/>
          <w:sz w:val="24"/>
          <w:szCs w:val="24"/>
          <w:highlight w:val="none"/>
        </w:rPr>
        <w:t>.3 环境保护</w:t>
      </w:r>
      <w:bookmarkEnd w:id="294"/>
      <w:bookmarkEnd w:id="295"/>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pPr>
        <w:pStyle w:val="6"/>
        <w:spacing w:before="120" w:after="120" w:line="360" w:lineRule="auto"/>
        <w:rPr>
          <w:rFonts w:ascii="宋体" w:hAnsi="宋体" w:eastAsia="宋体" w:cs="宋体"/>
          <w:b w:val="0"/>
          <w:color w:val="auto"/>
          <w:sz w:val="24"/>
          <w:szCs w:val="24"/>
          <w:highlight w:val="none"/>
        </w:rPr>
      </w:pPr>
      <w:bookmarkStart w:id="296" w:name="_Toc351203542"/>
      <w:r>
        <w:rPr>
          <w:rFonts w:hint="eastAsia" w:ascii="宋体" w:hAnsi="宋体" w:eastAsia="宋体" w:cs="宋体"/>
          <w:b w:val="0"/>
          <w:color w:val="auto"/>
          <w:sz w:val="24"/>
          <w:szCs w:val="24"/>
          <w:highlight w:val="none"/>
        </w:rPr>
        <w:t>7</w:t>
      </w:r>
      <w:bookmarkStart w:id="297" w:name="_Toc337558767"/>
      <w:r>
        <w:rPr>
          <w:rFonts w:hint="eastAsia" w:ascii="宋体" w:hAnsi="宋体" w:eastAsia="宋体" w:cs="宋体"/>
          <w:b w:val="0"/>
          <w:color w:val="auto"/>
          <w:sz w:val="24"/>
          <w:szCs w:val="24"/>
          <w:highlight w:val="none"/>
        </w:rPr>
        <w:t>. 工期和进度</w:t>
      </w:r>
      <w:bookmarkEnd w:id="296"/>
      <w:bookmarkEnd w:id="297"/>
    </w:p>
    <w:p>
      <w:pPr>
        <w:pStyle w:val="7"/>
        <w:spacing w:before="120" w:after="120" w:line="360" w:lineRule="auto"/>
        <w:ind w:firstLine="480" w:firstLineChars="200"/>
        <w:rPr>
          <w:rFonts w:ascii="宋体" w:hAnsi="宋体" w:eastAsia="宋体" w:cs="宋体"/>
          <w:b w:val="0"/>
          <w:color w:val="auto"/>
          <w:sz w:val="24"/>
          <w:szCs w:val="24"/>
          <w:highlight w:val="none"/>
        </w:rPr>
      </w:pPr>
      <w:bookmarkStart w:id="298" w:name="_Toc351203543"/>
      <w:r>
        <w:rPr>
          <w:rFonts w:hint="eastAsia" w:ascii="宋体" w:hAnsi="宋体" w:eastAsia="宋体" w:cs="宋体"/>
          <w:b w:val="0"/>
          <w:color w:val="auto"/>
          <w:sz w:val="24"/>
          <w:szCs w:val="24"/>
          <w:highlight w:val="none"/>
        </w:rPr>
        <w:t>7</w:t>
      </w:r>
      <w:bookmarkStart w:id="299" w:name="_Toc337558768"/>
      <w:bookmarkStart w:id="300" w:name="_Toc296503066"/>
      <w:bookmarkStart w:id="301" w:name="_Toc296346567"/>
      <w:r>
        <w:rPr>
          <w:rFonts w:hint="eastAsia" w:ascii="宋体" w:hAnsi="宋体" w:eastAsia="宋体" w:cs="宋体"/>
          <w:b w:val="0"/>
          <w:color w:val="auto"/>
          <w:sz w:val="24"/>
          <w:szCs w:val="24"/>
          <w:highlight w:val="none"/>
        </w:rPr>
        <w:t>.1施工组织设计</w:t>
      </w:r>
      <w:bookmarkEnd w:id="298"/>
      <w:bookmarkEnd w:id="299"/>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7.1.1 </w:t>
      </w:r>
      <w:r>
        <w:rPr>
          <w:rFonts w:hint="eastAsia" w:ascii="宋体" w:hAnsi="宋体" w:eastAsia="宋体" w:cs="宋体"/>
          <w:color w:val="auto"/>
          <w:kern w:val="0"/>
          <w:sz w:val="24"/>
          <w:szCs w:val="24"/>
          <w:highlight w:val="none"/>
        </w:rPr>
        <w:t>施工组织设计的内容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施工组织设计应包含以下内容：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（1）施工方案； </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（2）施工现场平面布置图；</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（3）施工进度计划和保证措施； </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（4）劳动力及材料供应计划；</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（5）施工机械设备的选用；</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（6）质量保证体系及措施；</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（7）安全生产、文明施工措施；</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（8）环境保护、成本控制措施；</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（9）合同当事人约定的其他内容。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施工进度计划的编制和修改按照第7.2款〔施工进度计划〕执行。</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02" w:name="_Toc351203544"/>
      <w:r>
        <w:rPr>
          <w:rFonts w:hint="eastAsia" w:ascii="宋体" w:hAnsi="宋体" w:eastAsia="宋体" w:cs="宋体"/>
          <w:b w:val="0"/>
          <w:color w:val="auto"/>
          <w:sz w:val="24"/>
          <w:szCs w:val="24"/>
          <w:highlight w:val="none"/>
        </w:rPr>
        <w:t>7</w:t>
      </w:r>
      <w:bookmarkStart w:id="303" w:name="_Toc337558769"/>
      <w:r>
        <w:rPr>
          <w:rFonts w:hint="eastAsia" w:ascii="宋体" w:hAnsi="宋体" w:eastAsia="宋体" w:cs="宋体"/>
          <w:b w:val="0"/>
          <w:color w:val="auto"/>
          <w:sz w:val="24"/>
          <w:szCs w:val="24"/>
          <w:highlight w:val="none"/>
        </w:rPr>
        <w:t>.2 施工进度计划</w:t>
      </w:r>
      <w:bookmarkEnd w:id="302"/>
      <w:bookmarkEnd w:id="303"/>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7.2.1 施工进度计划的编制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7.2.2 施工进度计划的修订</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04" w:name="_Toc351203545"/>
      <w:r>
        <w:rPr>
          <w:rFonts w:hint="eastAsia" w:ascii="宋体" w:hAnsi="宋体" w:eastAsia="宋体" w:cs="宋体"/>
          <w:b w:val="0"/>
          <w:color w:val="auto"/>
          <w:sz w:val="24"/>
          <w:szCs w:val="24"/>
          <w:highlight w:val="none"/>
        </w:rPr>
        <w:t>7</w:t>
      </w:r>
      <w:bookmarkStart w:id="305" w:name="_Toc337558770"/>
      <w:r>
        <w:rPr>
          <w:rFonts w:hint="eastAsia" w:ascii="宋体" w:hAnsi="宋体" w:eastAsia="宋体" w:cs="宋体"/>
          <w:b w:val="0"/>
          <w:color w:val="auto"/>
          <w:sz w:val="24"/>
          <w:szCs w:val="24"/>
          <w:highlight w:val="none"/>
        </w:rPr>
        <w:t>.3 开工</w:t>
      </w:r>
      <w:bookmarkEnd w:id="304"/>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7.3.1 开工准备</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除专用合同条款另有约定外，合同当事人应按约定完成开工准备工作。</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7.3.2 开工通知</w:t>
      </w:r>
      <w:bookmarkEnd w:id="305"/>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06" w:name="_Toc351203546"/>
      <w:r>
        <w:rPr>
          <w:rFonts w:hint="eastAsia" w:ascii="宋体" w:hAnsi="宋体" w:eastAsia="宋体" w:cs="宋体"/>
          <w:b w:val="0"/>
          <w:color w:val="auto"/>
          <w:sz w:val="24"/>
          <w:szCs w:val="24"/>
          <w:highlight w:val="none"/>
        </w:rPr>
        <w:t>7.4测量放线</w:t>
      </w:r>
      <w:bookmarkEnd w:id="306"/>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施工过程中对施工现场内水准点等测量标志物的保护工作由承包人负责。</w:t>
      </w:r>
      <w:bookmarkStart w:id="307" w:name="_Toc351203547"/>
    </w:p>
    <w:p>
      <w:pPr>
        <w:pStyle w:val="7"/>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300"/>
      <w:bookmarkEnd w:id="301"/>
      <w:bookmarkStart w:id="308" w:name="_Toc337558772"/>
      <w:bookmarkStart w:id="309" w:name="_Toc296503073"/>
      <w:bookmarkStart w:id="310" w:name="_Toc296346574"/>
      <w:r>
        <w:rPr>
          <w:rFonts w:hint="eastAsia" w:ascii="宋体" w:hAnsi="宋体" w:eastAsia="宋体" w:cs="宋体"/>
          <w:b w:val="0"/>
          <w:color w:val="auto"/>
          <w:sz w:val="24"/>
          <w:szCs w:val="24"/>
          <w:highlight w:val="none"/>
        </w:rPr>
        <w:t>.5 工期延误</w:t>
      </w:r>
      <w:bookmarkEnd w:id="307"/>
      <w:bookmarkEnd w:id="308"/>
      <w:bookmarkEnd w:id="309"/>
      <w:bookmarkEnd w:id="310"/>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7.5.1 因发包人原因导致工期延误</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（1）发包人未能按合同约定提供图纸或所提供图纸不符合合同约定的；</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（2）发包人未能按合同约定提供施工现场、施工条件、基础资料、许可、批准等开工条件的；</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（3）发包人提供的测量基准点、基准线和水准点及其书面资料存在错误或疏漏的；</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（4）发包人未能在计划开工日期之日起7天内同意下达开工通知的；</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（5）发包人未能按合同约定日期支付工程预付款、进度款或竣工结算款的；</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（6）监理人未按合同约定发出指示、批准等文件的；</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（7）专用合同条款中约定的其他情形。</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7.5.2 因承包人原因导致工期延误</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bookmarkStart w:id="311" w:name="_Toc296503076"/>
      <w:bookmarkStart w:id="312" w:name="_Toc296346577"/>
      <w:r>
        <w:rPr>
          <w:rFonts w:hint="eastAsia" w:ascii="宋体" w:hAnsi="宋体" w:eastAsia="宋体" w:cs="宋体"/>
          <w:color w:val="auto"/>
          <w:kern w:val="0"/>
          <w:sz w:val="24"/>
          <w:szCs w:val="24"/>
          <w:highlight w:val="none"/>
        </w:rPr>
        <w:t>因</w:t>
      </w:r>
      <w:bookmarkEnd w:id="311"/>
      <w:bookmarkEnd w:id="312"/>
      <w:r>
        <w:rPr>
          <w:rFonts w:hint="eastAsia" w:ascii="宋体" w:hAnsi="宋体" w:eastAsia="宋体" w:cs="宋体"/>
          <w:color w:val="auto"/>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13" w:name="_Toc351203548"/>
      <w:r>
        <w:rPr>
          <w:rFonts w:hint="eastAsia" w:ascii="宋体" w:hAnsi="宋体" w:eastAsia="宋体" w:cs="宋体"/>
          <w:b w:val="0"/>
          <w:color w:val="auto"/>
          <w:sz w:val="24"/>
          <w:szCs w:val="24"/>
          <w:highlight w:val="none"/>
        </w:rPr>
        <w:t>7</w:t>
      </w:r>
      <w:bookmarkStart w:id="314" w:name="_Toc296346575"/>
      <w:bookmarkStart w:id="315" w:name="_Toc337558773"/>
      <w:bookmarkStart w:id="316" w:name="_Toc296503074"/>
      <w:bookmarkStart w:id="317" w:name="_Toc296346578"/>
      <w:bookmarkStart w:id="318" w:name="_Toc296503077"/>
      <w:r>
        <w:rPr>
          <w:rFonts w:hint="eastAsia" w:ascii="宋体" w:hAnsi="宋体" w:eastAsia="宋体" w:cs="宋体"/>
          <w:b w:val="0"/>
          <w:color w:val="auto"/>
          <w:sz w:val="24"/>
          <w:szCs w:val="24"/>
          <w:highlight w:val="none"/>
        </w:rPr>
        <w:t>.6 不利物质条件</w:t>
      </w:r>
      <w:bookmarkEnd w:id="313"/>
      <w:bookmarkEnd w:id="314"/>
      <w:bookmarkEnd w:id="315"/>
      <w:bookmarkEnd w:id="316"/>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19" w:name="_Toc351203549"/>
      <w:r>
        <w:rPr>
          <w:rFonts w:hint="eastAsia" w:ascii="宋体" w:hAnsi="宋体" w:eastAsia="宋体" w:cs="宋体"/>
          <w:b w:val="0"/>
          <w:color w:val="auto"/>
          <w:sz w:val="24"/>
          <w:szCs w:val="24"/>
          <w:highlight w:val="none"/>
        </w:rPr>
        <w:t>7</w:t>
      </w:r>
      <w:bookmarkStart w:id="320" w:name="_Toc296346576"/>
      <w:bookmarkStart w:id="321" w:name="_Toc337558774"/>
      <w:bookmarkStart w:id="322" w:name="_Toc296503075"/>
      <w:r>
        <w:rPr>
          <w:rFonts w:hint="eastAsia" w:ascii="宋体" w:hAnsi="宋体" w:eastAsia="宋体" w:cs="宋体"/>
          <w:b w:val="0"/>
          <w:color w:val="auto"/>
          <w:sz w:val="24"/>
          <w:szCs w:val="24"/>
          <w:highlight w:val="none"/>
        </w:rPr>
        <w:t>.7 异常恶劣的气候条件</w:t>
      </w:r>
      <w:bookmarkEnd w:id="319"/>
      <w:bookmarkEnd w:id="320"/>
      <w:bookmarkEnd w:id="321"/>
      <w:bookmarkEnd w:id="322"/>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23" w:name="_Toc351203550"/>
    </w:p>
    <w:p>
      <w:pPr>
        <w:autoSpaceDE w:val="0"/>
        <w:autoSpaceDN w:val="0"/>
        <w:adjustRightInd w:val="0"/>
        <w:spacing w:line="360" w:lineRule="auto"/>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bookmarkStart w:id="324" w:name="_Toc337558775"/>
      <w:r>
        <w:rPr>
          <w:rFonts w:hint="eastAsia" w:ascii="宋体" w:hAnsi="宋体" w:eastAsia="宋体" w:cs="宋体"/>
          <w:bCs/>
          <w:color w:val="auto"/>
          <w:sz w:val="24"/>
          <w:szCs w:val="24"/>
          <w:highlight w:val="none"/>
        </w:rPr>
        <w:t>.8 暂停施工</w:t>
      </w:r>
      <w:bookmarkEnd w:id="317"/>
      <w:bookmarkEnd w:id="318"/>
      <w:bookmarkEnd w:id="323"/>
      <w:bookmarkEnd w:id="324"/>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7.8.1发包人原因引起的暂停施工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因发包人原因引起的暂停施工，发包人应承担由此增加的费用和（或）延误的工期，并支付承包人合理的利润。</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7.8.2 承包人原因引起的暂停施工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7.8.3 指示暂停施工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监理人认为有必要时，并经发包人批准后，可向承包人作出暂停施工的指示，承包人应按监理人指示暂停施工。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7.8.4 紧急情况下的暂停施工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7.8.5 暂停施工后的复工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7.8.6 暂停施工持续56天以上</w:t>
      </w:r>
    </w:p>
    <w:p>
      <w:pPr>
        <w:spacing w:line="360" w:lineRule="auto"/>
        <w:ind w:firstLine="468" w:firstLineChars="19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68" w:firstLineChars="19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left="16" w:firstLine="468" w:firstLineChars="19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7.8.7 暂停施工期间的工程照管</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暂停施工期间，承包人应负责妥善照管工程并提供安全保障，由此增加的费用由责任方承担。</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7.8.8 暂停施工的措施</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暂停施工期间，发包人和承包人均应采取必要的措施确保工程质量及安全，防止因暂停施工扩大损失。</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25" w:name="_Toc351203551"/>
      <w:r>
        <w:rPr>
          <w:rFonts w:hint="eastAsia" w:ascii="宋体" w:hAnsi="宋体" w:eastAsia="宋体" w:cs="宋体"/>
          <w:b w:val="0"/>
          <w:color w:val="auto"/>
          <w:sz w:val="24"/>
          <w:szCs w:val="24"/>
          <w:highlight w:val="none"/>
        </w:rPr>
        <w:t>7.9提前竣工</w:t>
      </w:r>
      <w:bookmarkEnd w:id="325"/>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7.9.2 发包人要求承包人提前竣工，或承包人提出提前竣工的建议能够给发包人带来效益的，合同当事人可以在专用合同条款中约定提前竣工的奖励。</w:t>
      </w:r>
    </w:p>
    <w:p>
      <w:pPr>
        <w:pStyle w:val="6"/>
        <w:spacing w:before="120" w:after="120" w:line="360" w:lineRule="auto"/>
        <w:rPr>
          <w:rFonts w:ascii="宋体" w:hAnsi="宋体" w:eastAsia="宋体" w:cs="宋体"/>
          <w:b w:val="0"/>
          <w:color w:val="auto"/>
          <w:sz w:val="24"/>
          <w:szCs w:val="24"/>
          <w:highlight w:val="none"/>
        </w:rPr>
      </w:pPr>
      <w:bookmarkStart w:id="326" w:name="_Toc351203552"/>
      <w:r>
        <w:rPr>
          <w:rFonts w:hint="eastAsia" w:ascii="宋体" w:hAnsi="宋体" w:eastAsia="宋体" w:cs="宋体"/>
          <w:b w:val="0"/>
          <w:color w:val="auto"/>
          <w:sz w:val="24"/>
          <w:szCs w:val="24"/>
          <w:highlight w:val="none"/>
        </w:rPr>
        <w:t>8</w:t>
      </w:r>
      <w:bookmarkStart w:id="327" w:name="_Toc296503058"/>
      <w:bookmarkStart w:id="328" w:name="_Toc296346559"/>
      <w:bookmarkStart w:id="329" w:name="_Toc337558776"/>
      <w:r>
        <w:rPr>
          <w:rFonts w:hint="eastAsia" w:ascii="宋体" w:hAnsi="宋体" w:eastAsia="宋体" w:cs="宋体"/>
          <w:b w:val="0"/>
          <w:color w:val="auto"/>
          <w:sz w:val="24"/>
          <w:szCs w:val="24"/>
          <w:highlight w:val="none"/>
        </w:rPr>
        <w:t>. 材料与设备</w:t>
      </w:r>
      <w:bookmarkEnd w:id="326"/>
      <w:bookmarkEnd w:id="327"/>
      <w:bookmarkEnd w:id="328"/>
      <w:bookmarkEnd w:id="329"/>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30" w:name="_Toc351203553"/>
      <w:r>
        <w:rPr>
          <w:rFonts w:hint="eastAsia" w:ascii="宋体" w:hAnsi="宋体" w:eastAsia="宋体" w:cs="宋体"/>
          <w:b w:val="0"/>
          <w:color w:val="auto"/>
          <w:sz w:val="24"/>
          <w:szCs w:val="24"/>
          <w:highlight w:val="none"/>
        </w:rPr>
        <w:t>8</w:t>
      </w:r>
      <w:bookmarkStart w:id="331" w:name="_Toc296346560"/>
      <w:bookmarkStart w:id="332" w:name="_Toc296503059"/>
      <w:bookmarkStart w:id="333" w:name="_Toc337558777"/>
      <w:bookmarkStart w:id="334" w:name="_Toc468936960"/>
      <w:r>
        <w:rPr>
          <w:rFonts w:hint="eastAsia" w:ascii="宋体" w:hAnsi="宋体" w:eastAsia="宋体" w:cs="宋体"/>
          <w:b w:val="0"/>
          <w:color w:val="auto"/>
          <w:sz w:val="24"/>
          <w:szCs w:val="24"/>
          <w:highlight w:val="none"/>
        </w:rPr>
        <w:t>.1发包人供应材料与工程设备</w:t>
      </w:r>
      <w:bookmarkEnd w:id="330"/>
      <w:bookmarkEnd w:id="331"/>
      <w:bookmarkEnd w:id="332"/>
      <w:bookmarkEnd w:id="333"/>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120" w:after="120" w:line="360" w:lineRule="auto"/>
        <w:ind w:firstLine="480" w:firstLineChars="200"/>
        <w:rPr>
          <w:rFonts w:ascii="宋体" w:hAnsi="宋体" w:eastAsia="宋体" w:cs="宋体"/>
          <w:color w:val="auto"/>
          <w:sz w:val="24"/>
          <w:szCs w:val="24"/>
          <w:highlight w:val="none"/>
        </w:rPr>
      </w:pPr>
      <w:bookmarkStart w:id="335" w:name="_Toc351203554"/>
      <w:r>
        <w:rPr>
          <w:rFonts w:hint="eastAsia" w:ascii="宋体" w:hAnsi="宋体" w:eastAsia="宋体" w:cs="宋体"/>
          <w:b w:val="0"/>
          <w:color w:val="auto"/>
          <w:sz w:val="24"/>
          <w:szCs w:val="24"/>
          <w:highlight w:val="none"/>
        </w:rPr>
        <w:t>8</w:t>
      </w:r>
      <w:bookmarkStart w:id="336" w:name="_Toc296346561"/>
      <w:bookmarkStart w:id="337" w:name="_Toc296503060"/>
      <w:bookmarkStart w:id="338" w:name="_Toc337558778"/>
      <w:r>
        <w:rPr>
          <w:rFonts w:hint="eastAsia" w:ascii="宋体" w:hAnsi="宋体" w:eastAsia="宋体" w:cs="宋体"/>
          <w:b w:val="0"/>
          <w:color w:val="auto"/>
          <w:sz w:val="24"/>
          <w:szCs w:val="24"/>
          <w:highlight w:val="none"/>
        </w:rPr>
        <w:t>.2承包人采购材料与工程设备</w:t>
      </w:r>
      <w:bookmarkEnd w:id="335"/>
      <w:bookmarkEnd w:id="336"/>
      <w:bookmarkEnd w:id="337"/>
      <w:bookmarkEnd w:id="338"/>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39" w:name="_Toc351203555"/>
      <w:r>
        <w:rPr>
          <w:rFonts w:hint="eastAsia" w:ascii="宋体" w:hAnsi="宋体" w:eastAsia="宋体" w:cs="宋体"/>
          <w:b w:val="0"/>
          <w:color w:val="auto"/>
          <w:sz w:val="24"/>
          <w:szCs w:val="24"/>
          <w:highlight w:val="none"/>
        </w:rPr>
        <w:t>8</w:t>
      </w:r>
      <w:bookmarkStart w:id="340" w:name="_Toc296346562"/>
      <w:bookmarkStart w:id="341" w:name="_Toc296503061"/>
      <w:bookmarkStart w:id="342" w:name="_Toc337558779"/>
      <w:r>
        <w:rPr>
          <w:rFonts w:hint="eastAsia" w:ascii="宋体" w:hAnsi="宋体" w:eastAsia="宋体" w:cs="宋体"/>
          <w:b w:val="0"/>
          <w:color w:val="auto"/>
          <w:sz w:val="24"/>
          <w:szCs w:val="24"/>
          <w:highlight w:val="none"/>
        </w:rPr>
        <w:t>.3材料与工程设备的接收与拒收</w:t>
      </w:r>
      <w:bookmarkEnd w:id="339"/>
      <w:bookmarkEnd w:id="340"/>
      <w:bookmarkEnd w:id="341"/>
      <w:bookmarkEnd w:id="342"/>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8.3.2 承包人采购的材料和工程设备，应保证产品质量合格，承包人应在材料和工程设备到货前24小时通知监理人检验。承</w:t>
      </w:r>
      <w:bookmarkStart w:id="343" w:name="_Toc250655469"/>
      <w:r>
        <w:rPr>
          <w:rFonts w:hint="eastAsia" w:ascii="宋体" w:hAnsi="宋体" w:eastAsia="宋体" w:cs="宋体"/>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bookmarkEnd w:id="343"/>
    </w:p>
    <w:p>
      <w:pPr>
        <w:autoSpaceDE w:val="0"/>
        <w:autoSpaceDN w:val="0"/>
        <w:adjustRightInd w:val="0"/>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44" w:name="_Toc351203556"/>
      <w:r>
        <w:rPr>
          <w:rFonts w:hint="eastAsia" w:ascii="宋体" w:hAnsi="宋体" w:eastAsia="宋体" w:cs="宋体"/>
          <w:b w:val="0"/>
          <w:color w:val="auto"/>
          <w:sz w:val="24"/>
          <w:szCs w:val="24"/>
          <w:highlight w:val="none"/>
        </w:rPr>
        <w:t>8</w:t>
      </w:r>
      <w:bookmarkStart w:id="345" w:name="_Toc296503062"/>
      <w:bookmarkStart w:id="346" w:name="_Toc296346563"/>
      <w:bookmarkStart w:id="347" w:name="_Toc337558780"/>
      <w:r>
        <w:rPr>
          <w:rFonts w:hint="eastAsia" w:ascii="宋体" w:hAnsi="宋体" w:eastAsia="宋体" w:cs="宋体"/>
          <w:b w:val="0"/>
          <w:color w:val="auto"/>
          <w:sz w:val="24"/>
          <w:szCs w:val="24"/>
          <w:highlight w:val="none"/>
        </w:rPr>
        <w:t>.4材料与工程设备的保管与使用</w:t>
      </w:r>
      <w:bookmarkEnd w:id="344"/>
      <w:bookmarkEnd w:id="345"/>
      <w:bookmarkEnd w:id="346"/>
      <w:bookmarkEnd w:id="347"/>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8.4.1 发包人供应</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发包人供应的材料和工程设备使用前，由承包人负责检验，检验费用由发包人承担，不合格的不得使用。</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8.4.2 承包人采购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48" w:name="_Toc351203557"/>
      <w:r>
        <w:rPr>
          <w:rFonts w:hint="eastAsia" w:ascii="宋体" w:hAnsi="宋体" w:eastAsia="宋体" w:cs="宋体"/>
          <w:b w:val="0"/>
          <w:color w:val="auto"/>
          <w:sz w:val="24"/>
          <w:szCs w:val="24"/>
          <w:highlight w:val="none"/>
        </w:rPr>
        <w:t>8.5禁止使用不合格的材料和工程设备</w:t>
      </w:r>
      <w:bookmarkEnd w:id="348"/>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49" w:name="_Toc351203558"/>
      <w:r>
        <w:rPr>
          <w:rFonts w:hint="eastAsia" w:ascii="宋体" w:hAnsi="宋体" w:eastAsia="宋体" w:cs="宋体"/>
          <w:b w:val="0"/>
          <w:color w:val="auto"/>
          <w:sz w:val="24"/>
          <w:szCs w:val="24"/>
          <w:highlight w:val="none"/>
        </w:rPr>
        <w:t>8.6 样品</w:t>
      </w:r>
      <w:bookmarkEnd w:id="349"/>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8.6.2 样品的保管</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经批准的样品应由监理人负责封存于现场，承包人应在现场为保存样品提供适当和固定的场所并保持适当和良好的存储环境条件。</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50" w:name="_Toc351203559"/>
      <w:r>
        <w:rPr>
          <w:rFonts w:hint="eastAsia" w:ascii="宋体" w:hAnsi="宋体" w:eastAsia="宋体" w:cs="宋体"/>
          <w:b w:val="0"/>
          <w:color w:val="auto"/>
          <w:sz w:val="24"/>
          <w:szCs w:val="24"/>
          <w:highlight w:val="none"/>
        </w:rPr>
        <w:t>8.7材料与工程设备的替代</w:t>
      </w:r>
      <w:bookmarkEnd w:id="350"/>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8.7.1 出现下列情况需要使用替代材料和工程设备的，承包人应按照第8.7.2项约定的程序执行：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（1）基准日期后生效的法律规定禁止使用的；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（2）发包人要求使用替代品的；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（3）因其他原因必须使用替代品的。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8.7.2 承包人应在使用替代材料和工程设备28天前书面通知监理人，并附下列文件：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（1）被替代的材料和工程设备的名称、数量、规格、型号、品牌、性能、价格及其他相关资料；</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（2）替代品的名称、数量、规格、型号、品牌、性能、价格及其他相关资料；</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（3）替代品与被替代产品之间的差异以及使用替代品可能对工程产生的影响；</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（4）替代品与被替代产品的价格差异；</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（5）使用替代品的理由和原因说明；</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（6）监理人要求的其他文件。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51" w:name="_Toc351203560"/>
      <w:r>
        <w:rPr>
          <w:rFonts w:hint="eastAsia" w:ascii="宋体" w:hAnsi="宋体" w:eastAsia="宋体" w:cs="宋体"/>
          <w:b w:val="0"/>
          <w:color w:val="auto"/>
          <w:sz w:val="24"/>
          <w:szCs w:val="24"/>
          <w:highlight w:val="none"/>
        </w:rPr>
        <w:t>8.8施工设备和临时设施</w:t>
      </w:r>
      <w:bookmarkEnd w:id="351"/>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8.8.1 承包人提供的施工设备和临时设施</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8.8.2发包人提供的施工设备和临时设施</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发包人提供的施工设备或临时设施在专用合同条款中约定。</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8.8.3要求承包人增加或更换施工设备</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52" w:name="_Toc351203561"/>
      <w:r>
        <w:rPr>
          <w:rFonts w:hint="eastAsia" w:ascii="宋体" w:hAnsi="宋体" w:eastAsia="宋体" w:cs="宋体"/>
          <w:b w:val="0"/>
          <w:color w:val="auto"/>
          <w:sz w:val="24"/>
          <w:szCs w:val="24"/>
          <w:highlight w:val="none"/>
        </w:rPr>
        <w:t>8</w:t>
      </w:r>
      <w:bookmarkStart w:id="353" w:name="_Toc337558781"/>
      <w:bookmarkStart w:id="354" w:name="_Toc296346564"/>
      <w:bookmarkStart w:id="355" w:name="_Toc296503063"/>
      <w:r>
        <w:rPr>
          <w:rFonts w:hint="eastAsia" w:ascii="宋体" w:hAnsi="宋体" w:eastAsia="宋体" w:cs="宋体"/>
          <w:b w:val="0"/>
          <w:color w:val="auto"/>
          <w:sz w:val="24"/>
          <w:szCs w:val="24"/>
          <w:highlight w:val="none"/>
        </w:rPr>
        <w:t>.9材料与设备专用</w:t>
      </w:r>
      <w:bookmarkEnd w:id="352"/>
      <w:r>
        <w:rPr>
          <w:rFonts w:hint="eastAsia" w:ascii="宋体" w:hAnsi="宋体" w:eastAsia="宋体" w:cs="宋体"/>
          <w:b w:val="0"/>
          <w:color w:val="auto"/>
          <w:sz w:val="24"/>
          <w:szCs w:val="24"/>
          <w:highlight w:val="none"/>
        </w:rPr>
        <w:t>要求</w:t>
      </w:r>
      <w:bookmarkEnd w:id="353"/>
      <w:bookmarkEnd w:id="354"/>
      <w:bookmarkEnd w:id="355"/>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334"/>
      <w:r>
        <w:rPr>
          <w:rFonts w:hint="eastAsia" w:ascii="宋体" w:hAnsi="宋体" w:eastAsia="宋体" w:cs="宋体"/>
          <w:color w:val="auto"/>
          <w:kern w:val="0"/>
          <w:sz w:val="24"/>
          <w:szCs w:val="24"/>
          <w:highlight w:val="none"/>
        </w:rPr>
        <w:t>经发包人批准，承包人可以根据施工进度计划撤走闲置的施工设备和其他物品。</w:t>
      </w:r>
    </w:p>
    <w:p>
      <w:pPr>
        <w:pStyle w:val="6"/>
        <w:spacing w:before="120" w:after="120" w:line="360" w:lineRule="auto"/>
        <w:rPr>
          <w:rFonts w:ascii="宋体" w:hAnsi="宋体" w:eastAsia="宋体" w:cs="宋体"/>
          <w:b w:val="0"/>
          <w:color w:val="auto"/>
          <w:sz w:val="24"/>
          <w:szCs w:val="24"/>
          <w:highlight w:val="none"/>
        </w:rPr>
      </w:pPr>
      <w:bookmarkStart w:id="356" w:name="_Toc351203562"/>
      <w:r>
        <w:rPr>
          <w:rFonts w:hint="eastAsia" w:ascii="宋体" w:hAnsi="宋体" w:eastAsia="宋体" w:cs="宋体"/>
          <w:b w:val="0"/>
          <w:color w:val="auto"/>
          <w:sz w:val="24"/>
          <w:szCs w:val="24"/>
          <w:highlight w:val="none"/>
        </w:rPr>
        <w:t>9</w:t>
      </w:r>
      <w:bookmarkStart w:id="357" w:name="_Toc337558782"/>
      <w:bookmarkStart w:id="358" w:name="_Toc296503083"/>
      <w:bookmarkStart w:id="359" w:name="_Toc296346584"/>
      <w:r>
        <w:rPr>
          <w:rFonts w:hint="eastAsia" w:ascii="宋体" w:hAnsi="宋体" w:eastAsia="宋体" w:cs="宋体"/>
          <w:b w:val="0"/>
          <w:color w:val="auto"/>
          <w:sz w:val="24"/>
          <w:szCs w:val="24"/>
          <w:highlight w:val="none"/>
        </w:rPr>
        <w:t>. 试验与检验</w:t>
      </w:r>
      <w:bookmarkEnd w:id="356"/>
      <w:bookmarkEnd w:id="357"/>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60" w:name="_Toc351203563"/>
      <w:r>
        <w:rPr>
          <w:rFonts w:hint="eastAsia" w:ascii="宋体" w:hAnsi="宋体" w:eastAsia="宋体" w:cs="宋体"/>
          <w:b w:val="0"/>
          <w:color w:val="auto"/>
          <w:sz w:val="24"/>
          <w:szCs w:val="24"/>
          <w:highlight w:val="none"/>
        </w:rPr>
        <w:t>9</w:t>
      </w:r>
      <w:bookmarkStart w:id="361" w:name="_Toc337558783"/>
      <w:r>
        <w:rPr>
          <w:rFonts w:hint="eastAsia" w:ascii="宋体" w:hAnsi="宋体" w:eastAsia="宋体" w:cs="宋体"/>
          <w:b w:val="0"/>
          <w:color w:val="auto"/>
          <w:sz w:val="24"/>
          <w:szCs w:val="24"/>
          <w:highlight w:val="none"/>
        </w:rPr>
        <w:t>.1试验设备与试验人员</w:t>
      </w:r>
      <w:bookmarkEnd w:id="360"/>
      <w:bookmarkEnd w:id="361"/>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9.1.2 承包人应按专用合同条款的约定提供试验设备、取样装置、试验场所和试验条件，并向监理人提交相应进场计划表。</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62" w:name="_Toc351203564"/>
      <w:r>
        <w:rPr>
          <w:rFonts w:hint="eastAsia" w:ascii="宋体" w:hAnsi="宋体" w:eastAsia="宋体" w:cs="宋体"/>
          <w:b w:val="0"/>
          <w:color w:val="auto"/>
          <w:sz w:val="24"/>
          <w:szCs w:val="24"/>
          <w:highlight w:val="none"/>
        </w:rPr>
        <w:t>9</w:t>
      </w:r>
      <w:bookmarkStart w:id="363" w:name="_Toc337558784"/>
      <w:r>
        <w:rPr>
          <w:rFonts w:hint="eastAsia" w:ascii="宋体" w:hAnsi="宋体" w:eastAsia="宋体" w:cs="宋体"/>
          <w:b w:val="0"/>
          <w:color w:val="auto"/>
          <w:sz w:val="24"/>
          <w:szCs w:val="24"/>
          <w:highlight w:val="none"/>
        </w:rPr>
        <w:t>.2取样</w:t>
      </w:r>
      <w:bookmarkEnd w:id="362"/>
      <w:bookmarkEnd w:id="363"/>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试验属于自检性质的，承包人可以单独取样。试验属于监理人抽检性质的，可由监理人取样，也可由承包人的试验人员在监理人的监督下取样。</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64" w:name="_Toc351203565"/>
      <w:r>
        <w:rPr>
          <w:rFonts w:hint="eastAsia" w:ascii="宋体" w:hAnsi="宋体" w:eastAsia="宋体" w:cs="宋体"/>
          <w:b w:val="0"/>
          <w:color w:val="auto"/>
          <w:sz w:val="24"/>
          <w:szCs w:val="24"/>
          <w:highlight w:val="none"/>
        </w:rPr>
        <w:t>9</w:t>
      </w:r>
      <w:bookmarkStart w:id="365" w:name="_Toc337558785"/>
      <w:r>
        <w:rPr>
          <w:rFonts w:hint="eastAsia" w:ascii="宋体" w:hAnsi="宋体" w:eastAsia="宋体" w:cs="宋体"/>
          <w:b w:val="0"/>
          <w:color w:val="auto"/>
          <w:sz w:val="24"/>
          <w:szCs w:val="24"/>
          <w:highlight w:val="none"/>
        </w:rPr>
        <w:t>.3材料、工程设备和工程的试验和检验</w:t>
      </w:r>
      <w:bookmarkEnd w:id="364"/>
      <w:bookmarkEnd w:id="365"/>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66" w:name="_Toc351203566"/>
      <w:r>
        <w:rPr>
          <w:rFonts w:hint="eastAsia" w:ascii="宋体" w:hAnsi="宋体" w:eastAsia="宋体" w:cs="宋体"/>
          <w:b w:val="0"/>
          <w:color w:val="auto"/>
          <w:sz w:val="24"/>
          <w:szCs w:val="24"/>
          <w:highlight w:val="none"/>
        </w:rPr>
        <w:t>9</w:t>
      </w:r>
      <w:bookmarkStart w:id="367" w:name="_Toc337558786"/>
      <w:r>
        <w:rPr>
          <w:rFonts w:hint="eastAsia" w:ascii="宋体" w:hAnsi="宋体" w:eastAsia="宋体" w:cs="宋体"/>
          <w:b w:val="0"/>
          <w:color w:val="auto"/>
          <w:sz w:val="24"/>
          <w:szCs w:val="24"/>
          <w:highlight w:val="none"/>
        </w:rPr>
        <w:t>.4现场工艺试验</w:t>
      </w:r>
      <w:bookmarkEnd w:id="366"/>
      <w:bookmarkEnd w:id="367"/>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120" w:after="120" w:line="360" w:lineRule="auto"/>
        <w:rPr>
          <w:rFonts w:ascii="宋体" w:hAnsi="宋体" w:eastAsia="宋体" w:cs="宋体"/>
          <w:b w:val="0"/>
          <w:color w:val="auto"/>
          <w:sz w:val="24"/>
          <w:szCs w:val="24"/>
          <w:highlight w:val="none"/>
        </w:rPr>
      </w:pPr>
      <w:bookmarkStart w:id="368" w:name="_Toc351203567"/>
      <w:r>
        <w:rPr>
          <w:rFonts w:hint="eastAsia" w:ascii="宋体" w:hAnsi="宋体" w:eastAsia="宋体" w:cs="宋体"/>
          <w:b w:val="0"/>
          <w:color w:val="auto"/>
          <w:sz w:val="24"/>
          <w:szCs w:val="24"/>
          <w:highlight w:val="none"/>
        </w:rPr>
        <w:t>1</w:t>
      </w:r>
      <w:bookmarkStart w:id="369" w:name="_Toc337558787"/>
      <w:r>
        <w:rPr>
          <w:rFonts w:hint="eastAsia" w:ascii="宋体" w:hAnsi="宋体" w:eastAsia="宋体" w:cs="宋体"/>
          <w:b w:val="0"/>
          <w:color w:val="auto"/>
          <w:sz w:val="24"/>
          <w:szCs w:val="24"/>
          <w:highlight w:val="none"/>
        </w:rPr>
        <w:t>0. 变更</w:t>
      </w:r>
      <w:bookmarkEnd w:id="358"/>
      <w:bookmarkEnd w:id="359"/>
      <w:bookmarkEnd w:id="368"/>
      <w:bookmarkEnd w:id="369"/>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70" w:name="_Toc351203568"/>
      <w:r>
        <w:rPr>
          <w:rFonts w:hint="eastAsia" w:ascii="宋体" w:hAnsi="宋体" w:eastAsia="宋体" w:cs="宋体"/>
          <w:b w:val="0"/>
          <w:color w:val="auto"/>
          <w:sz w:val="24"/>
          <w:szCs w:val="24"/>
          <w:highlight w:val="none"/>
        </w:rPr>
        <w:t>1</w:t>
      </w:r>
      <w:bookmarkStart w:id="371" w:name="_Toc296346585"/>
      <w:bookmarkStart w:id="372" w:name="_Toc337558788"/>
      <w:bookmarkStart w:id="373" w:name="_Toc296503084"/>
      <w:r>
        <w:rPr>
          <w:rFonts w:hint="eastAsia" w:ascii="宋体" w:hAnsi="宋体" w:eastAsia="宋体" w:cs="宋体"/>
          <w:b w:val="0"/>
          <w:color w:val="auto"/>
          <w:sz w:val="24"/>
          <w:szCs w:val="24"/>
          <w:highlight w:val="none"/>
        </w:rPr>
        <w:t>0.1变更的范围</w:t>
      </w:r>
      <w:bookmarkEnd w:id="370"/>
      <w:bookmarkEnd w:id="371"/>
      <w:bookmarkEnd w:id="372"/>
      <w:bookmarkEnd w:id="373"/>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除专用合同条款另有约定外，合同履行过程中发生以下情形的，应按照本条约定进行变更：</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（1）增加或减少合同中任何工作，或追加额外的工作；</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（2）取消合同中任何工作，但转由他人实施的工作除外；</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（3）改变合同中任何工作的质量标准或其他特性；</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（4）改变工程的基线、标高、位置和尺寸；</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（5）改变工程的时间安排或实施顺序。</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74" w:name="_Toc351203569"/>
      <w:r>
        <w:rPr>
          <w:rFonts w:hint="eastAsia" w:ascii="宋体" w:hAnsi="宋体" w:eastAsia="宋体" w:cs="宋体"/>
          <w:b w:val="0"/>
          <w:color w:val="auto"/>
          <w:sz w:val="24"/>
          <w:szCs w:val="24"/>
          <w:highlight w:val="none"/>
        </w:rPr>
        <w:t>1</w:t>
      </w:r>
      <w:bookmarkStart w:id="375" w:name="_Toc296346586"/>
      <w:bookmarkStart w:id="376" w:name="_Toc296503085"/>
      <w:bookmarkStart w:id="377" w:name="_Toc337558789"/>
      <w:r>
        <w:rPr>
          <w:rFonts w:hint="eastAsia" w:ascii="宋体" w:hAnsi="宋体" w:eastAsia="宋体" w:cs="宋体"/>
          <w:b w:val="0"/>
          <w:color w:val="auto"/>
          <w:sz w:val="24"/>
          <w:szCs w:val="24"/>
          <w:highlight w:val="none"/>
        </w:rPr>
        <w:t>0.2变更权</w:t>
      </w:r>
      <w:bookmarkEnd w:id="374"/>
      <w:bookmarkEnd w:id="375"/>
      <w:bookmarkEnd w:id="376"/>
      <w:bookmarkEnd w:id="377"/>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涉及设计变更的，应由设计人提供变更后的图纸和说明。如变更超过原设计标准或批准的建设规模时，发包人应及时办理规划、设计变更等审批手续。</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78" w:name="_Toc351203570"/>
      <w:r>
        <w:rPr>
          <w:rFonts w:hint="eastAsia" w:ascii="宋体" w:hAnsi="宋体" w:eastAsia="宋体" w:cs="宋体"/>
          <w:b w:val="0"/>
          <w:color w:val="auto"/>
          <w:sz w:val="24"/>
          <w:szCs w:val="24"/>
          <w:highlight w:val="none"/>
        </w:rPr>
        <w:t>1</w:t>
      </w:r>
      <w:bookmarkStart w:id="379" w:name="_Toc296503086"/>
      <w:bookmarkStart w:id="380" w:name="_Toc337558790"/>
      <w:bookmarkStart w:id="381" w:name="_Toc296346587"/>
      <w:r>
        <w:rPr>
          <w:rFonts w:hint="eastAsia" w:ascii="宋体" w:hAnsi="宋体" w:eastAsia="宋体" w:cs="宋体"/>
          <w:b w:val="0"/>
          <w:color w:val="auto"/>
          <w:sz w:val="24"/>
          <w:szCs w:val="24"/>
          <w:highlight w:val="none"/>
        </w:rPr>
        <w:t>0.3变更程序</w:t>
      </w:r>
      <w:bookmarkEnd w:id="378"/>
      <w:bookmarkEnd w:id="379"/>
      <w:bookmarkEnd w:id="380"/>
      <w:bookmarkEnd w:id="381"/>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kern w:val="0"/>
          <w:sz w:val="24"/>
          <w:szCs w:val="24"/>
          <w:highlight w:val="none"/>
        </w:rPr>
        <w:t>.3.1 发包人提出变更</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发包人提出变更的，应通过监理人向承包人发出变更指示，变更指示应说明计划变更的工程范围和变更的内容。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kern w:val="0"/>
          <w:sz w:val="24"/>
          <w:szCs w:val="24"/>
          <w:highlight w:val="none"/>
        </w:rPr>
        <w:t>.3.2 监理人提出变更建议</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10.3.3 变更执行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82" w:name="_Toc351203571"/>
      <w:r>
        <w:rPr>
          <w:rFonts w:hint="eastAsia" w:ascii="宋体" w:hAnsi="宋体" w:eastAsia="宋体" w:cs="宋体"/>
          <w:b w:val="0"/>
          <w:color w:val="auto"/>
          <w:sz w:val="24"/>
          <w:szCs w:val="24"/>
          <w:highlight w:val="none"/>
        </w:rPr>
        <w:t>1</w:t>
      </w:r>
      <w:bookmarkStart w:id="383" w:name="_Toc337558791"/>
      <w:bookmarkStart w:id="384" w:name="_Toc296503087"/>
      <w:bookmarkStart w:id="385" w:name="_Toc296346588"/>
      <w:r>
        <w:rPr>
          <w:rFonts w:hint="eastAsia" w:ascii="宋体" w:hAnsi="宋体" w:eastAsia="宋体" w:cs="宋体"/>
          <w:b w:val="0"/>
          <w:color w:val="auto"/>
          <w:sz w:val="24"/>
          <w:szCs w:val="24"/>
          <w:highlight w:val="none"/>
        </w:rPr>
        <w:t>0.4变更估价</w:t>
      </w:r>
      <w:bookmarkEnd w:id="382"/>
      <w:bookmarkEnd w:id="383"/>
      <w:bookmarkEnd w:id="384"/>
      <w:bookmarkEnd w:id="385"/>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10.4.1 变更估价原则</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除专用合同条款另有约定外，变更估价按照本款约定处理：</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（1）已标价工程量清单或预算书有相同项目的，按照相同项目单价认定；</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（2）已标价工程量清单或预算书中无相同项目，但有类似项目的，参照类似项目的单价认定；</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10.4.2 变更估价程序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因变更引起的价格调整应计入最近一期的进度款中支付。</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86" w:name="_Toc351203572"/>
      <w:r>
        <w:rPr>
          <w:rFonts w:hint="eastAsia" w:ascii="宋体" w:hAnsi="宋体" w:eastAsia="宋体" w:cs="宋体"/>
          <w:b w:val="0"/>
          <w:color w:val="auto"/>
          <w:sz w:val="24"/>
          <w:szCs w:val="24"/>
          <w:highlight w:val="none"/>
        </w:rPr>
        <w:t>1</w:t>
      </w:r>
      <w:bookmarkStart w:id="387" w:name="_Toc337558792"/>
      <w:bookmarkStart w:id="388" w:name="_Toc296503094"/>
      <w:bookmarkStart w:id="389" w:name="_Toc296346595"/>
      <w:r>
        <w:rPr>
          <w:rFonts w:hint="eastAsia" w:ascii="宋体" w:hAnsi="宋体" w:eastAsia="宋体" w:cs="宋体"/>
          <w:b w:val="0"/>
          <w:color w:val="auto"/>
          <w:sz w:val="24"/>
          <w:szCs w:val="24"/>
          <w:highlight w:val="none"/>
        </w:rPr>
        <w:t>0.5承包人的合理化建议</w:t>
      </w:r>
      <w:bookmarkEnd w:id="386"/>
      <w:bookmarkEnd w:id="387"/>
      <w:bookmarkEnd w:id="388"/>
      <w:bookmarkEnd w:id="389"/>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合理化建议降低了合同价格或者提高了工程经济效益的，发包人可对承包人给予奖励，奖励的方法和金额在专用合同条款中约定。</w:t>
      </w:r>
    </w:p>
    <w:p>
      <w:pPr>
        <w:pStyle w:val="7"/>
        <w:spacing w:before="120" w:after="120" w:line="360" w:lineRule="auto"/>
        <w:ind w:firstLine="480" w:firstLineChars="200"/>
        <w:rPr>
          <w:rFonts w:ascii="宋体" w:hAnsi="宋体" w:eastAsia="宋体" w:cs="宋体"/>
          <w:color w:val="auto"/>
          <w:sz w:val="24"/>
          <w:szCs w:val="24"/>
          <w:highlight w:val="none"/>
        </w:rPr>
      </w:pPr>
      <w:bookmarkStart w:id="390" w:name="_Toc351203573"/>
      <w:r>
        <w:rPr>
          <w:rFonts w:hint="eastAsia" w:ascii="宋体" w:hAnsi="宋体" w:eastAsia="宋体" w:cs="宋体"/>
          <w:b w:val="0"/>
          <w:color w:val="auto"/>
          <w:sz w:val="24"/>
          <w:szCs w:val="24"/>
          <w:highlight w:val="none"/>
        </w:rPr>
        <w:t>1</w:t>
      </w:r>
      <w:bookmarkStart w:id="391" w:name="_Toc337558793"/>
      <w:r>
        <w:rPr>
          <w:rFonts w:hint="eastAsia" w:ascii="宋体" w:hAnsi="宋体" w:eastAsia="宋体" w:cs="宋体"/>
          <w:b w:val="0"/>
          <w:color w:val="auto"/>
          <w:sz w:val="24"/>
          <w:szCs w:val="24"/>
          <w:highlight w:val="none"/>
        </w:rPr>
        <w:t>0.6变更引起的工期调整</w:t>
      </w:r>
      <w:bookmarkEnd w:id="390"/>
      <w:r>
        <w:rPr>
          <w:rFonts w:hint="eastAsia" w:ascii="宋体" w:hAnsi="宋体" w:eastAsia="宋体" w:cs="宋体"/>
          <w:b w:val="0"/>
          <w:color w:val="auto"/>
          <w:sz w:val="24"/>
          <w:szCs w:val="24"/>
          <w:highlight w:val="none"/>
        </w:rPr>
        <w:t xml:space="preserve"> </w:t>
      </w:r>
      <w:bookmarkEnd w:id="391"/>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92" w:name="_Toc351203574"/>
      <w:r>
        <w:rPr>
          <w:rFonts w:hint="eastAsia" w:ascii="宋体" w:hAnsi="宋体" w:eastAsia="宋体" w:cs="宋体"/>
          <w:b w:val="0"/>
          <w:color w:val="auto"/>
          <w:sz w:val="24"/>
          <w:szCs w:val="24"/>
          <w:highlight w:val="none"/>
        </w:rPr>
        <w:t>10.7暂估价</w:t>
      </w:r>
      <w:bookmarkEnd w:id="392"/>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暂估价专业分包工程、服务、材料和工程设备的明细由合同当事人在专用合同条款中约定。</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10.7.1</w:t>
      </w:r>
      <w:r>
        <w:rPr>
          <w:rFonts w:hint="eastAsia" w:ascii="宋体" w:hAnsi="宋体" w:eastAsia="宋体" w:cs="宋体"/>
          <w:color w:val="auto"/>
          <w:kern w:val="0"/>
          <w:sz w:val="24"/>
          <w:szCs w:val="24"/>
          <w:highlight w:val="none"/>
        </w:rPr>
        <w:t xml:space="preserve"> 依法必须招标的暂估价项目</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对于依法必须招标的暂估价项目，采取以下第1种方式确定。合同当事人也可以在专用合同条款中选择其他招标方式。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第1种方式：对于依法必须招标的暂估价项目，由承包人招标，对该暂估价项目的确认和批准按照以下约定执行：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10.7.2</w:t>
      </w:r>
      <w:r>
        <w:rPr>
          <w:rFonts w:hint="eastAsia" w:ascii="宋体" w:hAnsi="宋体" w:eastAsia="宋体" w:cs="宋体"/>
          <w:color w:val="auto"/>
          <w:kern w:val="0"/>
          <w:sz w:val="24"/>
          <w:szCs w:val="24"/>
          <w:highlight w:val="none"/>
        </w:rPr>
        <w:t>不属于依法必须招标的暂估价项目</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除专用合同条款另有约定外，对于不属于依法必须招标的暂估价项目，采取以下第1种方式确定： </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第1种方式：对于不属于依法必须招标的暂估价项目，按本项约定确认和批准：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（2）发包人认为承包人确定的供应商、分包人无法满足工程质量或合同要求的，发包人可以要求承包人重新确定暂估价项目的供应商、分包人;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（3）承包人应当在签订暂估价合同后7天内，将暂估价合同副本报送发包人留存。</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第2种方式：承包人按照第10.7.1项〔依法必须招标的暂估价项目〕约定的第1种方式确定暂估价项目。</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93" w:name="_Toc351203575"/>
      <w:r>
        <w:rPr>
          <w:rFonts w:hint="eastAsia" w:ascii="宋体" w:hAnsi="宋体" w:eastAsia="宋体" w:cs="宋体"/>
          <w:b w:val="0"/>
          <w:color w:val="auto"/>
          <w:sz w:val="24"/>
          <w:szCs w:val="24"/>
          <w:highlight w:val="none"/>
        </w:rPr>
        <w:t>1</w:t>
      </w:r>
      <w:bookmarkStart w:id="394" w:name="_Toc337558794"/>
      <w:bookmarkStart w:id="395" w:name="_Toc322522561"/>
      <w:bookmarkStart w:id="396" w:name="_Toc296503090"/>
      <w:bookmarkStart w:id="397" w:name="_Toc296346591"/>
      <w:r>
        <w:rPr>
          <w:rFonts w:hint="eastAsia" w:ascii="宋体" w:hAnsi="宋体" w:eastAsia="宋体" w:cs="宋体"/>
          <w:b w:val="0"/>
          <w:color w:val="auto"/>
          <w:sz w:val="24"/>
          <w:szCs w:val="24"/>
          <w:highlight w:val="none"/>
        </w:rPr>
        <w:t>0.8暂列金额</w:t>
      </w:r>
      <w:bookmarkEnd w:id="393"/>
      <w:bookmarkEnd w:id="394"/>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暂列金额应按照发包人的要求使用，发包人的要求应通过监理人发出。合同当事人可以在专用合同条款中协商确定有关事项。</w:t>
      </w:r>
      <w:bookmarkEnd w:id="395"/>
      <w:bookmarkEnd w:id="396"/>
      <w:bookmarkEnd w:id="397"/>
    </w:p>
    <w:p>
      <w:pPr>
        <w:pStyle w:val="7"/>
        <w:spacing w:before="120" w:after="120" w:line="360" w:lineRule="auto"/>
        <w:ind w:firstLine="480" w:firstLineChars="200"/>
        <w:rPr>
          <w:rFonts w:ascii="宋体" w:hAnsi="宋体" w:eastAsia="宋体" w:cs="宋体"/>
          <w:b w:val="0"/>
          <w:color w:val="auto"/>
          <w:sz w:val="24"/>
          <w:szCs w:val="24"/>
          <w:highlight w:val="none"/>
        </w:rPr>
      </w:pPr>
      <w:bookmarkStart w:id="398" w:name="_Toc351203576"/>
      <w:r>
        <w:rPr>
          <w:rFonts w:hint="eastAsia" w:ascii="宋体" w:hAnsi="宋体" w:eastAsia="宋体" w:cs="宋体"/>
          <w:b w:val="0"/>
          <w:color w:val="auto"/>
          <w:sz w:val="24"/>
          <w:szCs w:val="24"/>
          <w:highlight w:val="none"/>
        </w:rPr>
        <w:t>1</w:t>
      </w:r>
      <w:bookmarkStart w:id="399" w:name="_Toc296346592"/>
      <w:bookmarkStart w:id="400" w:name="_Toc337558796"/>
      <w:bookmarkStart w:id="401" w:name="_Toc296503091"/>
      <w:r>
        <w:rPr>
          <w:rFonts w:hint="eastAsia" w:ascii="宋体" w:hAnsi="宋体" w:eastAsia="宋体" w:cs="宋体"/>
          <w:b w:val="0"/>
          <w:color w:val="auto"/>
          <w:sz w:val="24"/>
          <w:szCs w:val="24"/>
          <w:highlight w:val="none"/>
        </w:rPr>
        <w:t>0.9计日工</w:t>
      </w:r>
      <w:bookmarkEnd w:id="398"/>
      <w:r>
        <w:rPr>
          <w:rFonts w:hint="eastAsia" w:ascii="宋体" w:hAnsi="宋体" w:eastAsia="宋体" w:cs="宋体"/>
          <w:b w:val="0"/>
          <w:color w:val="auto"/>
          <w:sz w:val="24"/>
          <w:szCs w:val="24"/>
          <w:highlight w:val="none"/>
        </w:rPr>
        <w:t xml:space="preserve"> </w:t>
      </w:r>
      <w:bookmarkEnd w:id="399"/>
      <w:bookmarkEnd w:id="400"/>
      <w:bookmarkEnd w:id="401"/>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采用计日工计价的任何一项工作，承包人应在该项工作实施过程中，每天提交以下报表和有关凭证报送监理人审查：</w:t>
      </w:r>
    </w:p>
    <w:p>
      <w:pPr>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（1）工作名称、内容和数量；</w:t>
      </w:r>
    </w:p>
    <w:p>
      <w:pPr>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（2）投入该工作的所有人员的姓名、专业、工种、级别和耗用工时；</w:t>
      </w:r>
    </w:p>
    <w:p>
      <w:pPr>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（3）投入该工作的材料类别和数量；</w:t>
      </w:r>
    </w:p>
    <w:p>
      <w:pPr>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（4）投入该工作的施工设备型号、台数和耗用台时；</w:t>
      </w:r>
    </w:p>
    <w:p>
      <w:pPr>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（5）其他有关资料和凭证。</w:t>
      </w:r>
    </w:p>
    <w:p>
      <w:pPr>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计日工由承包人汇总后，列入最近一期进度付款申请单，由监理人审查并经发包人批准后列入进度付款。</w:t>
      </w:r>
    </w:p>
    <w:p>
      <w:pPr>
        <w:pStyle w:val="6"/>
        <w:spacing w:before="120" w:after="120" w:line="360" w:lineRule="auto"/>
        <w:rPr>
          <w:rFonts w:ascii="宋体" w:hAnsi="宋体" w:eastAsia="宋体" w:cs="宋体"/>
          <w:b w:val="0"/>
          <w:color w:val="auto"/>
          <w:sz w:val="24"/>
          <w:szCs w:val="24"/>
          <w:highlight w:val="none"/>
        </w:rPr>
      </w:pPr>
      <w:bookmarkStart w:id="402" w:name="_Toc351203577"/>
      <w:r>
        <w:rPr>
          <w:rFonts w:hint="eastAsia" w:ascii="宋体" w:hAnsi="宋体" w:eastAsia="宋体" w:cs="宋体"/>
          <w:b w:val="0"/>
          <w:color w:val="auto"/>
          <w:sz w:val="24"/>
          <w:szCs w:val="24"/>
          <w:highlight w:val="none"/>
        </w:rPr>
        <w:t>11. 价格调整</w:t>
      </w:r>
      <w:bookmarkEnd w:id="402"/>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03" w:name="_Toc337558797"/>
      <w:bookmarkStart w:id="404" w:name="_Toc351203578"/>
      <w:bookmarkStart w:id="405" w:name="_Toc296503092"/>
      <w:bookmarkStart w:id="406" w:name="_Toc296346593"/>
      <w:r>
        <w:rPr>
          <w:rFonts w:hint="eastAsia" w:ascii="宋体" w:hAnsi="宋体" w:eastAsia="宋体" w:cs="宋体"/>
          <w:b w:val="0"/>
          <w:color w:val="auto"/>
          <w:sz w:val="24"/>
          <w:szCs w:val="24"/>
          <w:highlight w:val="none"/>
        </w:rPr>
        <w:t>11.1市场价格波动引起的调整</w:t>
      </w:r>
      <w:bookmarkEnd w:id="403"/>
      <w:bookmarkEnd w:id="404"/>
      <w:bookmarkEnd w:id="405"/>
      <w:bookmarkEnd w:id="406"/>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（1）价格调整公式</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position w:val="-30"/>
          <w:sz w:val="24"/>
          <w:szCs w:val="24"/>
          <w:highlight w:val="none"/>
        </w:rPr>
        <w:object>
          <v:shape id="_x0000_i1025" o:spt="75" type="#_x0000_t75" style="height:43.5pt;width:360pt;" o:ole="t" filled="f" o:preferrelative="t" stroked="f" coordsize="21600,21600">
            <v:path/>
            <v:fill on="f" focussize="0,0"/>
            <v:stroke on="f" joinstyle="miter"/>
            <v:imagedata r:id="rId12" o:title=""/>
            <o:lock v:ext="edit" aspectratio="t"/>
            <w10:wrap type="none"/>
            <w10:anchorlock/>
          </v:shape>
          <o:OLEObject Type="Embed" ProgID="Equation.KSEE3" ShapeID="_x0000_i1025" DrawAspect="Content" ObjectID="_1468075725" r:id="rId11">
            <o:LockedField>false</o:LockedField>
          </o:OLEObject>
        </w:object>
      </w:r>
    </w:p>
    <w:p>
      <w:pPr>
        <w:tabs>
          <w:tab w:val="left" w:pos="0"/>
          <w:tab w:val="left" w:pos="360"/>
          <w:tab w:val="left" w:pos="540"/>
        </w:tabs>
        <w:spacing w:line="360" w:lineRule="auto"/>
        <w:ind w:firstLine="6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公式中：ΔP——需调整的价格差额；</w:t>
      </w:r>
    </w:p>
    <w:p>
      <w:pPr>
        <w:tabs>
          <w:tab w:val="left" w:pos="0"/>
          <w:tab w:val="left" w:pos="360"/>
          <w:tab w:val="left" w:pos="540"/>
        </w:tabs>
        <w:spacing w:line="360" w:lineRule="auto"/>
        <w:ind w:firstLine="1440" w:firstLineChars="600"/>
        <w:rPr>
          <w:rFonts w:ascii="宋体" w:hAnsi="宋体" w:eastAsia="宋体" w:cs="宋体"/>
          <w:color w:val="auto"/>
          <w:sz w:val="24"/>
          <w:szCs w:val="24"/>
          <w:highlight w:val="none"/>
        </w:rPr>
      </w:pPr>
      <w:r>
        <w:rPr>
          <w:rFonts w:hint="eastAsia" w:ascii="宋体" w:hAnsi="宋体" w:eastAsia="宋体" w:cs="宋体"/>
          <w:color w:val="auto"/>
          <w:position w:val="-6"/>
          <w:sz w:val="24"/>
          <w:szCs w:val="24"/>
          <w:highlight w:val="none"/>
        </w:rPr>
        <w:object>
          <v:shape id="_x0000_i1026" o:spt="75" type="#_x0000_t75" style="height:18pt;width:18pt;" o:ole="t" filled="f" o:preferrelative="t" stroked="f" coordsize="21600,21600">
            <v:path/>
            <v:fill on="f" focussize="0,0"/>
            <v:stroke on="f" joinstyle="miter"/>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ascii="宋体" w:hAnsi="宋体" w:eastAsia="宋体" w:cs="宋体"/>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A——定值权重（即不调部分的权重）；</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position w:val="-10"/>
          <w:sz w:val="24"/>
          <w:szCs w:val="24"/>
          <w:highlight w:val="none"/>
        </w:rPr>
        <w:object>
          <v:shape id="_x0000_i1027" o:spt="75" type="#_x0000_t75" style="height:20.25pt;width:101.25pt;" o:ole="t" filled="f" o:preferrelative="t" stroked="f" coordsize="21600,21600">
            <v:path/>
            <v:fill on="f" focussize="0,0"/>
            <v:stroke on="f" joinstyle="miter"/>
            <v:imagedata r:id="rId16" o:title=""/>
            <o:lock v:ext="edit" aspectratio="t"/>
            <w10:wrap type="none"/>
            <w10:anchorlock/>
          </v:shape>
          <o:OLEObject Type="Embed" ProgID="Equation.KSEE3" ShapeID="_x0000_i1027" DrawAspect="Content" ObjectID="_1468075727" r:id="rId15">
            <o:LockedField>false</o:LockedField>
          </o:OLEObject>
        </w:object>
      </w:r>
      <w:r>
        <w:rPr>
          <w:rFonts w:hint="eastAsia" w:ascii="宋体" w:hAnsi="宋体" w:eastAsia="宋体" w:cs="宋体"/>
          <w:color w:val="auto"/>
          <w:sz w:val="24"/>
          <w:szCs w:val="24"/>
          <w:highlight w:val="none"/>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position w:val="-10"/>
          <w:sz w:val="24"/>
          <w:szCs w:val="24"/>
          <w:highlight w:val="none"/>
        </w:rPr>
        <w:object>
          <v:shape id="_x0000_i1028" o:spt="75" type="#_x0000_t75" style="height:20.25pt;width:102pt;" o:ole="t" filled="f" o:preferrelative="t" stroked="f" coordsize="21600,21600">
            <v:path/>
            <v:fill on="f" focussize="0,0"/>
            <v:stroke on="f" joinstyle="miter"/>
            <v:imagedata r:id="rId18" o:title=""/>
            <o:lock v:ext="edit" aspectratio="t"/>
            <w10:wrap type="none"/>
            <w10:anchorlock/>
          </v:shape>
          <o:OLEObject Type="Embed" ProgID="Equation.KSEE3" ShapeID="_x0000_i1028" DrawAspect="Content" ObjectID="_1468075728" r:id="rId17">
            <o:LockedField>false</o:LockedField>
          </o:OLEObject>
        </w:object>
      </w:r>
      <w:r>
        <w:rPr>
          <w:rFonts w:hint="eastAsia" w:ascii="宋体" w:hAnsi="宋体" w:eastAsia="宋体" w:cs="宋体"/>
          <w:color w:val="auto"/>
          <w:sz w:val="24"/>
          <w:szCs w:val="24"/>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position w:val="-10"/>
          <w:sz w:val="24"/>
          <w:szCs w:val="24"/>
          <w:highlight w:val="none"/>
        </w:rPr>
        <w:object>
          <v:shape id="_x0000_i1029" o:spt="75" type="#_x0000_t75" style="height:20.25pt;width:108pt;" o:ole="t" filled="f" o:preferrelative="t" stroked="f" coordsize="21600,21600">
            <v:path/>
            <v:fill on="f" focussize="0,0"/>
            <v:stroke on="f" joinstyle="miter"/>
            <v:imagedata r:id="rId20" o:title=""/>
            <o:lock v:ext="edit" aspectratio="t"/>
            <w10:wrap type="none"/>
            <w10:anchorlock/>
          </v:shape>
          <o:OLEObject Type="Embed" ProgID="Equation.KSEE3" ShapeID="_x0000_i1029" DrawAspect="Content" ObjectID="_1468075729" r:id="rId19">
            <o:LockedField>false</o:LockedField>
          </o:OLEObject>
        </w:object>
      </w:r>
      <w:r>
        <w:rPr>
          <w:rFonts w:hint="eastAsia" w:ascii="宋体" w:hAnsi="宋体" w:eastAsia="宋体" w:cs="宋体"/>
          <w:color w:val="auto"/>
          <w:sz w:val="24"/>
          <w:szCs w:val="24"/>
          <w:highlight w:val="none"/>
        </w:rPr>
        <w:t>——各可调因子的基本价格指数，指基准日期的各可调因子的价格指数。</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（2）暂时确定调整差额</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（3）权重的调整</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因变更导致合同约定的权重不合理时，按照第4.4款〔商定或确定〕执行。</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（4）因承包人原因工期延误后的价格调整</w:t>
      </w:r>
    </w:p>
    <w:p>
      <w:pPr>
        <w:tabs>
          <w:tab w:val="left" w:pos="0"/>
          <w:tab w:val="left" w:pos="360"/>
          <w:tab w:val="left" w:pos="540"/>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（2）材料、工程设备价格变化的价款调整按照发包人提供的基准价格，按以下风险范围规定执行: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第3种方式：专用合同条款约定的其他方式。</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07" w:name="_Toc296503093"/>
      <w:bookmarkStart w:id="408" w:name="_Toc337558798"/>
      <w:bookmarkStart w:id="409" w:name="_Toc296346594"/>
      <w:bookmarkStart w:id="410" w:name="_Toc351203579"/>
      <w:r>
        <w:rPr>
          <w:rFonts w:hint="eastAsia" w:ascii="宋体" w:hAnsi="宋体" w:eastAsia="宋体" w:cs="宋体"/>
          <w:b w:val="0"/>
          <w:color w:val="auto"/>
          <w:sz w:val="24"/>
          <w:szCs w:val="24"/>
          <w:highlight w:val="none"/>
        </w:rPr>
        <w:t>11.2法律变化引起的调整</w:t>
      </w:r>
      <w:bookmarkEnd w:id="407"/>
      <w:bookmarkEnd w:id="408"/>
      <w:bookmarkEnd w:id="409"/>
      <w:bookmarkEnd w:id="410"/>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因法律变化引起的合同价格和工期调整，合同当事人无法达成一致的，由总监理工程师按第4.4款〔商定或确定〕的约定处理。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因承包人原因造成工期延误，在工期延误期间出现法律变化的，由此增加的费用和（或）延误的工期由承包人承担。</w:t>
      </w:r>
    </w:p>
    <w:p>
      <w:pPr>
        <w:pStyle w:val="6"/>
        <w:spacing w:before="120" w:after="120" w:line="360" w:lineRule="auto"/>
        <w:rPr>
          <w:rFonts w:ascii="宋体" w:hAnsi="宋体" w:eastAsia="宋体" w:cs="宋体"/>
          <w:b w:val="0"/>
          <w:color w:val="auto"/>
          <w:sz w:val="24"/>
          <w:szCs w:val="24"/>
          <w:highlight w:val="none"/>
        </w:rPr>
      </w:pPr>
      <w:bookmarkStart w:id="411" w:name="_Toc337558799"/>
      <w:bookmarkStart w:id="412" w:name="_Toc351203580"/>
      <w:bookmarkStart w:id="413" w:name="_Toc296346597"/>
      <w:bookmarkStart w:id="414" w:name="_Toc296503096"/>
      <w:r>
        <w:rPr>
          <w:rFonts w:hint="eastAsia" w:ascii="宋体" w:hAnsi="宋体" w:eastAsia="宋体" w:cs="宋体"/>
          <w:b w:val="0"/>
          <w:color w:val="auto"/>
          <w:sz w:val="24"/>
          <w:szCs w:val="24"/>
          <w:highlight w:val="none"/>
        </w:rPr>
        <w:t>12. 合同价格、计量与支付</w:t>
      </w:r>
      <w:bookmarkEnd w:id="411"/>
      <w:bookmarkEnd w:id="412"/>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15" w:name="_Toc337558800"/>
      <w:bookmarkStart w:id="416" w:name="_Toc351203581"/>
      <w:r>
        <w:rPr>
          <w:rFonts w:hint="eastAsia" w:ascii="宋体" w:hAnsi="宋体" w:eastAsia="宋体" w:cs="宋体"/>
          <w:b w:val="0"/>
          <w:color w:val="auto"/>
          <w:sz w:val="24"/>
          <w:szCs w:val="24"/>
          <w:highlight w:val="none"/>
        </w:rPr>
        <w:t>12.1 合同价</w:t>
      </w:r>
      <w:bookmarkEnd w:id="413"/>
      <w:bookmarkEnd w:id="414"/>
      <w:r>
        <w:rPr>
          <w:rFonts w:hint="eastAsia" w:ascii="宋体" w:hAnsi="宋体" w:eastAsia="宋体" w:cs="宋体"/>
          <w:b w:val="0"/>
          <w:color w:val="auto"/>
          <w:sz w:val="24"/>
          <w:szCs w:val="24"/>
          <w:highlight w:val="none"/>
        </w:rPr>
        <w:t>格形式</w:t>
      </w:r>
      <w:bookmarkEnd w:id="415"/>
      <w:bookmarkEnd w:id="416"/>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发包人和承包人应在合同协议书中选择下列一种合同价格形式： </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szCs w:val="24"/>
          <w:highlight w:val="none"/>
        </w:rPr>
        <w:t>在约定的范围内合同单价不作调整</w:t>
      </w:r>
      <w:r>
        <w:rPr>
          <w:rFonts w:hint="eastAsia" w:ascii="宋体" w:hAnsi="宋体" w:eastAsia="宋体" w:cs="宋体"/>
          <w:color w:val="auto"/>
          <w:kern w:val="0"/>
          <w:sz w:val="24"/>
          <w:szCs w:val="24"/>
          <w:highlight w:val="none"/>
        </w:rPr>
        <w:t>。合同当事人应在专用合同条款中约定综合单价包含的风险范围和风险费用的计算方法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并约定风险范围以外的合同价格的调整方法，其中因市场价格波动引起的调整按第11.1款〔市场价格波动引起的调整〕约定执行。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szCs w:val="24"/>
          <w:highlight w:val="none"/>
        </w:rPr>
        <w:t>在约定的范围内合同总价不作调整</w:t>
      </w:r>
      <w:r>
        <w:rPr>
          <w:rFonts w:hint="eastAsia" w:ascii="宋体" w:hAnsi="宋体" w:eastAsia="宋体" w:cs="宋体"/>
          <w:color w:val="auto"/>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3、其它价格形式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合同当事人可在专用合同条款中约定其他合同价格形式。</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17" w:name="_Toc296503097"/>
      <w:bookmarkStart w:id="418" w:name="_Toc296346598"/>
      <w:bookmarkStart w:id="419" w:name="_Toc351203582"/>
      <w:bookmarkStart w:id="420" w:name="_Toc337558801"/>
      <w:r>
        <w:rPr>
          <w:rFonts w:hint="eastAsia" w:ascii="宋体" w:hAnsi="宋体" w:eastAsia="宋体" w:cs="宋体"/>
          <w:b w:val="0"/>
          <w:color w:val="auto"/>
          <w:sz w:val="24"/>
          <w:szCs w:val="24"/>
          <w:highlight w:val="none"/>
        </w:rPr>
        <w:t>12.2预</w:t>
      </w:r>
      <w:bookmarkEnd w:id="417"/>
      <w:bookmarkEnd w:id="418"/>
      <w:bookmarkStart w:id="421" w:name="_Toc296503100"/>
      <w:bookmarkStart w:id="422" w:name="_Toc296346601"/>
      <w:r>
        <w:rPr>
          <w:rFonts w:hint="eastAsia" w:ascii="宋体" w:hAnsi="宋体" w:eastAsia="宋体" w:cs="宋体"/>
          <w:b w:val="0"/>
          <w:color w:val="auto"/>
          <w:sz w:val="24"/>
          <w:szCs w:val="24"/>
          <w:highlight w:val="none"/>
        </w:rPr>
        <w:t>付款</w:t>
      </w:r>
      <w:bookmarkEnd w:id="419"/>
      <w:bookmarkEnd w:id="420"/>
      <w:bookmarkEnd w:id="421"/>
      <w:bookmarkEnd w:id="422"/>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kern w:val="0"/>
          <w:sz w:val="24"/>
          <w:szCs w:val="24"/>
          <w:highlight w:val="none"/>
        </w:rPr>
        <w:t>1预付款的支付</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除专用合同条款另有约定外，预付款在进度付款中同比例扣回。在颁发工程接收证书前，提前解除合同的，尚未扣完的预付款应与合同价款一并结算。</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发包人在工程款中逐期扣回预付款后，预付款担保额度应相应减少，但剩余的预付款担保金额不得低于未被扣回的预付款金额。</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23" w:name="_Toc351203583"/>
      <w:bookmarkStart w:id="424" w:name="_Toc337558802"/>
      <w:r>
        <w:rPr>
          <w:rFonts w:hint="eastAsia" w:ascii="宋体" w:hAnsi="宋体" w:eastAsia="宋体" w:cs="宋体"/>
          <w:b w:val="0"/>
          <w:color w:val="auto"/>
          <w:sz w:val="24"/>
          <w:szCs w:val="24"/>
          <w:highlight w:val="none"/>
        </w:rPr>
        <w:t>12.3计量</w:t>
      </w:r>
      <w:bookmarkEnd w:id="423"/>
      <w:bookmarkEnd w:id="424"/>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12.3.1 计量原则</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12.3.2 计量周期</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除专用合同条款另有约定外，工程量的计量按月进行。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12.3.3 单价合同的计量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除专用合同条款另有约定外，单价合同的计量按照本项约定执行：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12.3.4 总价合同的计量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除专用合同条款另有约定外，按月计量支付的总价合同，按照本项约定执行：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（3）监理人未在收到承包人提交的工程量报表后的7天内完成复核的，承包人提交的工程量报告中的工程量视为承包人实际完成的工程量。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12.3.5 总价合同采用支付分解表计量支付的，可以按照第12.3.4项〔总价合同的计量〕约定进行计量，但合同价款按照支付分解表进行支付。</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12.3.6 其他价格形式合同的计量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合同当事人可在专用合同条款中约定其他价格形式合同的计量方式和程序。</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25" w:name="_Toc296346602"/>
      <w:bookmarkStart w:id="426" w:name="_Toc296503101"/>
      <w:bookmarkStart w:id="427" w:name="_Toc337558803"/>
      <w:bookmarkStart w:id="428" w:name="_Toc351203584"/>
      <w:r>
        <w:rPr>
          <w:rFonts w:hint="eastAsia" w:ascii="宋体" w:hAnsi="宋体" w:eastAsia="宋体" w:cs="宋体"/>
          <w:b w:val="0"/>
          <w:color w:val="auto"/>
          <w:sz w:val="24"/>
          <w:szCs w:val="24"/>
          <w:highlight w:val="none"/>
        </w:rPr>
        <w:t>12.4工程进度款支</w:t>
      </w:r>
      <w:bookmarkEnd w:id="425"/>
      <w:bookmarkEnd w:id="426"/>
      <w:r>
        <w:rPr>
          <w:rFonts w:hint="eastAsia" w:ascii="宋体" w:hAnsi="宋体" w:eastAsia="宋体" w:cs="宋体"/>
          <w:b w:val="0"/>
          <w:color w:val="auto"/>
          <w:sz w:val="24"/>
          <w:szCs w:val="24"/>
          <w:highlight w:val="none"/>
        </w:rPr>
        <w:t>付</w:t>
      </w:r>
      <w:bookmarkEnd w:id="427"/>
      <w:bookmarkEnd w:id="428"/>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kern w:val="0"/>
          <w:sz w:val="24"/>
          <w:szCs w:val="24"/>
          <w:highlight w:val="none"/>
        </w:rPr>
        <w:t>.1 付款周期</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除专用合同条款另有约定外，付款周期应按照第12.3.2项〔计量周期〕的约定与计量周期保持一致。</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kern w:val="0"/>
          <w:sz w:val="24"/>
          <w:szCs w:val="24"/>
          <w:highlight w:val="none"/>
        </w:rPr>
        <w:t>.2 进度付款申请单的编制</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除专用合同条款另有约定外，进度付款申请单应包括下列内容：</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（1）截至本次付款周期已完成工作对应的金额；</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（2）根据第10条〔变更〕应增加和扣减的变更金额；</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（3）根据第12.2款〔预付款〕约定应支付的预付款和扣减的返还预付款；</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（4）根据第15.3款〔质量保证金〕约定应扣减的质量保证金；</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（5）根据第19条〔索赔〕应增加和扣减的索赔金额；</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（6）对已签发的进度款支付证书中出现错误的修正，应在本次进度付款中支付或扣除的金额；</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（7）根据合同约定应增加和扣减的其他金额。</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12.4.3 进度付款申请单的提交</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（1）单价合同进度付款申请单的提交</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（2）总价合同进度付款申请单的提交</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（3）其他价格形式合同的进度付款申请单的提交</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合同当事人可在专用合同条款中约定其他价格形式合同的进度付款申请单的编制和提交程序。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kern w:val="0"/>
          <w:sz w:val="24"/>
          <w:szCs w:val="24"/>
          <w:highlight w:val="none"/>
        </w:rPr>
        <w:t>.4 进度款审核和支付</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12.4.5 进度付款的修正</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12.4.6 支付分解表</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1、支付分解表的编制要求</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（1）支付分解表中所列的每期付款金额，应为第12.4.2项〔进度付款申请单的编制〕第（1）目的估算金额；</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（2）实际进度与施工进度计划不一致的，合同当事人可按照第4.4款〔商定或确定〕修改支付分解表；</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（3）不采用支付分解表的，承包人应向发包人和监理人提交按季度编制的支付估算分解表，用于支付参考。</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2、总价合同支付分解表的编制与审批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（3）发包人逾期未完成支付分解表审批的，也未及时要求承包人进行修正和提供补充资料的，则承包人提交的支付分解表视为已经获得发包人批准。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3、单价合同的总价项目支付分解表的编制与审批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29" w:name="_Toc351203585"/>
      <w:r>
        <w:rPr>
          <w:rFonts w:hint="eastAsia" w:ascii="宋体" w:hAnsi="宋体" w:eastAsia="宋体" w:cs="宋体"/>
          <w:b w:val="0"/>
          <w:color w:val="auto"/>
          <w:sz w:val="24"/>
          <w:szCs w:val="24"/>
          <w:highlight w:val="none"/>
        </w:rPr>
        <w:t>12.5支付账户</w:t>
      </w:r>
      <w:bookmarkEnd w:id="429"/>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发包人应将合同价款支付至合同协议书中约定的承包人账户。</w:t>
      </w:r>
    </w:p>
    <w:p>
      <w:pPr>
        <w:pStyle w:val="6"/>
        <w:spacing w:before="120" w:after="120" w:line="360" w:lineRule="auto"/>
        <w:rPr>
          <w:rFonts w:ascii="宋体" w:hAnsi="宋体" w:eastAsia="宋体" w:cs="宋体"/>
          <w:b w:val="0"/>
          <w:color w:val="auto"/>
          <w:sz w:val="24"/>
          <w:szCs w:val="24"/>
          <w:highlight w:val="none"/>
        </w:rPr>
      </w:pPr>
      <w:bookmarkStart w:id="430" w:name="_Toc322522574"/>
      <w:bookmarkStart w:id="431" w:name="_Toc296346607"/>
      <w:bookmarkStart w:id="432" w:name="_Toc296503106"/>
      <w:bookmarkStart w:id="433" w:name="_Toc337558804"/>
      <w:bookmarkStart w:id="434" w:name="_Toc351203586"/>
      <w:r>
        <w:rPr>
          <w:rFonts w:hint="eastAsia" w:ascii="宋体" w:hAnsi="宋体" w:eastAsia="宋体" w:cs="宋体"/>
          <w:b w:val="0"/>
          <w:color w:val="auto"/>
          <w:sz w:val="24"/>
          <w:szCs w:val="24"/>
          <w:highlight w:val="none"/>
        </w:rPr>
        <w:t>13. 验收和工程试车</w:t>
      </w:r>
      <w:bookmarkEnd w:id="430"/>
      <w:bookmarkEnd w:id="431"/>
      <w:bookmarkEnd w:id="432"/>
      <w:bookmarkEnd w:id="433"/>
      <w:bookmarkEnd w:id="434"/>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35" w:name="_Toc351203587"/>
      <w:bookmarkStart w:id="436" w:name="_Toc337558805"/>
      <w:bookmarkStart w:id="437" w:name="_Toc296503110"/>
      <w:bookmarkStart w:id="438" w:name="_Toc296346611"/>
      <w:r>
        <w:rPr>
          <w:rFonts w:hint="eastAsia" w:ascii="宋体" w:hAnsi="宋体" w:eastAsia="宋体" w:cs="宋体"/>
          <w:b w:val="0"/>
          <w:color w:val="auto"/>
          <w:sz w:val="24"/>
          <w:szCs w:val="24"/>
          <w:highlight w:val="none"/>
        </w:rPr>
        <w:t>13.1分部分项工程验收</w:t>
      </w:r>
      <w:bookmarkEnd w:id="435"/>
      <w:bookmarkEnd w:id="436"/>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13.1.1 分部分项工程质量应符合国家有关工程施工验收规范、标准及合同约定，承包人应按照施工组织设计的要求完成分部分项工程施工。</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szCs w:val="24"/>
          <w:highlight w:val="none"/>
        </w:rPr>
        <w:t>分部分项工程未经验收的，不得进入下一道工序施工。</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分部分项工程的验收资料应当作为竣工资料的组成部分。</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39" w:name="_Toc337558806"/>
      <w:bookmarkStart w:id="440" w:name="_Toc351203588"/>
      <w:r>
        <w:rPr>
          <w:rFonts w:hint="eastAsia" w:ascii="宋体" w:hAnsi="宋体" w:eastAsia="宋体" w:cs="宋体"/>
          <w:b w:val="0"/>
          <w:color w:val="auto"/>
          <w:sz w:val="24"/>
          <w:szCs w:val="24"/>
          <w:highlight w:val="none"/>
        </w:rPr>
        <w:t>13.2竣工验收</w:t>
      </w:r>
      <w:bookmarkEnd w:id="437"/>
      <w:bookmarkEnd w:id="438"/>
      <w:bookmarkEnd w:id="439"/>
      <w:bookmarkEnd w:id="440"/>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13.2.1竣工验收条件</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工程具备以下条件的，承包人可以申请竣工验收：</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（2）已按合同约定编制了甩项工作和缺陷修补工作清单以及相应的施工计划；</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（3）已按合同约定的内容和份数备齐竣工资料。</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13.2.2竣工验收程序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除专用合同条款另有约定外，承包人申请竣工验收的，应当按照以下程序进行：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13.2.3竣工日期</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41" w:name="#go14"/>
      <w:bookmarkEnd w:id="441"/>
      <w:r>
        <w:rPr>
          <w:rFonts w:hint="eastAsia" w:ascii="宋体" w:hAnsi="宋体" w:eastAsia="宋体" w:cs="宋体"/>
          <w:color w:val="auto"/>
          <w:kern w:val="0"/>
          <w:sz w:val="24"/>
          <w:szCs w:val="24"/>
          <w:highlight w:val="none"/>
        </w:rPr>
        <w:t>收申请报告的日期为实际竣工日期；工程未经竣工验收，发包人擅自使用的，以转移占有工程之日为实际竣工日期。</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13.2.4 拒绝接收全部或部分工程</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13.2.5 移交、接收全部与部分工程</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除专用合同条款另有约定外，合同当事人应当在颁发工程接收证书后7天内完成工程的移交。</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42" w:name="_Toc296346612"/>
      <w:bookmarkStart w:id="443" w:name="_Toc296503111"/>
      <w:bookmarkStart w:id="444" w:name="_Toc351203589"/>
      <w:bookmarkStart w:id="445" w:name="_Toc337558807"/>
      <w:r>
        <w:rPr>
          <w:rFonts w:hint="eastAsia" w:ascii="宋体" w:hAnsi="宋体" w:eastAsia="宋体" w:cs="宋体"/>
          <w:b w:val="0"/>
          <w:color w:val="auto"/>
          <w:sz w:val="24"/>
          <w:szCs w:val="24"/>
          <w:highlight w:val="none"/>
        </w:rPr>
        <w:t>13.3工程试车</w:t>
      </w:r>
      <w:bookmarkEnd w:id="442"/>
      <w:bookmarkEnd w:id="443"/>
      <w:bookmarkEnd w:id="444"/>
      <w:bookmarkEnd w:id="445"/>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13.3.1试车程序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工程需要试车的，除专用合同条款另有约定外，试车内容应与承包人承包范围相一致，试车费用由承包人承担。工程试车应按如下程序进行：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13.3.2 试车中的责任</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120" w:after="120" w:line="360" w:lineRule="auto"/>
        <w:rPr>
          <w:rFonts w:ascii="宋体" w:hAnsi="宋体" w:eastAsia="宋体" w:cs="宋体"/>
          <w:b w:val="0"/>
          <w:color w:val="auto"/>
          <w:sz w:val="24"/>
          <w:szCs w:val="24"/>
          <w:highlight w:val="none"/>
        </w:rPr>
      </w:pPr>
      <w:bookmarkStart w:id="446" w:name="_Toc337558808"/>
      <w:r>
        <w:rPr>
          <w:rFonts w:hint="eastAsia" w:ascii="宋体" w:hAnsi="宋体" w:eastAsia="宋体" w:cs="宋体"/>
          <w:b w:val="0"/>
          <w:color w:val="auto"/>
          <w:sz w:val="24"/>
          <w:szCs w:val="24"/>
          <w:highlight w:val="none"/>
        </w:rPr>
        <w:t xml:space="preserve">    </w:t>
      </w:r>
      <w:bookmarkStart w:id="447" w:name="_Toc351203590"/>
      <w:r>
        <w:rPr>
          <w:rFonts w:hint="eastAsia" w:ascii="宋体" w:hAnsi="宋体" w:eastAsia="宋体" w:cs="宋体"/>
          <w:b w:val="0"/>
          <w:color w:val="auto"/>
          <w:sz w:val="24"/>
          <w:szCs w:val="24"/>
          <w:highlight w:val="none"/>
        </w:rPr>
        <w:t>13.4提前交付单位工程的验收</w:t>
      </w:r>
      <w:bookmarkEnd w:id="446"/>
      <w:bookmarkEnd w:id="447"/>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48" w:name="_Toc351203591"/>
      <w:r>
        <w:rPr>
          <w:rFonts w:hint="eastAsia" w:ascii="宋体" w:hAnsi="宋体" w:eastAsia="宋体" w:cs="宋体"/>
          <w:b w:val="0"/>
          <w:color w:val="auto"/>
          <w:sz w:val="24"/>
          <w:szCs w:val="24"/>
          <w:highlight w:val="none"/>
        </w:rPr>
        <w:t>13.5 施工期运行</w:t>
      </w:r>
      <w:bookmarkEnd w:id="448"/>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13.5.2 在施工期运行中发现工程或工程设备损坏或存在缺陷的，由承包人按第15.2款〔缺陷责任期〕约定进行修复。</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49" w:name="_Toc296346613"/>
      <w:bookmarkStart w:id="450" w:name="_Toc296503112"/>
      <w:bookmarkStart w:id="451" w:name="_Toc351203592"/>
      <w:bookmarkStart w:id="452" w:name="_Toc337558809"/>
      <w:r>
        <w:rPr>
          <w:rFonts w:hint="eastAsia" w:ascii="宋体" w:hAnsi="宋体" w:eastAsia="宋体" w:cs="宋体"/>
          <w:b w:val="0"/>
          <w:color w:val="auto"/>
          <w:sz w:val="24"/>
          <w:szCs w:val="24"/>
          <w:highlight w:val="none"/>
        </w:rPr>
        <w:t>13.6 竣工退</w:t>
      </w:r>
      <w:bookmarkEnd w:id="449"/>
      <w:bookmarkEnd w:id="450"/>
      <w:r>
        <w:rPr>
          <w:rFonts w:hint="eastAsia" w:ascii="宋体" w:hAnsi="宋体" w:eastAsia="宋体" w:cs="宋体"/>
          <w:b w:val="0"/>
          <w:color w:val="auto"/>
          <w:sz w:val="24"/>
          <w:szCs w:val="24"/>
          <w:highlight w:val="none"/>
        </w:rPr>
        <w:t>场</w:t>
      </w:r>
      <w:bookmarkEnd w:id="451"/>
      <w:bookmarkEnd w:id="452"/>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颁发工程接收证书后，承包人应按以下要求对施工现场进行清理：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（1）施工现场内残留的垃圾已全部清除出场；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（2）临时工程已拆除，场地已进行清理、平整或复原；</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（3）按合同约定应撤离的人员、承包人施工设备和剩余的材料，包括废弃的施工设备和材料，已按计划撤离施工现场；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（4）施工现场周边及其附近道路、河道的施工堆积物，已全部清理；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（5）施工现场其他场地清理工作已全部完成。</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13.6.2 地表还原</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pacing w:before="120" w:after="120" w:line="360" w:lineRule="auto"/>
        <w:rPr>
          <w:rFonts w:ascii="宋体" w:hAnsi="宋体" w:eastAsia="宋体" w:cs="宋体"/>
          <w:b w:val="0"/>
          <w:color w:val="auto"/>
          <w:sz w:val="24"/>
          <w:szCs w:val="24"/>
          <w:highlight w:val="none"/>
        </w:rPr>
      </w:pPr>
      <w:bookmarkStart w:id="453" w:name="_Toc337558810"/>
      <w:bookmarkStart w:id="454" w:name="_Toc351203593"/>
      <w:bookmarkStart w:id="455" w:name="_Toc296503113"/>
      <w:bookmarkStart w:id="456" w:name="_Toc296346614"/>
      <w:r>
        <w:rPr>
          <w:rFonts w:hint="eastAsia" w:ascii="宋体" w:hAnsi="宋体" w:eastAsia="宋体" w:cs="宋体"/>
          <w:b w:val="0"/>
          <w:color w:val="auto"/>
          <w:sz w:val="24"/>
          <w:szCs w:val="24"/>
          <w:highlight w:val="none"/>
        </w:rPr>
        <w:t>14. 竣工结算</w:t>
      </w:r>
      <w:bookmarkEnd w:id="453"/>
      <w:bookmarkEnd w:id="454"/>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57" w:name="_Toc351203594"/>
      <w:bookmarkStart w:id="458" w:name="_Toc337558811"/>
      <w:r>
        <w:rPr>
          <w:rFonts w:hint="eastAsia" w:ascii="宋体" w:hAnsi="宋体" w:eastAsia="宋体" w:cs="宋体"/>
          <w:b w:val="0"/>
          <w:color w:val="auto"/>
          <w:sz w:val="24"/>
          <w:szCs w:val="24"/>
          <w:highlight w:val="none"/>
        </w:rPr>
        <w:t>14.1 竣工结算申请</w:t>
      </w:r>
      <w:bookmarkEnd w:id="457"/>
      <w:bookmarkEnd w:id="458"/>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除专用合同条款另有约定外，</w:t>
      </w:r>
      <w:r>
        <w:rPr>
          <w:rFonts w:hint="eastAsia" w:ascii="宋体" w:hAnsi="宋体" w:eastAsia="宋体" w:cs="宋体"/>
          <w:color w:val="auto"/>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除专用合同条款另有约定外，竣工结算申请单应包括以下内容：</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（1）竣工结算合同价格；</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（2）发包人已支付承包人的款项；</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（3）应扣留的质量保证金； </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（4）发包人应支付承包人的合同价款。</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59" w:name="_Toc351203595"/>
      <w:bookmarkStart w:id="460" w:name="_Toc337558812"/>
      <w:r>
        <w:rPr>
          <w:rFonts w:hint="eastAsia" w:ascii="宋体" w:hAnsi="宋体" w:eastAsia="宋体" w:cs="宋体"/>
          <w:b w:val="0"/>
          <w:color w:val="auto"/>
          <w:sz w:val="24"/>
          <w:szCs w:val="24"/>
          <w:highlight w:val="none"/>
        </w:rPr>
        <w:t>14.2 竣工结算审核</w:t>
      </w:r>
      <w:bookmarkEnd w:id="459"/>
      <w:bookmarkEnd w:id="460"/>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szCs w:val="24"/>
          <w:highlight w:val="none"/>
        </w:rPr>
        <w:t>发包人对竣工</w:t>
      </w:r>
      <w:r>
        <w:rPr>
          <w:rFonts w:hint="eastAsia" w:ascii="宋体" w:hAnsi="宋体" w:eastAsia="宋体" w:cs="宋体"/>
          <w:color w:val="auto"/>
          <w:kern w:val="0"/>
          <w:sz w:val="24"/>
          <w:szCs w:val="24"/>
          <w:highlight w:val="none"/>
        </w:rPr>
        <w:t>结算</w:t>
      </w:r>
      <w:r>
        <w:rPr>
          <w:rFonts w:hint="eastAsia" w:ascii="宋体" w:hAnsi="宋体" w:eastAsia="宋体" w:cs="宋体"/>
          <w:color w:val="auto"/>
          <w:sz w:val="24"/>
          <w:szCs w:val="24"/>
          <w:highlight w:val="none"/>
        </w:rPr>
        <w:t>申请单有异议的，有权要求承包人进行修正和提供补充资料，承包人应提交修正后的竣工</w:t>
      </w:r>
      <w:r>
        <w:rPr>
          <w:rFonts w:hint="eastAsia" w:ascii="宋体" w:hAnsi="宋体" w:eastAsia="宋体" w:cs="宋体"/>
          <w:color w:val="auto"/>
          <w:kern w:val="0"/>
          <w:sz w:val="24"/>
          <w:szCs w:val="24"/>
          <w:highlight w:val="none"/>
        </w:rPr>
        <w:t>结算</w:t>
      </w:r>
      <w:r>
        <w:rPr>
          <w:rFonts w:hint="eastAsia" w:ascii="宋体" w:hAnsi="宋体" w:eastAsia="宋体" w:cs="宋体"/>
          <w:color w:val="auto"/>
          <w:sz w:val="24"/>
          <w:szCs w:val="24"/>
          <w:highlight w:val="none"/>
        </w:rPr>
        <w:t>申请单。</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61" w:name="_Toc337558813"/>
      <w:bookmarkStart w:id="462" w:name="_Toc351203596"/>
      <w:r>
        <w:rPr>
          <w:rFonts w:hint="eastAsia" w:ascii="宋体" w:hAnsi="宋体" w:eastAsia="宋体" w:cs="宋体"/>
          <w:b w:val="0"/>
          <w:color w:val="auto"/>
          <w:sz w:val="24"/>
          <w:szCs w:val="24"/>
          <w:highlight w:val="none"/>
        </w:rPr>
        <w:t>14.3 甩项竣工协议</w:t>
      </w:r>
      <w:bookmarkEnd w:id="461"/>
      <w:bookmarkEnd w:id="462"/>
    </w:p>
    <w:p>
      <w:pPr>
        <w:autoSpaceDE w:val="0"/>
        <w:autoSpaceDN w:val="0"/>
        <w:adjustRightInd w:val="0"/>
        <w:spacing w:line="360" w:lineRule="auto"/>
        <w:ind w:firstLine="470" w:firstLineChars="196"/>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63" w:name="_Toc351203597"/>
      <w:bookmarkStart w:id="464" w:name="_Toc337558814"/>
      <w:r>
        <w:rPr>
          <w:rFonts w:hint="eastAsia" w:ascii="宋体" w:hAnsi="宋体" w:eastAsia="宋体" w:cs="宋体"/>
          <w:b w:val="0"/>
          <w:color w:val="auto"/>
          <w:sz w:val="24"/>
          <w:szCs w:val="24"/>
          <w:highlight w:val="none"/>
        </w:rPr>
        <w:t>14.4 最终结清</w:t>
      </w:r>
      <w:bookmarkEnd w:id="463"/>
      <w:bookmarkEnd w:id="464"/>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w:t>
      </w:r>
      <w:r>
        <w:rPr>
          <w:rFonts w:hint="eastAsia" w:ascii="宋体" w:hAnsi="宋体" w:eastAsia="宋体" w:cs="宋体"/>
          <w:color w:val="auto"/>
          <w:kern w:val="0"/>
          <w:sz w:val="24"/>
          <w:szCs w:val="24"/>
          <w:highlight w:val="none"/>
        </w:rPr>
        <w:t>最终结清申请单</w:t>
      </w:r>
      <w:r>
        <w:rPr>
          <w:rFonts w:hint="eastAsia" w:ascii="宋体" w:hAnsi="宋体" w:eastAsia="宋体" w:cs="宋体"/>
          <w:color w:val="auto"/>
          <w:sz w:val="24"/>
          <w:szCs w:val="24"/>
          <w:highlight w:val="none"/>
        </w:rPr>
        <w:t>应列明质量保证金、应扣除的质量保证金、缺陷责任期内发生的增减费用。</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14.4.2 最终结清证书和支付</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（3）承包人对发包人颁发的最终结清证书有异议的，按第20条〔争议解决〕的约定办理。</w:t>
      </w:r>
    </w:p>
    <w:p>
      <w:pPr>
        <w:pStyle w:val="6"/>
        <w:spacing w:before="120" w:after="120" w:line="360" w:lineRule="auto"/>
        <w:rPr>
          <w:rFonts w:ascii="宋体" w:hAnsi="宋体" w:eastAsia="宋体" w:cs="宋体"/>
          <w:b w:val="0"/>
          <w:color w:val="auto"/>
          <w:sz w:val="24"/>
          <w:szCs w:val="24"/>
          <w:highlight w:val="none"/>
        </w:rPr>
      </w:pPr>
      <w:bookmarkStart w:id="465" w:name="_Toc351203598"/>
      <w:bookmarkStart w:id="466" w:name="_Toc337558815"/>
      <w:r>
        <w:rPr>
          <w:rFonts w:hint="eastAsia" w:ascii="宋体" w:hAnsi="宋体" w:eastAsia="宋体" w:cs="宋体"/>
          <w:b w:val="0"/>
          <w:color w:val="auto"/>
          <w:sz w:val="24"/>
          <w:szCs w:val="24"/>
          <w:highlight w:val="none"/>
        </w:rPr>
        <w:t>15. 缺陷责任与保修</w:t>
      </w:r>
      <w:bookmarkEnd w:id="455"/>
      <w:bookmarkEnd w:id="456"/>
      <w:bookmarkEnd w:id="465"/>
      <w:bookmarkEnd w:id="466"/>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67" w:name="_Toc351203599"/>
      <w:bookmarkStart w:id="468" w:name="_Toc337558816"/>
      <w:bookmarkStart w:id="469" w:name="_Toc296346615"/>
      <w:bookmarkStart w:id="470" w:name="_Toc296503114"/>
      <w:r>
        <w:rPr>
          <w:rFonts w:hint="eastAsia" w:ascii="宋体" w:hAnsi="宋体" w:eastAsia="宋体" w:cs="宋体"/>
          <w:b w:val="0"/>
          <w:color w:val="auto"/>
          <w:sz w:val="24"/>
          <w:szCs w:val="24"/>
          <w:highlight w:val="none"/>
        </w:rPr>
        <w:t>15.1 工程保修的原则</w:t>
      </w:r>
      <w:bookmarkEnd w:id="467"/>
      <w:bookmarkEnd w:id="468"/>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71" w:name="_Toc351203600"/>
      <w:bookmarkStart w:id="472" w:name="_Toc337558817"/>
      <w:r>
        <w:rPr>
          <w:rFonts w:hint="eastAsia" w:ascii="宋体" w:hAnsi="宋体" w:eastAsia="宋体" w:cs="宋体"/>
          <w:b w:val="0"/>
          <w:color w:val="auto"/>
          <w:sz w:val="24"/>
          <w:szCs w:val="24"/>
          <w:highlight w:val="none"/>
        </w:rPr>
        <w:t>15.2 缺陷责任期</w:t>
      </w:r>
      <w:bookmarkEnd w:id="469"/>
      <w:bookmarkEnd w:id="470"/>
      <w:bookmarkEnd w:id="471"/>
      <w:bookmarkEnd w:id="472"/>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15.2.1 缺陷责任期自实际竣工日期起计算，合同当事人应在专用合同条款约定缺陷责任期的具体期限，但该期限最长不超过24个月。</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szCs w:val="24"/>
          <w:highlight w:val="none"/>
        </w:rPr>
        <w:t>包人延长缺陷责任期，</w:t>
      </w:r>
      <w:r>
        <w:rPr>
          <w:rFonts w:hint="eastAsia" w:ascii="宋体" w:hAnsi="宋体" w:eastAsia="宋体" w:cs="宋体"/>
          <w:color w:val="auto"/>
          <w:kern w:val="0"/>
          <w:sz w:val="24"/>
          <w:szCs w:val="24"/>
          <w:highlight w:val="none"/>
        </w:rPr>
        <w:t>并应在原缺陷责任期届满前发出延长通知，</w:t>
      </w:r>
      <w:r>
        <w:rPr>
          <w:rFonts w:hint="eastAsia" w:ascii="宋体" w:hAnsi="宋体" w:eastAsia="宋体" w:cs="宋体"/>
          <w:bCs/>
          <w:color w:val="auto"/>
          <w:sz w:val="24"/>
          <w:szCs w:val="24"/>
          <w:highlight w:val="none"/>
        </w:rPr>
        <w:t>但缺陷责任期最长</w:t>
      </w:r>
      <w:r>
        <w:rPr>
          <w:rFonts w:hint="eastAsia" w:ascii="宋体" w:hAnsi="宋体" w:eastAsia="宋体" w:cs="宋体"/>
          <w:color w:val="auto"/>
          <w:kern w:val="0"/>
          <w:sz w:val="24"/>
          <w:szCs w:val="24"/>
          <w:highlight w:val="none"/>
        </w:rPr>
        <w:t>不能超过24个月。</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73" w:name="_Toc351203601"/>
      <w:bookmarkStart w:id="474" w:name="_Toc337558818"/>
      <w:bookmarkStart w:id="475" w:name="_Toc296346616"/>
      <w:bookmarkStart w:id="476" w:name="_Toc296503115"/>
      <w:r>
        <w:rPr>
          <w:rFonts w:hint="eastAsia" w:ascii="宋体" w:hAnsi="宋体" w:eastAsia="宋体" w:cs="宋体"/>
          <w:b w:val="0"/>
          <w:color w:val="auto"/>
          <w:sz w:val="24"/>
          <w:szCs w:val="24"/>
          <w:highlight w:val="none"/>
        </w:rPr>
        <w:t>15.3 质量保证金</w:t>
      </w:r>
      <w:bookmarkEnd w:id="473"/>
      <w:bookmarkEnd w:id="474"/>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经合同当事人协商一致扣留质量保证金的，应在专用合同条款中予以明确。</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15.3.1 承包人提供质量保证金的方式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承包人提供质量保证金有以下三种方式：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（1）质量保证金保函； </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（2）相应比例的工程款；</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（3）双方约定的其他方式。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除专用合同条款另有约定外，质量保证金原则上采用上述第（1）种方式。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15.3.2 质量保证金的扣留</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质量保证金的扣留有以下三种方式：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w:t>
      </w:r>
      <w:bookmarkStart w:id="477" w:name="#go6"/>
      <w:bookmarkEnd w:id="477"/>
      <w:r>
        <w:rPr>
          <w:rFonts w:hint="eastAsia" w:ascii="宋体" w:hAnsi="宋体" w:eastAsia="宋体" w:cs="宋体"/>
          <w:color w:val="auto"/>
          <w:kern w:val="0"/>
          <w:sz w:val="24"/>
          <w:szCs w:val="24"/>
          <w:highlight w:val="none"/>
        </w:rPr>
        <w:t>程竣工结算时一次性扣留质量保证金；</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（3）双方约定的其他扣留方式。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除专用合同条款另有约定外，质量保证金的扣留原则上采用上述第（1）种方式。</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w:t>
      </w:r>
      <w:bookmarkStart w:id="478" w:name="#go4"/>
      <w:bookmarkEnd w:id="478"/>
      <w:r>
        <w:rPr>
          <w:rFonts w:hint="eastAsia" w:ascii="宋体" w:hAnsi="宋体" w:eastAsia="宋体" w:cs="宋体"/>
          <w:color w:val="auto"/>
          <w:kern w:val="0"/>
          <w:sz w:val="24"/>
          <w:szCs w:val="24"/>
          <w:highlight w:val="none"/>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15.3.3 </w:t>
      </w:r>
      <w:r>
        <w:rPr>
          <w:rFonts w:hint="eastAsia" w:ascii="宋体" w:hAnsi="宋体" w:eastAsia="宋体" w:cs="宋体"/>
          <w:color w:val="auto"/>
          <w:sz w:val="24"/>
          <w:szCs w:val="24"/>
          <w:highlight w:val="none"/>
        </w:rPr>
        <w:t>质量保证金</w:t>
      </w:r>
      <w:r>
        <w:rPr>
          <w:rFonts w:hint="eastAsia" w:ascii="宋体" w:hAnsi="宋体" w:eastAsia="宋体" w:cs="宋体"/>
          <w:color w:val="auto"/>
          <w:kern w:val="0"/>
          <w:sz w:val="24"/>
          <w:szCs w:val="24"/>
          <w:highlight w:val="none"/>
        </w:rPr>
        <w:t>的退还</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发包人应按14.4款〔最终结清〕的约定退还质量保证金。</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79" w:name="_Toc351203602"/>
      <w:bookmarkStart w:id="480" w:name="_Toc337558819"/>
      <w:r>
        <w:rPr>
          <w:rFonts w:hint="eastAsia" w:ascii="宋体" w:hAnsi="宋体" w:eastAsia="宋体" w:cs="宋体"/>
          <w:b w:val="0"/>
          <w:color w:val="auto"/>
          <w:sz w:val="24"/>
          <w:szCs w:val="24"/>
          <w:highlight w:val="none"/>
        </w:rPr>
        <w:t>15.4 保修</w:t>
      </w:r>
      <w:bookmarkEnd w:id="475"/>
      <w:bookmarkEnd w:id="476"/>
      <w:bookmarkEnd w:id="479"/>
      <w:bookmarkEnd w:id="480"/>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15.4.1保修责任</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发包人未经竣工验收擅自使用工程的，保修期自</w:t>
      </w:r>
      <w:r>
        <w:rPr>
          <w:rFonts w:hint="eastAsia" w:ascii="宋体" w:hAnsi="宋体" w:eastAsia="宋体" w:cs="宋体"/>
          <w:color w:val="auto"/>
          <w:kern w:val="0"/>
          <w:sz w:val="24"/>
          <w:szCs w:val="24"/>
          <w:highlight w:val="none"/>
        </w:rPr>
        <w:t>转移占有之日起算</w:t>
      </w:r>
      <w:r>
        <w:rPr>
          <w:rFonts w:hint="eastAsia" w:ascii="宋体" w:hAnsi="宋体" w:eastAsia="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15.4.2 修复费用</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保修期内，修复的费用按照以下约定处理：</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15.4.3 修复通知</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15.4.4 未能修复</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15.4.5 承包人出入权</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120" w:after="120" w:line="360" w:lineRule="auto"/>
        <w:rPr>
          <w:rFonts w:ascii="宋体" w:hAnsi="宋体" w:eastAsia="宋体" w:cs="宋体"/>
          <w:b w:val="0"/>
          <w:color w:val="auto"/>
          <w:sz w:val="24"/>
          <w:szCs w:val="24"/>
          <w:highlight w:val="none"/>
        </w:rPr>
      </w:pPr>
      <w:bookmarkStart w:id="481" w:name="_Toc337558820"/>
      <w:bookmarkStart w:id="482" w:name="_Toc351203603"/>
      <w:r>
        <w:rPr>
          <w:rFonts w:hint="eastAsia" w:ascii="宋体" w:hAnsi="宋体" w:eastAsia="宋体" w:cs="宋体"/>
          <w:b w:val="0"/>
          <w:color w:val="auto"/>
          <w:sz w:val="24"/>
          <w:szCs w:val="24"/>
          <w:highlight w:val="none"/>
        </w:rPr>
        <w:t>16. 违约</w:t>
      </w:r>
      <w:bookmarkEnd w:id="481"/>
      <w:bookmarkEnd w:id="482"/>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83" w:name="_Toc296503129"/>
      <w:bookmarkStart w:id="484" w:name="_Toc296346630"/>
      <w:bookmarkStart w:id="485" w:name="_Toc337558821"/>
      <w:bookmarkStart w:id="486" w:name="_Toc351203604"/>
      <w:r>
        <w:rPr>
          <w:rFonts w:hint="eastAsia" w:ascii="宋体" w:hAnsi="宋体" w:eastAsia="宋体" w:cs="宋体"/>
          <w:b w:val="0"/>
          <w:color w:val="auto"/>
          <w:sz w:val="24"/>
          <w:szCs w:val="24"/>
          <w:highlight w:val="none"/>
        </w:rPr>
        <w:t>16.1 发</w:t>
      </w:r>
      <w:bookmarkEnd w:id="483"/>
      <w:bookmarkEnd w:id="484"/>
      <w:r>
        <w:rPr>
          <w:rFonts w:hint="eastAsia" w:ascii="宋体" w:hAnsi="宋体" w:eastAsia="宋体" w:cs="宋体"/>
          <w:b w:val="0"/>
          <w:color w:val="auto"/>
          <w:sz w:val="24"/>
          <w:szCs w:val="24"/>
          <w:highlight w:val="none"/>
        </w:rPr>
        <w:t>包人违约</w:t>
      </w:r>
      <w:bookmarkEnd w:id="485"/>
      <w:bookmarkEnd w:id="486"/>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16.1.1 发包人违约的情形</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在合同履行过程中发生的下列情形，属于发包人违约：</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（1）因发包人原因未能在计划开工日期前7天内下达开工通知的；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（7）发包人明确表示或者以其行为表明不履行合同主要义务的；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（8）发包人未能按照合同约定履行其他义务的。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16.1.3 因发包人违约解除合同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16.1.4 因发包人违约解除合同后的付款</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承包人按照本款约定解除合同的，发包人应在解除合同后28天内支付下列款项，并解除履约担保：</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（1）合同解除前所完成工作的价款；</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（2）承包人为工程施工订购并已付款的材料、工程设备和其他物品的价款；</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（3）承包人撤离施工现场以及遣散承包人人员的款项；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（4）按照合同约定在合同解除前应支付的违约金；</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（5）按照合同约定应当支付给承包人的其他款项；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（6）按照合同约定应退还的质量保证金；</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（7）因解除合同给承包人造成的损失。</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合同当事人未能就解除合同后的结清达成一致的，按照第20条〔争议解决〕的约定处理。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87" w:name="_Toc351203605"/>
      <w:bookmarkStart w:id="488" w:name="_Toc337558822"/>
      <w:bookmarkStart w:id="489" w:name="_Toc296346632"/>
      <w:bookmarkStart w:id="490" w:name="_Toc296503131"/>
      <w:r>
        <w:rPr>
          <w:rFonts w:hint="eastAsia" w:ascii="宋体" w:hAnsi="宋体" w:eastAsia="宋体" w:cs="宋体"/>
          <w:b w:val="0"/>
          <w:color w:val="auto"/>
          <w:sz w:val="24"/>
          <w:szCs w:val="24"/>
          <w:highlight w:val="none"/>
        </w:rPr>
        <w:t>16.2 承包人违约</w:t>
      </w:r>
      <w:bookmarkEnd w:id="487"/>
      <w:bookmarkEnd w:id="488"/>
      <w:bookmarkEnd w:id="489"/>
      <w:bookmarkEnd w:id="490"/>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在合同履行过程中发生的下列情形，属于承包人违约：</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（1）承包人违反合同约定进行转包或违法分包的；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（2）承包人违反合同约定采购和使用不合格的材料和工程设备的；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（3）因承包人原因导致工程质量不符合合同要求的； </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（4）承包人违反第8.9款〔材料与设备专用要求〕的约定，未经批准，私自将已按照合同约定进入施工现场的材料或设备撤离施工现场的；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（5）承包人未能按施工进度计划及时完成合同约定的工作，造成工期延误的；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（6）承包人在缺陷责任期及保修期内，未能在合理期限对工程缺陷进行修复，或拒绝按发包人要求进行修复的；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（7）承包人明确表示或者以其行为表明不履行合同主要义务的；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（8）承包人未能按照合同约定履行其他义务的。</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承包人发生除本项第（7）目约定以外的其他违约情况时，监理人可向承包人发出整改通知，要求其在指定的期限内改正。</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 承包人违约的责任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16.2.3 因承包人违约解除合同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16.2.4因承包人违约解除合同后的处理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因承包人原因导致合同解除的，则合同当事人应在合同解除后28天内完成估价、付款和清算，并按以下约定执行：</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（2）合同解除后，承包人应支付的违约金；</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（3）合同解除后，因解除合同给发包人造成的损失；</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（4）合同解除后，承包人应按照发包人要求和监理人的指示完成现场的清理和撤离；</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（5）发包人和承包人应在合同解除后进行清算，出具最终结清付款证书，结清全部款项。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16.2.5采购合同权益转让</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91" w:name="_Toc351203606"/>
      <w:r>
        <w:rPr>
          <w:rFonts w:hint="eastAsia" w:ascii="宋体" w:hAnsi="宋体" w:eastAsia="宋体" w:cs="宋体"/>
          <w:b w:val="0"/>
          <w:color w:val="auto"/>
          <w:sz w:val="24"/>
          <w:szCs w:val="24"/>
          <w:highlight w:val="none"/>
        </w:rPr>
        <w:t>16.3 第三人造成的违约</w:t>
      </w:r>
      <w:bookmarkEnd w:id="491"/>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pPr>
        <w:pStyle w:val="6"/>
        <w:spacing w:before="120" w:after="120" w:line="360" w:lineRule="auto"/>
        <w:rPr>
          <w:rFonts w:ascii="宋体" w:hAnsi="宋体" w:eastAsia="宋体" w:cs="宋体"/>
          <w:b w:val="0"/>
          <w:color w:val="auto"/>
          <w:sz w:val="24"/>
          <w:szCs w:val="24"/>
          <w:highlight w:val="none"/>
        </w:rPr>
      </w:pPr>
      <w:bookmarkStart w:id="492" w:name="_Toc351203607"/>
      <w:bookmarkStart w:id="493" w:name="_Toc337558823"/>
      <w:bookmarkStart w:id="494" w:name="_Toc296503116"/>
      <w:bookmarkStart w:id="495" w:name="_Toc296346617"/>
      <w:r>
        <w:rPr>
          <w:rFonts w:hint="eastAsia" w:ascii="宋体" w:hAnsi="宋体" w:eastAsia="宋体" w:cs="宋体"/>
          <w:b w:val="0"/>
          <w:color w:val="auto"/>
          <w:sz w:val="24"/>
          <w:szCs w:val="24"/>
          <w:highlight w:val="none"/>
        </w:rPr>
        <w:t>17. 不可抗力</w:t>
      </w:r>
      <w:bookmarkEnd w:id="492"/>
      <w:r>
        <w:rPr>
          <w:rFonts w:hint="eastAsia" w:ascii="宋体" w:hAnsi="宋体" w:eastAsia="宋体" w:cs="宋体"/>
          <w:b w:val="0"/>
          <w:color w:val="auto"/>
          <w:sz w:val="24"/>
          <w:szCs w:val="24"/>
          <w:highlight w:val="none"/>
        </w:rPr>
        <w:t xml:space="preserve"> </w:t>
      </w:r>
      <w:bookmarkEnd w:id="493"/>
      <w:bookmarkEnd w:id="494"/>
      <w:bookmarkEnd w:id="495"/>
    </w:p>
    <w:p>
      <w:pPr>
        <w:pStyle w:val="7"/>
        <w:spacing w:before="120" w:after="120" w:line="360" w:lineRule="auto"/>
        <w:ind w:firstLine="480" w:firstLineChars="200"/>
        <w:rPr>
          <w:rFonts w:ascii="宋体" w:hAnsi="宋体" w:eastAsia="宋体" w:cs="宋体"/>
          <w:b w:val="0"/>
          <w:color w:val="auto"/>
          <w:sz w:val="24"/>
          <w:szCs w:val="24"/>
          <w:highlight w:val="none"/>
        </w:rPr>
      </w:pPr>
      <w:bookmarkStart w:id="496" w:name="_Toc296503117"/>
      <w:bookmarkStart w:id="497" w:name="_Toc337558824"/>
      <w:bookmarkStart w:id="498" w:name="_Toc351203608"/>
      <w:bookmarkStart w:id="499" w:name="_Toc296346618"/>
      <w:r>
        <w:rPr>
          <w:rFonts w:hint="eastAsia" w:ascii="宋体" w:hAnsi="宋体" w:eastAsia="宋体" w:cs="宋体"/>
          <w:b w:val="0"/>
          <w:color w:val="auto"/>
          <w:sz w:val="24"/>
          <w:szCs w:val="24"/>
          <w:highlight w:val="none"/>
        </w:rPr>
        <w:t>17.1 不可抗力的确认</w:t>
      </w:r>
      <w:bookmarkEnd w:id="496"/>
      <w:bookmarkEnd w:id="497"/>
      <w:bookmarkEnd w:id="498"/>
      <w:bookmarkEnd w:id="499"/>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00" w:name="_Toc296503118"/>
      <w:bookmarkStart w:id="501" w:name="_Toc337558825"/>
      <w:bookmarkStart w:id="502" w:name="_Toc296346619"/>
      <w:bookmarkStart w:id="503" w:name="_Toc351203609"/>
      <w:r>
        <w:rPr>
          <w:rFonts w:hint="eastAsia" w:ascii="宋体" w:hAnsi="宋体" w:eastAsia="宋体" w:cs="宋体"/>
          <w:b w:val="0"/>
          <w:color w:val="auto"/>
          <w:sz w:val="24"/>
          <w:szCs w:val="24"/>
          <w:highlight w:val="none"/>
        </w:rPr>
        <w:t>17.2 不可抗力的通知</w:t>
      </w:r>
      <w:bookmarkEnd w:id="500"/>
      <w:bookmarkEnd w:id="501"/>
      <w:bookmarkEnd w:id="502"/>
      <w:bookmarkEnd w:id="503"/>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04" w:name="_Toc296503119"/>
      <w:bookmarkStart w:id="505" w:name="_Toc296346620"/>
      <w:bookmarkStart w:id="506" w:name="_Toc337558826"/>
      <w:bookmarkStart w:id="507" w:name="_Toc351203610"/>
      <w:r>
        <w:rPr>
          <w:rFonts w:hint="eastAsia" w:ascii="宋体" w:hAnsi="宋体" w:eastAsia="宋体" w:cs="宋体"/>
          <w:b w:val="0"/>
          <w:color w:val="auto"/>
          <w:sz w:val="24"/>
          <w:szCs w:val="24"/>
          <w:highlight w:val="none"/>
        </w:rPr>
        <w:t>17.3 不可抗力后果的承担</w:t>
      </w:r>
      <w:bookmarkEnd w:id="504"/>
      <w:bookmarkEnd w:id="505"/>
      <w:bookmarkEnd w:id="506"/>
      <w:bookmarkEnd w:id="507"/>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17.3.2 不可抗力导致的人员伤亡、财产损失、费用增加和（或）工期延误等后果，由合同当事人按以下原则承担：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（2）承包人施工设备的损坏由承包人承担；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（3）发包人和承包人承担各自人员伤亡和财产的损失；</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（5）因不可抗力引起或将引起工期延误，发包人要求赶工的，由此增加的赶工费用由发包人承担；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（6）承包人在停工期间按照发包人要求照管、清理和修复工程的费用由发包人承担。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因合同一方迟延履行合同义务，在迟延履行期间遭遇不可抗力的，不免除其违约责任。</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08" w:name="_Toc337558827"/>
      <w:bookmarkStart w:id="509" w:name="_Toc351203611"/>
      <w:r>
        <w:rPr>
          <w:rFonts w:hint="eastAsia" w:ascii="宋体" w:hAnsi="宋体" w:eastAsia="宋体" w:cs="宋体"/>
          <w:b w:val="0"/>
          <w:color w:val="auto"/>
          <w:sz w:val="24"/>
          <w:szCs w:val="24"/>
          <w:highlight w:val="none"/>
        </w:rPr>
        <w:t>17.4 因不可抗力解除合同</w:t>
      </w:r>
      <w:bookmarkEnd w:id="508"/>
      <w:bookmarkEnd w:id="509"/>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（1）合同解除前承包人已完成工作的价款；</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（2）承包人为工程订购的并已交付给承包人，或承包人有责任接受交付的材料、工程设备和其他物品的价款；</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（3）发包人要求承包人退货或解除订货合同而产生的费用，或因不能退货或解除合同而产生的损失；</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（4）承包人撤离施工现场以及遣散承包人人员的费用；</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（5）按照合同约定在合同解除前应支付给承包人的其他款项；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（6）扣减承包人按照合同约定应向发包人支付的款项；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（7）双方商定或确定的其他款项。</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除专用合同条款另有约定外，合同解除后，发包人应在商定或确定上述款项后28天内完成上述款项的支付。</w:t>
      </w:r>
    </w:p>
    <w:p>
      <w:pPr>
        <w:pStyle w:val="6"/>
        <w:spacing w:before="120" w:after="120" w:line="360" w:lineRule="auto"/>
        <w:rPr>
          <w:rFonts w:ascii="宋体" w:hAnsi="宋体" w:eastAsia="宋体" w:cs="宋体"/>
          <w:b w:val="0"/>
          <w:color w:val="auto"/>
          <w:sz w:val="24"/>
          <w:szCs w:val="24"/>
          <w:highlight w:val="none"/>
        </w:rPr>
      </w:pPr>
      <w:bookmarkStart w:id="510" w:name="_Toc296503120"/>
      <w:bookmarkStart w:id="511" w:name="_Toc296346621"/>
      <w:bookmarkStart w:id="512" w:name="_Toc337558828"/>
      <w:bookmarkStart w:id="513" w:name="_Toc351203612"/>
      <w:r>
        <w:rPr>
          <w:rFonts w:hint="eastAsia" w:ascii="宋体" w:hAnsi="宋体" w:eastAsia="宋体" w:cs="宋体"/>
          <w:b w:val="0"/>
          <w:color w:val="auto"/>
          <w:sz w:val="24"/>
          <w:szCs w:val="24"/>
          <w:highlight w:val="none"/>
        </w:rPr>
        <w:t>18. 保险</w:t>
      </w:r>
      <w:bookmarkEnd w:id="510"/>
      <w:bookmarkEnd w:id="511"/>
      <w:bookmarkEnd w:id="512"/>
      <w:bookmarkEnd w:id="513"/>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14" w:name="_Toc337558829"/>
      <w:bookmarkStart w:id="515" w:name="_Toc351203613"/>
      <w:bookmarkStart w:id="516" w:name="_Toc296503121"/>
      <w:bookmarkStart w:id="517" w:name="_Toc296346622"/>
      <w:r>
        <w:rPr>
          <w:rFonts w:hint="eastAsia" w:ascii="宋体" w:hAnsi="宋体" w:eastAsia="宋体" w:cs="宋体"/>
          <w:b w:val="0"/>
          <w:color w:val="auto"/>
          <w:sz w:val="24"/>
          <w:szCs w:val="24"/>
          <w:highlight w:val="none"/>
        </w:rPr>
        <w:t>18.1 工程保险</w:t>
      </w:r>
      <w:bookmarkEnd w:id="514"/>
      <w:bookmarkEnd w:id="515"/>
      <w:bookmarkEnd w:id="516"/>
      <w:bookmarkEnd w:id="517"/>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18" w:name="_Toc337558830"/>
      <w:bookmarkStart w:id="519" w:name="_Toc351203614"/>
      <w:bookmarkStart w:id="520" w:name="_Toc296503122"/>
      <w:bookmarkStart w:id="521" w:name="_Toc296346623"/>
      <w:r>
        <w:rPr>
          <w:rFonts w:hint="eastAsia" w:ascii="宋体" w:hAnsi="宋体" w:eastAsia="宋体" w:cs="宋体"/>
          <w:b w:val="0"/>
          <w:color w:val="auto"/>
          <w:sz w:val="24"/>
          <w:szCs w:val="24"/>
          <w:highlight w:val="none"/>
        </w:rPr>
        <w:t>18.2 工伤保险</w:t>
      </w:r>
      <w:bookmarkEnd w:id="518"/>
      <w:bookmarkEnd w:id="519"/>
      <w:bookmarkEnd w:id="520"/>
      <w:bookmarkEnd w:id="521"/>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22" w:name="_Toc296346626"/>
      <w:bookmarkStart w:id="523" w:name="_Toc296503125"/>
      <w:bookmarkStart w:id="524" w:name="_Toc337558831"/>
      <w:bookmarkStart w:id="525" w:name="_Toc351203615"/>
      <w:r>
        <w:rPr>
          <w:rFonts w:hint="eastAsia" w:ascii="宋体" w:hAnsi="宋体" w:eastAsia="宋体" w:cs="宋体"/>
          <w:b w:val="0"/>
          <w:color w:val="auto"/>
          <w:sz w:val="24"/>
          <w:szCs w:val="24"/>
          <w:highlight w:val="none"/>
        </w:rPr>
        <w:t>18.3其他保险</w:t>
      </w:r>
      <w:bookmarkEnd w:id="522"/>
      <w:bookmarkEnd w:id="523"/>
      <w:bookmarkEnd w:id="524"/>
      <w:bookmarkEnd w:id="525"/>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除专用合同条款另有约定外，承包人应为其施工设备等办理财产保险。</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26" w:name="_Toc351203616"/>
      <w:r>
        <w:rPr>
          <w:rFonts w:hint="eastAsia" w:ascii="宋体" w:hAnsi="宋体" w:eastAsia="宋体" w:cs="宋体"/>
          <w:b w:val="0"/>
          <w:color w:val="auto"/>
          <w:sz w:val="24"/>
          <w:szCs w:val="24"/>
          <w:highlight w:val="none"/>
        </w:rPr>
        <w:t>18.4持续保险</w:t>
      </w:r>
      <w:bookmarkEnd w:id="526"/>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合同当事人应与保险人保持联系，使保险人能够随时了解工程实施中的变动，并确保按保险合同条款要求持续保险。</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27" w:name="_Toc296346627"/>
      <w:bookmarkStart w:id="528" w:name="_Toc337558832"/>
      <w:bookmarkStart w:id="529" w:name="_Toc296503126"/>
      <w:bookmarkStart w:id="530" w:name="_Toc351203617"/>
      <w:r>
        <w:rPr>
          <w:rFonts w:hint="eastAsia" w:ascii="宋体" w:hAnsi="宋体" w:eastAsia="宋体" w:cs="宋体"/>
          <w:b w:val="0"/>
          <w:color w:val="auto"/>
          <w:sz w:val="24"/>
          <w:szCs w:val="24"/>
          <w:highlight w:val="none"/>
        </w:rPr>
        <w:t>18.5 保险凭证</w:t>
      </w:r>
      <w:bookmarkEnd w:id="527"/>
      <w:bookmarkEnd w:id="528"/>
      <w:bookmarkEnd w:id="529"/>
      <w:bookmarkEnd w:id="530"/>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合同当事人应及时向另一方当事人提交其已投保的各项保险的凭证和保险单复印件。</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31" w:name="_Toc337558833"/>
      <w:bookmarkStart w:id="532" w:name="_Toc296503127"/>
      <w:bookmarkStart w:id="533" w:name="_Toc296346628"/>
      <w:bookmarkStart w:id="534" w:name="_Toc351203618"/>
      <w:r>
        <w:rPr>
          <w:rFonts w:hint="eastAsia" w:ascii="宋体" w:hAnsi="宋体" w:eastAsia="宋体" w:cs="宋体"/>
          <w:b w:val="0"/>
          <w:color w:val="auto"/>
          <w:sz w:val="24"/>
          <w:szCs w:val="24"/>
          <w:highlight w:val="none"/>
        </w:rPr>
        <w:t>18.6 未按约定投保的补救</w:t>
      </w:r>
      <w:bookmarkEnd w:id="531"/>
      <w:bookmarkEnd w:id="532"/>
      <w:bookmarkEnd w:id="533"/>
      <w:bookmarkEnd w:id="534"/>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35" w:name="_Toc337558834"/>
      <w:bookmarkStart w:id="536" w:name="_Toc351203619"/>
      <w:r>
        <w:rPr>
          <w:rFonts w:hint="eastAsia" w:ascii="宋体" w:hAnsi="宋体" w:eastAsia="宋体" w:cs="宋体"/>
          <w:b w:val="0"/>
          <w:color w:val="auto"/>
          <w:sz w:val="24"/>
          <w:szCs w:val="24"/>
          <w:highlight w:val="none"/>
        </w:rPr>
        <w:t>18.7 通知义务</w:t>
      </w:r>
      <w:bookmarkEnd w:id="535"/>
      <w:bookmarkEnd w:id="536"/>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保险事故发生时，投保人应按照保险合同规定的条件和期限及时向保险人报告。发包人和承包人应当在知道保险事故发生后及时通知对方。</w:t>
      </w:r>
    </w:p>
    <w:p>
      <w:pPr>
        <w:pStyle w:val="6"/>
        <w:spacing w:before="120" w:after="120" w:line="360" w:lineRule="auto"/>
        <w:rPr>
          <w:rFonts w:ascii="宋体" w:hAnsi="宋体" w:eastAsia="宋体" w:cs="宋体"/>
          <w:b w:val="0"/>
          <w:color w:val="auto"/>
          <w:sz w:val="24"/>
          <w:szCs w:val="24"/>
          <w:highlight w:val="none"/>
        </w:rPr>
      </w:pPr>
      <w:bookmarkStart w:id="537" w:name="_Toc296346641"/>
      <w:bookmarkStart w:id="538" w:name="_Toc296503140"/>
      <w:bookmarkStart w:id="539" w:name="_Toc351203620"/>
      <w:bookmarkStart w:id="540" w:name="_Toc337558835"/>
      <w:r>
        <w:rPr>
          <w:rFonts w:hint="eastAsia" w:ascii="宋体" w:hAnsi="宋体" w:eastAsia="宋体" w:cs="宋体"/>
          <w:b w:val="0"/>
          <w:color w:val="auto"/>
          <w:sz w:val="24"/>
          <w:szCs w:val="24"/>
          <w:highlight w:val="none"/>
        </w:rPr>
        <w:t>19. 索赔</w:t>
      </w:r>
      <w:bookmarkEnd w:id="537"/>
      <w:bookmarkEnd w:id="538"/>
      <w:bookmarkEnd w:id="539"/>
      <w:bookmarkEnd w:id="540"/>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41" w:name="_Toc296346642"/>
      <w:bookmarkStart w:id="542" w:name="_Toc296503141"/>
      <w:bookmarkStart w:id="543" w:name="_Toc351203621"/>
      <w:bookmarkStart w:id="544" w:name="_Toc337558836"/>
      <w:r>
        <w:rPr>
          <w:rFonts w:hint="eastAsia" w:ascii="宋体" w:hAnsi="宋体" w:eastAsia="宋体" w:cs="宋体"/>
          <w:b w:val="0"/>
          <w:color w:val="auto"/>
          <w:sz w:val="24"/>
          <w:szCs w:val="24"/>
          <w:highlight w:val="none"/>
        </w:rPr>
        <w:t>19.1承包人的索赔</w:t>
      </w:r>
      <w:bookmarkEnd w:id="541"/>
      <w:bookmarkEnd w:id="542"/>
      <w:bookmarkEnd w:id="543"/>
      <w:bookmarkEnd w:id="544"/>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根据合同约定，承包人认为有权得到追加付款和（或）延长工期的，应按以下程序向发包人提出索赔：</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45" w:name="_Toc337558837"/>
      <w:bookmarkStart w:id="546" w:name="_Toc351203622"/>
      <w:bookmarkStart w:id="547" w:name="_Toc296346643"/>
      <w:bookmarkStart w:id="548" w:name="_Toc296503142"/>
      <w:r>
        <w:rPr>
          <w:rFonts w:hint="eastAsia" w:ascii="宋体" w:hAnsi="宋体" w:eastAsia="宋体" w:cs="宋体"/>
          <w:b w:val="0"/>
          <w:color w:val="auto"/>
          <w:sz w:val="24"/>
          <w:szCs w:val="24"/>
          <w:highlight w:val="none"/>
        </w:rPr>
        <w:t>19.2 对承包人索赔的处理</w:t>
      </w:r>
      <w:bookmarkEnd w:id="545"/>
      <w:bookmarkEnd w:id="546"/>
      <w:bookmarkEnd w:id="547"/>
      <w:bookmarkEnd w:id="548"/>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对承包人索赔的处理如下：</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（3）承包人接受索赔处理结果的，索赔款项在当期进度款中进行支付；承包人不接受索赔处理结果的，按照第20条〔争议解决〕约定处理。</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49" w:name="_Toc296503143"/>
      <w:bookmarkStart w:id="550" w:name="_Toc337558838"/>
      <w:bookmarkStart w:id="551" w:name="_Toc351203623"/>
      <w:bookmarkStart w:id="552" w:name="_Toc296346644"/>
      <w:r>
        <w:rPr>
          <w:rFonts w:hint="eastAsia" w:ascii="宋体" w:hAnsi="宋体" w:eastAsia="宋体" w:cs="宋体"/>
          <w:b w:val="0"/>
          <w:color w:val="auto"/>
          <w:sz w:val="24"/>
          <w:szCs w:val="24"/>
          <w:highlight w:val="none"/>
        </w:rPr>
        <w:t>19.3发包人的索赔</w:t>
      </w:r>
      <w:bookmarkEnd w:id="549"/>
      <w:bookmarkEnd w:id="550"/>
      <w:bookmarkEnd w:id="551"/>
      <w:bookmarkEnd w:id="552"/>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53" w:name="_Toc296503144"/>
      <w:bookmarkStart w:id="554" w:name="_Toc337558839"/>
      <w:bookmarkStart w:id="555" w:name="_Toc351203624"/>
      <w:bookmarkStart w:id="556" w:name="_Toc296346645"/>
      <w:r>
        <w:rPr>
          <w:rFonts w:hint="eastAsia" w:ascii="宋体" w:hAnsi="宋体" w:eastAsia="宋体" w:cs="宋体"/>
          <w:b w:val="0"/>
          <w:color w:val="auto"/>
          <w:sz w:val="24"/>
          <w:szCs w:val="24"/>
          <w:highlight w:val="none"/>
        </w:rPr>
        <w:t>19.4 对发包人索赔的处理</w:t>
      </w:r>
      <w:bookmarkEnd w:id="553"/>
      <w:bookmarkEnd w:id="554"/>
      <w:bookmarkEnd w:id="555"/>
      <w:bookmarkEnd w:id="556"/>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对发包人索赔的处理如下：</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（1）承包人收到发包人提交的索赔报告后，应及时审查索赔报告的内容、查验发包人证明材料；</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57" w:name="_Toc351203625"/>
      <w:r>
        <w:rPr>
          <w:rFonts w:hint="eastAsia" w:ascii="宋体" w:hAnsi="宋体" w:eastAsia="宋体" w:cs="宋体"/>
          <w:b w:val="0"/>
          <w:color w:val="auto"/>
          <w:sz w:val="24"/>
          <w:szCs w:val="24"/>
          <w:highlight w:val="none"/>
        </w:rPr>
        <w:t>19.5 提出索赔的期限</w:t>
      </w:r>
      <w:bookmarkEnd w:id="557"/>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（1）承包人按第14.2款〔竣工结算审核〕约定接收竣工付款证书后，应被视为已无权再提出在工程接收证书颁发前所发生的任何索赔。</w:t>
      </w: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（2）承包人按第14.4款〔最终结清〕提交的最终结清申请单中，只限于提出工程接收证书颁发后发生的索赔。提出索赔的期限自接受最终结清证书时终止。</w:t>
      </w:r>
    </w:p>
    <w:p>
      <w:pPr>
        <w:pStyle w:val="6"/>
        <w:spacing w:before="120" w:after="120" w:line="360" w:lineRule="auto"/>
        <w:rPr>
          <w:rFonts w:ascii="宋体" w:hAnsi="宋体" w:eastAsia="宋体" w:cs="宋体"/>
          <w:b w:val="0"/>
          <w:color w:val="auto"/>
          <w:sz w:val="24"/>
          <w:szCs w:val="24"/>
          <w:highlight w:val="none"/>
        </w:rPr>
      </w:pPr>
      <w:bookmarkStart w:id="558" w:name="_Toc351203626"/>
      <w:r>
        <w:rPr>
          <w:rFonts w:hint="eastAsia" w:ascii="宋体" w:hAnsi="宋体" w:eastAsia="宋体" w:cs="宋体"/>
          <w:b w:val="0"/>
          <w:color w:val="auto"/>
          <w:sz w:val="24"/>
          <w:szCs w:val="24"/>
          <w:highlight w:val="none"/>
        </w:rPr>
        <w:t>20</w:t>
      </w:r>
      <w:bookmarkStart w:id="559" w:name="_Toc296503146"/>
      <w:bookmarkStart w:id="560" w:name="_Toc337558840"/>
      <w:bookmarkStart w:id="561" w:name="_Toc296346647"/>
      <w:r>
        <w:rPr>
          <w:rFonts w:hint="eastAsia" w:ascii="宋体" w:hAnsi="宋体" w:eastAsia="宋体" w:cs="宋体"/>
          <w:b w:val="0"/>
          <w:color w:val="auto"/>
          <w:sz w:val="24"/>
          <w:szCs w:val="24"/>
          <w:highlight w:val="none"/>
        </w:rPr>
        <w:t>. 争议解决</w:t>
      </w:r>
      <w:bookmarkEnd w:id="558"/>
      <w:bookmarkEnd w:id="559"/>
      <w:bookmarkEnd w:id="560"/>
      <w:bookmarkEnd w:id="561"/>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62" w:name="_Toc296346648"/>
      <w:bookmarkStart w:id="563" w:name="_Toc296503147"/>
      <w:bookmarkStart w:id="564" w:name="_Toc351203627"/>
      <w:bookmarkStart w:id="565" w:name="_Toc337558841"/>
      <w:r>
        <w:rPr>
          <w:rFonts w:hint="eastAsia" w:ascii="宋体" w:hAnsi="宋体" w:eastAsia="宋体" w:cs="宋体"/>
          <w:b w:val="0"/>
          <w:color w:val="auto"/>
          <w:sz w:val="24"/>
          <w:szCs w:val="24"/>
          <w:highlight w:val="none"/>
        </w:rPr>
        <w:t>20.1和解</w:t>
      </w:r>
      <w:bookmarkEnd w:id="562"/>
      <w:bookmarkEnd w:id="563"/>
      <w:bookmarkEnd w:id="564"/>
      <w:bookmarkEnd w:id="565"/>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合同当事人可以就争议自行和解，自行和解达成协议的经双方签字并盖章后作为合同补充文件，双方均应遵照执行。</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66" w:name="_Toc351203628"/>
      <w:r>
        <w:rPr>
          <w:rFonts w:hint="eastAsia" w:ascii="宋体" w:hAnsi="宋体" w:eastAsia="宋体" w:cs="宋体"/>
          <w:b w:val="0"/>
          <w:color w:val="auto"/>
          <w:sz w:val="24"/>
          <w:szCs w:val="24"/>
          <w:highlight w:val="none"/>
        </w:rPr>
        <w:t>20</w:t>
      </w:r>
      <w:bookmarkStart w:id="567" w:name="_Toc337558842"/>
      <w:bookmarkStart w:id="568" w:name="_Toc296346649"/>
      <w:bookmarkStart w:id="569" w:name="_Toc296503148"/>
      <w:r>
        <w:rPr>
          <w:rFonts w:hint="eastAsia" w:ascii="宋体" w:hAnsi="宋体" w:eastAsia="宋体" w:cs="宋体"/>
          <w:b w:val="0"/>
          <w:color w:val="auto"/>
          <w:sz w:val="24"/>
          <w:szCs w:val="24"/>
          <w:highlight w:val="none"/>
        </w:rPr>
        <w:t>.2调解</w:t>
      </w:r>
      <w:bookmarkEnd w:id="566"/>
      <w:bookmarkEnd w:id="567"/>
      <w:bookmarkEnd w:id="568"/>
      <w:bookmarkEnd w:id="569"/>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合同当事人可以就争议请求建设行政主管部门、行业协会或其他第三方进行调解，调解达成协议的，经双方签字并盖章后作为合同补充文件，双方均应遵照执行。</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70" w:name="_Toc351203629"/>
      <w:bookmarkStart w:id="571" w:name="_Toc337558843"/>
      <w:bookmarkStart w:id="572" w:name="_Toc296346650"/>
      <w:bookmarkStart w:id="573" w:name="_Toc296503149"/>
      <w:r>
        <w:rPr>
          <w:rFonts w:hint="eastAsia" w:ascii="宋体" w:hAnsi="宋体" w:eastAsia="宋体" w:cs="宋体"/>
          <w:b w:val="0"/>
          <w:color w:val="auto"/>
          <w:sz w:val="24"/>
          <w:szCs w:val="24"/>
          <w:highlight w:val="none"/>
        </w:rPr>
        <w:t>20.3争议评审</w:t>
      </w:r>
      <w:bookmarkEnd w:id="570"/>
      <w:bookmarkEnd w:id="571"/>
      <w:bookmarkEnd w:id="572"/>
      <w:bookmarkEnd w:id="573"/>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合同当事人在专用合同条款中约定采取争议评审方式解决争议以及评审规则，并按下列约定执行： </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20.3.1 争议评审小组的确定</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除专用合同条款另有约定外，评审员报酬由发包人和承包人各承担一半。</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20.3.3 争议评审小组决定的效力</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争议评审小组作出的书面决定经合同当事人签字确认后，对双方具有约束力，双方应遵照执行。</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任何一方当事人不接受争议评审小组决定或不履行争议评审小组决定的，双方可选择采用其他争议解决方式。</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74" w:name="_Toc296503150"/>
      <w:bookmarkStart w:id="575" w:name="_Toc337558844"/>
      <w:bookmarkStart w:id="576" w:name="_Toc296346651"/>
      <w:bookmarkStart w:id="577" w:name="_Toc351203630"/>
      <w:r>
        <w:rPr>
          <w:rFonts w:hint="eastAsia" w:ascii="宋体" w:hAnsi="宋体" w:eastAsia="宋体" w:cs="宋体"/>
          <w:b w:val="0"/>
          <w:color w:val="auto"/>
          <w:sz w:val="24"/>
          <w:szCs w:val="24"/>
          <w:highlight w:val="none"/>
        </w:rPr>
        <w:t>20.4仲裁或诉讼</w:t>
      </w:r>
      <w:bookmarkEnd w:id="574"/>
      <w:bookmarkEnd w:id="575"/>
      <w:bookmarkEnd w:id="576"/>
      <w:bookmarkEnd w:id="577"/>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因合同及合同有关事项产生的争议，合同当事人可以在专用合同条款中约定以下一种方式解决争议：</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（1）向约定的仲裁委员会申请仲裁；</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（2）向有管辖权的人民法院起诉。</w:t>
      </w:r>
    </w:p>
    <w:p>
      <w:pPr>
        <w:pStyle w:val="7"/>
        <w:spacing w:before="120" w:after="120" w:line="360" w:lineRule="auto"/>
        <w:ind w:firstLine="480" w:firstLineChars="200"/>
        <w:rPr>
          <w:rFonts w:ascii="宋体" w:hAnsi="宋体" w:eastAsia="宋体" w:cs="宋体"/>
          <w:b w:val="0"/>
          <w:color w:val="auto"/>
          <w:sz w:val="24"/>
          <w:szCs w:val="24"/>
          <w:highlight w:val="none"/>
        </w:rPr>
      </w:pPr>
      <w:bookmarkStart w:id="578" w:name="_Toc337558845"/>
      <w:bookmarkStart w:id="579" w:name="_Toc296346653"/>
      <w:bookmarkStart w:id="580" w:name="_Toc351203631"/>
      <w:bookmarkStart w:id="581" w:name="_Toc296503152"/>
      <w:r>
        <w:rPr>
          <w:rFonts w:hint="eastAsia" w:ascii="宋体" w:hAnsi="宋体" w:eastAsia="宋体" w:cs="宋体"/>
          <w:b w:val="0"/>
          <w:color w:val="auto"/>
          <w:sz w:val="24"/>
          <w:szCs w:val="24"/>
          <w:highlight w:val="none"/>
        </w:rPr>
        <w:t>20.5争议解决条款效力</w:t>
      </w:r>
      <w:bookmarkEnd w:id="578"/>
      <w:bookmarkEnd w:id="579"/>
      <w:bookmarkEnd w:id="580"/>
      <w:bookmarkEnd w:id="581"/>
    </w:p>
    <w:p>
      <w:pPr>
        <w:keepNext/>
        <w:keepLines/>
        <w:spacing w:before="260" w:after="260" w:line="360" w:lineRule="auto"/>
        <w:ind w:firstLine="480" w:firstLineChars="200"/>
        <w:jc w:val="center"/>
        <w:outlineLvl w:val="2"/>
        <w:rPr>
          <w:rFonts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合同有关争议解决的条款独立存在，合同的变更、解除、终止、无效或者被撤销均不影响其效力。</w:t>
      </w: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第三部分 专用合同条款</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一般约定</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 xml:space="preserve">履行合同过程中书面确认的对合同内容有实质性影响的会议纪要、洽商、变更、签证等资料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pPr>
        <w:autoSpaceDE w:val="0"/>
        <w:autoSpaceDN w:val="0"/>
        <w:adjustRightInd w:val="0"/>
        <w:spacing w:line="400" w:lineRule="exact"/>
        <w:ind w:left="596" w:leftChars="284"/>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中华人民共和国法律、行政法规、部门规章，以及工程所在地的地方性法规、自治条例、单行条例和地方政府规章等</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pPr>
        <w:spacing w:line="400" w:lineRule="exact"/>
        <w:ind w:left="596" w:leftChars="2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按国家、广东省和广州市相应行业现行相关工程施工和验收规范和国家和各级建设行政主管部门实施的有关质量评定标准和验收规范。</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本条不适用 </w:t>
      </w:r>
      <w:r>
        <w:rPr>
          <w:rFonts w:hint="eastAsia" w:ascii="宋体" w:hAnsi="宋体" w:eastAsia="宋体" w:cs="宋体"/>
          <w:color w:val="auto"/>
          <w:kern w:val="0"/>
          <w:sz w:val="24"/>
          <w:szCs w:val="24"/>
          <w:highlight w:val="none"/>
        </w:rPr>
        <w:t>；</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400" w:lineRule="exact"/>
        <w:ind w:left="596" w:leftChars="2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kern w:val="0"/>
          <w:sz w:val="24"/>
          <w:szCs w:val="24"/>
          <w:highlight w:val="none"/>
          <w:u w:val="single"/>
        </w:rPr>
        <w:t>本条不适用</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（1）合同协议书 (双方有关工程的洽商、变更等书面协议或文件) </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（3）投标函及其附录； </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（4）专用合同条款及其附件；</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（5）招标文件及其附件、答疑文件、补遗文件；</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（6）通用合同条款；</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（7）承包人投标文件及其附件（含评标期间的澄清文件和补充、承诺资料）；</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（8）技术标准和要求；</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（9）已标价工程量清单或预算书；</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（10）在合同订立过程中形成的与合同有关的文件等其他合同文件。</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签订合同后5天</w:t>
      </w:r>
      <w:r>
        <w:rPr>
          <w:rFonts w:hint="eastAsia" w:ascii="宋体" w:hAnsi="宋体" w:eastAsia="宋体" w:cs="宋体"/>
          <w:color w:val="auto"/>
          <w:sz w:val="24"/>
          <w:szCs w:val="24"/>
          <w:highlight w:val="none"/>
        </w:rPr>
        <w:t>；</w:t>
      </w:r>
    </w:p>
    <w:p>
      <w:pPr>
        <w:spacing w:line="400" w:lineRule="exact"/>
        <w:ind w:firstLine="470" w:firstLineChars="196"/>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提供图纸一式四套，承包人确需增加图纸套数的，所需费用由承包人承担</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图纸及设计变更通知须经设计单位、发包人盖章确认方有效</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与工程施工有关的文件</w:t>
      </w:r>
      <w:r>
        <w:rPr>
          <w:rFonts w:hint="eastAsia" w:ascii="宋体" w:hAnsi="宋体" w:eastAsia="宋体" w:cs="宋体"/>
          <w:color w:val="auto"/>
          <w:sz w:val="24"/>
          <w:szCs w:val="24"/>
          <w:highlight w:val="none"/>
        </w:rPr>
        <w:t>；</w:t>
      </w:r>
    </w:p>
    <w:p>
      <w:pPr>
        <w:spacing w:line="400" w:lineRule="exact"/>
        <w:ind w:firstLine="470" w:firstLineChars="196"/>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签订施工合同后的五天内</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一式四份</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书面</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收件后七天内</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按通用条款约定</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首次工地例会明确</w:t>
      </w:r>
      <w:r>
        <w:rPr>
          <w:rFonts w:hint="eastAsia" w:ascii="宋体" w:hAnsi="宋体" w:eastAsia="宋体" w:cs="宋体"/>
          <w:color w:val="auto"/>
          <w:kern w:val="0"/>
          <w:sz w:val="24"/>
          <w:szCs w:val="24"/>
          <w:highlight w:val="none"/>
        </w:rPr>
        <w:t>；</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首次工地例会明确</w:t>
      </w:r>
      <w:r>
        <w:rPr>
          <w:rFonts w:hint="eastAsia" w:ascii="宋体" w:hAnsi="宋体" w:eastAsia="宋体" w:cs="宋体"/>
          <w:color w:val="auto"/>
          <w:kern w:val="0"/>
          <w:sz w:val="24"/>
          <w:szCs w:val="24"/>
          <w:highlight w:val="none"/>
        </w:rPr>
        <w:t>。</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首次工地例会明确</w:t>
      </w:r>
      <w:r>
        <w:rPr>
          <w:rFonts w:hint="eastAsia" w:ascii="宋体" w:hAnsi="宋体" w:eastAsia="宋体" w:cs="宋体"/>
          <w:color w:val="auto"/>
          <w:kern w:val="0"/>
          <w:sz w:val="24"/>
          <w:szCs w:val="24"/>
          <w:highlight w:val="none"/>
        </w:rPr>
        <w:t>；</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首次工地例会明确</w:t>
      </w:r>
      <w:r>
        <w:rPr>
          <w:rFonts w:hint="eastAsia" w:ascii="宋体" w:hAnsi="宋体" w:eastAsia="宋体" w:cs="宋体"/>
          <w:color w:val="auto"/>
          <w:kern w:val="0"/>
          <w:sz w:val="24"/>
          <w:szCs w:val="24"/>
          <w:highlight w:val="none"/>
        </w:rPr>
        <w:t>。</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首次工地例会明确</w:t>
      </w:r>
      <w:r>
        <w:rPr>
          <w:rFonts w:hint="eastAsia" w:ascii="宋体" w:hAnsi="宋体" w:eastAsia="宋体" w:cs="宋体"/>
          <w:color w:val="auto"/>
          <w:kern w:val="0"/>
          <w:sz w:val="24"/>
          <w:szCs w:val="24"/>
          <w:highlight w:val="none"/>
        </w:rPr>
        <w:t>；</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首次工地例会明确</w:t>
      </w:r>
      <w:r>
        <w:rPr>
          <w:rFonts w:hint="eastAsia" w:ascii="宋体" w:hAnsi="宋体" w:eastAsia="宋体" w:cs="宋体"/>
          <w:color w:val="auto"/>
          <w:kern w:val="0"/>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pPr>
        <w:spacing w:line="400" w:lineRule="exact"/>
        <w:ind w:left="596" w:leftChars="2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承包人已查验现场并合理预见工程施工所需的进出施工现场的方式、手段、路径等，合同价已包含与此有关的费用</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1.10.2  施工水、电：甲方提供</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关于发包人向承包人免费提供满足工程施工需要的场内道路、施工场地和交通设施的约定：</w:t>
      </w:r>
      <w:r>
        <w:rPr>
          <w:rFonts w:hint="eastAsia" w:ascii="宋体" w:hAnsi="宋体" w:eastAsia="宋体" w:cs="宋体"/>
          <w:color w:val="auto"/>
          <w:sz w:val="24"/>
          <w:szCs w:val="24"/>
          <w:highlight w:val="none"/>
          <w:u w:val="single"/>
        </w:rPr>
        <w:t>配合发包人要求使用场内外交通设施，工程施工需要满足发包人临时调整；发包人明确场内交通边界，需要临时调整须提前通知承包人。</w:t>
      </w:r>
      <w:r>
        <w:rPr>
          <w:rFonts w:hint="eastAsia" w:ascii="宋体" w:hAnsi="宋体" w:eastAsia="宋体" w:cs="宋体"/>
          <w:color w:val="auto"/>
          <w:sz w:val="24"/>
          <w:szCs w:val="24"/>
          <w:highlight w:val="none"/>
        </w:rPr>
        <w:t xml:space="preserve"> </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承担。</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不得转借他用或泄露给第三方</w:t>
      </w:r>
      <w:r>
        <w:rPr>
          <w:rFonts w:hint="eastAsia" w:ascii="宋体" w:hAnsi="宋体" w:eastAsia="宋体" w:cs="宋体"/>
          <w:color w:val="auto"/>
          <w:sz w:val="24"/>
          <w:szCs w:val="24"/>
          <w:highlight w:val="none"/>
        </w:rPr>
        <w:t>；</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按通用条款约定</w:t>
      </w:r>
      <w:r>
        <w:rPr>
          <w:rFonts w:hint="eastAsia" w:ascii="宋体" w:hAnsi="宋体" w:eastAsia="宋体" w:cs="宋体"/>
          <w:color w:val="auto"/>
          <w:sz w:val="24"/>
          <w:szCs w:val="24"/>
          <w:highlight w:val="none"/>
        </w:rPr>
        <w:t>；</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按通用条款约定</w:t>
      </w:r>
      <w:r>
        <w:rPr>
          <w:rFonts w:hint="eastAsia" w:ascii="宋体" w:hAnsi="宋体" w:eastAsia="宋体" w:cs="宋体"/>
          <w:color w:val="auto"/>
          <w:sz w:val="24"/>
          <w:szCs w:val="24"/>
          <w:highlight w:val="none"/>
        </w:rPr>
        <w:t>；</w:t>
      </w:r>
    </w:p>
    <w:p>
      <w:pPr>
        <w:ind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p>
      <w:pPr>
        <w:ind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是</w:t>
      </w:r>
      <w:r>
        <w:rPr>
          <w:rFonts w:hint="eastAsia" w:ascii="宋体" w:hAnsi="宋体" w:eastAsia="宋体" w:cs="宋体"/>
          <w:color w:val="auto"/>
          <w:kern w:val="0"/>
          <w:sz w:val="24"/>
          <w:szCs w:val="24"/>
          <w:highlight w:val="none"/>
        </w:rPr>
        <w:t>。</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出现未按照国家现行计量规范强制性规定计量的，由承包人提出书面说明，经发包人确认后，按规定按实计量；固定综合单价合同，工程量按实结算</w:t>
      </w:r>
      <w:r>
        <w:rPr>
          <w:rFonts w:hint="eastAsia" w:ascii="宋体" w:hAnsi="宋体" w:eastAsia="宋体" w:cs="宋体"/>
          <w:color w:val="auto"/>
          <w:sz w:val="24"/>
          <w:szCs w:val="24"/>
          <w:highlight w:val="none"/>
        </w:rPr>
        <w:t>；</w:t>
      </w:r>
    </w:p>
    <w:p>
      <w:pPr>
        <w:spacing w:line="4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发包人</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行使发包人的权力，监督检查工程施工进度、安全及质量，审核确认现场有关经济和技术方面的签证和变更，与本工程相关的文件、资料须由发包人盖章确认后方可生效</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开工日期7天前</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本条款不适用</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否</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不提供</w:t>
      </w:r>
      <w:r>
        <w:rPr>
          <w:rFonts w:hint="eastAsia" w:ascii="宋体" w:hAnsi="宋体" w:eastAsia="宋体" w:cs="宋体"/>
          <w:color w:val="auto"/>
          <w:sz w:val="24"/>
          <w:szCs w:val="24"/>
          <w:highlight w:val="none"/>
        </w:rPr>
        <w:t>。</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承包人</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1）承包人提交的竣工资料的内容：</w:t>
      </w:r>
      <w:r>
        <w:rPr>
          <w:rFonts w:hint="eastAsia" w:ascii="宋体" w:hAnsi="宋体" w:eastAsia="宋体" w:cs="宋体"/>
          <w:color w:val="auto"/>
          <w:sz w:val="24"/>
          <w:szCs w:val="24"/>
          <w:highlight w:val="none"/>
          <w:u w:val="single"/>
        </w:rPr>
        <w:t>按建设管理部门及工程所在地档案部门规定</w:t>
      </w:r>
      <w:r>
        <w:rPr>
          <w:rFonts w:hint="eastAsia" w:ascii="宋体" w:hAnsi="宋体" w:eastAsia="宋体" w:cs="宋体"/>
          <w:color w:val="auto"/>
          <w:sz w:val="24"/>
          <w:szCs w:val="24"/>
          <w:highlight w:val="none"/>
        </w:rPr>
        <w:t>。</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2）承包人需要提交的竣工资料套数：</w:t>
      </w:r>
      <w:r>
        <w:rPr>
          <w:rFonts w:hint="eastAsia" w:ascii="宋体" w:hAnsi="宋体" w:eastAsia="宋体" w:cs="宋体"/>
          <w:color w:val="auto"/>
          <w:sz w:val="24"/>
          <w:szCs w:val="24"/>
          <w:highlight w:val="none"/>
          <w:u w:val="single"/>
        </w:rPr>
        <w:t>二套</w:t>
      </w:r>
      <w:r>
        <w:rPr>
          <w:rFonts w:hint="eastAsia" w:ascii="宋体" w:hAnsi="宋体" w:eastAsia="宋体" w:cs="宋体"/>
          <w:color w:val="auto"/>
          <w:sz w:val="24"/>
          <w:szCs w:val="24"/>
          <w:highlight w:val="none"/>
        </w:rPr>
        <w:t>。</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3）承包人提交的竣工资料移交时间：</w:t>
      </w:r>
      <w:r>
        <w:rPr>
          <w:rFonts w:hint="eastAsia" w:ascii="宋体" w:hAnsi="宋体" w:eastAsia="宋体" w:cs="宋体"/>
          <w:color w:val="auto"/>
          <w:sz w:val="24"/>
          <w:szCs w:val="24"/>
          <w:highlight w:val="none"/>
          <w:u w:val="single"/>
        </w:rPr>
        <w:t>按建设管理部门及工程所在地档案部门规定</w:t>
      </w:r>
      <w:r>
        <w:rPr>
          <w:rFonts w:hint="eastAsia" w:ascii="宋体" w:hAnsi="宋体" w:eastAsia="宋体" w:cs="宋体"/>
          <w:color w:val="auto"/>
          <w:sz w:val="24"/>
          <w:szCs w:val="24"/>
          <w:highlight w:val="none"/>
        </w:rPr>
        <w:t>。</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4）承包人提交的竣工资料形式要求：</w:t>
      </w:r>
      <w:r>
        <w:rPr>
          <w:rFonts w:hint="eastAsia" w:ascii="宋体" w:hAnsi="宋体" w:eastAsia="宋体" w:cs="宋体"/>
          <w:color w:val="auto"/>
          <w:sz w:val="24"/>
          <w:szCs w:val="24"/>
          <w:highlight w:val="none"/>
          <w:u w:val="single"/>
        </w:rPr>
        <w:t>按建设管理部门及工程所在地档案部门规定</w:t>
      </w:r>
      <w:r>
        <w:rPr>
          <w:rFonts w:hint="eastAsia" w:ascii="宋体" w:hAnsi="宋体" w:eastAsia="宋体" w:cs="宋体"/>
          <w:color w:val="auto"/>
          <w:sz w:val="24"/>
          <w:szCs w:val="24"/>
          <w:highlight w:val="none"/>
        </w:rPr>
        <w:t>。</w:t>
      </w:r>
    </w:p>
    <w:p>
      <w:pPr>
        <w:tabs>
          <w:tab w:val="left" w:pos="1260"/>
        </w:tabs>
        <w:snapToGri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5）承包人应履行的其他义务：</w:t>
      </w:r>
    </w:p>
    <w:p>
      <w:pPr>
        <w:numPr>
          <w:ilvl w:val="0"/>
          <w:numId w:val="13"/>
        </w:numPr>
        <w:tabs>
          <w:tab w:val="left" w:pos="1260"/>
        </w:tabs>
        <w:snapToGrid w:val="0"/>
        <w:spacing w:line="440" w:lineRule="exact"/>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按时足额支付农民工工资</w:t>
      </w:r>
      <w:r>
        <w:rPr>
          <w:rFonts w:hint="eastAsia" w:ascii="宋体" w:hAnsi="宋体" w:eastAsia="宋体" w:cs="宋体"/>
          <w:color w:val="auto"/>
          <w:kern w:val="0"/>
          <w:sz w:val="24"/>
          <w:szCs w:val="24"/>
          <w:highlight w:val="none"/>
        </w:rPr>
        <w:t>。</w:t>
      </w:r>
    </w:p>
    <w:p>
      <w:pPr>
        <w:tabs>
          <w:tab w:val="left" w:pos="1260"/>
        </w:tabs>
        <w:snapToGrid w:val="0"/>
        <w:spacing w:line="440" w:lineRule="exact"/>
        <w:ind w:firstLine="960" w:firstLineChars="400"/>
        <w:rPr>
          <w:rFonts w:ascii="宋体" w:hAnsi="宋体" w:eastAsia="宋体" w:cs="宋体"/>
          <w:color w:val="auto"/>
          <w:kern w:val="0"/>
          <w:sz w:val="24"/>
          <w:szCs w:val="24"/>
          <w:highlight w:val="none"/>
        </w:rPr>
      </w:pP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本项目施工质量的直接责任人，对施工项目实施全过程管理 </w:t>
      </w:r>
      <w:r>
        <w:rPr>
          <w:rFonts w:hint="eastAsia" w:ascii="宋体" w:hAnsi="宋体" w:eastAsia="宋体" w:cs="宋体"/>
          <w:color w:val="auto"/>
          <w:sz w:val="24"/>
          <w:szCs w:val="24"/>
          <w:highlight w:val="none"/>
        </w:rPr>
        <w:t>；</w:t>
      </w:r>
    </w:p>
    <w:p>
      <w:pPr>
        <w:autoSpaceDE w:val="0"/>
        <w:autoSpaceDN w:val="0"/>
        <w:adjustRightInd w:val="0"/>
        <w:spacing w:line="400" w:lineRule="exact"/>
        <w:ind w:left="1320"/>
        <w:jc w:val="left"/>
        <w:rPr>
          <w:rFonts w:ascii="宋体" w:hAnsi="宋体" w:eastAsia="宋体" w:cs="宋体"/>
          <w:color w:val="auto"/>
          <w:kern w:val="0"/>
          <w:sz w:val="24"/>
          <w:szCs w:val="24"/>
          <w:highlight w:val="none"/>
        </w:rPr>
      </w:pP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 工程质量</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 质量要求</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4.1.1 特殊质量标准和要求：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     </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 隐蔽工程检查</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4.2.2承包人提前通知监理人隐蔽工程检查的期限的约定：</w:t>
      </w:r>
      <w:r>
        <w:rPr>
          <w:rFonts w:hint="eastAsia" w:ascii="宋体" w:hAnsi="宋体" w:eastAsia="宋体" w:cs="宋体"/>
          <w:color w:val="auto"/>
          <w:sz w:val="24"/>
          <w:szCs w:val="24"/>
          <w:highlight w:val="none"/>
          <w:u w:val="single"/>
        </w:rPr>
        <w:t xml:space="preserve"> 应在共同检查前48小时书面通知监理人检查</w:t>
      </w:r>
      <w:r>
        <w:rPr>
          <w:rFonts w:hint="eastAsia" w:ascii="宋体" w:hAnsi="宋体" w:eastAsia="宋体" w:cs="宋体"/>
          <w:color w:val="auto"/>
          <w:sz w:val="24"/>
          <w:szCs w:val="24"/>
          <w:highlight w:val="none"/>
        </w:rPr>
        <w:t>。</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 安全文明施工与环境保护</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5.1安全文明施工</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5.1.1 项目安全生产的达标目标及相应事项的约定：</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（1）按国家、省、市及有关部门颁发的相关规定对施工现场和施工方法采取有效的安全措施，确保安全施工。  </w:t>
      </w:r>
    </w:p>
    <w:p>
      <w:pPr>
        <w:spacing w:line="400" w:lineRule="exact"/>
        <w:ind w:firstLine="120" w:firstLineChars="5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任何因承包人原因造成的工程、财产和人身伤害及安全事故，由承包人承担一切经济及法律责任并负责事后补救。</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5.1.2 关于治安保卫的特别约定：按工程所在地的治安管理执行。</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5.1.3 文明施工</w:t>
      </w:r>
    </w:p>
    <w:p>
      <w:pPr>
        <w:spacing w:line="400" w:lineRule="exact"/>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执行《广东省建设工程文明施工若干规定》、《广州市建设工程文明施工管理规定》</w:t>
      </w:r>
      <w:r>
        <w:rPr>
          <w:rFonts w:hint="eastAsia" w:ascii="宋体" w:hAnsi="宋体" w:eastAsia="宋体" w:cs="宋体"/>
          <w:color w:val="auto"/>
          <w:sz w:val="24"/>
          <w:szCs w:val="24"/>
          <w:highlight w:val="none"/>
        </w:rPr>
        <w:t>等相关管理规定。</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5.1.4 关于安全文明施工费支付比例和支付期限的约定：预付款中全额支付 。</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工期和进度</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 施工组织设计</w:t>
      </w:r>
    </w:p>
    <w:p>
      <w:pPr>
        <w:autoSpaceDE w:val="0"/>
        <w:autoSpaceDN w:val="0"/>
        <w:adjustRightInd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按招标文件约定，招标文件无约定的按通用条款或双方另行约定</w:t>
      </w:r>
      <w:r>
        <w:rPr>
          <w:rFonts w:hint="eastAsia" w:ascii="宋体" w:hAnsi="宋体" w:eastAsia="宋体" w:cs="宋体"/>
          <w:color w:val="auto"/>
          <w:sz w:val="24"/>
          <w:szCs w:val="24"/>
          <w:highlight w:val="none"/>
        </w:rPr>
        <w:t>。</w:t>
      </w:r>
    </w:p>
    <w:p>
      <w:pPr>
        <w:autoSpaceDE w:val="0"/>
        <w:autoSpaceDN w:val="0"/>
        <w:adjustRightInd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6.1.2 </w:t>
      </w:r>
      <w:r>
        <w:rPr>
          <w:rFonts w:hint="eastAsia" w:ascii="宋体" w:hAnsi="宋体" w:eastAsia="宋体" w:cs="宋体"/>
          <w:color w:val="auto"/>
          <w:kern w:val="0"/>
          <w:sz w:val="24"/>
          <w:szCs w:val="24"/>
          <w:highlight w:val="none"/>
        </w:rPr>
        <w:t>施工组织设计的提交和修改</w:t>
      </w:r>
    </w:p>
    <w:p>
      <w:pPr>
        <w:autoSpaceDE w:val="0"/>
        <w:autoSpaceDN w:val="0"/>
        <w:adjustRightInd w:val="0"/>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开工日期前7天</w:t>
      </w:r>
      <w:r>
        <w:rPr>
          <w:rFonts w:hint="eastAsia" w:ascii="宋体" w:hAnsi="宋体" w:eastAsia="宋体" w:cs="宋体"/>
          <w:color w:val="auto"/>
          <w:sz w:val="24"/>
          <w:szCs w:val="24"/>
          <w:highlight w:val="none"/>
        </w:rPr>
        <w:t>。</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 xml:space="preserve">收到施工组织设计后7天内确认或提出修改意见 </w:t>
      </w:r>
      <w:r>
        <w:rPr>
          <w:rFonts w:hint="eastAsia" w:ascii="宋体" w:hAnsi="宋体" w:eastAsia="宋体" w:cs="宋体"/>
          <w:color w:val="auto"/>
          <w:sz w:val="24"/>
          <w:szCs w:val="24"/>
          <w:highlight w:val="none"/>
        </w:rPr>
        <w:t>。</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 施工进度计划</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6.2.2 施工进度计划的修订</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 xml:space="preserve"> 7天内完成审核和批准或提出修改意见</w:t>
      </w:r>
      <w:r>
        <w:rPr>
          <w:rFonts w:hint="eastAsia" w:ascii="宋体" w:hAnsi="宋体" w:eastAsia="宋体" w:cs="宋体"/>
          <w:color w:val="auto"/>
          <w:sz w:val="24"/>
          <w:szCs w:val="24"/>
          <w:highlight w:val="none"/>
        </w:rPr>
        <w:t>。</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 开工</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6.3.1 开工准备</w:t>
      </w:r>
    </w:p>
    <w:p>
      <w:pPr>
        <w:spacing w:line="400" w:lineRule="exact"/>
        <w:ind w:firstLine="645"/>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合同签订后3天内 </w:t>
      </w:r>
      <w:r>
        <w:rPr>
          <w:rFonts w:hint="eastAsia" w:ascii="宋体" w:hAnsi="宋体" w:eastAsia="宋体" w:cs="宋体"/>
          <w:color w:val="auto"/>
          <w:sz w:val="24"/>
          <w:szCs w:val="24"/>
          <w:highlight w:val="none"/>
        </w:rPr>
        <w:t>。</w:t>
      </w:r>
    </w:p>
    <w:p>
      <w:pPr>
        <w:spacing w:line="400" w:lineRule="exact"/>
        <w:ind w:firstLine="645"/>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400" w:lineRule="exact"/>
        <w:ind w:firstLine="600" w:firstLineChars="25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6.3.2开工通知</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60 </w:t>
      </w:r>
      <w:r>
        <w:rPr>
          <w:rFonts w:hint="eastAsia" w:ascii="宋体" w:hAnsi="宋体" w:eastAsia="宋体" w:cs="宋体"/>
          <w:color w:val="auto"/>
          <w:sz w:val="24"/>
          <w:szCs w:val="24"/>
          <w:highlight w:val="none"/>
        </w:rPr>
        <w:t>天内发出开工通知的，承包人有权提出价格调整要求，或者解除合同。</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 测量放线</w:t>
      </w:r>
    </w:p>
    <w:p>
      <w:pPr>
        <w:spacing w:line="400" w:lineRule="exact"/>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6.4.1发包人通过监理人向承包人提供测量基准点、基准线和水准点及其书面资料的期限：</w:t>
      </w:r>
      <w:r>
        <w:rPr>
          <w:rFonts w:hint="eastAsia" w:ascii="宋体" w:hAnsi="宋体" w:eastAsia="宋体" w:cs="宋体"/>
          <w:color w:val="auto"/>
          <w:sz w:val="24"/>
          <w:szCs w:val="24"/>
          <w:highlight w:val="none"/>
          <w:u w:val="single"/>
        </w:rPr>
        <w:t>开工前双方约定</w:t>
      </w:r>
      <w:r>
        <w:rPr>
          <w:rFonts w:hint="eastAsia" w:ascii="宋体" w:hAnsi="宋体" w:eastAsia="宋体" w:cs="宋体"/>
          <w:color w:val="auto"/>
          <w:sz w:val="24"/>
          <w:szCs w:val="24"/>
          <w:highlight w:val="none"/>
        </w:rPr>
        <w:t>。</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 工期延误</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6.5.1 因发包人原因导致工期延误</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（1）因发包人原因导致工期延误的其他情形：由于发包人或政府指令等原因造成工期延误的（如因地质条件、管线迁移、征地拆迁、设计变更等非乙方原因），工期顺延。</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6.5.2 因承包人原因导致工期延误</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6.5.2.1因承包人原因造成工期延误，逾期竣工违约金的计算方法为：增加的费用和（或）延误的工期由承包人承担。</w:t>
      </w:r>
    </w:p>
    <w:p>
      <w:pPr>
        <w:pStyle w:val="2"/>
        <w:rPr>
          <w:rFonts w:eastAsia="宋体"/>
          <w:color w:val="auto"/>
          <w:highlight w:val="none"/>
        </w:rPr>
      </w:pPr>
      <w:r>
        <w:rPr>
          <w:rFonts w:hint="eastAsia" w:eastAsia="宋体"/>
          <w:color w:val="auto"/>
          <w:sz w:val="24"/>
          <w:szCs w:val="24"/>
          <w:highlight w:val="none"/>
        </w:rPr>
        <w:t>6.5.2.2 以2020年9月20日竣工验收合格为判断工期延误的标准，每延误一天（从2020年9月21日起计算至实际竣工验收合格之日），罚款承包人5000元（大写：伍仟元整）。</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6.6 提前竣工的奖励</w:t>
      </w:r>
    </w:p>
    <w:p>
      <w:pPr>
        <w:pStyle w:val="2"/>
        <w:rPr>
          <w:rFonts w:eastAsia="宋体"/>
          <w:color w:val="auto"/>
          <w:sz w:val="24"/>
          <w:szCs w:val="24"/>
          <w:highlight w:val="none"/>
        </w:rPr>
      </w:pPr>
      <w:r>
        <w:rPr>
          <w:rFonts w:hint="eastAsia" w:eastAsia="宋体"/>
          <w:color w:val="auto"/>
          <w:sz w:val="24"/>
          <w:szCs w:val="24"/>
          <w:highlight w:val="none"/>
        </w:rPr>
        <w:t>以2020年9月20日竣工验收合格为判断工期提前的标准，每提前一天（从实际竣工验收合格之日起计算至2020年9月20日），奖励承包人5000元（大写：伍仟元整）。</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 变更</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7.1变更的范围</w:t>
      </w:r>
    </w:p>
    <w:p>
      <w:pPr>
        <w:spacing w:line="400" w:lineRule="exact"/>
        <w:ind w:firstLine="6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kern w:val="0"/>
          <w:sz w:val="24"/>
          <w:szCs w:val="24"/>
          <w:highlight w:val="none"/>
        </w:rPr>
        <w:t>工程施工过程中，对原设计或发包人允许调整而发生的</w:t>
      </w:r>
      <w:r>
        <w:rPr>
          <w:rFonts w:hint="eastAsia" w:ascii="宋体" w:hAnsi="宋体" w:eastAsia="宋体" w:cs="宋体"/>
          <w:color w:val="auto"/>
          <w:sz w:val="24"/>
          <w:szCs w:val="24"/>
          <w:highlight w:val="none"/>
        </w:rPr>
        <w:t>材料、工艺、功能、功效、尺寸、技术指标、工程数量及施工方法等任一方面的改变</w:t>
      </w:r>
      <w:r>
        <w:rPr>
          <w:rFonts w:hint="eastAsia" w:ascii="宋体" w:hAnsi="宋体" w:eastAsia="宋体" w:cs="宋体"/>
          <w:color w:val="auto"/>
          <w:kern w:val="0"/>
          <w:sz w:val="24"/>
          <w:szCs w:val="24"/>
          <w:highlight w:val="none"/>
        </w:rPr>
        <w:t>，承包人已积极配合完成工作。</w:t>
      </w:r>
    </w:p>
    <w:p>
      <w:pPr>
        <w:numPr>
          <w:ilvl w:val="0"/>
          <w:numId w:val="14"/>
        </w:num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更改工程有关部分的标高、基线、位置和尺寸；</w:t>
      </w:r>
    </w:p>
    <w:p>
      <w:pPr>
        <w:numPr>
          <w:ilvl w:val="0"/>
          <w:numId w:val="14"/>
        </w:numPr>
        <w:spacing w:line="400" w:lineRule="exact"/>
        <w:jc w:val="left"/>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增减合同中约定的工程量；</w:t>
      </w:r>
    </w:p>
    <w:p>
      <w:pPr>
        <w:numPr>
          <w:ilvl w:val="0"/>
          <w:numId w:val="14"/>
        </w:numPr>
        <w:spacing w:line="400" w:lineRule="exact"/>
        <w:jc w:val="left"/>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增减合同中约定的工程内容；</w:t>
      </w:r>
    </w:p>
    <w:p>
      <w:pPr>
        <w:numPr>
          <w:ilvl w:val="0"/>
          <w:numId w:val="14"/>
        </w:numPr>
        <w:spacing w:line="400" w:lineRule="exact"/>
        <w:jc w:val="left"/>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改变工程质量标准；</w:t>
      </w:r>
    </w:p>
    <w:p>
      <w:pPr>
        <w:numPr>
          <w:ilvl w:val="0"/>
          <w:numId w:val="14"/>
        </w:numPr>
        <w:spacing w:line="400" w:lineRule="exact"/>
        <w:jc w:val="left"/>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改变有关工程的施工顺序、时间安排；</w:t>
      </w:r>
    </w:p>
    <w:p>
      <w:pPr>
        <w:numPr>
          <w:ilvl w:val="0"/>
          <w:numId w:val="14"/>
        </w:num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为使工程竣工而必需实施的任何种类的附加工作。</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7.2 变更估价</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7.2.1 变更估价原则</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r>
        <w:rPr>
          <w:rFonts w:hint="eastAsia"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rPr>
        <w:t>；</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7.3承包人的合理化建议</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按合同通用条款</w:t>
      </w:r>
      <w:r>
        <w:rPr>
          <w:rFonts w:hint="eastAsia" w:ascii="宋体" w:hAnsi="宋体" w:eastAsia="宋体" w:cs="宋体"/>
          <w:color w:val="auto"/>
          <w:sz w:val="24"/>
          <w:szCs w:val="24"/>
          <w:highlight w:val="none"/>
        </w:rPr>
        <w:t>。</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按合同通用条款</w:t>
      </w:r>
      <w:r>
        <w:rPr>
          <w:rFonts w:hint="eastAsia" w:ascii="宋体" w:hAnsi="宋体" w:eastAsia="宋体" w:cs="宋体"/>
          <w:color w:val="auto"/>
          <w:sz w:val="24"/>
          <w:szCs w:val="24"/>
          <w:highlight w:val="none"/>
        </w:rPr>
        <w:t>。</w:t>
      </w:r>
    </w:p>
    <w:p>
      <w:pPr>
        <w:spacing w:line="400" w:lineRule="exact"/>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不设奖励</w:t>
      </w:r>
      <w:r>
        <w:rPr>
          <w:rFonts w:hint="eastAsia" w:ascii="宋体" w:hAnsi="宋体" w:eastAsia="宋体" w:cs="宋体"/>
          <w:color w:val="auto"/>
          <w:sz w:val="24"/>
          <w:szCs w:val="24"/>
          <w:highlight w:val="none"/>
        </w:rPr>
        <w:t>。</w:t>
      </w:r>
    </w:p>
    <w:p>
      <w:pPr>
        <w:keepNext/>
        <w:keepLines/>
        <w:spacing w:line="400" w:lineRule="exact"/>
        <w:outlineLvl w:val="3"/>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合同价格、计量与支付</w:t>
      </w:r>
    </w:p>
    <w:p>
      <w:pPr>
        <w:spacing w:line="4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 合同价格形式</w:t>
      </w:r>
    </w:p>
    <w:p>
      <w:pPr>
        <w:spacing w:line="40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1）单价合同。</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综合单价包含的风险范围：施工期间（一年以内）各类可调价材料的市场价格变化和可能的国家政策性调整。</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由于发包人或政府指令等原因造成工期延误（如因地质条件、管线迁移、征地拆迁、设计变更等非乙方原因），承包人的施工机具、人员等的二次进出场等费用（政策允许调整的除外）。</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投标人在开工前编制的施工组织设计方案，经监理和发包人审核后要求修改方案而发生的措施费用。</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施工期间内按照广州市市城区文明施工管理等要求增加的措施费用。</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风险费用的计算方法：</w:t>
      </w:r>
      <w:r>
        <w:rPr>
          <w:rFonts w:hint="eastAsia" w:ascii="宋体" w:hAnsi="宋体" w:eastAsia="宋体" w:cs="宋体"/>
          <w:b/>
          <w:color w:val="auto"/>
          <w:sz w:val="24"/>
          <w:szCs w:val="24"/>
          <w:highlight w:val="none"/>
          <w:u w:val="single"/>
        </w:rPr>
        <w:t xml:space="preserve">      /      </w:t>
      </w:r>
      <w:r>
        <w:rPr>
          <w:rFonts w:hint="eastAsia" w:ascii="宋体" w:hAnsi="宋体" w:eastAsia="宋体" w:cs="宋体"/>
          <w:b/>
          <w:color w:val="auto"/>
          <w:sz w:val="24"/>
          <w:szCs w:val="24"/>
          <w:highlight w:val="none"/>
        </w:rPr>
        <w:t>。</w:t>
      </w:r>
    </w:p>
    <w:p>
      <w:pPr>
        <w:spacing w:line="4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 预付款</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预付款的支付</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预付款支付比例或金额：</w:t>
      </w:r>
      <w:r>
        <w:rPr>
          <w:rFonts w:hint="eastAsia" w:ascii="宋体" w:hAnsi="宋体" w:eastAsia="宋体" w:cs="宋体"/>
          <w:b/>
          <w:color w:val="auto"/>
          <w:sz w:val="24"/>
          <w:szCs w:val="24"/>
          <w:highlight w:val="none"/>
          <w:u w:val="single"/>
        </w:rPr>
        <w:t xml:space="preserve">      /      ；</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预付款支付期限：</w:t>
      </w:r>
      <w:r>
        <w:rPr>
          <w:rFonts w:hint="eastAsia" w:ascii="宋体" w:hAnsi="宋体" w:eastAsia="宋体" w:cs="宋体"/>
          <w:b/>
          <w:color w:val="auto"/>
          <w:sz w:val="24"/>
          <w:szCs w:val="24"/>
          <w:highlight w:val="none"/>
          <w:u w:val="single"/>
        </w:rPr>
        <w:t xml:space="preserve">      /      。</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工程款应专款专用，一旦发包人发现工程款被挪作它用，发包人有权采取适当的措施来保证其专款专用。</w:t>
      </w:r>
    </w:p>
    <w:p>
      <w:pPr>
        <w:spacing w:line="4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 计量</w:t>
      </w:r>
    </w:p>
    <w:p>
      <w:pPr>
        <w:spacing w:line="40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8.3.1 计量原则</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工程量计算规则：</w:t>
      </w:r>
      <w:r>
        <w:rPr>
          <w:rFonts w:hint="eastAsia" w:ascii="宋体" w:hAnsi="宋体" w:eastAsia="宋体" w:cs="宋体"/>
          <w:b/>
          <w:color w:val="auto"/>
          <w:sz w:val="24"/>
          <w:szCs w:val="24"/>
          <w:highlight w:val="none"/>
          <w:u w:val="single"/>
        </w:rPr>
        <w:t xml:space="preserve">按照中华人民共和国国家标准《建设工程工程量清单计价规范》（GB50500-2013）及《广东省建设工程造价管理规定》、最新《广东省建筑工程计价办法》等 </w:t>
      </w:r>
      <w:r>
        <w:rPr>
          <w:rFonts w:hint="eastAsia" w:ascii="宋体" w:hAnsi="宋体" w:eastAsia="宋体" w:cs="宋体"/>
          <w:b/>
          <w:color w:val="auto"/>
          <w:sz w:val="24"/>
          <w:szCs w:val="24"/>
          <w:highlight w:val="none"/>
        </w:rPr>
        <w:t>。</w:t>
      </w:r>
    </w:p>
    <w:p>
      <w:pPr>
        <w:spacing w:line="40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8.3.2 计量周期</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关于计量周期的约定：</w:t>
      </w:r>
      <w:r>
        <w:rPr>
          <w:rFonts w:hint="eastAsia" w:ascii="宋体" w:hAnsi="宋体" w:eastAsia="宋体" w:cs="宋体"/>
          <w:b/>
          <w:color w:val="auto"/>
          <w:sz w:val="24"/>
          <w:szCs w:val="24"/>
          <w:highlight w:val="none"/>
          <w:u w:val="single"/>
        </w:rPr>
        <w:t>按通用条款</w:t>
      </w:r>
      <w:r>
        <w:rPr>
          <w:rFonts w:hint="eastAsia" w:ascii="宋体" w:hAnsi="宋体" w:eastAsia="宋体" w:cs="宋体"/>
          <w:b/>
          <w:color w:val="auto"/>
          <w:sz w:val="24"/>
          <w:szCs w:val="24"/>
          <w:highlight w:val="none"/>
        </w:rPr>
        <w:t>。</w:t>
      </w:r>
    </w:p>
    <w:p>
      <w:pPr>
        <w:spacing w:line="40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8.3.3 单价合同的计量</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关于单价合同计量的约定：</w:t>
      </w:r>
      <w:r>
        <w:rPr>
          <w:rFonts w:hint="eastAsia" w:ascii="宋体" w:hAnsi="宋体" w:eastAsia="宋体" w:cs="宋体"/>
          <w:b/>
          <w:color w:val="auto"/>
          <w:sz w:val="24"/>
          <w:szCs w:val="24"/>
          <w:highlight w:val="none"/>
          <w:u w:val="single"/>
        </w:rPr>
        <w:t>按通用条款</w:t>
      </w:r>
      <w:r>
        <w:rPr>
          <w:rFonts w:hint="eastAsia" w:ascii="宋体" w:hAnsi="宋体" w:eastAsia="宋体" w:cs="宋体"/>
          <w:b/>
          <w:color w:val="auto"/>
          <w:sz w:val="24"/>
          <w:szCs w:val="24"/>
          <w:highlight w:val="none"/>
        </w:rPr>
        <w:t>。</w:t>
      </w:r>
    </w:p>
    <w:p>
      <w:pPr>
        <w:spacing w:line="4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 工程进度款支付</w:t>
      </w:r>
    </w:p>
    <w:p>
      <w:pPr>
        <w:widowControl/>
        <w:adjustRightInd w:val="0"/>
        <w:snapToGrid w:val="0"/>
        <w:spacing w:line="40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8.4.1√ 以形象进度为准，具体为：</w:t>
      </w:r>
    </w:p>
    <w:p>
      <w:pPr>
        <w:widowControl/>
        <w:tabs>
          <w:tab w:val="left" w:pos="1140"/>
        </w:tabs>
        <w:adjustRightInd w:val="0"/>
        <w:snapToGrid w:val="0"/>
        <w:spacing w:line="400" w:lineRule="exact"/>
        <w:ind w:firstLine="600" w:firstLineChars="25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（1）工程完工验收合格，承包人提供合同金额80 %的合法、合规的税率为</w:t>
      </w:r>
      <w:r>
        <w:rPr>
          <w:rFonts w:hint="eastAsia" w:ascii="宋体" w:hAnsi="宋体" w:eastAsia="宋体" w:cs="宋体"/>
          <w:b/>
          <w:color w:val="auto"/>
          <w:sz w:val="24"/>
          <w:szCs w:val="24"/>
          <w:highlight w:val="none"/>
          <w:u w:val="single"/>
        </w:rPr>
        <w:t xml:space="preserve"> 9 %</w:t>
      </w:r>
      <w:r>
        <w:rPr>
          <w:rFonts w:hint="eastAsia" w:ascii="宋体" w:hAnsi="宋体" w:eastAsia="宋体" w:cs="宋体"/>
          <w:b/>
          <w:color w:val="auto"/>
          <w:sz w:val="24"/>
          <w:szCs w:val="24"/>
          <w:highlight w:val="none"/>
        </w:rPr>
        <w:t>的增值税专用发票，发包人在5个有效工作日内向承包人支付至合同金额的80%；</w:t>
      </w:r>
    </w:p>
    <w:p>
      <w:pPr>
        <w:widowControl/>
        <w:adjustRightInd w:val="0"/>
        <w:snapToGrid w:val="0"/>
        <w:spacing w:line="400" w:lineRule="exact"/>
        <w:ind w:firstLine="600" w:firstLineChars="25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（2）工程竣工验收合格，</w:t>
      </w:r>
      <w:r>
        <w:rPr>
          <w:rFonts w:hint="eastAsia" w:ascii="宋体" w:hAnsi="宋体" w:eastAsia="宋体" w:cs="宋体"/>
          <w:b/>
          <w:color w:val="auto"/>
          <w:kern w:val="0"/>
          <w:sz w:val="24"/>
          <w:szCs w:val="24"/>
          <w:highlight w:val="none"/>
        </w:rPr>
        <w:t>在完成之日起15个工作日内，承包人向发包人提交该工程的结算文件，送发包人审核。</w:t>
      </w:r>
      <w:r>
        <w:rPr>
          <w:rFonts w:hint="eastAsia" w:ascii="宋体" w:hAnsi="宋体" w:eastAsia="宋体" w:cs="宋体"/>
          <w:b/>
          <w:color w:val="auto"/>
          <w:sz w:val="24"/>
          <w:szCs w:val="24"/>
          <w:highlight w:val="none"/>
        </w:rPr>
        <w:t>承包人提供按结算审核价格扣除已支付合同金额的合法、合规的税率为</w:t>
      </w:r>
      <w:r>
        <w:rPr>
          <w:rFonts w:hint="eastAsia" w:ascii="宋体" w:hAnsi="宋体" w:eastAsia="宋体" w:cs="宋体"/>
          <w:b/>
          <w:color w:val="auto"/>
          <w:sz w:val="24"/>
          <w:szCs w:val="24"/>
          <w:highlight w:val="none"/>
          <w:u w:val="single"/>
        </w:rPr>
        <w:t xml:space="preserve"> 9 %</w:t>
      </w:r>
      <w:r>
        <w:rPr>
          <w:rFonts w:hint="eastAsia" w:ascii="宋体" w:hAnsi="宋体" w:eastAsia="宋体" w:cs="宋体"/>
          <w:b/>
          <w:color w:val="auto"/>
          <w:sz w:val="24"/>
          <w:szCs w:val="24"/>
          <w:highlight w:val="none"/>
        </w:rPr>
        <w:t>的增值税专用发票，发包人在收到上述资料后10个有效工作日内向承包人支付至结算价的95%；</w:t>
      </w:r>
    </w:p>
    <w:p>
      <w:pPr>
        <w:widowControl/>
        <w:adjustRightInd w:val="0"/>
        <w:snapToGrid w:val="0"/>
        <w:spacing w:line="400" w:lineRule="exact"/>
        <w:ind w:firstLine="600" w:firstLineChars="25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（3）在质量保修期结束后15个工作日内，承包人提供结算额剩余的5%的合法、合规的</w:t>
      </w:r>
      <w:r>
        <w:rPr>
          <w:rFonts w:hint="eastAsia" w:ascii="宋体" w:hAnsi="宋体" w:eastAsia="宋体" w:cs="宋体"/>
          <w:b/>
          <w:color w:val="auto"/>
          <w:sz w:val="24"/>
          <w:szCs w:val="24"/>
          <w:highlight w:val="none"/>
          <w:u w:val="single"/>
        </w:rPr>
        <w:t xml:space="preserve"> 9 </w:t>
      </w:r>
      <w:r>
        <w:rPr>
          <w:rFonts w:hint="eastAsia" w:ascii="宋体" w:hAnsi="宋体" w:eastAsia="宋体" w:cs="宋体"/>
          <w:b/>
          <w:color w:val="auto"/>
          <w:sz w:val="24"/>
          <w:szCs w:val="24"/>
          <w:highlight w:val="none"/>
        </w:rPr>
        <w:t>%的增值税专用发票，发包人在收到上述资料后10个有效工作日内向承包人支付至结算价的100%；</w:t>
      </w:r>
    </w:p>
    <w:p>
      <w:pPr>
        <w:widowControl/>
        <w:adjustRightInd w:val="0"/>
        <w:snapToGrid w:val="0"/>
        <w:spacing w:line="400" w:lineRule="exact"/>
        <w:ind w:firstLine="600" w:firstLineChars="25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（4）保修期：</w:t>
      </w:r>
      <w:r>
        <w:rPr>
          <w:rFonts w:hint="eastAsia" w:ascii="宋体" w:hAnsi="宋体" w:eastAsia="宋体" w:cs="宋体"/>
          <w:b/>
          <w:color w:val="auto"/>
          <w:sz w:val="24"/>
          <w:szCs w:val="24"/>
          <w:highlight w:val="none"/>
          <w:lang w:val="en-US" w:eastAsia="zh-CN"/>
        </w:rPr>
        <w:t>3个月</w:t>
      </w:r>
      <w:r>
        <w:rPr>
          <w:rFonts w:hint="eastAsia" w:ascii="宋体" w:hAnsi="宋体" w:eastAsia="宋体" w:cs="宋体"/>
          <w:b/>
          <w:color w:val="auto"/>
          <w:sz w:val="24"/>
          <w:szCs w:val="24"/>
          <w:highlight w:val="none"/>
        </w:rPr>
        <w:t>。</w:t>
      </w:r>
    </w:p>
    <w:p>
      <w:pPr>
        <w:widowControl/>
        <w:adjustRightInd w:val="0"/>
        <w:snapToGrid w:val="0"/>
        <w:spacing w:line="400" w:lineRule="exact"/>
        <w:ind w:firstLine="600" w:firstLineChars="25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（5）竣工结算经发包人、承包人盖章确认后的工程结算文件为准。</w:t>
      </w:r>
    </w:p>
    <w:p>
      <w:pPr>
        <w:spacing w:line="40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8.4.2 进度付款申请单的编制</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关于进度付款申请单编制的约定：</w:t>
      </w:r>
      <w:r>
        <w:rPr>
          <w:rFonts w:hint="eastAsia" w:ascii="宋体" w:hAnsi="宋体" w:eastAsia="宋体" w:cs="宋体"/>
          <w:b/>
          <w:color w:val="auto"/>
          <w:sz w:val="24"/>
          <w:szCs w:val="24"/>
          <w:highlight w:val="none"/>
          <w:u w:val="single"/>
        </w:rPr>
        <w:t>按通用条款</w:t>
      </w:r>
      <w:r>
        <w:rPr>
          <w:rFonts w:hint="eastAsia" w:ascii="宋体" w:hAnsi="宋体" w:eastAsia="宋体" w:cs="宋体"/>
          <w:b/>
          <w:color w:val="auto"/>
          <w:sz w:val="24"/>
          <w:szCs w:val="24"/>
          <w:highlight w:val="none"/>
        </w:rPr>
        <w:t>。</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 分部分项工程验收</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9.1.1监理人不能按时进行验收时，应提前</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小时提交书面延期要求。</w:t>
      </w:r>
    </w:p>
    <w:p>
      <w:pPr>
        <w:spacing w:line="40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小时。</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 竣工验收</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9.2.1竣工验收程序</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rPr>
        <w:t>。</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9.2.2移交、接收全部与部分工程</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 xml:space="preserve">通过竣工验收程序,办完竣工后15个工作日内 </w:t>
      </w:r>
      <w:r>
        <w:rPr>
          <w:rFonts w:hint="eastAsia" w:ascii="宋体" w:hAnsi="宋体" w:eastAsia="宋体" w:cs="宋体"/>
          <w:color w:val="auto"/>
          <w:sz w:val="24"/>
          <w:szCs w:val="24"/>
          <w:highlight w:val="none"/>
        </w:rPr>
        <w:t>。</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9.3竣工退场</w:t>
      </w:r>
    </w:p>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9.3.1 竣工退场</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承包人完成竣工退场的期限：               </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 竣工结算</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 竣工付款申请</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按发包人通知</w:t>
      </w:r>
      <w:r>
        <w:rPr>
          <w:rFonts w:hint="eastAsia" w:ascii="宋体" w:hAnsi="宋体" w:eastAsia="宋体" w:cs="宋体"/>
          <w:color w:val="auto"/>
          <w:sz w:val="24"/>
          <w:szCs w:val="24"/>
          <w:highlight w:val="none"/>
        </w:rPr>
        <w:t>。</w:t>
      </w:r>
    </w:p>
    <w:p>
      <w:pPr>
        <w:spacing w:line="400" w:lineRule="exact"/>
        <w:ind w:firstLine="424" w:firstLineChars="17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按通用条款 </w:t>
      </w:r>
      <w:r>
        <w:rPr>
          <w:rFonts w:hint="eastAsia" w:ascii="宋体" w:hAnsi="宋体" w:eastAsia="宋体" w:cs="宋体"/>
          <w:color w:val="auto"/>
          <w:sz w:val="24"/>
          <w:szCs w:val="24"/>
          <w:highlight w:val="none"/>
        </w:rPr>
        <w:t xml:space="preserve">。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 竣工结算审核</w:t>
      </w:r>
    </w:p>
    <w:p>
      <w:pPr>
        <w:spacing w:line="400" w:lineRule="exact"/>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在工程通过竣工验收，承包人提交了合格完整的竣工资料，发包人在收齐承包人有关结算资料后，15个工作日内完成审核确认。</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工程竣工验收质量达到合同要求，业主确认工程结算造价后5天内付清工程结算款</w:t>
      </w:r>
      <w:r>
        <w:rPr>
          <w:rFonts w:hint="eastAsia" w:ascii="宋体" w:hAnsi="宋体" w:eastAsia="宋体" w:cs="宋体"/>
          <w:color w:val="auto"/>
          <w:sz w:val="24"/>
          <w:szCs w:val="24"/>
          <w:highlight w:val="none"/>
        </w:rPr>
        <w:t>。</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缺陷责任期与保修</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11.1缺陷责任期</w:t>
      </w:r>
    </w:p>
    <w:p>
      <w:pPr>
        <w:spacing w:line="400" w:lineRule="exact"/>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lang w:val="en-US" w:eastAsia="zh-CN"/>
        </w:rPr>
        <w:t>3个月</w:t>
      </w:r>
      <w:r>
        <w:rPr>
          <w:rFonts w:hint="eastAsia" w:ascii="宋体" w:hAnsi="宋体" w:eastAsia="宋体" w:cs="宋体"/>
          <w:color w:val="auto"/>
          <w:sz w:val="24"/>
          <w:szCs w:val="24"/>
          <w:highlight w:val="none"/>
        </w:rPr>
        <w:t>。</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11.2关于是否扣留质量保证金的约定：扣留质量保证金</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11.3保修</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11.3.1 保修责任</w:t>
      </w:r>
    </w:p>
    <w:p>
      <w:pPr>
        <w:spacing w:line="400" w:lineRule="exact"/>
        <w:ind w:firstLine="468" w:firstLineChars="195"/>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按工程质量保修书</w:t>
      </w:r>
      <w:r>
        <w:rPr>
          <w:rFonts w:hint="eastAsia" w:ascii="宋体" w:hAnsi="宋体" w:eastAsia="宋体" w:cs="宋体"/>
          <w:color w:val="auto"/>
          <w:kern w:val="0"/>
          <w:sz w:val="24"/>
          <w:szCs w:val="24"/>
          <w:highlight w:val="none"/>
        </w:rPr>
        <w:t>。</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11.3.2修复通知</w:t>
      </w:r>
    </w:p>
    <w:p>
      <w:pPr>
        <w:spacing w:line="400" w:lineRule="exact"/>
        <w:ind w:firstLine="468" w:firstLineChars="19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按工程质量保修书</w:t>
      </w:r>
      <w:r>
        <w:rPr>
          <w:rFonts w:hint="eastAsia" w:ascii="宋体" w:hAnsi="宋体" w:eastAsia="宋体" w:cs="宋体"/>
          <w:color w:val="auto"/>
          <w:kern w:val="0"/>
          <w:sz w:val="24"/>
          <w:szCs w:val="24"/>
          <w:highlight w:val="none"/>
        </w:rPr>
        <w:t>。</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违约</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 发包人违约</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12.1.1发包人违约的情形</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pPr>
        <w:spacing w:line="400" w:lineRule="exact"/>
        <w:ind w:left="1200" w:hanging="1200" w:hangingChars="5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12.1.2 发包人违约的责任</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pPr>
        <w:numPr>
          <w:ilvl w:val="0"/>
          <w:numId w:val="15"/>
        </w:num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因发包人原因未能在计划开工日期前7天内下达开工通知的违约责任：</w:t>
      </w:r>
      <w:r>
        <w:rPr>
          <w:rFonts w:hint="eastAsia" w:ascii="宋体" w:hAnsi="宋体" w:eastAsia="宋体" w:cs="宋体"/>
          <w:color w:val="auto"/>
          <w:kern w:val="0"/>
          <w:sz w:val="24"/>
          <w:szCs w:val="24"/>
          <w:highlight w:val="none"/>
          <w:u w:val="single"/>
        </w:rPr>
        <w:t>双方另行确定</w:t>
      </w:r>
    </w:p>
    <w:p>
      <w:pPr>
        <w:numPr>
          <w:ilvl w:val="0"/>
          <w:numId w:val="15"/>
        </w:num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发包人原因未能按合同约定支付合同价款的违约责任：</w:t>
      </w:r>
      <w:r>
        <w:rPr>
          <w:rFonts w:hint="eastAsia" w:ascii="宋体" w:hAnsi="宋体" w:eastAsia="宋体" w:cs="宋体"/>
          <w:color w:val="auto"/>
          <w:kern w:val="0"/>
          <w:sz w:val="24"/>
          <w:szCs w:val="24"/>
          <w:highlight w:val="none"/>
          <w:u w:val="single"/>
        </w:rPr>
        <w:t>双方另行确定</w:t>
      </w:r>
      <w:r>
        <w:rPr>
          <w:rFonts w:hint="eastAsia" w:ascii="宋体" w:hAnsi="宋体" w:eastAsia="宋体" w:cs="宋体"/>
          <w:color w:val="auto"/>
          <w:kern w:val="0"/>
          <w:sz w:val="24"/>
          <w:szCs w:val="24"/>
          <w:highlight w:val="none"/>
        </w:rPr>
        <w:t>。</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双方另行确定</w:t>
      </w:r>
      <w:r>
        <w:rPr>
          <w:rFonts w:hint="eastAsia" w:ascii="宋体" w:hAnsi="宋体" w:eastAsia="宋体" w:cs="宋体"/>
          <w:color w:val="auto"/>
          <w:kern w:val="0"/>
          <w:sz w:val="24"/>
          <w:szCs w:val="24"/>
          <w:highlight w:val="none"/>
        </w:rPr>
        <w:t>。</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（4）因发包人违反合同约定造成暂停施工的违约责任：</w:t>
      </w:r>
      <w:r>
        <w:rPr>
          <w:rFonts w:hint="eastAsia" w:ascii="宋体" w:hAnsi="宋体" w:eastAsia="宋体" w:cs="宋体"/>
          <w:color w:val="auto"/>
          <w:kern w:val="0"/>
          <w:sz w:val="24"/>
          <w:szCs w:val="24"/>
          <w:highlight w:val="none"/>
          <w:u w:val="single"/>
        </w:rPr>
        <w:t>双方另行确定</w:t>
      </w:r>
      <w:r>
        <w:rPr>
          <w:rFonts w:hint="eastAsia" w:ascii="宋体" w:hAnsi="宋体" w:eastAsia="宋体" w:cs="宋体"/>
          <w:color w:val="auto"/>
          <w:kern w:val="0"/>
          <w:sz w:val="24"/>
          <w:szCs w:val="24"/>
          <w:highlight w:val="none"/>
        </w:rPr>
        <w:t>。</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 xml:space="preserve">双方另行确定 </w:t>
      </w:r>
      <w:r>
        <w:rPr>
          <w:rFonts w:hint="eastAsia" w:ascii="宋体" w:hAnsi="宋体" w:eastAsia="宋体" w:cs="宋体"/>
          <w:color w:val="auto"/>
          <w:kern w:val="0"/>
          <w:sz w:val="24"/>
          <w:szCs w:val="24"/>
          <w:highlight w:val="none"/>
        </w:rPr>
        <w:t>。</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12.1.3 因发包人违约解除合同</w:t>
      </w:r>
    </w:p>
    <w:p>
      <w:pPr>
        <w:autoSpaceDE w:val="0"/>
        <w:autoSpaceDN w:val="0"/>
        <w:adjustRightInd w:val="0"/>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承包人按12.1.1项〔发包人违约的情形〕约定暂停施工满</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 承包人违约</w:t>
      </w:r>
    </w:p>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12.2.1 承包人违约的情形</w:t>
      </w:r>
    </w:p>
    <w:p>
      <w:pPr>
        <w:spacing w:line="400" w:lineRule="exact"/>
        <w:ind w:firstLine="480" w:firstLineChars="200"/>
        <w:jc w:val="left"/>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双方另行确定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12.2.3 因承包人违约解除合同</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按通用合同条款执行</w:t>
      </w:r>
      <w:r>
        <w:rPr>
          <w:rFonts w:hint="eastAsia" w:ascii="宋体" w:hAnsi="宋体" w:eastAsia="宋体" w:cs="宋体"/>
          <w:color w:val="auto"/>
          <w:kern w:val="0"/>
          <w:sz w:val="24"/>
          <w:szCs w:val="24"/>
          <w:highlight w:val="none"/>
        </w:rPr>
        <w:t>。</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双方另行确定</w:t>
      </w:r>
      <w:r>
        <w:rPr>
          <w:rFonts w:hint="eastAsia" w:ascii="宋体" w:hAnsi="宋体" w:eastAsia="宋体" w:cs="宋体"/>
          <w:color w:val="auto"/>
          <w:kern w:val="0"/>
          <w:sz w:val="24"/>
          <w:szCs w:val="24"/>
          <w:highlight w:val="none"/>
        </w:rPr>
        <w:t>。</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 不可抗力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 不可抗力的确认</w:t>
      </w:r>
    </w:p>
    <w:p>
      <w:pPr>
        <w:spacing w:line="400" w:lineRule="exact"/>
        <w:ind w:firstLine="480" w:firstLineChars="200"/>
        <w:jc w:val="left"/>
        <w:rPr>
          <w:rFonts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①8级（含8级）或以上的台风；②在24小时内（午夜至午夜）所降雨量超过200毫米；③摄氏45度以上高温天气；④6级以上地震；⑤十级以上强风暴、龙卷风；⑥五十年一遇以上洪水造成重大破坏等情况。所有上述异常恶劣气候条件，以广州市气象局或有关部门测定或公布的数据为准</w:t>
      </w:r>
      <w:r>
        <w:rPr>
          <w:rFonts w:hint="eastAsia" w:ascii="宋体" w:hAnsi="宋体" w:eastAsia="宋体" w:cs="宋体"/>
          <w:color w:val="auto"/>
          <w:kern w:val="0"/>
          <w:sz w:val="24"/>
          <w:szCs w:val="24"/>
          <w:highlight w:val="none"/>
        </w:rPr>
        <w:t>。</w:t>
      </w:r>
    </w:p>
    <w:p>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13.2因不可抗力解除合同</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 </w:t>
      </w:r>
      <w:r>
        <w:rPr>
          <w:rFonts w:hint="eastAsia" w:ascii="宋体" w:hAnsi="宋体" w:eastAsia="宋体" w:cs="宋体"/>
          <w:color w:val="auto"/>
          <w:sz w:val="24"/>
          <w:szCs w:val="24"/>
          <w:highlight w:val="none"/>
        </w:rPr>
        <w:t>天内完成款项的支付。</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保险</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 工程保险</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关于工程保险的约定：</w:t>
      </w:r>
      <w:r>
        <w:rPr>
          <w:rFonts w:hint="eastAsia" w:ascii="宋体" w:hAnsi="宋体" w:eastAsia="宋体" w:cs="宋体"/>
          <w:color w:val="auto"/>
          <w:kern w:val="0"/>
          <w:sz w:val="24"/>
          <w:szCs w:val="24"/>
          <w:highlight w:val="none"/>
          <w:u w:val="single"/>
        </w:rPr>
        <w:t>按合同通用条款规定执行</w:t>
      </w:r>
      <w:r>
        <w:rPr>
          <w:rFonts w:hint="eastAsia" w:ascii="宋体" w:hAnsi="宋体" w:eastAsia="宋体" w:cs="宋体"/>
          <w:color w:val="auto"/>
          <w:kern w:val="0"/>
          <w:sz w:val="24"/>
          <w:szCs w:val="24"/>
          <w:highlight w:val="none"/>
        </w:rPr>
        <w:t>。</w:t>
      </w:r>
    </w:p>
    <w:p>
      <w:pPr>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承包人自行考虑购买</w:t>
      </w:r>
      <w:r>
        <w:rPr>
          <w:rFonts w:hint="eastAsia" w:ascii="宋体" w:hAnsi="宋体" w:eastAsia="宋体" w:cs="宋体"/>
          <w:color w:val="auto"/>
          <w:sz w:val="24"/>
          <w:szCs w:val="24"/>
          <w:highlight w:val="none"/>
        </w:rPr>
        <w:t>。</w:t>
      </w:r>
    </w:p>
    <w:p>
      <w:pPr>
        <w:keepNext/>
        <w:keepLines/>
        <w:spacing w:line="400" w:lineRule="exact"/>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争议解决</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15.1仲裁或诉讼</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pPr>
        <w:spacing w:line="400" w:lineRule="exact"/>
        <w:ind w:firstLine="480" w:firstLineChars="200"/>
        <w:jc w:val="left"/>
        <w:rPr>
          <w:rFonts w:hAnsi="宋体" w:eastAsia="宋体" w:cs="宋体"/>
          <w:color w:val="auto"/>
          <w:szCs w:val="21"/>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甲方所在地</w:t>
      </w:r>
      <w:r>
        <w:rPr>
          <w:rFonts w:hint="eastAsia" w:ascii="宋体" w:hAnsi="宋体" w:eastAsia="宋体" w:cs="宋体"/>
          <w:color w:val="auto"/>
          <w:sz w:val="24"/>
          <w:szCs w:val="24"/>
          <w:highlight w:val="none"/>
        </w:rPr>
        <w:t>的人民法院起诉。</w:t>
      </w:r>
    </w:p>
    <w:p>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3"/>
        <w:keepNext/>
        <w:keepLines/>
        <w:spacing w:after="0"/>
        <w:jc w:val="center"/>
        <w:rPr>
          <w:rFonts w:eastAsia="宋体"/>
          <w:b/>
          <w:color w:val="auto"/>
          <w:highlight w:val="none"/>
        </w:rPr>
      </w:pPr>
      <w:bookmarkStart w:id="582" w:name="第05章工程量清单"/>
      <w:bookmarkEnd w:id="582"/>
      <w:bookmarkStart w:id="583" w:name="_Toc9224"/>
      <w:r>
        <w:rPr>
          <w:rFonts w:hint="eastAsia" w:eastAsia="宋体"/>
          <w:b/>
          <w:color w:val="auto"/>
          <w:kern w:val="44"/>
          <w:sz w:val="44"/>
          <w:szCs w:val="44"/>
          <w:highlight w:val="none"/>
          <w:lang w:val="zh-CN"/>
        </w:rPr>
        <w:t>第</w:t>
      </w:r>
      <w:r>
        <w:rPr>
          <w:rFonts w:hint="eastAsia" w:eastAsia="宋体"/>
          <w:b/>
          <w:color w:val="auto"/>
          <w:kern w:val="44"/>
          <w:sz w:val="44"/>
          <w:szCs w:val="44"/>
          <w:highlight w:val="none"/>
        </w:rPr>
        <w:t>4</w:t>
      </w:r>
      <w:r>
        <w:rPr>
          <w:rFonts w:hint="eastAsia" w:eastAsia="宋体"/>
          <w:b/>
          <w:color w:val="auto"/>
          <w:kern w:val="44"/>
          <w:sz w:val="44"/>
          <w:szCs w:val="44"/>
          <w:highlight w:val="none"/>
          <w:lang w:val="zh-CN"/>
        </w:rPr>
        <w:t>章　工程量清单</w:t>
      </w:r>
      <w:bookmarkEnd w:id="583"/>
    </w:p>
    <w:p>
      <w:pPr>
        <w:jc w:val="center"/>
        <w:outlineLvl w:val="0"/>
        <w:rPr>
          <w:rFonts w:ascii="宋体" w:hAnsi="宋体" w:eastAsia="宋体" w:cs="宋体"/>
          <w:color w:val="auto"/>
          <w:kern w:val="44"/>
          <w:sz w:val="44"/>
          <w:szCs w:val="44"/>
          <w:highlight w:val="none"/>
          <w:lang w:val="zh-CN"/>
        </w:rPr>
      </w:pPr>
      <w:r>
        <w:rPr>
          <w:rFonts w:hint="eastAsia" w:ascii="宋体" w:hAnsi="宋体" w:eastAsia="宋体" w:cs="宋体"/>
          <w:color w:val="auto"/>
          <w:highlight w:val="none"/>
        </w:rPr>
        <w:t>（另册）</w:t>
      </w:r>
      <w:r>
        <w:rPr>
          <w:rFonts w:hint="eastAsia" w:ascii="宋体" w:hAnsi="宋体" w:eastAsia="宋体" w:cs="宋体"/>
          <w:color w:val="auto"/>
          <w:kern w:val="44"/>
          <w:sz w:val="44"/>
          <w:szCs w:val="44"/>
          <w:highlight w:val="none"/>
          <w:lang w:val="zh-CN"/>
        </w:rPr>
        <w:br w:type="page"/>
      </w:r>
      <w:bookmarkStart w:id="584" w:name="第07章技术标准和要求"/>
      <w:bookmarkEnd w:id="584"/>
      <w:bookmarkStart w:id="585" w:name="第02卷"/>
      <w:bookmarkEnd w:id="585"/>
      <w:bookmarkStart w:id="586" w:name="第05章工程量清单投标"/>
      <w:bookmarkEnd w:id="586"/>
      <w:bookmarkStart w:id="587" w:name="第03卷"/>
      <w:bookmarkEnd w:id="587"/>
      <w:bookmarkStart w:id="588" w:name="第06章图纸招标"/>
      <w:bookmarkEnd w:id="588"/>
      <w:r>
        <w:rPr>
          <w:rFonts w:hint="eastAsia" w:ascii="宋体" w:hAnsi="宋体" w:eastAsia="宋体" w:cs="宋体"/>
          <w:b/>
          <w:color w:val="auto"/>
          <w:kern w:val="44"/>
          <w:sz w:val="44"/>
          <w:szCs w:val="44"/>
          <w:highlight w:val="none"/>
          <w:lang w:val="zh-CN"/>
        </w:rPr>
        <w:t>第</w:t>
      </w:r>
      <w:r>
        <w:rPr>
          <w:rFonts w:hint="eastAsia" w:ascii="宋体" w:hAnsi="宋体" w:eastAsia="宋体" w:cs="宋体"/>
          <w:b/>
          <w:color w:val="auto"/>
          <w:kern w:val="44"/>
          <w:sz w:val="44"/>
          <w:szCs w:val="44"/>
          <w:highlight w:val="none"/>
        </w:rPr>
        <w:t>5</w:t>
      </w:r>
      <w:r>
        <w:rPr>
          <w:rFonts w:hint="eastAsia" w:ascii="宋体" w:hAnsi="宋体" w:eastAsia="宋体" w:cs="宋体"/>
          <w:b/>
          <w:color w:val="auto"/>
          <w:kern w:val="44"/>
          <w:sz w:val="44"/>
          <w:szCs w:val="44"/>
          <w:highlight w:val="none"/>
          <w:lang w:val="zh-CN"/>
        </w:rPr>
        <w:t>章　图纸</w:t>
      </w:r>
    </w:p>
    <w:p>
      <w:pPr>
        <w:jc w:val="center"/>
        <w:rPr>
          <w:rFonts w:ascii="宋体" w:hAnsi="宋体" w:eastAsia="宋体" w:cs="宋体"/>
          <w:color w:val="auto"/>
          <w:highlight w:val="none"/>
        </w:rPr>
      </w:pPr>
      <w:r>
        <w:rPr>
          <w:rFonts w:hint="eastAsia" w:ascii="宋体" w:hAnsi="宋体" w:eastAsia="宋体" w:cs="宋体"/>
          <w:color w:val="auto"/>
          <w:highlight w:val="none"/>
        </w:rPr>
        <w:t>（另册）</w:t>
      </w:r>
    </w:p>
    <w:p>
      <w:pPr>
        <w:rPr>
          <w:rFonts w:ascii="宋体" w:hAnsi="宋体" w:eastAsia="宋体" w:cs="宋体"/>
          <w:color w:val="auto"/>
          <w:highlight w:val="none"/>
        </w:rPr>
      </w:pPr>
    </w:p>
    <w:p>
      <w:pPr>
        <w:rPr>
          <w:rFonts w:ascii="宋体" w:hAnsi="宋体" w:eastAsia="宋体" w:cs="宋体"/>
          <w:color w:val="auto"/>
          <w:highlight w:val="none"/>
        </w:rPr>
      </w:pPr>
    </w:p>
    <w:p>
      <w:pPr>
        <w:jc w:val="center"/>
        <w:rPr>
          <w:rFonts w:ascii="宋体" w:hAnsi="宋体" w:eastAsia="宋体" w:cs="宋体"/>
          <w:b/>
          <w:color w:val="auto"/>
          <w:sz w:val="52"/>
          <w:szCs w:val="52"/>
          <w:highlight w:val="none"/>
        </w:rPr>
        <w:sectPr>
          <w:pgSz w:w="11906" w:h="16838"/>
          <w:pgMar w:top="1418" w:right="1361" w:bottom="1418" w:left="1418" w:header="851" w:footer="992" w:gutter="0"/>
          <w:cols w:space="720" w:num="1"/>
          <w:docGrid w:type="linesAndChars" w:linePitch="312" w:charSpace="0"/>
        </w:sectPr>
      </w:pPr>
      <w:bookmarkStart w:id="589" w:name="第04卷"/>
      <w:bookmarkEnd w:id="589"/>
    </w:p>
    <w:p>
      <w:pPr>
        <w:pStyle w:val="3"/>
        <w:keepNext/>
        <w:keepLines/>
        <w:spacing w:after="0"/>
        <w:jc w:val="center"/>
        <w:rPr>
          <w:rFonts w:eastAsia="宋体"/>
          <w:b/>
          <w:color w:val="auto"/>
          <w:kern w:val="44"/>
          <w:sz w:val="44"/>
          <w:szCs w:val="44"/>
          <w:highlight w:val="none"/>
          <w:lang w:val="zh-CN"/>
        </w:rPr>
      </w:pPr>
      <w:bookmarkStart w:id="590" w:name="第08章投标文件格式"/>
      <w:bookmarkEnd w:id="590"/>
      <w:bookmarkStart w:id="591" w:name="_Toc24568"/>
      <w:r>
        <w:rPr>
          <w:rFonts w:hint="eastAsia" w:eastAsia="宋体"/>
          <w:b/>
          <w:color w:val="auto"/>
          <w:kern w:val="44"/>
          <w:sz w:val="44"/>
          <w:szCs w:val="44"/>
          <w:highlight w:val="none"/>
          <w:lang w:val="zh-CN"/>
        </w:rPr>
        <w:t>第</w:t>
      </w:r>
      <w:r>
        <w:rPr>
          <w:rFonts w:hint="eastAsia" w:eastAsia="宋体"/>
          <w:b/>
          <w:color w:val="auto"/>
          <w:kern w:val="44"/>
          <w:sz w:val="44"/>
          <w:szCs w:val="44"/>
          <w:highlight w:val="none"/>
        </w:rPr>
        <w:t>6</w:t>
      </w:r>
      <w:r>
        <w:rPr>
          <w:rFonts w:hint="eastAsia" w:eastAsia="宋体"/>
          <w:b/>
          <w:color w:val="auto"/>
          <w:kern w:val="44"/>
          <w:sz w:val="44"/>
          <w:szCs w:val="44"/>
          <w:highlight w:val="none"/>
          <w:lang w:val="zh-CN"/>
        </w:rPr>
        <w:t>章　投标文件格式</w:t>
      </w:r>
      <w:bookmarkEnd w:id="591"/>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r>
        <w:rPr>
          <w:rFonts w:hint="eastAsia" w:ascii="宋体" w:hAnsi="宋体" w:eastAsia="宋体" w:cs="宋体"/>
          <w:color w:val="auto"/>
          <w:highlight w:val="none"/>
        </w:rPr>
        <w:br w:type="page"/>
      </w: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jc w:val="center"/>
        <w:rPr>
          <w:rFonts w:ascii="宋体" w:hAnsi="宋体" w:eastAsia="宋体" w:cs="宋体"/>
          <w:b/>
          <w:color w:val="auto"/>
          <w:sz w:val="52"/>
          <w:szCs w:val="52"/>
          <w:highlight w:val="none"/>
        </w:rPr>
      </w:pPr>
      <w:r>
        <w:rPr>
          <w:rFonts w:hint="eastAsia" w:ascii="宋体" w:hAnsi="宋体" w:eastAsia="宋体" w:cs="宋体"/>
          <w:b/>
          <w:color w:val="auto"/>
          <w:sz w:val="44"/>
          <w:szCs w:val="44"/>
          <w:highlight w:val="none"/>
        </w:rPr>
        <w:t>南沙湿地景区二期入口广场景观提升工程</w:t>
      </w:r>
    </w:p>
    <w:p>
      <w:pPr>
        <w:rPr>
          <w:rFonts w:ascii="宋体" w:hAnsi="宋体" w:eastAsia="宋体" w:cs="宋体"/>
          <w:b/>
          <w:color w:val="auto"/>
          <w:sz w:val="52"/>
          <w:szCs w:val="52"/>
          <w:highlight w:val="none"/>
        </w:rPr>
      </w:pPr>
    </w:p>
    <w:p>
      <w:pPr>
        <w:rPr>
          <w:rFonts w:ascii="宋体" w:hAnsi="宋体" w:eastAsia="宋体" w:cs="宋体"/>
          <w:b/>
          <w:color w:val="auto"/>
          <w:sz w:val="52"/>
          <w:szCs w:val="52"/>
          <w:highlight w:val="none"/>
        </w:rPr>
      </w:pPr>
    </w:p>
    <w:p>
      <w:pPr>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投 标 文 件</w:t>
      </w: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spacing w:line="480" w:lineRule="auto"/>
        <w:rPr>
          <w:rFonts w:ascii="宋体" w:hAnsi="宋体" w:eastAsia="宋体" w:cs="宋体"/>
          <w:color w:val="auto"/>
          <w:highlight w:val="none"/>
        </w:rPr>
      </w:pPr>
      <w:bookmarkStart w:id="592" w:name="_Hlt269103121"/>
      <w:bookmarkEnd w:id="592"/>
    </w:p>
    <w:p>
      <w:pPr>
        <w:spacing w:line="480" w:lineRule="auto"/>
        <w:ind w:firstLine="960" w:firstLineChars="3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投标人: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（盖章）</w:t>
      </w:r>
    </w:p>
    <w:p>
      <w:pPr>
        <w:spacing w:line="480" w:lineRule="auto"/>
        <w:ind w:firstLine="960" w:firstLineChars="3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法定代表人或其授权代表：</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（签字）</w:t>
      </w:r>
    </w:p>
    <w:p>
      <w:pP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pP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rPr>
          <w:rFonts w:ascii="宋体" w:hAnsi="宋体" w:eastAsia="宋体" w:cs="宋体"/>
          <w:color w:val="auto"/>
          <w:highlight w:val="none"/>
        </w:rPr>
      </w:pPr>
      <w:bookmarkStart w:id="593" w:name="第08章投标文件格式00"/>
      <w:bookmarkEnd w:id="593"/>
    </w:p>
    <w:p>
      <w:pPr>
        <w:spacing w:line="480" w:lineRule="auto"/>
        <w:ind w:left="284"/>
        <w:jc w:val="center"/>
        <w:rPr>
          <w:rFonts w:ascii="宋体" w:hAnsi="宋体" w:eastAsia="宋体" w:cs="宋体"/>
          <w:b/>
          <w:color w:val="auto"/>
          <w:sz w:val="44"/>
          <w:szCs w:val="44"/>
          <w:highlight w:val="none"/>
        </w:rPr>
      </w:pPr>
      <w:r>
        <w:rPr>
          <w:rFonts w:hint="eastAsia" w:ascii="宋体" w:hAnsi="宋体" w:eastAsia="宋体" w:cs="宋体"/>
          <w:color w:val="auto"/>
          <w:highlight w:val="none"/>
        </w:rPr>
        <w:br w:type="page"/>
      </w:r>
      <w:bookmarkStart w:id="594" w:name="_Hlt269103156"/>
      <w:bookmarkEnd w:id="594"/>
      <w:bookmarkStart w:id="595" w:name="_Toc518893840"/>
      <w:bookmarkStart w:id="596" w:name="_Toc433215196"/>
      <w:bookmarkStart w:id="597" w:name="_Toc434396995"/>
      <w:bookmarkStart w:id="598" w:name="_Toc518908463"/>
      <w:r>
        <w:rPr>
          <w:rFonts w:hint="eastAsia" w:ascii="宋体" w:hAnsi="宋体" w:eastAsia="宋体" w:cs="宋体"/>
          <w:b/>
          <w:color w:val="auto"/>
          <w:sz w:val="44"/>
          <w:szCs w:val="44"/>
          <w:highlight w:val="none"/>
        </w:rPr>
        <w:t>投标函</w:t>
      </w:r>
      <w:bookmarkEnd w:id="595"/>
      <w:bookmarkEnd w:id="596"/>
      <w:bookmarkEnd w:id="597"/>
      <w:bookmarkEnd w:id="598"/>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u w:val="single"/>
        </w:rPr>
        <w:t>（招标人名称）</w:t>
      </w:r>
      <w:r>
        <w:rPr>
          <w:rFonts w:hint="eastAsia" w:ascii="宋体" w:hAnsi="宋体" w:eastAsia="宋体" w:cs="宋体"/>
          <w:color w:val="auto"/>
          <w:szCs w:val="21"/>
          <w:highlight w:val="none"/>
        </w:rPr>
        <w:t xml:space="preserve">： </w:t>
      </w:r>
    </w:p>
    <w:p>
      <w:pPr>
        <w:spacing w:line="42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position w:val="6"/>
          <w:szCs w:val="21"/>
          <w:highlight w:val="none"/>
        </w:rPr>
        <w:t xml:space="preserve"> </w:t>
      </w:r>
      <w:r>
        <w:rPr>
          <w:rFonts w:hint="eastAsia" w:ascii="宋体" w:hAnsi="宋体" w:eastAsia="宋体" w:cs="宋体"/>
          <w:color w:val="auto"/>
          <w:szCs w:val="21"/>
          <w:highlight w:val="none"/>
        </w:rPr>
        <w:t>根据你方拟建工程</w:t>
      </w:r>
      <w:r>
        <w:rPr>
          <w:rFonts w:hint="eastAsia" w:ascii="宋体" w:hAnsi="宋体" w:eastAsia="宋体" w:cs="宋体"/>
          <w:color w:val="auto"/>
          <w:szCs w:val="21"/>
          <w:highlight w:val="none"/>
          <w:u w:val="single"/>
        </w:rPr>
        <w:t>南沙湿地景区二期入口广场景观提升工程施工</w:t>
      </w:r>
      <w:r>
        <w:rPr>
          <w:rFonts w:hint="eastAsia" w:ascii="宋体" w:hAnsi="宋体" w:eastAsia="宋体" w:cs="宋体"/>
          <w:color w:val="auto"/>
          <w:szCs w:val="21"/>
          <w:highlight w:val="none"/>
        </w:rPr>
        <w:t xml:space="preserve">的招标文件，遵照《中华人民共和国招标投标法》等有关法律法规的规定，经我方研究招标文件及其相应的补遗资料、书面通知等规定后，结合本工程实际情况和市场行情，我方愿以投标函附录中的金额报价，工程质量达到国家现行规范及验收合格标准，并通过有关部门的审验备案。 </w:t>
      </w:r>
    </w:p>
    <w:p>
      <w:pPr>
        <w:spacing w:line="42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2.我方承诺在投标有效期</w:t>
      </w:r>
      <w:r>
        <w:rPr>
          <w:rFonts w:hint="eastAsia" w:ascii="宋体" w:hAnsi="宋体" w:eastAsia="宋体" w:cs="宋体"/>
          <w:color w:val="auto"/>
          <w:szCs w:val="21"/>
          <w:highlight w:val="none"/>
          <w:u w:val="single"/>
        </w:rPr>
        <w:t xml:space="preserve"> 90 天</w:t>
      </w:r>
      <w:r>
        <w:rPr>
          <w:rFonts w:hint="eastAsia" w:ascii="宋体" w:hAnsi="宋体" w:eastAsia="宋体" w:cs="宋体"/>
          <w:color w:val="auto"/>
          <w:szCs w:val="21"/>
          <w:highlight w:val="none"/>
        </w:rPr>
        <w:t xml:space="preserve">内不补充、修改、替代或者撤回本投标文件。 </w:t>
      </w:r>
    </w:p>
    <w:p>
      <w:pPr>
        <w:spacing w:line="42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3.随同本投标函递交投标保证金一份，作为我方的投标担保。</w:t>
      </w:r>
    </w:p>
    <w:p>
      <w:pPr>
        <w:spacing w:line="42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4.如我方中标：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（1）我方承诺在收到中标通知书后，在中标通知书规定的期限内与你方签订合同；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（2）随同本投标函递交的投标函附录属于合同文件的组成部分；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（3）我方承诺按照招标文件规定向你方递交履约担保；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（4）我方承诺在合同约定的期限内完成并移交全部合同工程。 </w:t>
      </w:r>
    </w:p>
    <w:p>
      <w:pPr>
        <w:spacing w:line="42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5.我方在此声明，所递交的投标文件及有关资料内容完整、真实和准确，且不存在第2 章投标人须知第1.4.3款规定的任何一种情形。 </w:t>
      </w:r>
    </w:p>
    <w:p>
      <w:pPr>
        <w:spacing w:line="42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（其它补充说明）。 </w:t>
      </w:r>
    </w:p>
    <w:p>
      <w:pPr>
        <w:spacing w:line="420" w:lineRule="exact"/>
        <w:contextualSpacing/>
        <w:rPr>
          <w:rFonts w:ascii="宋体" w:hAnsi="宋体" w:eastAsia="宋体" w:cs="宋体"/>
          <w:color w:val="auto"/>
          <w:szCs w:val="21"/>
          <w:highlight w:val="none"/>
        </w:rPr>
      </w:pPr>
    </w:p>
    <w:p>
      <w:pPr>
        <w:spacing w:line="420" w:lineRule="exact"/>
        <w:contextualSpacing/>
        <w:jc w:val="right"/>
        <w:rPr>
          <w:rFonts w:ascii="宋体" w:hAnsi="宋体" w:eastAsia="宋体" w:cs="宋体"/>
          <w:color w:val="auto"/>
          <w:szCs w:val="21"/>
          <w:highlight w:val="none"/>
        </w:rPr>
      </w:pPr>
    </w:p>
    <w:p>
      <w:pPr>
        <w:tabs>
          <w:tab w:val="left" w:pos="3828"/>
          <w:tab w:val="left" w:pos="4395"/>
        </w:tabs>
        <w:spacing w:line="420" w:lineRule="exact"/>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（盖单位章） </w:t>
      </w:r>
    </w:p>
    <w:p>
      <w:pPr>
        <w:spacing w:line="420" w:lineRule="exact"/>
        <w:ind w:firstLine="718" w:firstLineChars="342"/>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 </w:t>
      </w:r>
    </w:p>
    <w:p>
      <w:pPr>
        <w:spacing w:line="420" w:lineRule="exact"/>
        <w:ind w:firstLine="718" w:firstLineChars="342"/>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pPr>
        <w:spacing w:line="420" w:lineRule="exact"/>
        <w:ind w:firstLine="718" w:firstLineChars="342"/>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网       址：</w:t>
      </w:r>
      <w:r>
        <w:rPr>
          <w:rFonts w:hint="eastAsia" w:ascii="宋体" w:hAnsi="宋体" w:eastAsia="宋体" w:cs="宋体"/>
          <w:color w:val="auto"/>
          <w:szCs w:val="21"/>
          <w:highlight w:val="none"/>
          <w:u w:val="single"/>
        </w:rPr>
        <w:t xml:space="preserve">                                  </w:t>
      </w:r>
    </w:p>
    <w:p>
      <w:pPr>
        <w:spacing w:line="420" w:lineRule="exact"/>
        <w:ind w:firstLine="718" w:firstLineChars="342"/>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pPr>
        <w:spacing w:line="420" w:lineRule="exact"/>
        <w:ind w:firstLine="718" w:firstLineChars="342"/>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pPr>
        <w:spacing w:line="420" w:lineRule="exact"/>
        <w:ind w:firstLine="718" w:firstLineChars="342"/>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邮 政 编 码：</w:t>
      </w:r>
      <w:r>
        <w:rPr>
          <w:rFonts w:hint="eastAsia" w:ascii="宋体" w:hAnsi="宋体" w:eastAsia="宋体" w:cs="宋体"/>
          <w:color w:val="auto"/>
          <w:szCs w:val="21"/>
          <w:highlight w:val="none"/>
          <w:u w:val="single"/>
        </w:rPr>
        <w:t xml:space="preserve">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jc w:val="center"/>
        <w:rPr>
          <w:rFonts w:ascii="宋体" w:hAnsi="宋体" w:eastAsia="宋体" w:cs="宋体"/>
          <w:b/>
          <w:color w:val="auto"/>
          <w:sz w:val="32"/>
          <w:szCs w:val="32"/>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32"/>
          <w:szCs w:val="32"/>
          <w:highlight w:val="none"/>
        </w:rPr>
        <w:t>投标函附录</w:t>
      </w:r>
    </w:p>
    <w:tbl>
      <w:tblPr>
        <w:tblStyle w:val="26"/>
        <w:tblW w:w="0" w:type="auto"/>
        <w:tblInd w:w="0" w:type="dxa"/>
        <w:tblLayout w:type="fixed"/>
        <w:tblCellMar>
          <w:top w:w="0" w:type="dxa"/>
          <w:left w:w="108" w:type="dxa"/>
          <w:bottom w:w="0" w:type="dxa"/>
          <w:right w:w="108" w:type="dxa"/>
        </w:tblCellMar>
      </w:tblPr>
      <w:tblGrid>
        <w:gridCol w:w="674"/>
        <w:gridCol w:w="2695"/>
        <w:gridCol w:w="5144"/>
      </w:tblGrid>
      <w:tr>
        <w:tblPrEx>
          <w:tblCellMar>
            <w:top w:w="0" w:type="dxa"/>
            <w:left w:w="108" w:type="dxa"/>
            <w:bottom w:w="0" w:type="dxa"/>
            <w:right w:w="108" w:type="dxa"/>
          </w:tblCellMar>
        </w:tblPrEx>
        <w:trPr>
          <w:trHeight w:val="567" w:hRule="exact"/>
        </w:trPr>
        <w:tc>
          <w:tcPr>
            <w:tcW w:w="674" w:type="dxa"/>
            <w:tcBorders>
              <w:top w:val="single" w:color="auto" w:sz="6" w:space="0"/>
              <w:left w:val="single" w:color="auto" w:sz="6" w:space="0"/>
              <w:bottom w:val="single" w:color="auto" w:sz="6" w:space="0"/>
              <w:right w:val="single" w:color="auto" w:sz="6" w:space="0"/>
            </w:tcBorders>
            <w:vAlign w:val="center"/>
          </w:tcPr>
          <w:p>
            <w:pPr>
              <w:spacing w:line="480" w:lineRule="exact"/>
              <w:ind w:left="-90"/>
              <w:jc w:val="center"/>
              <w:rPr>
                <w:rFonts w:ascii="宋体" w:hAnsi="宋体" w:eastAsia="宋体" w:cs="宋体"/>
                <w:color w:val="auto"/>
                <w:szCs w:val="21"/>
                <w:highlight w:val="none"/>
              </w:rPr>
            </w:pPr>
            <w:r>
              <w:rPr>
                <w:rFonts w:hint="eastAsia" w:ascii="宋体" w:hAnsi="宋体" w:eastAsia="宋体" w:cs="宋体"/>
                <w:color w:val="auto"/>
                <w:spacing w:val="2"/>
                <w:kern w:val="0"/>
                <w:szCs w:val="21"/>
                <w:highlight w:val="none"/>
              </w:rPr>
              <w:t>序号</w:t>
            </w:r>
          </w:p>
        </w:tc>
        <w:tc>
          <w:tcPr>
            <w:tcW w:w="7839" w:type="dxa"/>
            <w:gridSpan w:val="2"/>
            <w:tcBorders>
              <w:top w:val="single" w:color="auto" w:sz="6" w:space="0"/>
              <w:left w:val="single" w:color="auto" w:sz="6" w:space="0"/>
              <w:bottom w:val="single" w:color="auto" w:sz="6" w:space="0"/>
              <w:right w:val="single" w:color="auto" w:sz="6" w:space="0"/>
            </w:tcBorders>
            <w:vAlign w:val="center"/>
          </w:tcPr>
          <w:p>
            <w:pPr>
              <w:spacing w:line="480" w:lineRule="exact"/>
              <w:ind w:left="-90"/>
              <w:jc w:val="center"/>
              <w:rPr>
                <w:rFonts w:ascii="宋体" w:hAnsi="宋体" w:eastAsia="宋体" w:cs="宋体"/>
                <w:color w:val="auto"/>
                <w:szCs w:val="21"/>
                <w:highlight w:val="none"/>
              </w:rPr>
            </w:pPr>
            <w:r>
              <w:rPr>
                <w:rFonts w:hint="eastAsia" w:ascii="宋体" w:hAnsi="宋体" w:eastAsia="宋体" w:cs="宋体"/>
                <w:color w:val="auto"/>
                <w:spacing w:val="2"/>
                <w:kern w:val="0"/>
                <w:szCs w:val="21"/>
                <w:highlight w:val="none"/>
              </w:rPr>
              <w:t>内容</w:t>
            </w:r>
          </w:p>
        </w:tc>
      </w:tr>
      <w:tr>
        <w:tblPrEx>
          <w:tblCellMar>
            <w:top w:w="0" w:type="dxa"/>
            <w:left w:w="108" w:type="dxa"/>
            <w:bottom w:w="0" w:type="dxa"/>
            <w:right w:w="108" w:type="dxa"/>
          </w:tblCellMar>
        </w:tblPrEx>
        <w:trPr>
          <w:trHeight w:val="441" w:hRule="atLeast"/>
        </w:trPr>
        <w:tc>
          <w:tcPr>
            <w:tcW w:w="674" w:type="dxa"/>
            <w:vMerge w:val="restart"/>
            <w:tcBorders>
              <w:top w:val="single" w:color="auto" w:sz="6" w:space="0"/>
              <w:left w:val="single" w:color="auto" w:sz="6" w:space="0"/>
              <w:right w:val="single" w:color="auto" w:sz="6" w:space="0"/>
            </w:tcBorders>
            <w:vAlign w:val="center"/>
          </w:tcPr>
          <w:p>
            <w:pPr>
              <w:numPr>
                <w:ilvl w:val="0"/>
                <w:numId w:val="16"/>
              </w:numPr>
              <w:spacing w:line="480" w:lineRule="exact"/>
              <w:jc w:val="center"/>
              <w:rPr>
                <w:rFonts w:ascii="宋体" w:hAnsi="宋体" w:eastAsia="宋体" w:cs="宋体"/>
                <w:color w:val="auto"/>
                <w:szCs w:val="21"/>
                <w:highlight w:val="none"/>
              </w:rPr>
            </w:pPr>
          </w:p>
        </w:tc>
        <w:tc>
          <w:tcPr>
            <w:tcW w:w="2695" w:type="dxa"/>
            <w:vMerge w:val="restart"/>
            <w:tcBorders>
              <w:top w:val="single" w:color="auto" w:sz="6" w:space="0"/>
              <w:left w:val="single" w:color="auto" w:sz="6" w:space="0"/>
              <w:right w:val="single" w:color="auto" w:sz="6" w:space="0"/>
            </w:tcBorders>
            <w:vAlign w:val="center"/>
          </w:tcPr>
          <w:p>
            <w:pPr>
              <w:spacing w:line="480" w:lineRule="exact"/>
              <w:ind w:left="-90"/>
              <w:jc w:val="center"/>
              <w:rPr>
                <w:rFonts w:ascii="宋体" w:hAnsi="宋体" w:eastAsia="宋体" w:cs="宋体"/>
                <w:color w:val="auto"/>
                <w:szCs w:val="21"/>
                <w:highlight w:val="none"/>
              </w:rPr>
            </w:pPr>
            <w:r>
              <w:rPr>
                <w:rFonts w:hint="eastAsia" w:ascii="宋体" w:hAnsi="宋体" w:eastAsia="宋体" w:cs="宋体"/>
                <w:color w:val="auto"/>
                <w:spacing w:val="2"/>
                <w:kern w:val="0"/>
                <w:szCs w:val="21"/>
                <w:highlight w:val="none"/>
              </w:rPr>
              <w:t>项目负责人</w:t>
            </w:r>
          </w:p>
        </w:tc>
        <w:tc>
          <w:tcPr>
            <w:tcW w:w="5144" w:type="dxa"/>
            <w:tcBorders>
              <w:top w:val="single" w:color="auto" w:sz="6" w:space="0"/>
              <w:left w:val="single" w:color="auto" w:sz="6" w:space="0"/>
              <w:bottom w:val="single" w:color="auto" w:sz="6" w:space="0"/>
              <w:right w:val="single" w:color="auto" w:sz="6" w:space="0"/>
            </w:tcBorders>
            <w:vAlign w:val="center"/>
          </w:tcPr>
          <w:p>
            <w:pPr>
              <w:spacing w:line="480" w:lineRule="exact"/>
              <w:ind w:left="-90" w:leftChars="-43" w:firstLine="214" w:firstLineChars="100"/>
              <w:rPr>
                <w:rFonts w:ascii="宋体" w:hAnsi="宋体" w:eastAsia="宋体" w:cs="宋体"/>
                <w:color w:val="auto"/>
                <w:szCs w:val="21"/>
                <w:highlight w:val="none"/>
              </w:rPr>
            </w:pPr>
            <w:r>
              <w:rPr>
                <w:rFonts w:hint="eastAsia" w:ascii="宋体" w:hAnsi="宋体" w:eastAsia="宋体" w:cs="宋体"/>
                <w:color w:val="auto"/>
                <w:spacing w:val="2"/>
                <w:kern w:val="0"/>
                <w:szCs w:val="21"/>
                <w:highlight w:val="none"/>
              </w:rPr>
              <w:t>姓名：</w:t>
            </w:r>
          </w:p>
        </w:tc>
      </w:tr>
      <w:tr>
        <w:tblPrEx>
          <w:tblCellMar>
            <w:top w:w="0" w:type="dxa"/>
            <w:left w:w="108" w:type="dxa"/>
            <w:bottom w:w="0" w:type="dxa"/>
            <w:right w:w="108" w:type="dxa"/>
          </w:tblCellMar>
        </w:tblPrEx>
        <w:trPr>
          <w:trHeight w:val="461" w:hRule="atLeast"/>
        </w:trPr>
        <w:tc>
          <w:tcPr>
            <w:tcW w:w="674" w:type="dxa"/>
            <w:vMerge w:val="continue"/>
            <w:tcBorders>
              <w:left w:val="single" w:color="auto" w:sz="6" w:space="0"/>
              <w:right w:val="single" w:color="auto" w:sz="6" w:space="0"/>
            </w:tcBorders>
            <w:vAlign w:val="center"/>
          </w:tcPr>
          <w:p>
            <w:pPr>
              <w:numPr>
                <w:ilvl w:val="0"/>
                <w:numId w:val="16"/>
              </w:numPr>
              <w:spacing w:line="480" w:lineRule="exact"/>
              <w:jc w:val="center"/>
              <w:rPr>
                <w:rFonts w:ascii="宋体" w:hAnsi="宋体" w:eastAsia="宋体" w:cs="宋体"/>
                <w:color w:val="auto"/>
                <w:szCs w:val="21"/>
                <w:highlight w:val="none"/>
              </w:rPr>
            </w:pPr>
          </w:p>
        </w:tc>
        <w:tc>
          <w:tcPr>
            <w:tcW w:w="2695" w:type="dxa"/>
            <w:vMerge w:val="continue"/>
            <w:tcBorders>
              <w:left w:val="single" w:color="auto" w:sz="6" w:space="0"/>
              <w:right w:val="single" w:color="auto" w:sz="6" w:space="0"/>
            </w:tcBorders>
            <w:vAlign w:val="center"/>
          </w:tcPr>
          <w:p>
            <w:pPr>
              <w:spacing w:line="480" w:lineRule="exact"/>
              <w:ind w:left="-90"/>
              <w:jc w:val="center"/>
              <w:rPr>
                <w:rFonts w:ascii="宋体" w:hAnsi="宋体" w:eastAsia="宋体" w:cs="宋体"/>
                <w:color w:val="auto"/>
                <w:spacing w:val="2"/>
                <w:kern w:val="0"/>
                <w:szCs w:val="21"/>
                <w:highlight w:val="none"/>
              </w:rPr>
            </w:pPr>
          </w:p>
        </w:tc>
        <w:tc>
          <w:tcPr>
            <w:tcW w:w="5144" w:type="dxa"/>
            <w:tcBorders>
              <w:top w:val="single" w:color="auto" w:sz="6" w:space="0"/>
              <w:left w:val="single" w:color="auto" w:sz="6" w:space="0"/>
              <w:bottom w:val="single" w:color="auto" w:sz="6" w:space="0"/>
              <w:right w:val="single" w:color="auto" w:sz="6" w:space="0"/>
            </w:tcBorders>
            <w:vAlign w:val="center"/>
          </w:tcPr>
          <w:p>
            <w:pPr>
              <w:spacing w:line="480" w:lineRule="exact"/>
              <w:ind w:left="-90" w:leftChars="-43" w:firstLine="214" w:firstLineChars="100"/>
              <w:rPr>
                <w:rFonts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专业：</w:t>
            </w:r>
          </w:p>
        </w:tc>
      </w:tr>
      <w:tr>
        <w:tblPrEx>
          <w:tblCellMar>
            <w:top w:w="0" w:type="dxa"/>
            <w:left w:w="108" w:type="dxa"/>
            <w:bottom w:w="0" w:type="dxa"/>
            <w:right w:w="108" w:type="dxa"/>
          </w:tblCellMar>
        </w:tblPrEx>
        <w:trPr>
          <w:trHeight w:val="438" w:hRule="atLeast"/>
        </w:trPr>
        <w:tc>
          <w:tcPr>
            <w:tcW w:w="674" w:type="dxa"/>
            <w:vMerge w:val="continue"/>
            <w:tcBorders>
              <w:left w:val="single" w:color="auto" w:sz="6" w:space="0"/>
              <w:bottom w:val="single" w:color="auto" w:sz="6" w:space="0"/>
              <w:right w:val="single" w:color="auto" w:sz="6" w:space="0"/>
            </w:tcBorders>
            <w:vAlign w:val="center"/>
          </w:tcPr>
          <w:p>
            <w:pPr>
              <w:numPr>
                <w:ilvl w:val="0"/>
                <w:numId w:val="16"/>
              </w:numPr>
              <w:spacing w:line="480" w:lineRule="exact"/>
              <w:jc w:val="center"/>
              <w:rPr>
                <w:rFonts w:ascii="宋体" w:hAnsi="宋体" w:eastAsia="宋体" w:cs="宋体"/>
                <w:color w:val="auto"/>
                <w:szCs w:val="21"/>
                <w:highlight w:val="none"/>
              </w:rPr>
            </w:pPr>
          </w:p>
        </w:tc>
        <w:tc>
          <w:tcPr>
            <w:tcW w:w="2695" w:type="dxa"/>
            <w:vMerge w:val="continue"/>
            <w:tcBorders>
              <w:left w:val="single" w:color="auto" w:sz="6" w:space="0"/>
              <w:bottom w:val="single" w:color="auto" w:sz="6" w:space="0"/>
              <w:right w:val="single" w:color="auto" w:sz="6" w:space="0"/>
            </w:tcBorders>
            <w:vAlign w:val="center"/>
          </w:tcPr>
          <w:p>
            <w:pPr>
              <w:spacing w:line="480" w:lineRule="exact"/>
              <w:ind w:left="-90"/>
              <w:jc w:val="center"/>
              <w:rPr>
                <w:rFonts w:ascii="宋体" w:hAnsi="宋体" w:eastAsia="宋体" w:cs="宋体"/>
                <w:color w:val="auto"/>
                <w:spacing w:val="2"/>
                <w:kern w:val="0"/>
                <w:szCs w:val="21"/>
                <w:highlight w:val="none"/>
              </w:rPr>
            </w:pPr>
          </w:p>
        </w:tc>
        <w:tc>
          <w:tcPr>
            <w:tcW w:w="5144" w:type="dxa"/>
            <w:tcBorders>
              <w:top w:val="single" w:color="auto" w:sz="6" w:space="0"/>
              <w:left w:val="single" w:color="auto" w:sz="6" w:space="0"/>
              <w:bottom w:val="single" w:color="auto" w:sz="6" w:space="0"/>
              <w:right w:val="single" w:color="auto" w:sz="6" w:space="0"/>
            </w:tcBorders>
            <w:vAlign w:val="center"/>
          </w:tcPr>
          <w:p>
            <w:pPr>
              <w:spacing w:line="480" w:lineRule="exact"/>
              <w:ind w:left="-90" w:leftChars="-43" w:firstLine="214" w:firstLineChars="100"/>
              <w:rPr>
                <w:rFonts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等级：</w:t>
            </w:r>
          </w:p>
        </w:tc>
      </w:tr>
      <w:tr>
        <w:tblPrEx>
          <w:tblCellMar>
            <w:top w:w="0" w:type="dxa"/>
            <w:left w:w="108" w:type="dxa"/>
            <w:bottom w:w="0" w:type="dxa"/>
            <w:right w:w="108" w:type="dxa"/>
          </w:tblCellMar>
        </w:tblPrEx>
        <w:trPr>
          <w:trHeight w:val="567" w:hRule="atLeast"/>
        </w:trPr>
        <w:tc>
          <w:tcPr>
            <w:tcW w:w="674" w:type="dxa"/>
            <w:tcBorders>
              <w:top w:val="single" w:color="auto" w:sz="6" w:space="0"/>
              <w:left w:val="single" w:color="auto" w:sz="6" w:space="0"/>
              <w:bottom w:val="single" w:color="auto" w:sz="6" w:space="0"/>
              <w:right w:val="single" w:color="auto" w:sz="6" w:space="0"/>
            </w:tcBorders>
            <w:vAlign w:val="center"/>
          </w:tcPr>
          <w:p>
            <w:pPr>
              <w:numPr>
                <w:ilvl w:val="0"/>
                <w:numId w:val="16"/>
              </w:numPr>
              <w:spacing w:line="480" w:lineRule="exact"/>
              <w:jc w:val="center"/>
              <w:rPr>
                <w:rFonts w:ascii="宋体" w:hAnsi="宋体" w:eastAsia="宋体" w:cs="宋体"/>
                <w:color w:val="auto"/>
                <w:szCs w:val="21"/>
                <w:highlight w:val="none"/>
              </w:rPr>
            </w:pPr>
          </w:p>
        </w:tc>
        <w:tc>
          <w:tcPr>
            <w:tcW w:w="2695" w:type="dxa"/>
            <w:tcBorders>
              <w:top w:val="single" w:color="auto" w:sz="6" w:space="0"/>
              <w:left w:val="single" w:color="auto" w:sz="6" w:space="0"/>
              <w:bottom w:val="single" w:color="auto" w:sz="6" w:space="0"/>
              <w:right w:val="single" w:color="auto" w:sz="6" w:space="0"/>
            </w:tcBorders>
            <w:vAlign w:val="center"/>
          </w:tcPr>
          <w:p>
            <w:pPr>
              <w:spacing w:line="480" w:lineRule="exact"/>
              <w:ind w:left="-90"/>
              <w:jc w:val="center"/>
              <w:rPr>
                <w:rFonts w:ascii="宋体" w:hAnsi="宋体" w:eastAsia="宋体" w:cs="宋体"/>
                <w:color w:val="auto"/>
                <w:szCs w:val="21"/>
                <w:highlight w:val="none"/>
              </w:rPr>
            </w:pPr>
            <w:r>
              <w:rPr>
                <w:rFonts w:hint="eastAsia" w:ascii="宋体" w:hAnsi="宋体" w:eastAsia="宋体" w:cs="宋体"/>
                <w:color w:val="auto"/>
                <w:spacing w:val="2"/>
                <w:kern w:val="0"/>
                <w:szCs w:val="21"/>
                <w:highlight w:val="none"/>
              </w:rPr>
              <w:t>投标报价</w:t>
            </w:r>
          </w:p>
        </w:tc>
        <w:tc>
          <w:tcPr>
            <w:tcW w:w="5144" w:type="dxa"/>
            <w:tcBorders>
              <w:top w:val="single" w:color="auto" w:sz="6" w:space="0"/>
              <w:left w:val="single" w:color="auto" w:sz="6" w:space="0"/>
              <w:bottom w:val="single" w:color="auto" w:sz="6" w:space="0"/>
              <w:right w:val="single" w:color="auto" w:sz="6" w:space="0"/>
            </w:tcBorders>
            <w:vAlign w:val="center"/>
          </w:tcPr>
          <w:p>
            <w:pPr>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总报价为大写：</w:t>
            </w:r>
            <w:r>
              <w:rPr>
                <w:rFonts w:hint="eastAsia" w:ascii="宋体" w:hAnsi="宋体" w:eastAsia="宋体" w:cs="宋体"/>
                <w:color w:val="auto"/>
                <w:szCs w:val="21"/>
                <w:highlight w:val="none"/>
                <w:u w:val="single"/>
              </w:rPr>
              <w:t xml:space="preserve">             （小写：       </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218" w:hRule="atLeast"/>
        </w:trPr>
        <w:tc>
          <w:tcPr>
            <w:tcW w:w="674" w:type="dxa"/>
            <w:vMerge w:val="restart"/>
            <w:tcBorders>
              <w:top w:val="single" w:color="auto" w:sz="6" w:space="0"/>
              <w:left w:val="single" w:color="auto" w:sz="6" w:space="0"/>
              <w:right w:val="single" w:color="auto" w:sz="6" w:space="0"/>
            </w:tcBorders>
            <w:vAlign w:val="center"/>
          </w:tcPr>
          <w:p>
            <w:pPr>
              <w:numPr>
                <w:ilvl w:val="0"/>
                <w:numId w:val="16"/>
              </w:numPr>
              <w:spacing w:line="480" w:lineRule="exact"/>
              <w:jc w:val="center"/>
              <w:rPr>
                <w:rFonts w:ascii="宋体" w:hAnsi="宋体" w:eastAsia="宋体" w:cs="宋体"/>
                <w:color w:val="auto"/>
                <w:szCs w:val="21"/>
                <w:highlight w:val="none"/>
              </w:rPr>
            </w:pPr>
          </w:p>
        </w:tc>
        <w:tc>
          <w:tcPr>
            <w:tcW w:w="2695" w:type="dxa"/>
            <w:vMerge w:val="restart"/>
            <w:tcBorders>
              <w:top w:val="single" w:color="auto" w:sz="6" w:space="0"/>
              <w:left w:val="single" w:color="auto" w:sz="6" w:space="0"/>
              <w:right w:val="single" w:color="auto" w:sz="6" w:space="0"/>
            </w:tcBorders>
            <w:vAlign w:val="center"/>
          </w:tcPr>
          <w:p>
            <w:pPr>
              <w:spacing w:line="480" w:lineRule="exact"/>
              <w:ind w:left="-9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投标保证金（人民币）</w:t>
            </w:r>
          </w:p>
        </w:tc>
        <w:tc>
          <w:tcPr>
            <w:tcW w:w="5144" w:type="dxa"/>
            <w:tcBorders>
              <w:top w:val="single" w:color="auto" w:sz="6" w:space="0"/>
              <w:left w:val="single" w:color="auto" w:sz="6" w:space="0"/>
              <w:bottom w:val="single" w:color="auto" w:sz="6" w:space="0"/>
              <w:right w:val="single" w:color="auto" w:sz="6" w:space="0"/>
            </w:tcBorders>
            <w:vAlign w:val="center"/>
          </w:tcPr>
          <w:p>
            <w:pPr>
              <w:spacing w:line="480" w:lineRule="exact"/>
              <w:ind w:left="-90"/>
              <w:rPr>
                <w:rFonts w:ascii="宋体" w:hAnsi="宋体" w:eastAsia="宋体" w:cs="宋体"/>
                <w:color w:val="auto"/>
                <w:szCs w:val="21"/>
                <w:highlight w:val="none"/>
              </w:rPr>
            </w:pPr>
            <w:r>
              <w:rPr>
                <w:rFonts w:hint="eastAsia" w:ascii="宋体" w:hAnsi="宋体" w:eastAsia="宋体" w:cs="宋体"/>
                <w:color w:val="auto"/>
                <w:szCs w:val="21"/>
                <w:highlight w:val="none"/>
              </w:rPr>
              <w:t>　数额：　　　　元</w:t>
            </w:r>
          </w:p>
        </w:tc>
      </w:tr>
      <w:tr>
        <w:tblPrEx>
          <w:tblCellMar>
            <w:top w:w="0" w:type="dxa"/>
            <w:left w:w="108" w:type="dxa"/>
            <w:bottom w:w="0" w:type="dxa"/>
            <w:right w:w="108" w:type="dxa"/>
          </w:tblCellMar>
        </w:tblPrEx>
        <w:trPr>
          <w:trHeight w:val="217" w:hRule="atLeast"/>
        </w:trPr>
        <w:tc>
          <w:tcPr>
            <w:tcW w:w="674" w:type="dxa"/>
            <w:vMerge w:val="continue"/>
            <w:tcBorders>
              <w:left w:val="single" w:color="auto" w:sz="6" w:space="0"/>
              <w:bottom w:val="single" w:color="auto" w:sz="6" w:space="0"/>
              <w:right w:val="single" w:color="auto" w:sz="6" w:space="0"/>
            </w:tcBorders>
            <w:vAlign w:val="center"/>
          </w:tcPr>
          <w:p>
            <w:pPr>
              <w:numPr>
                <w:ilvl w:val="0"/>
                <w:numId w:val="16"/>
              </w:numPr>
              <w:spacing w:line="480" w:lineRule="exact"/>
              <w:jc w:val="center"/>
              <w:rPr>
                <w:rFonts w:ascii="宋体" w:hAnsi="宋体" w:eastAsia="宋体" w:cs="宋体"/>
                <w:color w:val="auto"/>
                <w:szCs w:val="21"/>
                <w:highlight w:val="none"/>
              </w:rPr>
            </w:pPr>
          </w:p>
        </w:tc>
        <w:tc>
          <w:tcPr>
            <w:tcW w:w="2695" w:type="dxa"/>
            <w:vMerge w:val="continue"/>
            <w:tcBorders>
              <w:left w:val="single" w:color="auto" w:sz="6" w:space="0"/>
              <w:bottom w:val="single" w:color="auto" w:sz="6" w:space="0"/>
              <w:right w:val="single" w:color="auto" w:sz="6" w:space="0"/>
            </w:tcBorders>
            <w:vAlign w:val="center"/>
          </w:tcPr>
          <w:p>
            <w:pPr>
              <w:spacing w:line="480" w:lineRule="exact"/>
              <w:ind w:left="-90"/>
              <w:jc w:val="center"/>
              <w:rPr>
                <w:rFonts w:ascii="宋体" w:hAnsi="宋体" w:eastAsia="宋体" w:cs="宋体"/>
                <w:color w:val="auto"/>
                <w:szCs w:val="21"/>
                <w:highlight w:val="none"/>
              </w:rPr>
            </w:pPr>
          </w:p>
        </w:tc>
        <w:tc>
          <w:tcPr>
            <w:tcW w:w="5144" w:type="dxa"/>
            <w:tcBorders>
              <w:top w:val="single" w:color="auto" w:sz="6" w:space="0"/>
              <w:left w:val="single" w:color="auto" w:sz="6" w:space="0"/>
              <w:bottom w:val="single" w:color="auto" w:sz="6" w:space="0"/>
              <w:right w:val="single" w:color="auto" w:sz="6" w:space="0"/>
            </w:tcBorders>
            <w:vAlign w:val="center"/>
          </w:tcPr>
          <w:p>
            <w:pPr>
              <w:spacing w:line="480" w:lineRule="exact"/>
              <w:ind w:left="-90" w:leftChars="-43"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方</w:t>
            </w:r>
            <w:r>
              <w:rPr>
                <w:rFonts w:hint="eastAsia" w:ascii="宋体" w:hAnsi="宋体" w:eastAsia="宋体" w:cs="宋体"/>
                <w:color w:val="auto"/>
                <w:kern w:val="0"/>
                <w:szCs w:val="21"/>
                <w:highlight w:val="none"/>
              </w:rPr>
              <w:t>式：</w:t>
            </w:r>
          </w:p>
        </w:tc>
      </w:tr>
      <w:tr>
        <w:tblPrEx>
          <w:tblCellMar>
            <w:top w:w="0" w:type="dxa"/>
            <w:left w:w="108" w:type="dxa"/>
            <w:bottom w:w="0" w:type="dxa"/>
            <w:right w:w="108" w:type="dxa"/>
          </w:tblCellMar>
        </w:tblPrEx>
        <w:trPr>
          <w:trHeight w:val="217" w:hRule="atLeast"/>
        </w:trPr>
        <w:tc>
          <w:tcPr>
            <w:tcW w:w="674" w:type="dxa"/>
            <w:tcBorders>
              <w:left w:val="single" w:color="auto" w:sz="6" w:space="0"/>
              <w:bottom w:val="single" w:color="auto" w:sz="6" w:space="0"/>
              <w:right w:val="single" w:color="auto" w:sz="6" w:space="0"/>
            </w:tcBorders>
            <w:vAlign w:val="center"/>
          </w:tcPr>
          <w:p>
            <w:pPr>
              <w:numPr>
                <w:ilvl w:val="0"/>
                <w:numId w:val="16"/>
              </w:numPr>
              <w:spacing w:line="480" w:lineRule="exact"/>
              <w:jc w:val="center"/>
              <w:rPr>
                <w:rFonts w:ascii="宋体" w:hAnsi="宋体" w:eastAsia="宋体" w:cs="宋体"/>
                <w:color w:val="auto"/>
                <w:szCs w:val="21"/>
                <w:highlight w:val="none"/>
              </w:rPr>
            </w:pPr>
          </w:p>
        </w:tc>
        <w:tc>
          <w:tcPr>
            <w:tcW w:w="2695" w:type="dxa"/>
            <w:tcBorders>
              <w:left w:val="single" w:color="auto" w:sz="6" w:space="0"/>
              <w:bottom w:val="single" w:color="auto" w:sz="6" w:space="0"/>
              <w:right w:val="single" w:color="auto" w:sz="6" w:space="0"/>
            </w:tcBorders>
            <w:vAlign w:val="center"/>
          </w:tcPr>
          <w:p>
            <w:pPr>
              <w:spacing w:line="42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招标范围</w:t>
            </w:r>
          </w:p>
        </w:tc>
        <w:tc>
          <w:tcPr>
            <w:tcW w:w="5144" w:type="dxa"/>
            <w:tcBorders>
              <w:top w:val="single" w:color="auto" w:sz="6" w:space="0"/>
              <w:left w:val="single" w:color="auto" w:sz="6" w:space="0"/>
              <w:bottom w:val="single" w:color="auto" w:sz="6" w:space="0"/>
              <w:right w:val="single" w:color="auto" w:sz="6" w:space="0"/>
            </w:tcBorders>
          </w:tcPr>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满足招标文件要求</w:t>
            </w:r>
          </w:p>
        </w:tc>
      </w:tr>
      <w:tr>
        <w:tblPrEx>
          <w:tblCellMar>
            <w:top w:w="0" w:type="dxa"/>
            <w:left w:w="108" w:type="dxa"/>
            <w:bottom w:w="0" w:type="dxa"/>
            <w:right w:w="108" w:type="dxa"/>
          </w:tblCellMar>
        </w:tblPrEx>
        <w:trPr>
          <w:trHeight w:val="567" w:hRule="exact"/>
        </w:trPr>
        <w:tc>
          <w:tcPr>
            <w:tcW w:w="674" w:type="dxa"/>
            <w:tcBorders>
              <w:top w:val="single" w:color="auto" w:sz="6" w:space="0"/>
              <w:left w:val="single" w:color="auto" w:sz="6" w:space="0"/>
              <w:bottom w:val="single" w:color="auto" w:sz="6" w:space="0"/>
              <w:right w:val="single" w:color="auto" w:sz="6" w:space="0"/>
            </w:tcBorders>
            <w:vAlign w:val="center"/>
          </w:tcPr>
          <w:p>
            <w:pPr>
              <w:numPr>
                <w:ilvl w:val="0"/>
                <w:numId w:val="16"/>
              </w:numPr>
              <w:spacing w:line="480" w:lineRule="exact"/>
              <w:jc w:val="center"/>
              <w:rPr>
                <w:rFonts w:ascii="宋体" w:hAnsi="宋体" w:eastAsia="宋体" w:cs="宋体"/>
                <w:color w:val="auto"/>
                <w:szCs w:val="21"/>
                <w:highlight w:val="none"/>
              </w:rPr>
            </w:pPr>
          </w:p>
        </w:tc>
        <w:tc>
          <w:tcPr>
            <w:tcW w:w="2695" w:type="dxa"/>
            <w:tcBorders>
              <w:top w:val="single" w:color="auto" w:sz="6" w:space="0"/>
              <w:left w:val="single" w:color="auto" w:sz="6" w:space="0"/>
              <w:bottom w:val="single" w:color="auto" w:sz="6" w:space="0"/>
              <w:right w:val="single" w:color="auto" w:sz="6" w:space="0"/>
            </w:tcBorders>
            <w:vAlign w:val="center"/>
          </w:tcPr>
          <w:p>
            <w:pPr>
              <w:spacing w:line="42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计划工期</w:t>
            </w:r>
          </w:p>
        </w:tc>
        <w:tc>
          <w:tcPr>
            <w:tcW w:w="5144" w:type="dxa"/>
            <w:tcBorders>
              <w:top w:val="single" w:color="auto" w:sz="6" w:space="0"/>
              <w:left w:val="single" w:color="auto" w:sz="6" w:space="0"/>
              <w:bottom w:val="single" w:color="auto" w:sz="6" w:space="0"/>
              <w:right w:val="single" w:color="auto" w:sz="6" w:space="0"/>
            </w:tcBorders>
          </w:tcPr>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满足招标文件要求</w:t>
            </w:r>
          </w:p>
        </w:tc>
      </w:tr>
      <w:tr>
        <w:tblPrEx>
          <w:tblCellMar>
            <w:top w:w="0" w:type="dxa"/>
            <w:left w:w="108" w:type="dxa"/>
            <w:bottom w:w="0" w:type="dxa"/>
            <w:right w:w="108" w:type="dxa"/>
          </w:tblCellMar>
        </w:tblPrEx>
        <w:trPr>
          <w:trHeight w:val="567" w:hRule="exact"/>
        </w:trPr>
        <w:tc>
          <w:tcPr>
            <w:tcW w:w="674" w:type="dxa"/>
            <w:tcBorders>
              <w:top w:val="single" w:color="auto" w:sz="6" w:space="0"/>
              <w:left w:val="single" w:color="auto" w:sz="6" w:space="0"/>
              <w:bottom w:val="single" w:color="auto" w:sz="6" w:space="0"/>
              <w:right w:val="single" w:color="auto" w:sz="6" w:space="0"/>
            </w:tcBorders>
            <w:vAlign w:val="center"/>
          </w:tcPr>
          <w:p>
            <w:pPr>
              <w:numPr>
                <w:ilvl w:val="0"/>
                <w:numId w:val="16"/>
              </w:numPr>
              <w:spacing w:line="480" w:lineRule="exact"/>
              <w:jc w:val="center"/>
              <w:rPr>
                <w:rFonts w:ascii="宋体" w:hAnsi="宋体" w:eastAsia="宋体" w:cs="宋体"/>
                <w:color w:val="auto"/>
                <w:szCs w:val="21"/>
                <w:highlight w:val="none"/>
              </w:rPr>
            </w:pPr>
          </w:p>
        </w:tc>
        <w:tc>
          <w:tcPr>
            <w:tcW w:w="2695" w:type="dxa"/>
            <w:tcBorders>
              <w:top w:val="single" w:color="auto" w:sz="6" w:space="0"/>
              <w:left w:val="single" w:color="auto" w:sz="6" w:space="0"/>
              <w:bottom w:val="single" w:color="auto" w:sz="6" w:space="0"/>
              <w:right w:val="single" w:color="auto" w:sz="6" w:space="0"/>
            </w:tcBorders>
            <w:vAlign w:val="center"/>
          </w:tcPr>
          <w:p>
            <w:pPr>
              <w:spacing w:line="42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质量要求</w:t>
            </w:r>
          </w:p>
        </w:tc>
        <w:tc>
          <w:tcPr>
            <w:tcW w:w="5144" w:type="dxa"/>
            <w:tcBorders>
              <w:top w:val="single" w:color="auto" w:sz="6" w:space="0"/>
              <w:left w:val="single" w:color="auto" w:sz="6" w:space="0"/>
              <w:bottom w:val="single" w:color="auto" w:sz="6" w:space="0"/>
              <w:right w:val="single" w:color="auto" w:sz="6" w:space="0"/>
            </w:tcBorders>
          </w:tcPr>
          <w:p>
            <w:pPr>
              <w:spacing w:line="420" w:lineRule="exact"/>
              <w:contextualSpacing/>
              <w:rPr>
                <w:rFonts w:ascii="宋体" w:hAnsi="宋体" w:eastAsia="宋体" w:cs="宋体"/>
                <w:color w:val="auto"/>
                <w:highlight w:val="none"/>
              </w:rPr>
            </w:pPr>
            <w:r>
              <w:rPr>
                <w:rFonts w:hint="eastAsia" w:ascii="宋体" w:hAnsi="宋体" w:eastAsia="宋体" w:cs="宋体"/>
                <w:color w:val="auto"/>
                <w:highlight w:val="none"/>
              </w:rPr>
              <w:t>达到国家现行有关工程规范、规程和标准</w:t>
            </w:r>
          </w:p>
        </w:tc>
      </w:tr>
    </w:tbl>
    <w:p>
      <w:pPr>
        <w:jc w:val="left"/>
        <w:rPr>
          <w:rFonts w:ascii="宋体" w:hAnsi="宋体" w:eastAsia="宋体" w:cs="宋体"/>
          <w:b/>
          <w:color w:val="auto"/>
          <w:sz w:val="32"/>
          <w:szCs w:val="32"/>
          <w:highlight w:val="none"/>
        </w:rPr>
      </w:pPr>
      <w:r>
        <w:rPr>
          <w:rFonts w:hint="eastAsia" w:ascii="宋体" w:hAnsi="宋体" w:eastAsia="宋体" w:cs="宋体"/>
          <w:b/>
          <w:color w:val="auto"/>
          <w:szCs w:val="21"/>
          <w:highlight w:val="none"/>
        </w:rPr>
        <w:t>注：施工报价采用综合单价报价方式，须附上报价清单。</w:t>
      </w:r>
    </w:p>
    <w:p>
      <w:pPr>
        <w:pStyle w:val="19"/>
        <w:ind w:left="420"/>
        <w:rPr>
          <w:rFonts w:ascii="宋体" w:hAnsi="宋体" w:cs="宋体"/>
          <w:color w:val="auto"/>
          <w:highlight w:val="none"/>
        </w:rPr>
      </w:pPr>
      <w:bookmarkStart w:id="599" w:name="_Toc256773235"/>
      <w:bookmarkStart w:id="600" w:name="_Toc263413234"/>
      <w:r>
        <w:rPr>
          <w:rFonts w:hint="eastAsia" w:ascii="宋体" w:hAnsi="宋体" w:cs="宋体"/>
          <w:b w:val="0"/>
          <w:color w:val="auto"/>
          <w:highlight w:val="none"/>
        </w:rPr>
        <w:br w:type="page"/>
      </w:r>
      <w:bookmarkStart w:id="601" w:name="_Toc30528"/>
      <w:bookmarkStart w:id="602" w:name="_Toc434396996"/>
      <w:bookmarkStart w:id="603" w:name="_Toc518893841"/>
      <w:bookmarkStart w:id="604" w:name="_Toc433215197"/>
      <w:bookmarkStart w:id="605" w:name="_Toc518908464"/>
      <w:bookmarkStart w:id="606" w:name="_Toc16372"/>
      <w:r>
        <w:rPr>
          <w:rFonts w:hint="eastAsia" w:ascii="宋体" w:hAnsi="宋体" w:cs="宋体"/>
          <w:color w:val="auto"/>
          <w:highlight w:val="none"/>
        </w:rPr>
        <w:t>法定代表人</w:t>
      </w:r>
      <w:bookmarkEnd w:id="599"/>
      <w:bookmarkEnd w:id="600"/>
      <w:r>
        <w:rPr>
          <w:rFonts w:hint="eastAsia" w:ascii="宋体" w:hAnsi="宋体" w:cs="宋体"/>
          <w:color w:val="auto"/>
          <w:highlight w:val="none"/>
        </w:rPr>
        <w:t>证明书</w:t>
      </w:r>
      <w:bookmarkEnd w:id="601"/>
      <w:bookmarkEnd w:id="602"/>
      <w:bookmarkEnd w:id="603"/>
      <w:bookmarkEnd w:id="604"/>
      <w:bookmarkEnd w:id="605"/>
      <w:bookmarkEnd w:id="606"/>
    </w:p>
    <w:p>
      <w:pPr>
        <w:spacing w:line="480" w:lineRule="exact"/>
        <w:rPr>
          <w:rFonts w:ascii="宋体" w:hAnsi="宋体" w:eastAsia="宋体" w:cs="宋体"/>
          <w:color w:val="auto"/>
          <w:szCs w:val="21"/>
          <w:highlight w:val="none"/>
        </w:rPr>
      </w:pPr>
    </w:p>
    <w:p>
      <w:pPr>
        <w:spacing w:line="420" w:lineRule="exact"/>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20" w:lineRule="exact"/>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pacing w:line="420" w:lineRule="exact"/>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（投标人名称）的法定代表人。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特此证明。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（盖单位章） </w:t>
      </w:r>
    </w:p>
    <w:p>
      <w:pPr>
        <w:spacing w:line="480" w:lineRule="exact"/>
        <w:jc w:val="righ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exact"/>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80" w:lineRule="exact"/>
        <w:rPr>
          <w:rFonts w:ascii="宋体" w:hAnsi="宋体" w:eastAsia="宋体" w:cs="宋体"/>
          <w:color w:val="auto"/>
          <w:sz w:val="24"/>
          <w:highlight w:val="none"/>
        </w:rPr>
      </w:pPr>
    </w:p>
    <w:p>
      <w:pPr>
        <w:rPr>
          <w:rFonts w:ascii="宋体" w:hAnsi="宋体" w:eastAsia="宋体" w:cs="宋体"/>
          <w:color w:val="auto"/>
          <w:sz w:val="24"/>
          <w:highlight w:val="none"/>
        </w:rPr>
      </w:pPr>
    </w:p>
    <w:p>
      <w:pPr>
        <w:pStyle w:val="19"/>
        <w:ind w:left="420"/>
        <w:rPr>
          <w:rFonts w:ascii="宋体" w:hAnsi="宋体" w:cs="宋体"/>
          <w:color w:val="auto"/>
          <w:highlight w:val="none"/>
        </w:rPr>
      </w:pPr>
      <w:bookmarkStart w:id="607" w:name="_Toc256773236"/>
      <w:bookmarkStart w:id="608" w:name="_Toc263413235"/>
      <w:r>
        <w:rPr>
          <w:rFonts w:hint="eastAsia" w:ascii="宋体" w:hAnsi="宋体" w:cs="宋体"/>
          <w:b w:val="0"/>
          <w:color w:val="auto"/>
          <w:sz w:val="24"/>
          <w:highlight w:val="none"/>
        </w:rPr>
        <w:br w:type="page"/>
      </w:r>
      <w:bookmarkStart w:id="609" w:name="_Toc31189"/>
      <w:bookmarkStart w:id="610" w:name="_Toc518908465"/>
      <w:bookmarkStart w:id="611" w:name="_Toc2317"/>
      <w:bookmarkStart w:id="612" w:name="_Toc434396997"/>
      <w:bookmarkStart w:id="613" w:name="_Toc433215198"/>
      <w:bookmarkStart w:id="614" w:name="_Toc518893842"/>
      <w:r>
        <w:rPr>
          <w:rFonts w:hint="eastAsia" w:ascii="宋体" w:hAnsi="宋体" w:cs="宋体"/>
          <w:color w:val="auto"/>
          <w:highlight w:val="none"/>
        </w:rPr>
        <w:t>授权委托书</w:t>
      </w:r>
      <w:bookmarkEnd w:id="607"/>
      <w:bookmarkEnd w:id="608"/>
      <w:bookmarkEnd w:id="609"/>
      <w:bookmarkEnd w:id="610"/>
      <w:bookmarkEnd w:id="611"/>
      <w:bookmarkEnd w:id="612"/>
      <w:bookmarkEnd w:id="613"/>
      <w:bookmarkEnd w:id="614"/>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p>
    <w:p>
      <w:pPr>
        <w:spacing w:line="420" w:lineRule="exact"/>
        <w:ind w:firstLine="435"/>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本人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（投标人名称）的法定代表人，现委托 </w:t>
      </w:r>
      <w:r>
        <w:rPr>
          <w:rFonts w:hint="eastAsia" w:ascii="宋体" w:hAnsi="宋体" w:eastAsia="宋体" w:cs="宋体"/>
          <w:color w:val="auto"/>
          <w:szCs w:val="21"/>
          <w:highlight w:val="none"/>
          <w:u w:val="single"/>
        </w:rPr>
        <w:t xml:space="preserve">          （姓名）</w:t>
      </w:r>
      <w:r>
        <w:rPr>
          <w:rFonts w:hint="eastAsia" w:ascii="宋体" w:hAnsi="宋体" w:eastAsia="宋体" w:cs="宋体"/>
          <w:color w:val="auto"/>
          <w:szCs w:val="21"/>
          <w:highlight w:val="none"/>
        </w:rPr>
        <w:t>为我方代理人。代理人根据授权，以我方名义签署、澄清、说明、补 正、递交、撤回、修改</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 xml:space="preserve">投标文件、签订合同和处理有关事宜，其法律后果由我方承担。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代理人无转委托权。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附：法定代表人证明书、授权代表身份证复印件</w:t>
      </w: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Cs w:val="21"/>
          <w:highlight w:val="none"/>
        </w:rPr>
      </w:pP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（盖单位章）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（签字或盖章） </w:t>
      </w:r>
    </w:p>
    <w:p>
      <w:pPr>
        <w:spacing w:line="420" w:lineRule="exact"/>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 </w:t>
      </w:r>
    </w:p>
    <w:p>
      <w:pPr>
        <w:spacing w:line="420" w:lineRule="exact"/>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2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exact"/>
        <w:rPr>
          <w:rFonts w:ascii="宋体" w:hAnsi="宋体" w:eastAsia="宋体" w:cs="宋体"/>
          <w:color w:val="auto"/>
          <w:szCs w:val="21"/>
          <w:highlight w:val="none"/>
        </w:rPr>
      </w:pPr>
    </w:p>
    <w:p>
      <w:pPr>
        <w:spacing w:line="480" w:lineRule="exact"/>
        <w:rPr>
          <w:rFonts w:ascii="宋体" w:hAnsi="宋体" w:eastAsia="宋体" w:cs="宋体"/>
          <w:color w:val="auto"/>
          <w:sz w:val="24"/>
          <w:highlight w:val="none"/>
        </w:rPr>
      </w:pPr>
    </w:p>
    <w:p>
      <w:pPr>
        <w:pStyle w:val="19"/>
        <w:ind w:left="420"/>
        <w:rPr>
          <w:rFonts w:ascii="宋体" w:hAnsi="宋体" w:cs="宋体"/>
          <w:color w:val="auto"/>
          <w:highlight w:val="none"/>
        </w:rPr>
      </w:pPr>
      <w:bookmarkStart w:id="615" w:name="_Toc256773237"/>
      <w:bookmarkStart w:id="616" w:name="_Toc263413236"/>
      <w:r>
        <w:rPr>
          <w:rFonts w:hint="eastAsia" w:ascii="宋体" w:hAnsi="宋体" w:cs="宋体"/>
          <w:b w:val="0"/>
          <w:color w:val="auto"/>
          <w:highlight w:val="none"/>
        </w:rPr>
        <w:br w:type="page"/>
      </w:r>
      <w:bookmarkEnd w:id="615"/>
      <w:bookmarkEnd w:id="616"/>
      <w:bookmarkStart w:id="617" w:name="_Toc25068"/>
      <w:bookmarkStart w:id="618" w:name="_Toc7427"/>
      <w:bookmarkStart w:id="619" w:name="_Toc518893844"/>
      <w:bookmarkStart w:id="620" w:name="_Toc434396999"/>
      <w:bookmarkStart w:id="621" w:name="_Toc518908467"/>
      <w:bookmarkStart w:id="622" w:name="_Toc433215200"/>
      <w:r>
        <w:rPr>
          <w:rFonts w:hint="eastAsia" w:ascii="宋体" w:hAnsi="宋体" w:cs="宋体"/>
          <w:color w:val="auto"/>
          <w:highlight w:val="none"/>
        </w:rPr>
        <w:t>资格审查资料</w:t>
      </w:r>
      <w:bookmarkEnd w:id="617"/>
      <w:bookmarkEnd w:id="618"/>
    </w:p>
    <w:p>
      <w:pPr>
        <w:rPr>
          <w:rFonts w:ascii="宋体" w:hAnsi="宋体" w:eastAsia="宋体" w:cs="宋体"/>
          <w:color w:val="auto"/>
          <w:highlight w:val="none"/>
        </w:rPr>
      </w:pPr>
      <w:r>
        <w:rPr>
          <w:rFonts w:hint="eastAsia" w:ascii="宋体" w:hAnsi="宋体" w:eastAsia="宋体" w:cs="宋体"/>
          <w:color w:val="auto"/>
          <w:highlight w:val="none"/>
        </w:rPr>
        <w:t>包括但不限于以下资料：</w:t>
      </w:r>
    </w:p>
    <w:p>
      <w:pPr>
        <w:numPr>
          <w:ilvl w:val="0"/>
          <w:numId w:val="17"/>
        </w:numPr>
        <w:rPr>
          <w:rFonts w:ascii="宋体" w:hAnsi="宋体" w:eastAsia="宋体" w:cs="宋体"/>
          <w:color w:val="auto"/>
          <w:highlight w:val="none"/>
        </w:rPr>
      </w:pPr>
      <w:r>
        <w:rPr>
          <w:rFonts w:hint="eastAsia" w:ascii="宋体" w:hAnsi="宋体" w:eastAsia="宋体" w:cs="宋体"/>
          <w:color w:val="auto"/>
          <w:highlight w:val="none"/>
        </w:rPr>
        <w:t>营业执照</w:t>
      </w:r>
    </w:p>
    <w:p>
      <w:pPr>
        <w:numPr>
          <w:ilvl w:val="0"/>
          <w:numId w:val="17"/>
        </w:numPr>
        <w:rPr>
          <w:rFonts w:ascii="宋体" w:hAnsi="宋体" w:eastAsia="宋体" w:cs="宋体"/>
          <w:color w:val="auto"/>
          <w:highlight w:val="none"/>
        </w:rPr>
      </w:pPr>
      <w:r>
        <w:rPr>
          <w:rFonts w:hint="eastAsia" w:ascii="宋体" w:hAnsi="宋体" w:eastAsia="宋体" w:cs="宋体"/>
          <w:color w:val="auto"/>
          <w:highlight w:val="none"/>
        </w:rPr>
        <w:t>有效的资质证书</w:t>
      </w:r>
    </w:p>
    <w:p>
      <w:pPr>
        <w:numPr>
          <w:ilvl w:val="0"/>
          <w:numId w:val="17"/>
        </w:numPr>
        <w:rPr>
          <w:rFonts w:ascii="宋体" w:hAnsi="宋体" w:eastAsia="宋体" w:cs="宋体"/>
          <w:color w:val="auto"/>
          <w:highlight w:val="none"/>
        </w:rPr>
      </w:pPr>
      <w:r>
        <w:rPr>
          <w:rFonts w:hint="eastAsia" w:ascii="宋体" w:hAnsi="宋体" w:eastAsia="宋体" w:cs="宋体"/>
          <w:color w:val="auto"/>
          <w:highlight w:val="none"/>
        </w:rPr>
        <w:t>项目负责人证书</w:t>
      </w:r>
    </w:p>
    <w:p>
      <w:pPr>
        <w:numPr>
          <w:ilvl w:val="0"/>
          <w:numId w:val="17"/>
        </w:numPr>
        <w:rPr>
          <w:rFonts w:ascii="宋体" w:hAnsi="宋体" w:eastAsia="宋体" w:cs="宋体"/>
          <w:color w:val="auto"/>
          <w:highlight w:val="none"/>
        </w:rPr>
      </w:pPr>
      <w:r>
        <w:rPr>
          <w:rFonts w:hint="eastAsia" w:ascii="宋体" w:hAnsi="宋体" w:eastAsia="宋体" w:cs="宋体"/>
          <w:color w:val="auto"/>
          <w:highlight w:val="none"/>
        </w:rPr>
        <w:t>投标人声明</w:t>
      </w:r>
    </w:p>
    <w:p>
      <w:pPr>
        <w:jc w:val="center"/>
        <w:rPr>
          <w:rFonts w:ascii="宋体" w:hAnsi="宋体" w:cs="宋体"/>
          <w:b/>
          <w:bCs/>
          <w:color w:val="auto"/>
          <w:kern w:val="28"/>
          <w:sz w:val="32"/>
          <w:szCs w:val="32"/>
          <w:highlight w:val="none"/>
        </w:rPr>
      </w:pPr>
      <w:r>
        <w:rPr>
          <w:color w:val="auto"/>
          <w:highlight w:val="none"/>
        </w:rPr>
        <w:br w:type="page"/>
      </w:r>
      <w:r>
        <w:rPr>
          <w:rFonts w:hint="eastAsia" w:ascii="宋体" w:hAnsi="宋体" w:cs="宋体"/>
          <w:b/>
          <w:bCs/>
          <w:color w:val="auto"/>
          <w:kern w:val="28"/>
          <w:sz w:val="32"/>
          <w:szCs w:val="32"/>
          <w:highlight w:val="none"/>
        </w:rPr>
        <w:t>投标人声明</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（招标人名称）：</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一、本公司保证投标报名及其后提供的一切材料都是真实的。</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二、本公司保证在本项目投标中不与其他单位围标、串标，不出让投标资格，不向招标人或评标小组成员行贿。</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（1）为招标人不具有独立法人资格的附属机构（单位）；</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（2）为本标段前期准备提供设计或咨询服务或者与本项目设计人或提供咨询服务的机构存在附属关系的；</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（3）为本项目监理人或者与本项目监理人存在隶属关系或者其他利害关系；</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（4）为本标段的代建人；</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（5）为本标段提供招标代理服务的；</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（6）与本标段的监理人或代建人或招标代理机构同为一个法定代表人的；</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（7）与本标段的监理人或代建人或招标代理机构互相控股或参股的；</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（8）与本标段的监理人或代建人或招标代理机构相互任职或工作的；</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（9）与本标段的检测机构有隶属关系或者其他利害关系；</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（10）与招标人存在利害关系且可能影响招标公正性；</w:t>
      </w:r>
      <w:r>
        <w:rPr>
          <w:rFonts w:ascii="宋体" w:hAnsi="宋体" w:eastAsia="宋体"/>
          <w:color w:val="auto"/>
          <w:sz w:val="21"/>
          <w:szCs w:val="21"/>
          <w:highlight w:val="none"/>
        </w:rPr>
        <w:t xml:space="preserve"> </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（11）与本标段的其他投标人为同一个单位负责人；</w:t>
      </w:r>
      <w:r>
        <w:rPr>
          <w:rFonts w:ascii="宋体" w:hAnsi="宋体" w:eastAsia="宋体"/>
          <w:color w:val="auto"/>
          <w:sz w:val="21"/>
          <w:szCs w:val="21"/>
          <w:highlight w:val="none"/>
        </w:rPr>
        <w:t xml:space="preserve"> </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（12）与本标段的其他投标人存在控股、管理关系；</w:t>
      </w:r>
      <w:r>
        <w:rPr>
          <w:rFonts w:ascii="宋体" w:hAnsi="宋体" w:eastAsia="宋体"/>
          <w:color w:val="auto"/>
          <w:sz w:val="21"/>
          <w:szCs w:val="21"/>
          <w:highlight w:val="none"/>
        </w:rPr>
        <w:t xml:space="preserve"> </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（13）被依法暂停或取消投标资格的； </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（14）被责令停产停业、暂扣或者吊销许可证、暂扣或者吊销执照的；</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（15）进入清算程序，或被宣布破产，或其他丧失履约能力的情形；</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（16）在最近三年内有骗取中标或严重违约或重大工程质量问题的；</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（17）被工商行政管理机关在全国企业信用信息公示系统中列入严重违法失信企业名单；</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（18）被最高人民法院在“信用中国”网站（www.creditchina.gov.cn）或各级信用信息共享平台中列入失信被执行人名单；</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（19）在近三年内投标人或其法定代表人、拟委派的项目负责人有行贿犯罪行为的；</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（20）法律法规规定的其他情形。</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四、本公司保证本项目拟派的项目负责人没有在其他在建项目中任职。</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五、本公司违反上述保证，或本声明陈述与事实不符，经查实，本公司愿意接受公开通报，承担由此带来的法律后果月。其中，本声明陈述与事实不符的，属于弄虚作假骗取中标，将依法接受监管部门的处罚。</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43"/>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声明企业：</w:t>
      </w:r>
    </w:p>
    <w:p>
      <w:pPr>
        <w:pStyle w:val="41"/>
        <w:ind w:right="879" w:firstLine="1890" w:firstLineChars="9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p>
    <w:p>
      <w:pPr>
        <w:pStyle w:val="41"/>
        <w:ind w:right="8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r>
        <w:rPr>
          <w:rFonts w:hint="eastAsia" w:ascii="宋体" w:hAnsi="宋体" w:cs="宋体"/>
          <w:color w:val="auto"/>
          <w:szCs w:val="21"/>
          <w:highlight w:val="none"/>
        </w:rPr>
        <w:t xml:space="preserve">                                                      </w:t>
      </w:r>
      <w:r>
        <w:rPr>
          <w:rFonts w:hint="eastAsia" w:ascii="宋体" w:hAnsi="宋体" w:eastAsia="宋体"/>
          <w:color w:val="auto"/>
          <w:sz w:val="21"/>
          <w:szCs w:val="21"/>
          <w:highlight w:val="none"/>
        </w:rPr>
        <w:t>（企业公章）</w:t>
      </w:r>
    </w:p>
    <w:p>
      <w:pPr>
        <w:pStyle w:val="41"/>
        <w:ind w:firstLine="420"/>
        <w:jc w:val="center"/>
        <w:rPr>
          <w:rFonts w:ascii="宋体" w:hAnsi="宋体" w:eastAsia="宋体" w:cs="宋体"/>
          <w:b/>
          <w:bCs/>
          <w:color w:val="auto"/>
          <w:kern w:val="28"/>
          <w:szCs w:val="32"/>
          <w:highlight w:val="none"/>
        </w:rPr>
      </w:pPr>
      <w:r>
        <w:rPr>
          <w:rFonts w:hint="eastAsia" w:ascii="宋体" w:hAnsi="宋体" w:eastAsia="宋体"/>
          <w:color w:val="auto"/>
          <w:sz w:val="21"/>
          <w:szCs w:val="21"/>
          <w:highlight w:val="none"/>
        </w:rPr>
        <w:br w:type="page"/>
      </w:r>
      <w:r>
        <w:rPr>
          <w:rFonts w:hint="eastAsia" w:ascii="宋体" w:hAnsi="宋体" w:eastAsia="宋体" w:cs="宋体"/>
          <w:b/>
          <w:bCs/>
          <w:color w:val="auto"/>
          <w:kern w:val="28"/>
          <w:szCs w:val="32"/>
          <w:highlight w:val="none"/>
        </w:rPr>
        <w:t>拟派本项目负责人及主要人员情况表</w:t>
      </w:r>
    </w:p>
    <w:p>
      <w:pPr>
        <w:pStyle w:val="41"/>
        <w:ind w:firstLine="420"/>
        <w:rPr>
          <w:rFonts w:ascii="宋体" w:hAnsi="宋体" w:eastAsia="宋体"/>
          <w:color w:val="auto"/>
          <w:sz w:val="21"/>
          <w:szCs w:val="21"/>
          <w:highlight w:val="none"/>
        </w:rPr>
      </w:pP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项目名称：                           项目编号：</w:t>
      </w:r>
    </w:p>
    <w:tbl>
      <w:tblPr>
        <w:tblStyle w:val="26"/>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67"/>
        <w:gridCol w:w="806"/>
        <w:gridCol w:w="1119"/>
        <w:gridCol w:w="1072"/>
        <w:gridCol w:w="1277"/>
        <w:gridCol w:w="153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vAlign w:val="center"/>
          </w:tcPr>
          <w:p>
            <w:pPr>
              <w:pStyle w:val="41"/>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67" w:type="dxa"/>
            <w:vAlign w:val="center"/>
          </w:tcPr>
          <w:p>
            <w:pPr>
              <w:pStyle w:val="41"/>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806" w:type="dxa"/>
            <w:vAlign w:val="center"/>
          </w:tcPr>
          <w:p>
            <w:pPr>
              <w:pStyle w:val="41"/>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1119" w:type="dxa"/>
            <w:vAlign w:val="center"/>
          </w:tcPr>
          <w:p>
            <w:pPr>
              <w:pStyle w:val="41"/>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1072" w:type="dxa"/>
            <w:vAlign w:val="center"/>
          </w:tcPr>
          <w:p>
            <w:pPr>
              <w:pStyle w:val="41"/>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学历</w:t>
            </w:r>
          </w:p>
        </w:tc>
        <w:tc>
          <w:tcPr>
            <w:tcW w:w="1277" w:type="dxa"/>
            <w:vAlign w:val="center"/>
          </w:tcPr>
          <w:p>
            <w:pPr>
              <w:pStyle w:val="41"/>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职称</w:t>
            </w:r>
          </w:p>
        </w:tc>
        <w:tc>
          <w:tcPr>
            <w:tcW w:w="1532" w:type="dxa"/>
            <w:vAlign w:val="center"/>
          </w:tcPr>
          <w:p>
            <w:pPr>
              <w:pStyle w:val="41"/>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专业</w:t>
            </w:r>
          </w:p>
        </w:tc>
        <w:tc>
          <w:tcPr>
            <w:tcW w:w="2315" w:type="dxa"/>
            <w:vAlign w:val="center"/>
          </w:tcPr>
          <w:p>
            <w:pPr>
              <w:pStyle w:val="41"/>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相关执业证及资格证号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7" w:type="dxa"/>
            <w:vAlign w:val="center"/>
          </w:tcPr>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867" w:type="dxa"/>
            <w:vAlign w:val="center"/>
          </w:tcPr>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806" w:type="dxa"/>
            <w:vAlign w:val="center"/>
          </w:tcPr>
          <w:p>
            <w:pPr>
              <w:pStyle w:val="41"/>
              <w:ind w:firstLine="420"/>
              <w:rPr>
                <w:rFonts w:ascii="宋体" w:hAnsi="宋体" w:eastAsia="宋体"/>
                <w:color w:val="auto"/>
                <w:sz w:val="21"/>
                <w:szCs w:val="21"/>
                <w:highlight w:val="none"/>
              </w:rPr>
            </w:pPr>
          </w:p>
        </w:tc>
        <w:tc>
          <w:tcPr>
            <w:tcW w:w="1119" w:type="dxa"/>
            <w:vAlign w:val="center"/>
          </w:tcPr>
          <w:p>
            <w:pPr>
              <w:pStyle w:val="41"/>
              <w:ind w:firstLine="420"/>
              <w:rPr>
                <w:rFonts w:ascii="宋体" w:hAnsi="宋体" w:eastAsia="宋体"/>
                <w:color w:val="auto"/>
                <w:sz w:val="21"/>
                <w:szCs w:val="21"/>
                <w:highlight w:val="none"/>
              </w:rPr>
            </w:pPr>
          </w:p>
        </w:tc>
        <w:tc>
          <w:tcPr>
            <w:tcW w:w="1072" w:type="dxa"/>
            <w:vAlign w:val="center"/>
          </w:tcPr>
          <w:p>
            <w:pPr>
              <w:pStyle w:val="41"/>
              <w:ind w:firstLine="420"/>
              <w:rPr>
                <w:rFonts w:ascii="宋体" w:hAnsi="宋体" w:eastAsia="宋体"/>
                <w:color w:val="auto"/>
                <w:sz w:val="21"/>
                <w:szCs w:val="21"/>
                <w:highlight w:val="none"/>
              </w:rPr>
            </w:pPr>
          </w:p>
        </w:tc>
        <w:tc>
          <w:tcPr>
            <w:tcW w:w="1277" w:type="dxa"/>
            <w:vAlign w:val="center"/>
          </w:tcPr>
          <w:p>
            <w:pPr>
              <w:pStyle w:val="41"/>
              <w:ind w:firstLine="420"/>
              <w:rPr>
                <w:rFonts w:ascii="宋体" w:hAnsi="宋体" w:eastAsia="宋体"/>
                <w:color w:val="auto"/>
                <w:sz w:val="21"/>
                <w:szCs w:val="21"/>
                <w:highlight w:val="none"/>
              </w:rPr>
            </w:pPr>
          </w:p>
        </w:tc>
        <w:tc>
          <w:tcPr>
            <w:tcW w:w="1532" w:type="dxa"/>
            <w:vAlign w:val="center"/>
          </w:tcPr>
          <w:p>
            <w:pPr>
              <w:pStyle w:val="41"/>
              <w:ind w:firstLine="420"/>
              <w:rPr>
                <w:rFonts w:ascii="宋体" w:hAnsi="宋体" w:eastAsia="宋体"/>
                <w:color w:val="auto"/>
                <w:sz w:val="21"/>
                <w:szCs w:val="21"/>
                <w:highlight w:val="none"/>
              </w:rPr>
            </w:pPr>
          </w:p>
        </w:tc>
        <w:tc>
          <w:tcPr>
            <w:tcW w:w="2315" w:type="dxa"/>
            <w:vAlign w:val="center"/>
          </w:tcPr>
          <w:p>
            <w:pPr>
              <w:pStyle w:val="41"/>
              <w:ind w:firstLine="420"/>
              <w:rPr>
                <w:rFonts w:ascii="宋体" w:hAnsi="宋体" w:eastAsia="宋体"/>
                <w:color w:val="auto"/>
                <w:sz w:val="21"/>
                <w:szCs w:val="21"/>
                <w:highlight w:val="none"/>
              </w:rPr>
            </w:pPr>
          </w:p>
        </w:tc>
      </w:tr>
    </w:tbl>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注：可自行增加上表行数。投标人如有的，应附上有关个人学历等证明文件（复印件），招标文件如有要求提供原件的必须提供原件。</w:t>
      </w:r>
    </w:p>
    <w:p>
      <w:pPr>
        <w:pStyle w:val="41"/>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投标人全称（加盖公章）:</w:t>
      </w:r>
    </w:p>
    <w:p>
      <w:pPr>
        <w:pStyle w:val="41"/>
        <w:ind w:firstLine="420"/>
        <w:jc w:val="center"/>
        <w:rPr>
          <w:rFonts w:ascii="宋体" w:hAnsi="宋体" w:eastAsia="宋体" w:cs="宋体"/>
          <w:b/>
          <w:bCs/>
          <w:color w:val="auto"/>
          <w:kern w:val="28"/>
          <w:szCs w:val="32"/>
          <w:highlight w:val="none"/>
        </w:rPr>
      </w:pPr>
      <w:r>
        <w:rPr>
          <w:rFonts w:hint="eastAsia" w:ascii="宋体" w:hAnsi="宋体" w:eastAsia="宋体"/>
          <w:color w:val="auto"/>
          <w:sz w:val="21"/>
          <w:szCs w:val="21"/>
          <w:highlight w:val="none"/>
        </w:rPr>
        <w:t>法定代表人或其投标人授权代表(签字)：               日    期：     年   月   日</w:t>
      </w:r>
      <w:r>
        <w:rPr>
          <w:rFonts w:hint="eastAsia" w:ascii="宋体" w:hAnsi="宋体" w:eastAsia="宋体"/>
          <w:color w:val="auto"/>
          <w:sz w:val="21"/>
          <w:szCs w:val="21"/>
          <w:highlight w:val="none"/>
        </w:rPr>
        <w:br w:type="page"/>
      </w:r>
      <w:r>
        <w:rPr>
          <w:rFonts w:hint="eastAsia" w:ascii="宋体" w:hAnsi="宋体" w:eastAsia="宋体" w:cs="宋体"/>
          <w:b/>
          <w:bCs/>
          <w:color w:val="auto"/>
          <w:kern w:val="28"/>
          <w:szCs w:val="32"/>
          <w:highlight w:val="none"/>
        </w:rPr>
        <w:t>同类项目业绩情况一览表</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73"/>
        <w:gridCol w:w="1275"/>
        <w:gridCol w:w="1961"/>
        <w:gridCol w:w="2184"/>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业主名称</w:t>
            </w:r>
          </w:p>
        </w:tc>
        <w:tc>
          <w:tcPr>
            <w:tcW w:w="127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96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合同总价</w:t>
            </w:r>
          </w:p>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（单位/万元）</w:t>
            </w:r>
          </w:p>
        </w:tc>
        <w:tc>
          <w:tcPr>
            <w:tcW w:w="218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签约及完成时间</w:t>
            </w:r>
          </w:p>
        </w:tc>
        <w:tc>
          <w:tcPr>
            <w:tcW w:w="200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jc w:val="center"/>
              <w:rPr>
                <w:rFonts w:ascii="宋体" w:hAnsi="宋体" w:eastAsia="宋体" w:cs="宋体"/>
                <w:color w:val="auto"/>
                <w:szCs w:val="21"/>
                <w:highlight w:val="none"/>
              </w:rPr>
            </w:pPr>
          </w:p>
        </w:tc>
        <w:tc>
          <w:tcPr>
            <w:tcW w:w="1273" w:type="dxa"/>
            <w:vAlign w:val="center"/>
          </w:tcPr>
          <w:p>
            <w:pPr>
              <w:jc w:val="center"/>
              <w:rPr>
                <w:rFonts w:ascii="宋体" w:hAnsi="宋体" w:eastAsia="宋体" w:cs="宋体"/>
                <w:color w:val="auto"/>
                <w:szCs w:val="21"/>
                <w:highlight w:val="none"/>
              </w:rPr>
            </w:pPr>
          </w:p>
        </w:tc>
        <w:tc>
          <w:tcPr>
            <w:tcW w:w="1275" w:type="dxa"/>
          </w:tcPr>
          <w:p>
            <w:pPr>
              <w:jc w:val="center"/>
              <w:rPr>
                <w:rFonts w:ascii="宋体" w:hAnsi="宋体" w:eastAsia="宋体" w:cs="宋体"/>
                <w:color w:val="auto"/>
                <w:szCs w:val="21"/>
                <w:highlight w:val="none"/>
              </w:rPr>
            </w:pPr>
          </w:p>
        </w:tc>
        <w:tc>
          <w:tcPr>
            <w:tcW w:w="1961" w:type="dxa"/>
            <w:vAlign w:val="center"/>
          </w:tcPr>
          <w:p>
            <w:pPr>
              <w:jc w:val="center"/>
              <w:rPr>
                <w:rFonts w:ascii="宋体" w:hAnsi="宋体" w:eastAsia="宋体" w:cs="宋体"/>
                <w:color w:val="auto"/>
                <w:szCs w:val="21"/>
                <w:highlight w:val="none"/>
              </w:rPr>
            </w:pPr>
          </w:p>
        </w:tc>
        <w:tc>
          <w:tcPr>
            <w:tcW w:w="2184" w:type="dxa"/>
            <w:vAlign w:val="center"/>
          </w:tcPr>
          <w:p>
            <w:pPr>
              <w:jc w:val="center"/>
              <w:rPr>
                <w:rFonts w:ascii="宋体" w:hAnsi="宋体" w:eastAsia="宋体" w:cs="宋体"/>
                <w:color w:val="auto"/>
                <w:szCs w:val="21"/>
                <w:highlight w:val="none"/>
              </w:rPr>
            </w:pPr>
          </w:p>
        </w:tc>
        <w:tc>
          <w:tcPr>
            <w:tcW w:w="2001" w:type="dxa"/>
            <w:vAlign w:val="center"/>
          </w:tcPr>
          <w:p>
            <w:pPr>
              <w:jc w:val="center"/>
              <w:rPr>
                <w:rFonts w:ascii="宋体" w:hAnsi="宋体" w:eastAsia="宋体" w:cs="宋体"/>
                <w:color w:val="auto"/>
                <w:szCs w:val="21"/>
                <w:highlight w:val="none"/>
              </w:rPr>
            </w:pPr>
          </w:p>
        </w:tc>
      </w:tr>
    </w:tbl>
    <w:p>
      <w:pPr>
        <w:spacing w:line="30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注：请附上中标通知书、合同、验收报告等同类业绩评价证明资料，评审细则另有要求的，按评审细则提供。</w:t>
      </w:r>
    </w:p>
    <w:p>
      <w:pPr>
        <w:spacing w:line="300" w:lineRule="auto"/>
        <w:rPr>
          <w:rFonts w:ascii="宋体" w:hAnsi="宋体" w:eastAsia="宋体" w:cs="宋体"/>
          <w:color w:val="auto"/>
          <w:szCs w:val="21"/>
          <w:highlight w:val="none"/>
        </w:rPr>
      </w:pPr>
    </w:p>
    <w:p>
      <w:pPr>
        <w:spacing w:line="300" w:lineRule="auto"/>
        <w:rPr>
          <w:rFonts w:ascii="宋体" w:hAnsi="宋体" w:eastAsia="宋体" w:cs="宋体"/>
          <w:color w:val="auto"/>
          <w:szCs w:val="21"/>
          <w:highlight w:val="none"/>
        </w:rPr>
      </w:pPr>
    </w:p>
    <w:p>
      <w:pPr>
        <w:spacing w:line="30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投标人全称（加盖公章）:</w:t>
      </w:r>
    </w:p>
    <w:p>
      <w:pPr>
        <w:pStyle w:val="41"/>
        <w:ind w:right="879"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法定代表人或其投标人授权代表(签字)：                </w:t>
      </w:r>
    </w:p>
    <w:p>
      <w:pPr>
        <w:pStyle w:val="41"/>
        <w:ind w:right="879"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    期：     年   月   日</w:t>
      </w:r>
    </w:p>
    <w:p>
      <w:pPr>
        <w:pStyle w:val="19"/>
        <w:ind w:left="420"/>
        <w:rPr>
          <w:rFonts w:ascii="宋体" w:hAnsi="宋体" w:cs="宋体"/>
          <w:color w:val="auto"/>
          <w:kern w:val="0"/>
          <w:szCs w:val="21"/>
          <w:highlight w:val="none"/>
        </w:rPr>
      </w:pPr>
    </w:p>
    <w:bookmarkEnd w:id="619"/>
    <w:bookmarkEnd w:id="620"/>
    <w:bookmarkEnd w:id="621"/>
    <w:bookmarkEnd w:id="622"/>
    <w:p>
      <w:pPr>
        <w:pStyle w:val="13"/>
        <w:spacing w:line="360" w:lineRule="auto"/>
        <w:rPr>
          <w:rFonts w:hAnsi="宋体" w:eastAsia="宋体" w:cs="宋体"/>
          <w:color w:val="auto"/>
          <w:szCs w:val="21"/>
          <w:highlight w:val="none"/>
        </w:rPr>
      </w:pPr>
    </w:p>
    <w:sectPr>
      <w:headerReference r:id="rId8" w:type="defaul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sto MT">
    <w:altName w:val="Segoe Print"/>
    <w:panose1 w:val="0204060305050503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2052" o:spid="_x0000_s2052"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6"/>
                  <w:jc w:val="center"/>
                </w:pPr>
                <w:r>
                  <w:fldChar w:fldCharType="begin"/>
                </w:r>
                <w:r>
                  <w:instrText xml:space="preserve">PAGE   \* MERGEFORMAT</w:instrText>
                </w:r>
                <w:r>
                  <w:fldChar w:fldCharType="separate"/>
                </w:r>
                <w:r>
                  <w:rPr>
                    <w:lang w:val="zh-CN"/>
                  </w:rPr>
                  <w:t>22</w:t>
                </w:r>
                <w:r>
                  <w:rPr>
                    <w:lang w:val="zh-CN"/>
                  </w:rPr>
                  <w:fldChar w:fldCharType="end"/>
                </w:r>
              </w:p>
            </w:txbxContent>
          </v:textbox>
        </v:shape>
      </w:pic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53" o:spid="_x0000_s205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rPr>
                    <w:rFonts w:eastAsia="楷体_GB2312"/>
                  </w:rPr>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2054" o:spid="_x0000_s205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jc w:val="center"/>
                </w:pPr>
                <w:r>
                  <w:fldChar w:fldCharType="begin"/>
                </w:r>
                <w:r>
                  <w:instrText xml:space="preserve"> PAGE   \* MERGEFORMAT </w:instrText>
                </w:r>
                <w:r>
                  <w:fldChar w:fldCharType="separate"/>
                </w:r>
                <w:r>
                  <w:rPr>
                    <w:lang w:val="zh-CN"/>
                  </w:rPr>
                  <w:t>101</w:t>
                </w:r>
                <w:r>
                  <w:rPr>
                    <w:lang w:val="zh-CN"/>
                  </w:rPr>
                  <w:fldChar w:fldCharType="end"/>
                </w:r>
              </w:p>
            </w:txbxContent>
          </v:textbox>
        </v:shape>
      </w:pic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left"/>
    </w:pPr>
    <w:r>
      <w:rPr>
        <w:rFonts w:hint="eastAsia" w:ascii="宋体" w:hAnsi="宋体"/>
      </w:rPr>
      <w:drawing>
        <wp:inline distT="0" distB="0" distL="0" distR="0">
          <wp:extent cx="382905" cy="276225"/>
          <wp:effectExtent l="19050" t="0" r="0" b="0"/>
          <wp:docPr id="1"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图片1"/>
                  <pic:cNvPicPr>
                    <a:picLocks noChangeAspect="1" noChangeArrowheads="1"/>
                  </pic:cNvPicPr>
                </pic:nvPicPr>
                <pic:blipFill>
                  <a:blip r:embed="rId1"/>
                  <a:srcRect r="75719" b="12016"/>
                  <a:stretch>
                    <a:fillRect/>
                  </a:stretch>
                </pic:blipFill>
                <pic:spPr>
                  <a:xfrm>
                    <a:off x="0" y="0"/>
                    <a:ext cx="382905" cy="276225"/>
                  </a:xfrm>
                  <a:prstGeom prst="rect">
                    <a:avLst/>
                  </a:prstGeom>
                  <a:noFill/>
                  <a:ln w="9525" cmpd="sng">
                    <a:noFill/>
                    <a:miter lim="800000"/>
                    <a:headEnd/>
                    <a:tailEnd/>
                  </a:ln>
                </pic:spPr>
              </pic:pic>
            </a:graphicData>
          </a:graphic>
        </wp:inline>
      </w:drawing>
    </w:r>
    <w:r>
      <w:rPr>
        <w:rFonts w:hint="eastAsia" w:ascii="宋体" w:hAnsi="宋体"/>
      </w:rPr>
      <w:t>项目名称：(项目名称)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E"/>
    <w:multiLevelType w:val="singleLevel"/>
    <w:tmpl w:val="0000000E"/>
    <w:lvl w:ilvl="0" w:tentative="0">
      <w:start w:val="1"/>
      <w:numFmt w:val="decimal"/>
      <w:suff w:val="nothing"/>
      <w:lvlText w:val="（%1）"/>
      <w:lvlJc w:val="left"/>
    </w:lvl>
  </w:abstractNum>
  <w:abstractNum w:abstractNumId="2">
    <w:nsid w:val="19DD6B45"/>
    <w:multiLevelType w:val="multilevel"/>
    <w:tmpl w:val="19DD6B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3177AA"/>
    <w:multiLevelType w:val="multilevel"/>
    <w:tmpl w:val="1A3177A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B873FA8"/>
    <w:multiLevelType w:val="multilevel"/>
    <w:tmpl w:val="1B873FA8"/>
    <w:lvl w:ilvl="0" w:tentative="0">
      <w:start w:val="1"/>
      <w:numFmt w:val="decimal"/>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1F8F69FC"/>
    <w:multiLevelType w:val="multilevel"/>
    <w:tmpl w:val="1F8F69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727B62"/>
    <w:multiLevelType w:val="multilevel"/>
    <w:tmpl w:val="36727B62"/>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F32D89"/>
    <w:multiLevelType w:val="multilevel"/>
    <w:tmpl w:val="45F32D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B15C18"/>
    <w:multiLevelType w:val="multilevel"/>
    <w:tmpl w:val="50B15C18"/>
    <w:lvl w:ilvl="0" w:tentative="0">
      <w:start w:val="1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15A2CEF"/>
    <w:multiLevelType w:val="multilevel"/>
    <w:tmpl w:val="515A2C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pStyle w:val="4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124DFB"/>
    <w:multiLevelType w:val="multilevel"/>
    <w:tmpl w:val="5D124DFB"/>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44CBBD"/>
    <w:multiLevelType w:val="singleLevel"/>
    <w:tmpl w:val="5F44CBBD"/>
    <w:lvl w:ilvl="0" w:tentative="0">
      <w:start w:val="2"/>
      <w:numFmt w:val="decimal"/>
      <w:suff w:val="nothing"/>
      <w:lvlText w:val="%1."/>
      <w:lvlJc w:val="left"/>
    </w:lvl>
  </w:abstractNum>
  <w:abstractNum w:abstractNumId="13">
    <w:nsid w:val="60AC6E6E"/>
    <w:multiLevelType w:val="multilevel"/>
    <w:tmpl w:val="60AC6E6E"/>
    <w:lvl w:ilvl="0" w:tentative="0">
      <w:start w:val="1"/>
      <w:numFmt w:val="decimal"/>
      <w:lvlText w:val="%1、"/>
      <w:lvlJc w:val="left"/>
      <w:pPr>
        <w:ind w:left="330" w:hanging="420"/>
      </w:pPr>
      <w:rPr>
        <w:rFonts w:hint="eastAsia"/>
      </w:rPr>
    </w:lvl>
    <w:lvl w:ilvl="1" w:tentative="0">
      <w:start w:val="1"/>
      <w:numFmt w:val="lowerLetter"/>
      <w:lvlText w:val="%2)"/>
      <w:lvlJc w:val="left"/>
      <w:pPr>
        <w:ind w:left="750" w:hanging="420"/>
      </w:pPr>
    </w:lvl>
    <w:lvl w:ilvl="2" w:tentative="0">
      <w:start w:val="1"/>
      <w:numFmt w:val="lowerRoman"/>
      <w:lvlText w:val="%3."/>
      <w:lvlJc w:val="right"/>
      <w:pPr>
        <w:ind w:left="1170" w:hanging="420"/>
      </w:pPr>
    </w:lvl>
    <w:lvl w:ilvl="3" w:tentative="0">
      <w:start w:val="1"/>
      <w:numFmt w:val="decimal"/>
      <w:lvlText w:val="%4."/>
      <w:lvlJc w:val="left"/>
      <w:pPr>
        <w:ind w:left="1590" w:hanging="420"/>
      </w:pPr>
    </w:lvl>
    <w:lvl w:ilvl="4" w:tentative="0">
      <w:start w:val="1"/>
      <w:numFmt w:val="lowerLetter"/>
      <w:lvlText w:val="%5)"/>
      <w:lvlJc w:val="left"/>
      <w:pPr>
        <w:ind w:left="2010" w:hanging="420"/>
      </w:pPr>
    </w:lvl>
    <w:lvl w:ilvl="5" w:tentative="0">
      <w:start w:val="1"/>
      <w:numFmt w:val="lowerRoman"/>
      <w:lvlText w:val="%6."/>
      <w:lvlJc w:val="right"/>
      <w:pPr>
        <w:ind w:left="2430" w:hanging="420"/>
      </w:pPr>
    </w:lvl>
    <w:lvl w:ilvl="6" w:tentative="0">
      <w:start w:val="1"/>
      <w:numFmt w:val="decimal"/>
      <w:lvlText w:val="%7."/>
      <w:lvlJc w:val="left"/>
      <w:pPr>
        <w:ind w:left="2850" w:hanging="420"/>
      </w:pPr>
    </w:lvl>
    <w:lvl w:ilvl="7" w:tentative="0">
      <w:start w:val="1"/>
      <w:numFmt w:val="lowerLetter"/>
      <w:lvlText w:val="%8)"/>
      <w:lvlJc w:val="left"/>
      <w:pPr>
        <w:ind w:left="3270" w:hanging="420"/>
      </w:pPr>
    </w:lvl>
    <w:lvl w:ilvl="8" w:tentative="0">
      <w:start w:val="1"/>
      <w:numFmt w:val="lowerRoman"/>
      <w:lvlText w:val="%9."/>
      <w:lvlJc w:val="right"/>
      <w:pPr>
        <w:ind w:left="3690" w:hanging="420"/>
      </w:pPr>
    </w:lvl>
  </w:abstractNum>
  <w:abstractNum w:abstractNumId="14">
    <w:nsid w:val="61E26100"/>
    <w:multiLevelType w:val="multilevel"/>
    <w:tmpl w:val="61E261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E4A64FF"/>
    <w:multiLevelType w:val="multilevel"/>
    <w:tmpl w:val="6E4A64FF"/>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19C424A"/>
    <w:multiLevelType w:val="multilevel"/>
    <w:tmpl w:val="719C424A"/>
    <w:lvl w:ilvl="0" w:tentative="0">
      <w:start w:val="1"/>
      <w:numFmt w:val="decimalEnclosedCircle"/>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10"/>
  </w:num>
  <w:num w:numId="2">
    <w:abstractNumId w:val="5"/>
  </w:num>
  <w:num w:numId="3">
    <w:abstractNumId w:val="15"/>
  </w:num>
  <w:num w:numId="4">
    <w:abstractNumId w:val="8"/>
  </w:num>
  <w:num w:numId="5">
    <w:abstractNumId w:val="2"/>
  </w:num>
  <w:num w:numId="6">
    <w:abstractNumId w:val="7"/>
  </w:num>
  <w:num w:numId="7">
    <w:abstractNumId w:val="6"/>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0"/>
  </w:num>
  <w:num w:numId="13">
    <w:abstractNumId w:val="16"/>
  </w:num>
  <w:num w:numId="14">
    <w:abstractNumId w:val="4"/>
  </w:num>
  <w:num w:numId="15">
    <w:abstractNumId w:val="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0C46"/>
    <w:rsid w:val="00011DE4"/>
    <w:rsid w:val="000248FB"/>
    <w:rsid w:val="00034AA2"/>
    <w:rsid w:val="0005401D"/>
    <w:rsid w:val="000830B5"/>
    <w:rsid w:val="00097BF0"/>
    <w:rsid w:val="000A5B4C"/>
    <w:rsid w:val="000D55D7"/>
    <w:rsid w:val="000E27A9"/>
    <w:rsid w:val="000F2239"/>
    <w:rsid w:val="001105E5"/>
    <w:rsid w:val="00115438"/>
    <w:rsid w:val="001259B3"/>
    <w:rsid w:val="001368B0"/>
    <w:rsid w:val="00137D30"/>
    <w:rsid w:val="00157114"/>
    <w:rsid w:val="00164E13"/>
    <w:rsid w:val="00166A1B"/>
    <w:rsid w:val="00172469"/>
    <w:rsid w:val="00182890"/>
    <w:rsid w:val="0018648C"/>
    <w:rsid w:val="00196309"/>
    <w:rsid w:val="001A3869"/>
    <w:rsid w:val="001A50DA"/>
    <w:rsid w:val="001D03AD"/>
    <w:rsid w:val="001D3F88"/>
    <w:rsid w:val="001E665B"/>
    <w:rsid w:val="001F65E1"/>
    <w:rsid w:val="001F67E4"/>
    <w:rsid w:val="0020517C"/>
    <w:rsid w:val="00206144"/>
    <w:rsid w:val="002235BA"/>
    <w:rsid w:val="002248BE"/>
    <w:rsid w:val="0023390F"/>
    <w:rsid w:val="00253311"/>
    <w:rsid w:val="00262E02"/>
    <w:rsid w:val="0027544D"/>
    <w:rsid w:val="00282DA0"/>
    <w:rsid w:val="002A2B7A"/>
    <w:rsid w:val="002A3CFF"/>
    <w:rsid w:val="002B6C2A"/>
    <w:rsid w:val="002C28B4"/>
    <w:rsid w:val="002C2ACC"/>
    <w:rsid w:val="002C32A2"/>
    <w:rsid w:val="002C6B0A"/>
    <w:rsid w:val="002D4278"/>
    <w:rsid w:val="002F6BF6"/>
    <w:rsid w:val="00300155"/>
    <w:rsid w:val="0030277C"/>
    <w:rsid w:val="00330C92"/>
    <w:rsid w:val="00332D40"/>
    <w:rsid w:val="00335E28"/>
    <w:rsid w:val="003454C3"/>
    <w:rsid w:val="00345978"/>
    <w:rsid w:val="00357646"/>
    <w:rsid w:val="00357881"/>
    <w:rsid w:val="003711FD"/>
    <w:rsid w:val="00376B70"/>
    <w:rsid w:val="00377CB6"/>
    <w:rsid w:val="00381CA8"/>
    <w:rsid w:val="00384441"/>
    <w:rsid w:val="003A311E"/>
    <w:rsid w:val="003A7B66"/>
    <w:rsid w:val="003B04E5"/>
    <w:rsid w:val="003C0D48"/>
    <w:rsid w:val="003C6A18"/>
    <w:rsid w:val="003D6A00"/>
    <w:rsid w:val="003E0E98"/>
    <w:rsid w:val="003E6550"/>
    <w:rsid w:val="003E6810"/>
    <w:rsid w:val="003F32FC"/>
    <w:rsid w:val="003F5DFA"/>
    <w:rsid w:val="00404256"/>
    <w:rsid w:val="00407CE6"/>
    <w:rsid w:val="00412C7E"/>
    <w:rsid w:val="00424380"/>
    <w:rsid w:val="00436E6B"/>
    <w:rsid w:val="00443EB8"/>
    <w:rsid w:val="00444FC9"/>
    <w:rsid w:val="00451DD0"/>
    <w:rsid w:val="00455450"/>
    <w:rsid w:val="0045667F"/>
    <w:rsid w:val="004636F9"/>
    <w:rsid w:val="00463A08"/>
    <w:rsid w:val="00472B9B"/>
    <w:rsid w:val="00490C46"/>
    <w:rsid w:val="004A24A3"/>
    <w:rsid w:val="004B1659"/>
    <w:rsid w:val="004D0859"/>
    <w:rsid w:val="004D4A5E"/>
    <w:rsid w:val="004D79FA"/>
    <w:rsid w:val="004E255D"/>
    <w:rsid w:val="004F1445"/>
    <w:rsid w:val="005162FE"/>
    <w:rsid w:val="005548B5"/>
    <w:rsid w:val="0057330B"/>
    <w:rsid w:val="00573D0A"/>
    <w:rsid w:val="00574683"/>
    <w:rsid w:val="0058487B"/>
    <w:rsid w:val="005C2A21"/>
    <w:rsid w:val="005C719D"/>
    <w:rsid w:val="005C766F"/>
    <w:rsid w:val="005D246A"/>
    <w:rsid w:val="005F11A4"/>
    <w:rsid w:val="005F2A00"/>
    <w:rsid w:val="005F7606"/>
    <w:rsid w:val="00603989"/>
    <w:rsid w:val="006061A5"/>
    <w:rsid w:val="00617AB1"/>
    <w:rsid w:val="0063520C"/>
    <w:rsid w:val="00645311"/>
    <w:rsid w:val="0064537C"/>
    <w:rsid w:val="00653522"/>
    <w:rsid w:val="00661F14"/>
    <w:rsid w:val="00673C78"/>
    <w:rsid w:val="00683AB4"/>
    <w:rsid w:val="006B022D"/>
    <w:rsid w:val="006B42B6"/>
    <w:rsid w:val="006C289B"/>
    <w:rsid w:val="006C7885"/>
    <w:rsid w:val="006D4BCC"/>
    <w:rsid w:val="006D5CBA"/>
    <w:rsid w:val="006E6B45"/>
    <w:rsid w:val="007178AC"/>
    <w:rsid w:val="00733CE5"/>
    <w:rsid w:val="007341FA"/>
    <w:rsid w:val="0074186C"/>
    <w:rsid w:val="00742C30"/>
    <w:rsid w:val="00784834"/>
    <w:rsid w:val="007903B4"/>
    <w:rsid w:val="007A1EB0"/>
    <w:rsid w:val="007A7397"/>
    <w:rsid w:val="007B11D9"/>
    <w:rsid w:val="007C432D"/>
    <w:rsid w:val="007C610F"/>
    <w:rsid w:val="007E577D"/>
    <w:rsid w:val="007E5B1A"/>
    <w:rsid w:val="007E7D44"/>
    <w:rsid w:val="007F6DEB"/>
    <w:rsid w:val="00813C81"/>
    <w:rsid w:val="00814B52"/>
    <w:rsid w:val="00816F34"/>
    <w:rsid w:val="00821B2D"/>
    <w:rsid w:val="0082222A"/>
    <w:rsid w:val="00824D58"/>
    <w:rsid w:val="00832E6C"/>
    <w:rsid w:val="00834BD2"/>
    <w:rsid w:val="0084139F"/>
    <w:rsid w:val="008441F6"/>
    <w:rsid w:val="0086121B"/>
    <w:rsid w:val="00865883"/>
    <w:rsid w:val="0086688A"/>
    <w:rsid w:val="00867796"/>
    <w:rsid w:val="00884A8D"/>
    <w:rsid w:val="008861DB"/>
    <w:rsid w:val="008A6121"/>
    <w:rsid w:val="008A6580"/>
    <w:rsid w:val="008E4555"/>
    <w:rsid w:val="008F5FB6"/>
    <w:rsid w:val="00902726"/>
    <w:rsid w:val="0090353C"/>
    <w:rsid w:val="00907654"/>
    <w:rsid w:val="009146E3"/>
    <w:rsid w:val="009202C8"/>
    <w:rsid w:val="0092580D"/>
    <w:rsid w:val="00925C85"/>
    <w:rsid w:val="009260B6"/>
    <w:rsid w:val="00933B73"/>
    <w:rsid w:val="00936C74"/>
    <w:rsid w:val="00937F31"/>
    <w:rsid w:val="00942067"/>
    <w:rsid w:val="00947C2A"/>
    <w:rsid w:val="00963589"/>
    <w:rsid w:val="0096372F"/>
    <w:rsid w:val="00975396"/>
    <w:rsid w:val="0098225F"/>
    <w:rsid w:val="00982A59"/>
    <w:rsid w:val="009970CD"/>
    <w:rsid w:val="009B4A02"/>
    <w:rsid w:val="009C6868"/>
    <w:rsid w:val="009D03AC"/>
    <w:rsid w:val="009D106A"/>
    <w:rsid w:val="009D2C1D"/>
    <w:rsid w:val="009D48A9"/>
    <w:rsid w:val="009E154A"/>
    <w:rsid w:val="009E7344"/>
    <w:rsid w:val="009F75AB"/>
    <w:rsid w:val="00A040D1"/>
    <w:rsid w:val="00A04B94"/>
    <w:rsid w:val="00A1298E"/>
    <w:rsid w:val="00A1752E"/>
    <w:rsid w:val="00A254C0"/>
    <w:rsid w:val="00A34353"/>
    <w:rsid w:val="00A40EEE"/>
    <w:rsid w:val="00A42450"/>
    <w:rsid w:val="00A540E4"/>
    <w:rsid w:val="00A66A7E"/>
    <w:rsid w:val="00A8054E"/>
    <w:rsid w:val="00A846A8"/>
    <w:rsid w:val="00AA11A8"/>
    <w:rsid w:val="00AA6A30"/>
    <w:rsid w:val="00AD0928"/>
    <w:rsid w:val="00AE6328"/>
    <w:rsid w:val="00AF5F01"/>
    <w:rsid w:val="00B12B86"/>
    <w:rsid w:val="00B156A1"/>
    <w:rsid w:val="00B255D5"/>
    <w:rsid w:val="00B362D5"/>
    <w:rsid w:val="00B40AEC"/>
    <w:rsid w:val="00B45635"/>
    <w:rsid w:val="00B55DAD"/>
    <w:rsid w:val="00B56B8E"/>
    <w:rsid w:val="00B777E4"/>
    <w:rsid w:val="00B9581C"/>
    <w:rsid w:val="00BB21E4"/>
    <w:rsid w:val="00BC1283"/>
    <w:rsid w:val="00BC2E29"/>
    <w:rsid w:val="00BD6472"/>
    <w:rsid w:val="00BF09C4"/>
    <w:rsid w:val="00C14B30"/>
    <w:rsid w:val="00C2031A"/>
    <w:rsid w:val="00C439F8"/>
    <w:rsid w:val="00C57C4E"/>
    <w:rsid w:val="00C720A5"/>
    <w:rsid w:val="00C76BE4"/>
    <w:rsid w:val="00C82729"/>
    <w:rsid w:val="00CA0FFE"/>
    <w:rsid w:val="00CA27FE"/>
    <w:rsid w:val="00CB0768"/>
    <w:rsid w:val="00CC4054"/>
    <w:rsid w:val="00CD050A"/>
    <w:rsid w:val="00CD08A8"/>
    <w:rsid w:val="00CD103A"/>
    <w:rsid w:val="00CE1026"/>
    <w:rsid w:val="00CE53D4"/>
    <w:rsid w:val="00CF5E99"/>
    <w:rsid w:val="00D012FA"/>
    <w:rsid w:val="00D02683"/>
    <w:rsid w:val="00D15B16"/>
    <w:rsid w:val="00D27D8B"/>
    <w:rsid w:val="00D345AA"/>
    <w:rsid w:val="00D91FE9"/>
    <w:rsid w:val="00D92F55"/>
    <w:rsid w:val="00D93EBE"/>
    <w:rsid w:val="00D94ABE"/>
    <w:rsid w:val="00D96773"/>
    <w:rsid w:val="00D97B87"/>
    <w:rsid w:val="00DA0B4C"/>
    <w:rsid w:val="00DB0A5D"/>
    <w:rsid w:val="00DC6429"/>
    <w:rsid w:val="00DD2AB6"/>
    <w:rsid w:val="00DD5405"/>
    <w:rsid w:val="00DF0341"/>
    <w:rsid w:val="00E227DB"/>
    <w:rsid w:val="00E235F9"/>
    <w:rsid w:val="00E24532"/>
    <w:rsid w:val="00E34114"/>
    <w:rsid w:val="00E34372"/>
    <w:rsid w:val="00E35AA7"/>
    <w:rsid w:val="00E42C73"/>
    <w:rsid w:val="00E46656"/>
    <w:rsid w:val="00E5030D"/>
    <w:rsid w:val="00E55B3D"/>
    <w:rsid w:val="00E75BA7"/>
    <w:rsid w:val="00E87C3B"/>
    <w:rsid w:val="00EB1FFE"/>
    <w:rsid w:val="00EB371D"/>
    <w:rsid w:val="00EC55F7"/>
    <w:rsid w:val="00EF3FCC"/>
    <w:rsid w:val="00EF6511"/>
    <w:rsid w:val="00F0255B"/>
    <w:rsid w:val="00F23936"/>
    <w:rsid w:val="00F264CA"/>
    <w:rsid w:val="00F32BE9"/>
    <w:rsid w:val="00F32D3C"/>
    <w:rsid w:val="00F458F8"/>
    <w:rsid w:val="00F46A36"/>
    <w:rsid w:val="00F55A20"/>
    <w:rsid w:val="00F57423"/>
    <w:rsid w:val="00F6155D"/>
    <w:rsid w:val="00F70CC3"/>
    <w:rsid w:val="00F71862"/>
    <w:rsid w:val="00F77641"/>
    <w:rsid w:val="00F86EB8"/>
    <w:rsid w:val="00F9035E"/>
    <w:rsid w:val="00F96CA7"/>
    <w:rsid w:val="00FA2E3F"/>
    <w:rsid w:val="00FB1B31"/>
    <w:rsid w:val="00FC1B59"/>
    <w:rsid w:val="00FF5093"/>
    <w:rsid w:val="018D6FE7"/>
    <w:rsid w:val="01CD5C42"/>
    <w:rsid w:val="02DA750A"/>
    <w:rsid w:val="03193370"/>
    <w:rsid w:val="03EC7F3E"/>
    <w:rsid w:val="05B165A6"/>
    <w:rsid w:val="05E66CE5"/>
    <w:rsid w:val="070117A7"/>
    <w:rsid w:val="0B4D2F46"/>
    <w:rsid w:val="0C1F745E"/>
    <w:rsid w:val="0C9A5702"/>
    <w:rsid w:val="0CBB658B"/>
    <w:rsid w:val="0CEC51A3"/>
    <w:rsid w:val="0D094547"/>
    <w:rsid w:val="0F36455D"/>
    <w:rsid w:val="0F9D02E6"/>
    <w:rsid w:val="0FAC70F4"/>
    <w:rsid w:val="115B158F"/>
    <w:rsid w:val="120746A9"/>
    <w:rsid w:val="14794748"/>
    <w:rsid w:val="148E369D"/>
    <w:rsid w:val="14F85847"/>
    <w:rsid w:val="16AD2E88"/>
    <w:rsid w:val="1737502E"/>
    <w:rsid w:val="176121E0"/>
    <w:rsid w:val="17B43DFF"/>
    <w:rsid w:val="180200E2"/>
    <w:rsid w:val="187143D6"/>
    <w:rsid w:val="18761566"/>
    <w:rsid w:val="18C16A71"/>
    <w:rsid w:val="19CA7196"/>
    <w:rsid w:val="1BC03763"/>
    <w:rsid w:val="1C0D5C8C"/>
    <w:rsid w:val="1D887466"/>
    <w:rsid w:val="1E191874"/>
    <w:rsid w:val="1E204DE9"/>
    <w:rsid w:val="1E985A13"/>
    <w:rsid w:val="1F644338"/>
    <w:rsid w:val="1F94021D"/>
    <w:rsid w:val="20162E73"/>
    <w:rsid w:val="2024111A"/>
    <w:rsid w:val="224F3261"/>
    <w:rsid w:val="22B945C2"/>
    <w:rsid w:val="235269E2"/>
    <w:rsid w:val="23D2350A"/>
    <w:rsid w:val="23FE0BB4"/>
    <w:rsid w:val="24A0724B"/>
    <w:rsid w:val="25555E3F"/>
    <w:rsid w:val="259D17B7"/>
    <w:rsid w:val="25C30196"/>
    <w:rsid w:val="26361759"/>
    <w:rsid w:val="26542A7D"/>
    <w:rsid w:val="2692082C"/>
    <w:rsid w:val="269B7565"/>
    <w:rsid w:val="274D4A80"/>
    <w:rsid w:val="27D8761B"/>
    <w:rsid w:val="29BD0580"/>
    <w:rsid w:val="2A661CB6"/>
    <w:rsid w:val="2ADC34F2"/>
    <w:rsid w:val="2BF4496F"/>
    <w:rsid w:val="2D042B42"/>
    <w:rsid w:val="2D804952"/>
    <w:rsid w:val="2DDC3DAC"/>
    <w:rsid w:val="2E7F094F"/>
    <w:rsid w:val="2EC82550"/>
    <w:rsid w:val="2F693CFD"/>
    <w:rsid w:val="30A74A3D"/>
    <w:rsid w:val="32C65998"/>
    <w:rsid w:val="334E686A"/>
    <w:rsid w:val="33CF12BA"/>
    <w:rsid w:val="35B06284"/>
    <w:rsid w:val="364B4701"/>
    <w:rsid w:val="367E6FA7"/>
    <w:rsid w:val="37F74035"/>
    <w:rsid w:val="39292F34"/>
    <w:rsid w:val="393F09B5"/>
    <w:rsid w:val="394C32BC"/>
    <w:rsid w:val="39B3440C"/>
    <w:rsid w:val="3AD2556D"/>
    <w:rsid w:val="3CC97EA2"/>
    <w:rsid w:val="3CDE1D96"/>
    <w:rsid w:val="3D27534D"/>
    <w:rsid w:val="3D72098E"/>
    <w:rsid w:val="3DF03034"/>
    <w:rsid w:val="3E1560A5"/>
    <w:rsid w:val="3E1D71B4"/>
    <w:rsid w:val="3E1D75D7"/>
    <w:rsid w:val="3E3A763C"/>
    <w:rsid w:val="3E673C61"/>
    <w:rsid w:val="3E7F5D77"/>
    <w:rsid w:val="40F74A62"/>
    <w:rsid w:val="41172CAA"/>
    <w:rsid w:val="415860E2"/>
    <w:rsid w:val="42416A79"/>
    <w:rsid w:val="42C11A1D"/>
    <w:rsid w:val="43466432"/>
    <w:rsid w:val="436E41C1"/>
    <w:rsid w:val="440E24BA"/>
    <w:rsid w:val="443B1948"/>
    <w:rsid w:val="44B0029E"/>
    <w:rsid w:val="44F0594A"/>
    <w:rsid w:val="45EF1789"/>
    <w:rsid w:val="46F65855"/>
    <w:rsid w:val="47013C87"/>
    <w:rsid w:val="47980EA8"/>
    <w:rsid w:val="47B57F99"/>
    <w:rsid w:val="487B1EB3"/>
    <w:rsid w:val="49540B90"/>
    <w:rsid w:val="4B396A08"/>
    <w:rsid w:val="4B840A82"/>
    <w:rsid w:val="4BE30C1B"/>
    <w:rsid w:val="4C43717D"/>
    <w:rsid w:val="4CA54CD9"/>
    <w:rsid w:val="4D697006"/>
    <w:rsid w:val="4D945548"/>
    <w:rsid w:val="4F644147"/>
    <w:rsid w:val="4F9A4F01"/>
    <w:rsid w:val="500B21F9"/>
    <w:rsid w:val="502D757F"/>
    <w:rsid w:val="50D74B80"/>
    <w:rsid w:val="520C46E5"/>
    <w:rsid w:val="53092E41"/>
    <w:rsid w:val="538030ED"/>
    <w:rsid w:val="53D248D1"/>
    <w:rsid w:val="53D961B0"/>
    <w:rsid w:val="5657119A"/>
    <w:rsid w:val="56640B27"/>
    <w:rsid w:val="56CC3263"/>
    <w:rsid w:val="56D645B2"/>
    <w:rsid w:val="57F118FB"/>
    <w:rsid w:val="59916E2B"/>
    <w:rsid w:val="5A5F6789"/>
    <w:rsid w:val="5AFA585A"/>
    <w:rsid w:val="5B7F3A0B"/>
    <w:rsid w:val="5C8E0CAE"/>
    <w:rsid w:val="5DA150BB"/>
    <w:rsid w:val="5E1D2D27"/>
    <w:rsid w:val="5E3F6AFB"/>
    <w:rsid w:val="5E4E54AA"/>
    <w:rsid w:val="5EE16226"/>
    <w:rsid w:val="5F212AD1"/>
    <w:rsid w:val="5F430FF3"/>
    <w:rsid w:val="605D57B6"/>
    <w:rsid w:val="6078678E"/>
    <w:rsid w:val="6132407B"/>
    <w:rsid w:val="61CD044B"/>
    <w:rsid w:val="640F3DB5"/>
    <w:rsid w:val="642B1F54"/>
    <w:rsid w:val="64F74347"/>
    <w:rsid w:val="6592391D"/>
    <w:rsid w:val="65E63078"/>
    <w:rsid w:val="668F1353"/>
    <w:rsid w:val="66C01C8C"/>
    <w:rsid w:val="67A841FD"/>
    <w:rsid w:val="67BD214C"/>
    <w:rsid w:val="67BE630E"/>
    <w:rsid w:val="680F4EB7"/>
    <w:rsid w:val="69037A1E"/>
    <w:rsid w:val="694F4DBF"/>
    <w:rsid w:val="69994089"/>
    <w:rsid w:val="6A135705"/>
    <w:rsid w:val="6A2F0C3A"/>
    <w:rsid w:val="6A3A65F8"/>
    <w:rsid w:val="6B471160"/>
    <w:rsid w:val="6BB11694"/>
    <w:rsid w:val="6C491FC5"/>
    <w:rsid w:val="6D59433A"/>
    <w:rsid w:val="6FA94D4C"/>
    <w:rsid w:val="6FAB3D5B"/>
    <w:rsid w:val="6FFA5358"/>
    <w:rsid w:val="71856D5A"/>
    <w:rsid w:val="71B60E90"/>
    <w:rsid w:val="72355314"/>
    <w:rsid w:val="72A725C8"/>
    <w:rsid w:val="72D23167"/>
    <w:rsid w:val="735260EA"/>
    <w:rsid w:val="73934ACC"/>
    <w:rsid w:val="75852629"/>
    <w:rsid w:val="760F58BE"/>
    <w:rsid w:val="77872F64"/>
    <w:rsid w:val="77F04BB7"/>
    <w:rsid w:val="77FC176F"/>
    <w:rsid w:val="78046CB3"/>
    <w:rsid w:val="78B22C3C"/>
    <w:rsid w:val="794257DB"/>
    <w:rsid w:val="79E01D18"/>
    <w:rsid w:val="7A5613E5"/>
    <w:rsid w:val="7B3F6694"/>
    <w:rsid w:val="7BF52C7B"/>
    <w:rsid w:val="7D2163B3"/>
    <w:rsid w:val="7DBF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Times New Roman"/>
      <w:kern w:val="2"/>
      <w:sz w:val="21"/>
      <w:lang w:val="en-US" w:eastAsia="zh-CN" w:bidi="ar-SA"/>
    </w:rPr>
  </w:style>
  <w:style w:type="paragraph" w:styleId="3">
    <w:name w:val="heading 1"/>
    <w:basedOn w:val="1"/>
    <w:next w:val="1"/>
    <w:qFormat/>
    <w:uiPriority w:val="99"/>
    <w:pPr>
      <w:pageBreakBefore/>
      <w:spacing w:after="120" w:line="360" w:lineRule="auto"/>
      <w:outlineLvl w:val="0"/>
    </w:pPr>
    <w:rPr>
      <w:rFonts w:ascii="宋体" w:hAnsi="宋体" w:eastAsia="仿宋_GB2312" w:cs="宋体"/>
      <w:sz w:val="36"/>
      <w:szCs w:val="36"/>
    </w:rPr>
  </w:style>
  <w:style w:type="paragraph" w:styleId="4">
    <w:name w:val="heading 2"/>
    <w:basedOn w:val="1"/>
    <w:next w:val="1"/>
    <w:qFormat/>
    <w:uiPriority w:val="0"/>
    <w:pPr>
      <w:keepNext/>
      <w:keepLines/>
      <w:adjustRightInd w:val="0"/>
      <w:snapToGrid w:val="0"/>
      <w:spacing w:beforeLines="50" w:line="360" w:lineRule="auto"/>
      <w:jc w:val="center"/>
      <w:outlineLvl w:val="1"/>
    </w:pPr>
    <w:rPr>
      <w:rFonts w:ascii="宋体" w:hAnsi="宋体" w:eastAsia="宋体" w:cs="宋体"/>
      <w:b/>
      <w:sz w:val="36"/>
      <w:szCs w:val="36"/>
    </w:rPr>
  </w:style>
  <w:style w:type="paragraph" w:styleId="5">
    <w:name w:val="heading 3"/>
    <w:basedOn w:val="1"/>
    <w:next w:val="1"/>
    <w:link w:val="35"/>
    <w:qFormat/>
    <w:uiPriority w:val="0"/>
    <w:pPr>
      <w:keepNext/>
      <w:keepLines/>
      <w:spacing w:beforeLines="50" w:after="120" w:line="360" w:lineRule="auto"/>
      <w:jc w:val="center"/>
      <w:outlineLvl w:val="2"/>
    </w:pPr>
    <w:rPr>
      <w:rFonts w:ascii="仿宋_GB2312" w:hAnsi="宋体" w:eastAsia="仿宋_GB2312" w:cs="宋体"/>
      <w:b/>
      <w:sz w:val="30"/>
      <w:szCs w:val="30"/>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8">
    <w:name w:val="Normal Indent"/>
    <w:basedOn w:val="1"/>
    <w:qFormat/>
    <w:uiPriority w:val="0"/>
    <w:pPr>
      <w:ind w:firstLine="420"/>
    </w:pPr>
  </w:style>
  <w:style w:type="paragraph" w:styleId="9">
    <w:name w:val="Document Map"/>
    <w:basedOn w:val="1"/>
    <w:link w:val="49"/>
    <w:uiPriority w:val="0"/>
    <w:rPr>
      <w:rFonts w:ascii="宋体" w:eastAsia="宋体"/>
      <w:sz w:val="18"/>
      <w:szCs w:val="18"/>
    </w:rPr>
  </w:style>
  <w:style w:type="paragraph" w:styleId="10">
    <w:name w:val="annotation text"/>
    <w:basedOn w:val="1"/>
    <w:link w:val="33"/>
    <w:unhideWhenUsed/>
    <w:qFormat/>
    <w:uiPriority w:val="99"/>
    <w:pPr>
      <w:jc w:val="left"/>
    </w:pPr>
  </w:style>
  <w:style w:type="paragraph" w:styleId="11">
    <w:name w:val="Body Text"/>
    <w:basedOn w:val="1"/>
    <w:qFormat/>
    <w:uiPriority w:val="99"/>
    <w:pPr>
      <w:spacing w:after="120"/>
    </w:pPr>
    <w:rPr>
      <w:rFonts w:eastAsia="宋体"/>
      <w:szCs w:val="24"/>
    </w:rPr>
  </w:style>
  <w:style w:type="paragraph" w:styleId="12">
    <w:name w:val="toc 3"/>
    <w:basedOn w:val="1"/>
    <w:next w:val="1"/>
    <w:qFormat/>
    <w:uiPriority w:val="39"/>
    <w:pPr>
      <w:ind w:left="840" w:leftChars="400"/>
    </w:pPr>
  </w:style>
  <w:style w:type="paragraph" w:styleId="13">
    <w:name w:val="Plain Text"/>
    <w:basedOn w:val="1"/>
    <w:link w:val="47"/>
    <w:qFormat/>
    <w:uiPriority w:val="0"/>
    <w:rPr>
      <w:rFonts w:ascii="宋体" w:hAnsi="Courier New"/>
      <w:szCs w:val="24"/>
    </w:rPr>
  </w:style>
  <w:style w:type="paragraph" w:styleId="14">
    <w:name w:val="Date"/>
    <w:basedOn w:val="1"/>
    <w:next w:val="1"/>
    <w:qFormat/>
    <w:uiPriority w:val="0"/>
  </w:style>
  <w:style w:type="paragraph" w:styleId="15">
    <w:name w:val="Balloon Text"/>
    <w:basedOn w:val="1"/>
    <w:link w:val="31"/>
    <w:qFormat/>
    <w:uiPriority w:val="0"/>
    <w:rPr>
      <w:sz w:val="18"/>
      <w:szCs w:val="18"/>
    </w:rPr>
  </w:style>
  <w:style w:type="paragraph" w:styleId="16">
    <w:name w:val="footer"/>
    <w:basedOn w:val="1"/>
    <w:link w:val="34"/>
    <w:qFormat/>
    <w:uiPriority w:val="0"/>
    <w:pPr>
      <w:tabs>
        <w:tab w:val="center" w:pos="4153"/>
        <w:tab w:val="right" w:pos="8306"/>
      </w:tabs>
      <w:snapToGrid w:val="0"/>
      <w:jc w:val="left"/>
    </w:pPr>
    <w:rPr>
      <w:rFonts w:eastAsia="宋体"/>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8">
    <w:name w:val="toc 1"/>
    <w:basedOn w:val="1"/>
    <w:next w:val="1"/>
    <w:unhideWhenUsed/>
    <w:qFormat/>
    <w:uiPriority w:val="39"/>
    <w:pPr>
      <w:widowControl/>
      <w:spacing w:after="100" w:line="276" w:lineRule="auto"/>
      <w:jc w:val="left"/>
    </w:pPr>
    <w:rPr>
      <w:kern w:val="0"/>
      <w:sz w:val="22"/>
      <w:szCs w:val="22"/>
    </w:rPr>
  </w:style>
  <w:style w:type="paragraph" w:styleId="19">
    <w:name w:val="Subtitle"/>
    <w:basedOn w:val="1"/>
    <w:next w:val="1"/>
    <w:qFormat/>
    <w:uiPriority w:val="0"/>
    <w:pPr>
      <w:spacing w:before="240" w:after="60" w:line="312" w:lineRule="auto"/>
      <w:jc w:val="center"/>
      <w:outlineLvl w:val="1"/>
    </w:pPr>
    <w:rPr>
      <w:rFonts w:ascii="Cambria" w:hAnsi="Cambria" w:eastAsia="宋体"/>
      <w:b/>
      <w:bCs/>
      <w:kern w:val="28"/>
      <w:sz w:val="32"/>
      <w:szCs w:val="32"/>
    </w:rPr>
  </w:style>
  <w:style w:type="paragraph" w:styleId="20">
    <w:name w:val="toc 2"/>
    <w:basedOn w:val="1"/>
    <w:next w:val="1"/>
    <w:qFormat/>
    <w:uiPriority w:val="39"/>
    <w:pPr>
      <w:ind w:left="420" w:leftChars="200"/>
    </w:pPr>
  </w:style>
  <w:style w:type="paragraph" w:styleId="21">
    <w:name w:val="Body Text 2"/>
    <w:basedOn w:val="1"/>
    <w:unhideWhenUsed/>
    <w:qFormat/>
    <w:uiPriority w:val="0"/>
    <w:rPr>
      <w:rFonts w:ascii="宋体" w:hAnsi="宋体"/>
      <w:szCs w:val="24"/>
      <w:u w:val="single"/>
    </w:rPr>
  </w:style>
  <w:style w:type="paragraph" w:styleId="22">
    <w:name w:val="Normal (Web)"/>
    <w:basedOn w:val="1"/>
    <w:qFormat/>
    <w:uiPriority w:val="99"/>
    <w:pPr>
      <w:widowControl/>
      <w:spacing w:before="100" w:beforeAutospacing="1" w:after="100" w:afterAutospacing="1"/>
    </w:pPr>
    <w:rPr>
      <w:rFonts w:ascii="宋体" w:hAnsi="宋体"/>
      <w:sz w:val="24"/>
      <w:szCs w:val="24"/>
    </w:rPr>
  </w:style>
  <w:style w:type="paragraph" w:styleId="23">
    <w:name w:val="Title"/>
    <w:basedOn w:val="1"/>
    <w:qFormat/>
    <w:uiPriority w:val="99"/>
    <w:pPr>
      <w:spacing w:before="120" w:after="60"/>
      <w:jc w:val="center"/>
    </w:pPr>
    <w:rPr>
      <w:rFonts w:ascii="Arial" w:hAnsi="Arial"/>
      <w:b/>
      <w:sz w:val="44"/>
    </w:rPr>
  </w:style>
  <w:style w:type="paragraph" w:styleId="24">
    <w:name w:val="annotation subject"/>
    <w:basedOn w:val="10"/>
    <w:next w:val="10"/>
    <w:link w:val="32"/>
    <w:qFormat/>
    <w:uiPriority w:val="0"/>
    <w:rPr>
      <w:b/>
      <w:bCs/>
    </w:rPr>
  </w:style>
  <w:style w:type="paragraph" w:styleId="25">
    <w:name w:val="Body Text First Indent"/>
    <w:basedOn w:val="11"/>
    <w:qFormat/>
    <w:uiPriority w:val="99"/>
    <w:pPr>
      <w:ind w:firstLine="420"/>
    </w:pPr>
  </w:style>
  <w:style w:type="character" w:styleId="28">
    <w:name w:val="page number"/>
    <w:basedOn w:val="27"/>
    <w:qFormat/>
    <w:uiPriority w:val="0"/>
  </w:style>
  <w:style w:type="character" w:styleId="29">
    <w:name w:val="Hyperlink"/>
    <w:qFormat/>
    <w:uiPriority w:val="99"/>
    <w:rPr>
      <w:color w:val="0000FF"/>
      <w:u w:val="single"/>
    </w:rPr>
  </w:style>
  <w:style w:type="character" w:styleId="30">
    <w:name w:val="annotation reference"/>
    <w:basedOn w:val="27"/>
    <w:unhideWhenUsed/>
    <w:qFormat/>
    <w:uiPriority w:val="99"/>
    <w:rPr>
      <w:sz w:val="21"/>
      <w:szCs w:val="21"/>
    </w:rPr>
  </w:style>
  <w:style w:type="character" w:customStyle="1" w:styleId="31">
    <w:name w:val="批注框文本 Char"/>
    <w:basedOn w:val="27"/>
    <w:link w:val="15"/>
    <w:qFormat/>
    <w:uiPriority w:val="0"/>
    <w:rPr>
      <w:rFonts w:ascii="Times New Roman" w:hAnsi="Times New Roman" w:eastAsia="楷体_GB2312"/>
      <w:kern w:val="2"/>
      <w:sz w:val="18"/>
      <w:szCs w:val="18"/>
    </w:rPr>
  </w:style>
  <w:style w:type="character" w:customStyle="1" w:styleId="32">
    <w:name w:val="批注主题 Char"/>
    <w:basedOn w:val="33"/>
    <w:link w:val="24"/>
    <w:qFormat/>
    <w:uiPriority w:val="0"/>
  </w:style>
  <w:style w:type="character" w:customStyle="1" w:styleId="33">
    <w:name w:val="批注文字 Char"/>
    <w:basedOn w:val="27"/>
    <w:link w:val="10"/>
    <w:qFormat/>
    <w:uiPriority w:val="99"/>
    <w:rPr>
      <w:rFonts w:eastAsia="楷体_GB2312"/>
      <w:kern w:val="2"/>
      <w:sz w:val="21"/>
    </w:rPr>
  </w:style>
  <w:style w:type="character" w:customStyle="1" w:styleId="34">
    <w:name w:val="页脚 Char"/>
    <w:basedOn w:val="27"/>
    <w:link w:val="16"/>
    <w:qFormat/>
    <w:uiPriority w:val="0"/>
    <w:rPr>
      <w:kern w:val="2"/>
      <w:sz w:val="18"/>
      <w:szCs w:val="18"/>
    </w:rPr>
  </w:style>
  <w:style w:type="character" w:customStyle="1" w:styleId="35">
    <w:name w:val="标题 3 Char"/>
    <w:basedOn w:val="27"/>
    <w:link w:val="5"/>
    <w:qFormat/>
    <w:uiPriority w:val="0"/>
    <w:rPr>
      <w:rFonts w:ascii="仿宋_GB2312" w:hAnsi="宋体" w:eastAsia="仿宋_GB2312" w:cs="宋体"/>
      <w:b/>
      <w:kern w:val="2"/>
      <w:sz w:val="30"/>
      <w:szCs w:val="30"/>
    </w:rPr>
  </w:style>
  <w:style w:type="character" w:customStyle="1" w:styleId="36">
    <w:name w:val="页眉 Char"/>
    <w:basedOn w:val="27"/>
    <w:link w:val="17"/>
    <w:qFormat/>
    <w:uiPriority w:val="0"/>
    <w:rPr>
      <w:kern w:val="2"/>
      <w:sz w:val="18"/>
      <w:szCs w:val="18"/>
    </w:rPr>
  </w:style>
  <w:style w:type="character" w:customStyle="1" w:styleId="37">
    <w:name w:val="15"/>
    <w:basedOn w:val="27"/>
    <w:qFormat/>
    <w:uiPriority w:val="0"/>
    <w:rPr>
      <w:rFonts w:hint="default" w:ascii="Calibri" w:hAnsi="Calibri" w:cs="Calibri"/>
      <w:b/>
      <w:kern w:val="44"/>
      <w:sz w:val="28"/>
      <w:szCs w:val="28"/>
    </w:rPr>
  </w:style>
  <w:style w:type="character" w:customStyle="1" w:styleId="38">
    <w:name w:val="章节 Char"/>
    <w:link w:val="39"/>
    <w:qFormat/>
    <w:uiPriority w:val="0"/>
    <w:rPr>
      <w:rFonts w:eastAsia="宋体"/>
      <w:b/>
      <w:sz w:val="30"/>
    </w:rPr>
  </w:style>
  <w:style w:type="paragraph" w:customStyle="1" w:styleId="39">
    <w:name w:val="章节"/>
    <w:basedOn w:val="1"/>
    <w:link w:val="38"/>
    <w:qFormat/>
    <w:uiPriority w:val="0"/>
    <w:pPr>
      <w:spacing w:beforeLines="100" w:afterLines="100"/>
      <w:outlineLvl w:val="0"/>
    </w:pPr>
    <w:rPr>
      <w:rFonts w:eastAsia="宋体"/>
      <w:b/>
      <w:kern w:val="0"/>
      <w:sz w:val="30"/>
    </w:rPr>
  </w:style>
  <w:style w:type="paragraph" w:customStyle="1" w:styleId="40">
    <w:name w:val="数字编号列项（二级）"/>
    <w:qFormat/>
    <w:uiPriority w:val="0"/>
    <w:pPr>
      <w:numPr>
        <w:ilvl w:val="1"/>
        <w:numId w:val="1"/>
      </w:numPr>
      <w:tabs>
        <w:tab w:val="left" w:pos="1260"/>
        <w:tab w:val="left" w:pos="2264"/>
      </w:tabs>
      <w:ind w:left="1259"/>
      <w:jc w:val="both"/>
    </w:pPr>
    <w:rPr>
      <w:rFonts w:ascii="宋体" w:hAnsi="Calibri" w:eastAsia="宋体" w:cs="Times New Roman"/>
      <w:sz w:val="21"/>
      <w:lang w:val="en-US" w:eastAsia="zh-CN" w:bidi="ar-SA"/>
    </w:rPr>
  </w:style>
  <w:style w:type="paragraph" w:customStyle="1" w:styleId="4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3">
    <w:name w:val="发文落款"/>
    <w:basedOn w:val="41"/>
    <w:qFormat/>
    <w:uiPriority w:val="0"/>
    <w:pPr>
      <w:ind w:left="4094" w:right="607" w:firstLine="0"/>
      <w:jc w:val="center"/>
    </w:pPr>
  </w:style>
  <w:style w:type="paragraph" w:customStyle="1" w:styleId="44">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4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46">
    <w:name w:val="List Paragraph"/>
    <w:basedOn w:val="1"/>
    <w:qFormat/>
    <w:uiPriority w:val="34"/>
    <w:pPr>
      <w:ind w:firstLine="420" w:firstLineChars="200"/>
    </w:pPr>
  </w:style>
  <w:style w:type="character" w:customStyle="1" w:styleId="47">
    <w:name w:val="纯文本 Char"/>
    <w:basedOn w:val="27"/>
    <w:link w:val="13"/>
    <w:qFormat/>
    <w:uiPriority w:val="0"/>
    <w:rPr>
      <w:rFonts w:ascii="宋体" w:hAnsi="Courier New" w:eastAsia="楷体_GB2312"/>
      <w:kern w:val="2"/>
      <w:sz w:val="21"/>
      <w:szCs w:val="24"/>
    </w:rPr>
  </w:style>
  <w:style w:type="paragraph" w:customStyle="1" w:styleId="48">
    <w:name w:val="列出段落1"/>
    <w:basedOn w:val="1"/>
    <w:uiPriority w:val="0"/>
    <w:pPr>
      <w:ind w:firstLine="420" w:firstLineChars="200"/>
    </w:pPr>
    <w:rPr>
      <w:szCs w:val="21"/>
    </w:rPr>
  </w:style>
  <w:style w:type="character" w:customStyle="1" w:styleId="49">
    <w:name w:val="文档结构图 Char"/>
    <w:basedOn w:val="27"/>
    <w:link w:val="9"/>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3"/>
    <customShpInfo spid="_x0000_s2054"/>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CB133-1117-4A0F-B5FD-3834A832482D}">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11308</Words>
  <Characters>64461</Characters>
  <Lines>537</Lines>
  <Paragraphs>151</Paragraphs>
  <TotalTime>141</TotalTime>
  <ScaleCrop>false</ScaleCrop>
  <LinksUpToDate>false</LinksUpToDate>
  <CharactersWithSpaces>75618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2020-08-18T02:21:00Z</dcterms:created>
  <dc:creator>Administrator</dc:creator>
  <cp:lastModifiedBy>路心</cp:lastModifiedBy>
  <cp:lastPrinted>2020-09-02T10:13:00Z</cp:lastPrinted>
  <dcterms:modified xsi:type="dcterms:W3CDTF">2020-09-07T00:58:45Z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