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30"/>
          <w:lang w:eastAsia="zh-CN"/>
        </w:rPr>
      </w:pPr>
      <w:r>
        <w:rPr>
          <w:rFonts w:hint="eastAsia" w:ascii="华文中宋" w:hAnsi="华文中宋" w:eastAsia="华文中宋"/>
          <w:sz w:val="28"/>
          <w:szCs w:val="28"/>
          <w:lang w:eastAsia="zh-CN"/>
        </w:rPr>
        <w:t>(市属国有企业及参照资产出租类)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u w:val="single"/>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r>
        <w:rPr>
          <w:rFonts w:hint="eastAsia" w:ascii="仿宋_GB2312" w:hAnsi="宋体" w:eastAsia="仿宋_GB2312"/>
          <w:sz w:val="32"/>
          <w:szCs w:val="32"/>
          <w:u w:val="single"/>
          <w:lang w:eastAsia="zh-CN"/>
        </w:rPr>
        <w:t xml:space="preserve">   广州南沙国际物流有限公司     </w:t>
      </w:r>
    </w:p>
    <w:p>
      <w:pPr>
        <w:ind w:firstLine="480" w:firstLineChars="150"/>
        <w:rPr>
          <w:rFonts w:ascii="仿宋_GB2312" w:hAnsi="宋体" w:eastAsia="仿宋_GB2312"/>
          <w:sz w:val="32"/>
          <w:szCs w:val="32"/>
          <w:lang w:eastAsia="zh-CN"/>
        </w:rPr>
      </w:pPr>
    </w:p>
    <w:p>
      <w:pPr>
        <w:ind w:left="2398" w:leftChars="266" w:hanging="1760" w:hangingChars="5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广州市南沙区龙穴岛围垦区西南侧</w:t>
      </w:r>
      <w:r>
        <w:rPr>
          <w:rFonts w:hint="eastAsia" w:ascii="仿宋_GB2312" w:hAnsi="宋体" w:eastAsia="仿宋_GB2312"/>
          <w:sz w:val="32"/>
          <w:szCs w:val="32"/>
          <w:u w:val="single"/>
          <w:lang w:val="en-US" w:eastAsia="zh-CN"/>
        </w:rPr>
        <w:t>D地块自编D2地块</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何先生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020-390</w:t>
      </w:r>
      <w:r>
        <w:rPr>
          <w:rFonts w:hint="eastAsia" w:ascii="仿宋_GB2312" w:hAnsi="宋体" w:eastAsia="仿宋_GB2312"/>
          <w:sz w:val="32"/>
          <w:szCs w:val="32"/>
          <w:u w:val="single"/>
          <w:lang w:val="en-US" w:eastAsia="zh-CN"/>
        </w:rPr>
        <w:t>58816</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5"/>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0" w:name="OLE_LINK7"/>
      <w:bookmarkStart w:id="1"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0"/>
    <w:bookmarkEnd w:id="1"/>
    <w:tbl>
      <w:tblPr>
        <w:tblStyle w:val="25"/>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3"/>
        <w:gridCol w:w="293"/>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2" w:name="OLE_LINK10"/>
            <w:bookmarkStart w:id="3" w:name="OLE_LINK9"/>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val="en-US" w:eastAsia="zh-CN"/>
              </w:rPr>
            </w:pPr>
            <w:r>
              <w:rPr>
                <w:rFonts w:hint="eastAsia"/>
                <w:szCs w:val="21"/>
                <w:lang w:eastAsia="zh-CN"/>
              </w:rPr>
              <w:t>广州市南沙区龙穴岛围垦区西南侧</w:t>
            </w:r>
            <w:r>
              <w:rPr>
                <w:rFonts w:hint="eastAsia"/>
                <w:szCs w:val="21"/>
                <w:lang w:val="en-US" w:eastAsia="zh-CN"/>
              </w:rPr>
              <w:t>D地块自编D2地块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t xml:space="preserve">□房屋  </w:t>
            </w:r>
            <w:r>
              <w:rPr>
                <w:rFonts w:hint="eastAsia" w:ascii="Times New Roman" w:hAnsi="Times New Roman"/>
                <w:szCs w:val="20"/>
                <w:lang w:eastAsia="zh-CN"/>
              </w:rPr>
              <w:sym w:font="Wingdings 2" w:char="00A3"/>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集装箱堆场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w:t>
            </w:r>
            <w:r>
              <w:rPr>
                <w:rFonts w:hint="eastAsia"/>
                <w:szCs w:val="21"/>
                <w:u w:val="single"/>
                <w:lang w:val="en-US" w:eastAsia="zh-CN"/>
              </w:rPr>
              <w:t>13670</w:t>
            </w:r>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lang w:eastAsia="zh-CN"/>
              </w:rPr>
              <w:t>本次可出租面积为</w:t>
            </w:r>
            <w:r>
              <w:rPr>
                <w:rFonts w:hint="eastAsia"/>
                <w:szCs w:val="21"/>
                <w:lang w:val="en-US" w:eastAsia="zh-CN"/>
              </w:rPr>
              <w:t>24560</w:t>
            </w:r>
            <w:r>
              <w:rPr>
                <w:rFonts w:hint="eastAsia"/>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sym w:font="Wingdings 2" w:char="0052"/>
            </w:r>
            <w:r>
              <w:rPr>
                <w:rFonts w:hint="eastAsia"/>
                <w:lang w:eastAsia="zh-CN"/>
              </w:rPr>
              <w:t xml:space="preserve">租赁期限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3</w:t>
            </w:r>
            <w:r>
              <w:rPr>
                <w:rFonts w:hint="eastAsia" w:ascii="Times New Roman" w:hAnsi="Times New Roman"/>
                <w:szCs w:val="20"/>
                <w:u w:val="single"/>
                <w:lang w:eastAsia="zh-CN"/>
              </w:rPr>
              <w:t xml:space="preserve">年    </w:t>
            </w:r>
            <w:r>
              <w:rPr>
                <w:rFonts w:hint="eastAsia" w:ascii="Times New Roman" w:hAnsi="Times New Roman"/>
                <w:szCs w:val="20"/>
                <w:lang w:eastAsia="zh-CN"/>
              </w:rPr>
              <w:t>□日□月</w:t>
            </w:r>
            <w:r>
              <w:rPr>
                <w:rFonts w:hint="eastAsia" w:ascii="Times New Roman" w:hAnsi="Times New Roman"/>
                <w:szCs w:val="20"/>
                <w:lang w:eastAsia="zh-CN"/>
              </w:rPr>
              <w:sym w:font="Wingdings 2" w:char="0052"/>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2023</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12</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31</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2"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r>
              <w:rPr>
                <w:rFonts w:hint="eastAsia"/>
                <w:lang w:eastAsia="zh-CN"/>
              </w:rPr>
              <w:t>不动产登记证</w:t>
            </w: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val="en-US" w:eastAsia="zh-CN"/>
              </w:rPr>
            </w:pPr>
            <w:r>
              <w:rPr>
                <w:rFonts w:hint="eastAsia"/>
                <w:lang w:eastAsia="zh-CN"/>
              </w:rPr>
              <w:t>粤（</w:t>
            </w:r>
            <w:r>
              <w:rPr>
                <w:rFonts w:hint="eastAsia"/>
                <w:lang w:val="en-US" w:eastAsia="zh-CN"/>
              </w:rPr>
              <w:t>2020</w:t>
            </w:r>
            <w:r>
              <w:rPr>
                <w:rFonts w:hint="eastAsia"/>
                <w:lang w:eastAsia="zh-CN"/>
              </w:rPr>
              <w:t>）广州市不动产权第</w:t>
            </w:r>
            <w:r>
              <w:rPr>
                <w:rFonts w:hint="eastAsia"/>
                <w:lang w:val="en-US" w:eastAsia="zh-CN"/>
              </w:rPr>
              <w:t>11800084号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69" w:type="dxa"/>
            <w:gridSpan w:val="2"/>
            <w:vAlign w:val="center"/>
          </w:tcPr>
          <w:p>
            <w:pPr>
              <w:jc w:val="center"/>
              <w:rPr>
                <w:lang w:eastAsia="zh-CN"/>
              </w:rPr>
            </w:pPr>
            <w:r>
              <w:rPr>
                <w:rFonts w:hint="eastAsia"/>
                <w:lang w:eastAsia="zh-CN"/>
              </w:rPr>
              <w:t>权证所列示的建筑面积（平方米）</w:t>
            </w:r>
          </w:p>
        </w:tc>
        <w:tc>
          <w:tcPr>
            <w:tcW w:w="1709"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sym w:font="Wingdings 2" w:char="00A3"/>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sym w:font="Wingdings 2" w:char="0052"/>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sym w:font="Wingdings 2" w:char="00A3"/>
            </w:r>
            <w:r>
              <w:rPr>
                <w:rFonts w:hint="eastAsia" w:ascii="Times New Roman" w:hAnsi="Times New Roman"/>
                <w:szCs w:val="20"/>
                <w:lang w:eastAsia="zh-CN"/>
              </w:rPr>
              <w:t>否：A、</w:t>
            </w:r>
            <w:r>
              <w:rPr>
                <w:rFonts w:hint="eastAsia" w:ascii="Times New Roman" w:hAnsi="Times New Roman"/>
                <w:szCs w:val="20"/>
                <w:lang w:eastAsia="zh-CN"/>
              </w:rPr>
              <w:sym w:font="Wingdings 2" w:char="00A3"/>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r>
              <w:rPr>
                <w:rFonts w:hint="eastAsia" w:ascii="Times New Roman" w:hAnsi="Times New Roman"/>
                <w:szCs w:val="20"/>
                <w:lang w:eastAsia="zh-CN"/>
              </w:rPr>
              <w:t>广州市弘运物流服务有限公司</w:t>
            </w: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val="en-US" w:eastAsia="zh-CN"/>
              </w:rPr>
            </w:pPr>
            <w:r>
              <w:rPr>
                <w:rFonts w:hint="eastAsia" w:ascii="宋体"/>
                <w:lang w:val="en-US" w:eastAsia="zh-CN"/>
              </w:rPr>
              <w:t>914401127860673611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val="en-US" w:eastAsia="zh-CN"/>
              </w:rPr>
            </w:pP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val="en-US" w:eastAsia="zh-CN"/>
              </w:rPr>
            </w:pPr>
          </w:p>
        </w:tc>
      </w:tr>
      <w:bookmarkEnd w:id="2"/>
      <w:bookmarkEnd w:id="3"/>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5"/>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sym w:font="Wingdings 2" w:char="0052"/>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bottom"/>
          </w:tcPr>
          <w:p>
            <w:pPr>
              <w:pStyle w:val="40"/>
              <w:adjustRightInd w:val="0"/>
              <w:snapToGrid w:val="0"/>
              <w:spacing w:before="0" w:after="0"/>
              <w:ind w:firstLine="960" w:firstLineChars="400"/>
              <w:jc w:val="both"/>
              <w:rPr>
                <w:rFonts w:ascii="宋体"/>
                <w:lang w:eastAsia="zh-CN"/>
              </w:rPr>
            </w:pPr>
            <w:r>
              <w:rPr>
                <w:rFonts w:hint="eastAsia" w:ascii="宋体"/>
                <w:lang w:eastAsia="zh-CN"/>
              </w:rPr>
              <w:t>91440115747565587Q</w:t>
            </w: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jc w:val="both"/>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5"/>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709"/>
        <w:gridCol w:w="1552"/>
        <w:gridCol w:w="716"/>
        <w:gridCol w:w="7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4"/>
            <w:vAlign w:val="center"/>
          </w:tcPr>
          <w:p>
            <w:pP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177710</w:t>
            </w:r>
            <w:r>
              <w:rPr>
                <w:rFonts w:hint="eastAsia" w:ascii="宋体"/>
                <w:lang w:eastAsia="zh-CN"/>
              </w:rPr>
              <w:t xml:space="preserve">元/月（总面积）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4" w:type="dxa"/>
            <w:vAlign w:val="center"/>
          </w:tcPr>
          <w:p>
            <w:pPr>
              <w:jc w:val="center"/>
              <w:rPr>
                <w:rFonts w:asci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13</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7" w:type="dxa"/>
            <w:gridSpan w:val="5"/>
            <w:vAlign w:val="center"/>
          </w:tcPr>
          <w:p>
            <w:pPr>
              <w:jc w:val="cente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6397560</w:t>
            </w:r>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7" w:type="dxa"/>
            <w:gridSpan w:val="5"/>
            <w:vAlign w:val="center"/>
          </w:tcPr>
          <w:p>
            <w:pPr>
              <w:jc w:val="center"/>
              <w:rPr>
                <w:rFonts w:ascii="宋体"/>
                <w:u w:val="single"/>
                <w:lang w:eastAsia="zh-CN"/>
              </w:rPr>
            </w:pPr>
            <w:r>
              <w:rPr>
                <w:rFonts w:hint="eastAsia" w:ascii="宋体"/>
                <w:lang w:eastAsia="zh-CN"/>
              </w:rPr>
              <w:t>出租价格为土地租金，租期三年，无递增。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支付方式</w:t>
            </w:r>
          </w:p>
        </w:tc>
        <w:tc>
          <w:tcPr>
            <w:tcW w:w="6237" w:type="dxa"/>
            <w:gridSpan w:val="5"/>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承租方需于每月5号前（含5号）支付租金及水电费等（如遇国家法定假日顺延）。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9" w:type="dxa"/>
            <w:gridSpan w:val="6"/>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10</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Align w:val="center"/>
          </w:tcPr>
          <w:p>
            <w:pPr>
              <w:jc w:val="center"/>
              <w:rPr>
                <w:rFonts w:ascii="宋体" w:hAnsi="宋体"/>
                <w:lang w:eastAsia="zh-CN"/>
              </w:rPr>
            </w:pPr>
            <w:r>
              <w:rPr>
                <w:rFonts w:hint="eastAsia" w:ascii="宋体" w:hAnsi="宋体"/>
                <w:lang w:eastAsia="zh-CN"/>
              </w:rPr>
              <w:t>*延牌规则</w:t>
            </w:r>
          </w:p>
        </w:tc>
        <w:tc>
          <w:tcPr>
            <w:tcW w:w="8079" w:type="dxa"/>
            <w:gridSpan w:val="6"/>
            <w:vAlign w:val="center"/>
          </w:tcPr>
          <w:p>
            <w:pPr>
              <w:pStyle w:val="38"/>
              <w:ind w:firstLine="0"/>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hint="eastAsia" w:ascii="宋体" w:hAnsi="宋体"/>
                <w:u w:val="single"/>
                <w:lang w:val="en-US"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首个挂牌期满结束时，如征集到的意向方不足（ 1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9" w:type="dxa"/>
            <w:gridSpan w:val="6"/>
            <w:vAlign w:val="center"/>
          </w:tcPr>
          <w:p>
            <w:pPr>
              <w:pStyle w:val="38"/>
              <w:ind w:left="163" w:leftChars="68" w:firstLine="2"/>
              <w:rPr>
                <w:rFonts w:ascii="宋体"/>
                <w:bCs/>
                <w:lang w:eastAsia="zh-CN"/>
              </w:rPr>
            </w:pPr>
            <w:r>
              <w:rPr>
                <w:rFonts w:hint="eastAsia" w:ascii="宋体" w:hAnsi="宋体"/>
                <w:bCs/>
                <w:lang w:eastAsia="zh-CN"/>
              </w:rPr>
              <w:sym w:font="Wingdings 2" w:char="00A3"/>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hint="eastAsia" w:ascii="宋体" w:hAnsi="宋体"/>
                <w:bCs/>
                <w:lang w:eastAsia="zh-CN"/>
              </w:rPr>
              <w:sym w:font="Wingdings 2" w:char="0052"/>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1753" w:type="dxa"/>
            <w:vAlign w:val="center"/>
          </w:tcPr>
          <w:p>
            <w:pPr>
              <w:jc w:val="center"/>
              <w:rPr>
                <w:rFonts w:ascii="宋体" w:hAnsi="宋体"/>
                <w:lang w:eastAsia="zh-CN"/>
              </w:rPr>
            </w:pPr>
            <w:r>
              <w:rPr>
                <w:rFonts w:hint="eastAsia" w:ascii="宋体" w:hAnsi="宋体"/>
                <w:lang w:eastAsia="zh-CN"/>
              </w:rPr>
              <w:t>*交易方式</w:t>
            </w:r>
          </w:p>
        </w:tc>
        <w:tc>
          <w:tcPr>
            <w:tcW w:w="8079" w:type="dxa"/>
            <w:gridSpan w:val="6"/>
            <w:vAlign w:val="center"/>
          </w:tcPr>
          <w:p>
            <w:pPr>
              <w:pStyle w:val="38"/>
              <w:ind w:firstLine="480"/>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交易方式一：</w:t>
            </w:r>
          </w:p>
          <w:p>
            <w:pPr>
              <w:pStyle w:val="38"/>
              <w:ind w:firstLine="463" w:firstLineChars="193"/>
              <w:rPr>
                <w:rFonts w:ascii="宋体" w:hAnsi="宋体"/>
                <w:bCs/>
                <w:lang w:eastAsia="zh-CN"/>
              </w:rPr>
            </w:pPr>
            <w:r>
              <w:rPr>
                <w:lang w:eastAsia="zh-CN"/>
              </w:rPr>
              <w:t>仅征集到1家符合资格且缴纳交易保证金的意向方，选择协议交易，交易双方以挂牌价格或双方协商的价格（该价格不得低于挂牌价格）直接签订成交文件</w:t>
            </w:r>
            <w:r>
              <w:rPr>
                <w:rFonts w:hint="eastAsia"/>
                <w:lang w:eastAsia="zh-CN"/>
              </w:rPr>
              <w:t>。</w:t>
            </w:r>
          </w:p>
          <w:p>
            <w:pPr>
              <w:pStyle w:val="38"/>
              <w:ind w:firstLine="463" w:firstLineChars="193"/>
              <w:rPr>
                <w:rFonts w:ascii="宋体" w:hAnsi="宋体"/>
                <w:bCs/>
                <w:lang w:eastAsia="zh-CN"/>
              </w:rPr>
            </w:pPr>
            <w:r>
              <w:rPr>
                <w:rFonts w:hint="eastAsia" w:ascii="宋体" w:hAnsi="宋体"/>
                <w:bCs/>
                <w:lang w:eastAsia="zh-CN"/>
              </w:rPr>
              <w:t>如征集到符合资格且缴纳交易保证金的意向方为2家或以上的，选择以下交易方式：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网络竞价（</w:t>
            </w:r>
            <w:r>
              <w:rPr>
                <w:rFonts w:hint="eastAsia" w:ascii="宋体" w:hAnsi="宋体"/>
                <w:bCs/>
                <w:lang w:eastAsia="zh-CN"/>
              </w:rPr>
              <w:sym w:font="Wingdings 2" w:char="0052"/>
            </w:r>
            <w:r>
              <w:rPr>
                <w:rFonts w:hint="eastAsia" w:ascii="宋体" w:hAnsi="宋体"/>
                <w:bCs/>
                <w:lang w:eastAsia="zh-CN"/>
              </w:rPr>
              <w:t>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hAns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sym w:font="Wingdings 2" w:char="00A3"/>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firstLine="463" w:firstLineChars="193"/>
              <w:rPr>
                <w:rFonts w:ascii="宋体" w:hAnsi="宋体"/>
                <w:bCs/>
                <w:lang w:eastAsia="zh-CN"/>
              </w:rPr>
            </w:pPr>
            <w:r>
              <w:rPr>
                <w:rFonts w:hint="eastAsia" w:ascii="宋体" w:hAnsi="宋体"/>
                <w:bCs/>
                <w:lang w:eastAsia="zh-CN"/>
              </w:rPr>
              <w:t>□其他</w:t>
            </w:r>
            <w:r>
              <w:rPr>
                <w:rFonts w:ascii="宋体" w:hAnsi="宋体"/>
                <w:bCs/>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p>
            <w:pPr>
              <w:pStyle w:val="13"/>
              <w:ind w:left="480"/>
              <w:rPr>
                <w:lang w:eastAsia="zh-CN"/>
              </w:rPr>
            </w:pPr>
            <w:r>
              <w:rPr>
                <w:rFonts w:hint="eastAsia" w:ascii="宋体" w:hAnsi="宋体"/>
                <w:bCs/>
                <w:lang w:eastAsia="zh-CN"/>
              </w:rPr>
              <w:t>□交易方式二：动态报价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9" w:type="dxa"/>
            <w:gridSpan w:val="6"/>
            <w:vAlign w:val="center"/>
          </w:tcPr>
          <w:p>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type="textWrapping"/>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 </w:t>
            </w:r>
            <w:r>
              <w:fldChar w:fldCharType="begin"/>
            </w:r>
            <w:r>
              <w:instrText xml:space="preserve"> HYPERLINK "http://utr.gemas.com.cn/utr-web/utrlease/pro/javascript:void(0)" </w:instrText>
            </w:r>
            <w:r>
              <w:fldChar w:fldCharType="separate"/>
            </w:r>
            <w:r>
              <w:rPr>
                <w:rStyle w:val="23"/>
                <w:rFonts w:ascii="Verdana" w:hAnsi="Verdana" w:cs="Verdana"/>
                <w:color w:val="0055AA"/>
                <w:sz w:val="21"/>
                <w:szCs w:val="21"/>
                <w:u w:val="none"/>
                <w:lang w:eastAsia="zh-CN"/>
              </w:rPr>
              <w:t>查看【交易条件】附件</w:t>
            </w:r>
            <w:r>
              <w:rPr>
                <w:rStyle w:val="23"/>
                <w:rFonts w:ascii="Verdana" w:hAnsi="Verdana" w:cs="Verdana"/>
                <w:color w:val="0055AA"/>
                <w:sz w:val="21"/>
                <w:szCs w:val="21"/>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2"/>
            <w:vMerge w:val="restart"/>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60" w:type="dxa"/>
            <w:gridSpan w:val="2"/>
            <w:vAlign w:val="center"/>
          </w:tcPr>
          <w:p>
            <w:pPr>
              <w:rPr>
                <w:rFonts w:ascii="宋体"/>
                <w:lang w:eastAsia="zh-CN"/>
              </w:rPr>
            </w:pPr>
            <w:r>
              <w:rPr>
                <w:rFonts w:hint="eastAsia" w:ascii="宋体" w:hAnsi="宋体"/>
                <w:bCs/>
                <w:lang w:eastAsia="zh-CN"/>
              </w:rPr>
              <w:sym w:font="Wingdings 2" w:char="00A3"/>
            </w:r>
            <w:r>
              <w:rPr>
                <w:rFonts w:hint="eastAsia" w:ascii="宋体" w:hAnsi="宋体"/>
                <w:bCs/>
                <w:lang w:eastAsia="zh-CN"/>
              </w:rPr>
              <w:t>交易</w:t>
            </w:r>
            <w:r>
              <w:rPr>
                <w:rFonts w:hint="eastAsia" w:ascii="宋体"/>
                <w:lang w:eastAsia="zh-CN"/>
              </w:rPr>
              <w:t>保证金金额</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2"/>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60"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lang w:eastAsia="zh-CN"/>
              </w:rPr>
              <w:t xml:space="preserve">诚意金金额 </w:t>
            </w:r>
            <w:r>
              <w:rPr>
                <w:rFonts w:hint="eastAsia" w:ascii="宋体"/>
                <w:u w:val="single"/>
                <w:lang w:eastAsia="zh-CN"/>
              </w:rPr>
              <w:t xml:space="preserve"> </w:t>
            </w:r>
            <w:r>
              <w:rPr>
                <w:rFonts w:ascii="Arial" w:hAnsi="Arial" w:cs="Arial"/>
                <w:u w:val="single"/>
                <w:lang w:eastAsia="zh-CN"/>
              </w:rPr>
              <w:t>¥</w:t>
            </w:r>
            <w:r>
              <w:rPr>
                <w:rFonts w:hint="eastAsia" w:ascii="宋体"/>
                <w:u w:val="single"/>
                <w:lang w:val="en-US" w:eastAsia="zh-CN"/>
              </w:rPr>
              <w:t>120</w:t>
            </w:r>
            <w:r>
              <w:rPr>
                <w:rFonts w:hint="eastAsia" w:ascii="宋体"/>
                <w:u w:val="single"/>
                <w:lang w:eastAsia="zh-CN"/>
              </w:rPr>
              <w:t xml:space="preserve">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9" w:type="dxa"/>
            <w:gridSpan w:val="6"/>
            <w:vAlign w:val="center"/>
          </w:tcPr>
          <w:p>
            <w:pPr>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u w:val="single"/>
                <w:lang w:eastAsia="zh-CN"/>
              </w:rPr>
              <w:t>3</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9" w:type="dxa"/>
            <w:gridSpan w:val="6"/>
            <w:vAlign w:val="center"/>
          </w:tcPr>
          <w:p>
            <w:pPr>
              <w:pStyle w:val="38"/>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9" w:type="dxa"/>
            <w:gridSpan w:val="6"/>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（1）意向方向广州产权交易所递交和上传的资料须保证其真实、完整、有效；</w:t>
            </w:r>
          </w:p>
          <w:p>
            <w:pPr>
              <w:adjustRightInd w:val="0"/>
              <w:snapToGrid w:val="0"/>
              <w:ind w:firstLine="316" w:firstLineChars="132"/>
              <w:jc w:val="both"/>
              <w:rPr>
                <w:rFonts w:ascii="宋体" w:hAnsi="宋体"/>
                <w:bCs/>
                <w:lang w:eastAsia="zh-CN"/>
              </w:rPr>
            </w:pPr>
            <w:r>
              <w:rPr>
                <w:rFonts w:hint="eastAsia" w:ascii="宋体" w:hAnsi="宋体"/>
                <w:bCs/>
                <w:lang w:eastAsia="zh-CN"/>
              </w:rPr>
              <w:t>（2）意向方不得使用作弊、欺诈、强迫等有违公平的手续参与竞价；</w:t>
            </w:r>
          </w:p>
          <w:p>
            <w:pPr>
              <w:adjustRightInd w:val="0"/>
              <w:snapToGrid w:val="0"/>
              <w:ind w:firstLine="316" w:firstLineChars="132"/>
              <w:jc w:val="both"/>
              <w:rPr>
                <w:rFonts w:ascii="宋体" w:hAnsi="宋体"/>
                <w:bCs/>
                <w:lang w:eastAsia="zh-CN"/>
              </w:rPr>
            </w:pPr>
            <w:r>
              <w:rPr>
                <w:rFonts w:hint="eastAsia" w:ascii="宋体" w:hAnsi="宋体"/>
                <w:bCs/>
                <w:lang w:eastAsia="zh-CN"/>
              </w:rPr>
              <w:t>（3）意向方须按照公告和通知，按时参与广州产权交易所组织的交易活动（包括但不限于协议交易、网络竞价、评审、拍卖、招投标等）；</w:t>
            </w:r>
          </w:p>
          <w:p>
            <w:pPr>
              <w:adjustRightInd w:val="0"/>
              <w:snapToGrid w:val="0"/>
              <w:ind w:firstLine="316" w:firstLineChars="132"/>
              <w:jc w:val="both"/>
              <w:rPr>
                <w:rFonts w:ascii="宋体" w:hAnsi="宋体"/>
                <w:bCs/>
                <w:lang w:eastAsia="zh-CN"/>
              </w:rPr>
            </w:pPr>
            <w:r>
              <w:rPr>
                <w:rFonts w:hint="eastAsia" w:ascii="宋体" w:hAnsi="宋体"/>
                <w:bCs/>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316" w:firstLineChars="132"/>
              <w:jc w:val="both"/>
              <w:rPr>
                <w:rFonts w:ascii="宋体" w:hAnsi="宋体"/>
                <w:bCs/>
                <w:lang w:eastAsia="zh-CN"/>
              </w:rPr>
            </w:pPr>
            <w:r>
              <w:rPr>
                <w:rFonts w:hint="eastAsia" w:ascii="宋体" w:hAnsi="宋体"/>
                <w:bCs/>
                <w:lang w:eastAsia="zh-CN"/>
              </w:rPr>
              <w:t>（5）意向方被确定为承租方后，应按照公告要求签订《成交确认书》、交易合同，并按约定足额支付交易服务费；</w:t>
            </w:r>
          </w:p>
          <w:p>
            <w:pPr>
              <w:adjustRightInd w:val="0"/>
              <w:snapToGrid w:val="0"/>
              <w:ind w:firstLine="316" w:firstLineChars="132"/>
              <w:jc w:val="both"/>
              <w:rPr>
                <w:rFonts w:ascii="宋体"/>
                <w:bCs/>
                <w:lang w:eastAsia="zh-CN"/>
              </w:rPr>
            </w:pPr>
            <w:r>
              <w:rPr>
                <w:rFonts w:hint="eastAsia" w:ascii="宋体" w:hAnsi="宋体"/>
                <w:bCs/>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316" w:firstLineChars="132"/>
              <w:jc w:val="both"/>
              <w:rPr>
                <w:rFonts w:ascii="宋体" w:hAnsi="宋体"/>
                <w:bCs/>
                <w:lang w:eastAsia="zh-CN"/>
              </w:rPr>
            </w:pPr>
            <w:r>
              <w:rPr>
                <w:rFonts w:hint="eastAsia" w:ascii="宋体" w:hAnsi="宋体"/>
                <w:bCs/>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316" w:firstLineChars="132"/>
              <w:jc w:val="both"/>
              <w:rPr>
                <w:rFonts w:ascii="宋体"/>
                <w:bCs/>
                <w:lang w:eastAsia="zh-CN"/>
              </w:rPr>
            </w:pPr>
            <w:r>
              <w:rPr>
                <w:rFonts w:hint="eastAsia" w:ascii="宋体" w:hAnsi="宋体"/>
                <w:bCs/>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1.承租方须于广州产权交易所发出《签订成交文件通知书》或竞价/报价活动结束之日起</w:t>
            </w:r>
            <w:r>
              <w:rPr>
                <w:rFonts w:hint="eastAsia" w:ascii="宋体"/>
                <w:bCs/>
                <w:u w:val="single"/>
                <w:lang w:eastAsia="zh-CN"/>
              </w:rPr>
              <w:t xml:space="preserve"> 3 </w:t>
            </w:r>
            <w:r>
              <w:rPr>
                <w:rFonts w:hint="eastAsia" w:ascii="宋体"/>
                <w:bCs/>
                <w:lang w:eastAsia="zh-CN"/>
              </w:rPr>
              <w:t>个工作日内与广州产权交易所、出租方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承租方须于《成交确认书》生效之日起</w:t>
            </w:r>
            <w:r>
              <w:rPr>
                <w:rFonts w:ascii="宋体"/>
                <w:bCs/>
                <w:u w:val="single"/>
                <w:lang w:eastAsia="zh-CN"/>
              </w:rPr>
              <w:t>10</w:t>
            </w:r>
            <w:r>
              <w:rPr>
                <w:rFonts w:hint="eastAsia" w:ascii="宋体"/>
                <w:bCs/>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3.承租方须于签订《成交确认书》之日起</w:t>
            </w:r>
            <w:r>
              <w:rPr>
                <w:rFonts w:ascii="宋体"/>
                <w:bCs/>
                <w:u w:val="single"/>
                <w:lang w:eastAsia="zh-CN"/>
              </w:rPr>
              <w:t>3</w:t>
            </w:r>
            <w:r>
              <w:rPr>
                <w:rFonts w:hint="eastAsia" w:ascii="宋体"/>
                <w:bCs/>
                <w:lang w:eastAsia="zh-CN"/>
              </w:rPr>
              <w:t>个工作日内向广州产权交易所支付交易服务费，交易服务费标准如下：相当于首年租金（按12个月计算）成交价格的0.5</w:t>
            </w:r>
            <w:r>
              <w:rPr>
                <w:rFonts w:ascii="宋体"/>
                <w:bCs/>
                <w:lang w:eastAsia="zh-CN"/>
              </w:rPr>
              <w:t xml:space="preserve"> </w:t>
            </w:r>
            <w:r>
              <w:rPr>
                <w:rFonts w:ascii="宋体"/>
                <w:bCs/>
                <w:highlight w:val="yellow"/>
                <w:lang w:eastAsia="zh-CN"/>
              </w:rPr>
              <w:t>%</w:t>
            </w:r>
            <w:r>
              <w:rPr>
                <w:rFonts w:hint="eastAsia" w:ascii="宋体"/>
                <w:bCs/>
                <w:lang w:eastAsia="zh-CN"/>
              </w:rPr>
              <w:t>向本所支付交易服务费。交易服务费可在承租方交纳的交易保证金中扣付。如交易保证金不足以支付交易服务费的，承租方应在上述约定时间内，向本所指定账户支付交易服务费余额。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hint="eastAsia" w:ascii="宋体"/>
                <w:bCs/>
                <w:lang w:eastAsia="zh-CN"/>
              </w:rPr>
              <w:t>4.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ascii="宋体"/>
                <w:bCs/>
                <w:lang w:eastAsia="zh-CN"/>
              </w:rPr>
              <w:t>5</w:t>
            </w: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8079" w:type="dxa"/>
            <w:gridSpan w:val="6"/>
            <w:vAlign w:val="center"/>
          </w:tcPr>
          <w:p>
            <w:pPr>
              <w:rPr>
                <w:rFonts w:ascii="宋体"/>
                <w:lang w:eastAsia="zh-CN"/>
              </w:rPr>
            </w:pPr>
            <w:r>
              <w:rPr>
                <w:rFonts w:hint="eastAsia" w:ascii="宋体" w:hAnsi="宋体"/>
                <w:lang w:eastAsia="zh-CN"/>
              </w:rPr>
              <w:t>□无需审核</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 xml:space="preserve">仅广交所审核    </w:t>
            </w:r>
            <w:r>
              <w:rPr>
                <w:rFonts w:hint="eastAsia" w:ascii="宋体" w:hAnsi="宋体"/>
                <w:lang w:eastAsia="zh-CN"/>
              </w:rPr>
              <w:sym w:font="Wingdings 2" w:char="00A3"/>
            </w:r>
            <w:r>
              <w:rPr>
                <w:rFonts w:hint="eastAsia" w:ascii="宋体" w:hAnsi="宋体"/>
                <w:lang w:eastAsia="zh-CN"/>
              </w:rPr>
              <w:t>广交所与出租方共同审核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6"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rPr>
                <w:rFonts w:hint="eastAsia" w:ascii="宋体"/>
                <w:bCs/>
                <w:lang w:eastAsia="zh-CN"/>
              </w:rPr>
            </w:pPr>
            <w:r>
              <w:rPr>
                <w:rFonts w:hint="eastAsia" w:ascii="宋体"/>
                <w:bCs/>
                <w:lang w:eastAsia="zh-CN"/>
              </w:rPr>
              <w:t>1.意向方须于公告期内（截止日17时之前）在广州产权交易所官网（www.gemas.com.cn）点击“注册用户”完成网上报名流程。</w:t>
            </w:r>
          </w:p>
          <w:p>
            <w:pPr>
              <w:rPr>
                <w:rFonts w:hint="eastAsia" w:ascii="宋体"/>
                <w:bCs/>
                <w:lang w:eastAsia="zh-CN"/>
              </w:rPr>
            </w:pPr>
            <w:r>
              <w:rPr>
                <w:rFonts w:hint="eastAsia" w:ascii="宋体"/>
                <w:bCs/>
                <w:lang w:eastAsia="zh-CN"/>
              </w:rPr>
              <w:t>2.意向承租方必须为中华人民共和国境内注册成立、合法存续的法人，注册资本不少于人民币200万元。</w:t>
            </w:r>
          </w:p>
          <w:p>
            <w:pPr>
              <w:rPr>
                <w:rFonts w:hint="eastAsia" w:ascii="宋体"/>
                <w:bCs/>
                <w:lang w:eastAsia="zh-CN"/>
              </w:rPr>
            </w:pPr>
            <w:r>
              <w:rPr>
                <w:rFonts w:hint="eastAsia" w:ascii="宋体"/>
                <w:bCs/>
                <w:lang w:eastAsia="zh-CN"/>
              </w:rPr>
              <w:t>3.因该土地为港区集装箱堆存、维修服务配套，意向方须有与不少于10家船务公司合作和集装箱相关的经验。(船务公司名单以https://alphaliner.axsmarine.com/PublicTop100/网站公布的为准，意向方需提供报名当天的网站查询打印件和合作协议，如合作协议为英文版，需提供由第三方翻译机构翻译的中文件）。</w:t>
            </w:r>
          </w:p>
          <w:p>
            <w:pPr>
              <w:rPr>
                <w:rFonts w:ascii="宋体"/>
                <w:bCs/>
                <w:lang w:eastAsia="zh-CN"/>
              </w:rPr>
            </w:pPr>
            <w:r>
              <w:rPr>
                <w:rFonts w:hint="eastAsia" w:ascii="宋体"/>
                <w:bCs/>
                <w:lang w:eastAsia="zh-CN"/>
              </w:rPr>
              <w:t>4.意向承租方须于信息公告期截止日17:00前（以银行到账时间为准）缴纳交易诚意金。</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6" w:type="dxa"/>
            <w:gridSpan w:val="3"/>
            <w:vAlign w:val="center"/>
          </w:tcPr>
          <w:p>
            <w:pPr>
              <w:rPr>
                <w:rFonts w:ascii="宋体"/>
                <w:lang w:eastAsia="zh-CN"/>
              </w:rPr>
            </w:pPr>
            <w:r>
              <w:rPr>
                <w:rFonts w:ascii="Times New Roman" w:hAnsi="Times New Roman"/>
                <w:szCs w:val="20"/>
                <w:lang w:eastAsia="zh-CN"/>
              </w:rPr>
              <w:sym w:font="Wingdings" w:char="00A8"/>
            </w: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6"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（如无特殊说明的，均应当提交原件，无需提交原件的，应提交复印件。提交复印件的，应由原件持有方签字、盖章，标注“此件与原件相符”字样。要求提供复印件的，应提供原件核对后退回）</w:t>
            </w:r>
            <w:r>
              <w:rPr>
                <w:rFonts w:hint="eastAsia" w:ascii="宋体"/>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p>
          <w:p>
            <w:pPr>
              <w:rPr>
                <w:rFonts w:hint="eastAsia" w:ascii="宋体"/>
                <w:bCs/>
                <w:lang w:eastAsia="zh-CN"/>
              </w:rPr>
            </w:pPr>
            <w:r>
              <w:rPr>
                <w:rFonts w:ascii="宋体"/>
                <w:bCs/>
                <w:lang w:eastAsia="zh-CN"/>
              </w:rPr>
              <w:t>1</w:t>
            </w:r>
            <w:r>
              <w:rPr>
                <w:rFonts w:hint="eastAsia" w:ascii="宋体"/>
                <w:bCs/>
                <w:lang w:eastAsia="zh-CN"/>
              </w:rPr>
              <w:t>、法人企业应提交：</w:t>
            </w:r>
          </w:p>
          <w:p>
            <w:pPr>
              <w:rPr>
                <w:rFonts w:hint="eastAsia" w:ascii="宋体"/>
                <w:bCs/>
                <w:lang w:eastAsia="zh-CN"/>
              </w:rPr>
            </w:pPr>
            <w:r>
              <w:rPr>
                <w:rFonts w:hint="eastAsia" w:ascii="宋体"/>
                <w:bCs/>
                <w:lang w:eastAsia="zh-CN"/>
              </w:rPr>
              <w:t>1）企业法人资格证明、法定代表人身份证、法定代表人身份证明书；</w:t>
            </w:r>
          </w:p>
          <w:p>
            <w:pPr>
              <w:rPr>
                <w:rFonts w:hint="eastAsia" w:ascii="宋体"/>
                <w:bCs/>
                <w:lang w:eastAsia="zh-CN"/>
              </w:rPr>
            </w:pPr>
            <w:r>
              <w:rPr>
                <w:rFonts w:hint="eastAsia" w:ascii="宋体"/>
                <w:bCs/>
                <w:lang w:eastAsia="zh-CN"/>
              </w:rPr>
              <w:t>（2）意向方须提供与不少于10家船务公司合作和集装箱相关的经验(船务公司名单以https://alphaliner.axsmarine.com/PublicTop100/网站公布的为准，意向方需提供报名当天的网站查询打印件和合作协议，如合作协议为英文版，需提供由第三方翻译机构翻译的中文件）。</w:t>
            </w:r>
          </w:p>
          <w:p>
            <w:pPr>
              <w:rPr>
                <w:rFonts w:ascii="宋体"/>
                <w:bCs/>
                <w:lang w:eastAsia="zh-CN"/>
              </w:rPr>
            </w:pPr>
            <w:r>
              <w:rPr>
                <w:rFonts w:hint="eastAsia" w:ascii="宋体"/>
                <w:bCs/>
                <w:lang w:eastAsia="zh-CN"/>
              </w:rPr>
              <w:t>（3）广州产权交易所要求的其他有关资料。</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jc w:val="center"/>
        </w:trPr>
        <w:tc>
          <w:tcPr>
            <w:tcW w:w="1753" w:type="dxa"/>
            <w:vAlign w:val="center"/>
          </w:tcPr>
          <w:p>
            <w:pPr>
              <w:pStyle w:val="40"/>
              <w:spacing w:before="0" w:after="0"/>
              <w:jc w:val="center"/>
              <w:rPr>
                <w:rFonts w:ascii="宋体"/>
                <w:b/>
                <w:lang w:eastAsia="zh-CN"/>
              </w:rPr>
            </w:pPr>
            <w:r>
              <w:rPr>
                <w:rFonts w:ascii="宋体" w:hAnsi="宋体"/>
                <w:lang w:eastAsia="zh-CN"/>
              </w:rPr>
              <w:t>*</w:t>
            </w:r>
            <w:r>
              <w:rPr>
                <w:rFonts w:hint="eastAsia" w:ascii="宋体" w:hAnsi="宋体"/>
                <w:lang w:eastAsia="zh-CN"/>
              </w:rPr>
              <w:t>承诺书</w:t>
            </w:r>
          </w:p>
        </w:tc>
        <w:tc>
          <w:tcPr>
            <w:tcW w:w="8079" w:type="dxa"/>
            <w:gridSpan w:val="6"/>
            <w:vAlign w:val="center"/>
          </w:tcPr>
          <w:p>
            <w:pPr>
              <w:ind w:firstLine="240" w:firstLineChars="100"/>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 xml:space="preserve"> 土地 </w:t>
            </w:r>
            <w:r>
              <w:rPr>
                <w:rFonts w:hint="eastAsia" w:ascii="宋体"/>
                <w:bCs/>
                <w:lang w:eastAsia="zh-CN"/>
              </w:rPr>
              <w:t>租赁合同》版本签署合同。</w:t>
            </w:r>
          </w:p>
          <w:p>
            <w:pPr>
              <w:rPr>
                <w:rFonts w:ascii="宋体"/>
                <w:bCs/>
                <w:lang w:eastAsia="zh-CN"/>
              </w:rPr>
            </w:pP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w:t>
    </w:r>
    <w:r>
      <w:rPr>
        <w:rFonts w:hint="eastAsia" w:ascii="华文仿宋" w:hAnsi="华文仿宋" w:eastAsia="华文仿宋"/>
        <w:sz w:val="21"/>
        <w:szCs w:val="21"/>
        <w:lang w:val="en-US" w:eastAsia="zh-CN"/>
      </w:rPr>
      <w:t>019.1</w:t>
    </w:r>
    <w:r>
      <w:rPr>
        <w:rFonts w:hint="eastAsia" w:ascii="华文仿宋" w:hAnsi="华文仿宋" w:eastAsia="华文仿宋"/>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740"/>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7932B93"/>
    <w:rsid w:val="0A3B4051"/>
    <w:rsid w:val="0BA32B19"/>
    <w:rsid w:val="0F663D7B"/>
    <w:rsid w:val="0F98448E"/>
    <w:rsid w:val="0F9A0D02"/>
    <w:rsid w:val="128201DD"/>
    <w:rsid w:val="12CF5D2B"/>
    <w:rsid w:val="1A9F0560"/>
    <w:rsid w:val="1AF10AFD"/>
    <w:rsid w:val="1EBF1277"/>
    <w:rsid w:val="1F051B47"/>
    <w:rsid w:val="2244353F"/>
    <w:rsid w:val="2620701C"/>
    <w:rsid w:val="27C95DFB"/>
    <w:rsid w:val="289F5415"/>
    <w:rsid w:val="2BA53DB0"/>
    <w:rsid w:val="2E217208"/>
    <w:rsid w:val="2FD80A74"/>
    <w:rsid w:val="34552CB8"/>
    <w:rsid w:val="34917F7A"/>
    <w:rsid w:val="387510EA"/>
    <w:rsid w:val="410C0655"/>
    <w:rsid w:val="48911BAC"/>
    <w:rsid w:val="4A447915"/>
    <w:rsid w:val="5829323F"/>
    <w:rsid w:val="5DEE67D5"/>
    <w:rsid w:val="5E20199F"/>
    <w:rsid w:val="60B61A6B"/>
    <w:rsid w:val="655253AF"/>
    <w:rsid w:val="684A06D2"/>
    <w:rsid w:val="69D332C5"/>
    <w:rsid w:val="6BD74E4E"/>
    <w:rsid w:val="6F772E81"/>
    <w:rsid w:val="7679222A"/>
    <w:rsid w:val="79CE7011"/>
    <w:rsid w:val="7D4F0DB5"/>
    <w:rsid w:val="7E1F3A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19">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4"/>
    <w:semiHidden/>
    <w:qFormat/>
    <w:uiPriority w:val="99"/>
    <w:rPr>
      <w:b/>
      <w:bCs/>
    </w:rPr>
  </w:style>
  <w:style w:type="paragraph" w:styleId="12">
    <w:name w:val="annotation text"/>
    <w:basedOn w:val="1"/>
    <w:link w:val="43"/>
    <w:semiHidden/>
    <w:qFormat/>
    <w:uiPriority w:val="99"/>
  </w:style>
  <w:style w:type="paragraph" w:styleId="13">
    <w:name w:val="Body Text Indent 2"/>
    <w:basedOn w:val="1"/>
    <w:link w:val="41"/>
    <w:qFormat/>
    <w:uiPriority w:val="99"/>
    <w:pPr>
      <w:spacing w:after="120" w:line="480" w:lineRule="auto"/>
      <w:ind w:left="420" w:leftChars="200"/>
    </w:pPr>
  </w:style>
  <w:style w:type="paragraph" w:styleId="14">
    <w:name w:val="Balloon Text"/>
    <w:basedOn w:val="1"/>
    <w:link w:val="36"/>
    <w:semiHidden/>
    <w:qFormat/>
    <w:uiPriority w:val="99"/>
    <w:rPr>
      <w:sz w:val="18"/>
      <w:szCs w:val="18"/>
    </w:rPr>
  </w:style>
  <w:style w:type="paragraph" w:styleId="15">
    <w:name w:val="footer"/>
    <w:basedOn w:val="1"/>
    <w:link w:val="37"/>
    <w:qFormat/>
    <w:uiPriority w:val="99"/>
    <w:pPr>
      <w:tabs>
        <w:tab w:val="center" w:pos="4153"/>
        <w:tab w:val="right" w:pos="8306"/>
      </w:tabs>
      <w:snapToGrid w:val="0"/>
    </w:pPr>
    <w:rPr>
      <w:sz w:val="18"/>
      <w:szCs w:val="18"/>
    </w:rPr>
  </w:style>
  <w:style w:type="paragraph" w:styleId="16">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8"/>
    <w:qFormat/>
    <w:uiPriority w:val="99"/>
    <w:pPr>
      <w:spacing w:after="60"/>
      <w:jc w:val="center"/>
      <w:outlineLvl w:val="1"/>
    </w:pPr>
    <w:rPr>
      <w:rFonts w:ascii="Cambria" w:hAnsi="Cambria"/>
    </w:rPr>
  </w:style>
  <w:style w:type="paragraph" w:styleId="18">
    <w:name w:val="Title"/>
    <w:basedOn w:val="1"/>
    <w:next w:val="1"/>
    <w:link w:val="47"/>
    <w:qFormat/>
    <w:uiPriority w:val="99"/>
    <w:pPr>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99"/>
    <w:rPr>
      <w:rFonts w:ascii="Calibri" w:hAnsi="Calibri" w:cs="Times New Roman"/>
      <w:b/>
      <w:i/>
      <w:iCs/>
    </w:rPr>
  </w:style>
  <w:style w:type="character" w:styleId="23">
    <w:name w:val="Hyperlink"/>
    <w:basedOn w:val="19"/>
    <w:qFormat/>
    <w:uiPriority w:val="99"/>
    <w:rPr>
      <w:rFonts w:cs="Times New Roman"/>
      <w:color w:val="0000FF"/>
      <w:u w:val="single"/>
    </w:rPr>
  </w:style>
  <w:style w:type="character" w:styleId="24">
    <w:name w:val="annotation reference"/>
    <w:basedOn w:val="19"/>
    <w:semiHidden/>
    <w:qFormat/>
    <w:uiPriority w:val="99"/>
    <w:rPr>
      <w:rFonts w:cs="Times New Roman"/>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19"/>
    <w:link w:val="2"/>
    <w:qFormat/>
    <w:locked/>
    <w:uiPriority w:val="99"/>
    <w:rPr>
      <w:rFonts w:ascii="Cambria" w:hAnsi="Cambria" w:eastAsia="宋体" w:cs="Times New Roman"/>
      <w:b/>
      <w:bCs/>
      <w:kern w:val="32"/>
      <w:sz w:val="32"/>
      <w:szCs w:val="32"/>
    </w:rPr>
  </w:style>
  <w:style w:type="character" w:customStyle="1" w:styleId="28">
    <w:name w:val="标题 2 Char"/>
    <w:basedOn w:val="19"/>
    <w:link w:val="3"/>
    <w:semiHidden/>
    <w:qFormat/>
    <w:locked/>
    <w:uiPriority w:val="99"/>
    <w:rPr>
      <w:rFonts w:ascii="Cambria" w:hAnsi="Cambria" w:eastAsia="宋体" w:cs="Times New Roman"/>
      <w:b/>
      <w:bCs/>
      <w:i/>
      <w:iCs/>
      <w:sz w:val="28"/>
      <w:szCs w:val="28"/>
    </w:rPr>
  </w:style>
  <w:style w:type="character" w:customStyle="1" w:styleId="29">
    <w:name w:val="标题 3 Char"/>
    <w:basedOn w:val="19"/>
    <w:link w:val="4"/>
    <w:semiHidden/>
    <w:qFormat/>
    <w:locked/>
    <w:uiPriority w:val="99"/>
    <w:rPr>
      <w:rFonts w:ascii="Cambria" w:hAnsi="Cambria" w:eastAsia="宋体" w:cs="Times New Roman"/>
      <w:b/>
      <w:bCs/>
      <w:sz w:val="26"/>
      <w:szCs w:val="26"/>
    </w:rPr>
  </w:style>
  <w:style w:type="character" w:customStyle="1" w:styleId="30">
    <w:name w:val="标题 4 Char"/>
    <w:basedOn w:val="19"/>
    <w:link w:val="5"/>
    <w:qFormat/>
    <w:locked/>
    <w:uiPriority w:val="99"/>
    <w:rPr>
      <w:rFonts w:cs="Times New Roman"/>
      <w:b/>
      <w:bCs/>
      <w:sz w:val="28"/>
      <w:szCs w:val="28"/>
    </w:rPr>
  </w:style>
  <w:style w:type="character" w:customStyle="1" w:styleId="31">
    <w:name w:val="标题 5 Char"/>
    <w:basedOn w:val="19"/>
    <w:link w:val="6"/>
    <w:semiHidden/>
    <w:qFormat/>
    <w:locked/>
    <w:uiPriority w:val="99"/>
    <w:rPr>
      <w:rFonts w:cs="Times New Roman"/>
      <w:b/>
      <w:bCs/>
      <w:i/>
      <w:iCs/>
      <w:sz w:val="26"/>
      <w:szCs w:val="26"/>
    </w:rPr>
  </w:style>
  <w:style w:type="character" w:customStyle="1" w:styleId="32">
    <w:name w:val="标题 6 Char"/>
    <w:basedOn w:val="19"/>
    <w:link w:val="7"/>
    <w:semiHidden/>
    <w:qFormat/>
    <w:locked/>
    <w:uiPriority w:val="99"/>
    <w:rPr>
      <w:rFonts w:cs="Times New Roman"/>
      <w:b/>
      <w:bCs/>
    </w:rPr>
  </w:style>
  <w:style w:type="character" w:customStyle="1" w:styleId="33">
    <w:name w:val="标题 7 Char"/>
    <w:basedOn w:val="19"/>
    <w:link w:val="8"/>
    <w:semiHidden/>
    <w:qFormat/>
    <w:locked/>
    <w:uiPriority w:val="99"/>
    <w:rPr>
      <w:rFonts w:cs="Times New Roman"/>
      <w:sz w:val="24"/>
      <w:szCs w:val="24"/>
    </w:rPr>
  </w:style>
  <w:style w:type="character" w:customStyle="1" w:styleId="34">
    <w:name w:val="标题 8 Char"/>
    <w:basedOn w:val="19"/>
    <w:link w:val="9"/>
    <w:semiHidden/>
    <w:qFormat/>
    <w:locked/>
    <w:uiPriority w:val="99"/>
    <w:rPr>
      <w:rFonts w:cs="Times New Roman"/>
      <w:i/>
      <w:iCs/>
      <w:sz w:val="24"/>
      <w:szCs w:val="24"/>
    </w:rPr>
  </w:style>
  <w:style w:type="character" w:customStyle="1" w:styleId="35">
    <w:name w:val="标题 9 Char"/>
    <w:basedOn w:val="19"/>
    <w:link w:val="10"/>
    <w:semiHidden/>
    <w:qFormat/>
    <w:locked/>
    <w:uiPriority w:val="99"/>
    <w:rPr>
      <w:rFonts w:ascii="Cambria" w:hAnsi="Cambria" w:eastAsia="宋体" w:cs="Times New Roman"/>
    </w:rPr>
  </w:style>
  <w:style w:type="character" w:customStyle="1" w:styleId="36">
    <w:name w:val="批注框文本 Char"/>
    <w:basedOn w:val="19"/>
    <w:link w:val="14"/>
    <w:semiHidden/>
    <w:qFormat/>
    <w:locked/>
    <w:uiPriority w:val="99"/>
    <w:rPr>
      <w:rFonts w:cs="Times New Roman"/>
      <w:kern w:val="0"/>
      <w:sz w:val="2"/>
      <w:lang w:eastAsia="en-US"/>
    </w:rPr>
  </w:style>
  <w:style w:type="character" w:customStyle="1" w:styleId="37">
    <w:name w:val="页脚 Char"/>
    <w:basedOn w:val="19"/>
    <w:link w:val="15"/>
    <w:qFormat/>
    <w:locked/>
    <w:uiPriority w:val="99"/>
    <w:rPr>
      <w:rFonts w:cs="Times New Roman"/>
      <w:sz w:val="18"/>
      <w:szCs w:val="18"/>
      <w:lang w:eastAsia="en-US"/>
    </w:rPr>
  </w:style>
  <w:style w:type="paragraph" w:customStyle="1" w:styleId="38">
    <w:name w:val="1"/>
    <w:basedOn w:val="1"/>
    <w:next w:val="13"/>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19"/>
    <w:link w:val="13"/>
    <w:semiHidden/>
    <w:qFormat/>
    <w:locked/>
    <w:uiPriority w:val="99"/>
    <w:rPr>
      <w:rFonts w:cs="Times New Roman"/>
      <w:kern w:val="0"/>
      <w:sz w:val="24"/>
      <w:szCs w:val="24"/>
      <w:lang w:eastAsia="en-US"/>
    </w:rPr>
  </w:style>
  <w:style w:type="character" w:customStyle="1" w:styleId="42">
    <w:name w:val="页眉 Char"/>
    <w:basedOn w:val="19"/>
    <w:link w:val="16"/>
    <w:semiHidden/>
    <w:qFormat/>
    <w:locked/>
    <w:uiPriority w:val="99"/>
    <w:rPr>
      <w:rFonts w:cs="Times New Roman"/>
      <w:kern w:val="2"/>
      <w:sz w:val="18"/>
      <w:szCs w:val="18"/>
    </w:rPr>
  </w:style>
  <w:style w:type="character" w:customStyle="1" w:styleId="43">
    <w:name w:val="批注文字 Char"/>
    <w:basedOn w:val="19"/>
    <w:link w:val="12"/>
    <w:semiHidden/>
    <w:qFormat/>
    <w:locked/>
    <w:uiPriority w:val="99"/>
    <w:rPr>
      <w:rFonts w:cs="Times New Roman"/>
      <w:kern w:val="2"/>
      <w:sz w:val="21"/>
    </w:rPr>
  </w:style>
  <w:style w:type="character" w:customStyle="1" w:styleId="44">
    <w:name w:val="批注主题 Char"/>
    <w:basedOn w:val="43"/>
    <w:link w:val="11"/>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19"/>
    <w:qFormat/>
    <w:uiPriority w:val="99"/>
    <w:rPr>
      <w:rFonts w:cs="Times New Roman"/>
    </w:rPr>
  </w:style>
  <w:style w:type="character" w:customStyle="1" w:styleId="47">
    <w:name w:val="标题 Char"/>
    <w:basedOn w:val="19"/>
    <w:link w:val="18"/>
    <w:qFormat/>
    <w:locked/>
    <w:uiPriority w:val="99"/>
    <w:rPr>
      <w:rFonts w:ascii="Cambria" w:hAnsi="Cambria" w:eastAsia="宋体" w:cs="Times New Roman"/>
      <w:b/>
      <w:bCs/>
      <w:kern w:val="28"/>
      <w:sz w:val="32"/>
      <w:szCs w:val="32"/>
    </w:rPr>
  </w:style>
  <w:style w:type="character" w:customStyle="1" w:styleId="48">
    <w:name w:val="副标题 Char"/>
    <w:basedOn w:val="19"/>
    <w:link w:val="17"/>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19"/>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19"/>
    <w:link w:val="53"/>
    <w:qFormat/>
    <w:locked/>
    <w:uiPriority w:val="99"/>
    <w:rPr>
      <w:rFonts w:cs="Times New Roman"/>
      <w:b/>
      <w:i/>
      <w:sz w:val="24"/>
    </w:rPr>
  </w:style>
  <w:style w:type="character" w:customStyle="1" w:styleId="55">
    <w:name w:val="不明显强调1"/>
    <w:basedOn w:val="19"/>
    <w:qFormat/>
    <w:uiPriority w:val="99"/>
    <w:rPr>
      <w:rFonts w:cs="Times New Roman"/>
      <w:i/>
      <w:color w:val="5A5A5A"/>
    </w:rPr>
  </w:style>
  <w:style w:type="character" w:customStyle="1" w:styleId="56">
    <w:name w:val="明显强调1"/>
    <w:basedOn w:val="19"/>
    <w:qFormat/>
    <w:uiPriority w:val="99"/>
    <w:rPr>
      <w:rFonts w:cs="Times New Roman"/>
      <w:b/>
      <w:i/>
      <w:sz w:val="24"/>
      <w:szCs w:val="24"/>
      <w:u w:val="single"/>
    </w:rPr>
  </w:style>
  <w:style w:type="character" w:customStyle="1" w:styleId="57">
    <w:name w:val="不明显参考1"/>
    <w:basedOn w:val="19"/>
    <w:qFormat/>
    <w:uiPriority w:val="99"/>
    <w:rPr>
      <w:rFonts w:cs="Times New Roman"/>
      <w:sz w:val="24"/>
      <w:szCs w:val="24"/>
      <w:u w:val="single"/>
    </w:rPr>
  </w:style>
  <w:style w:type="character" w:customStyle="1" w:styleId="58">
    <w:name w:val="明显参考1"/>
    <w:basedOn w:val="19"/>
    <w:qFormat/>
    <w:uiPriority w:val="99"/>
    <w:rPr>
      <w:rFonts w:cs="Times New Roman"/>
      <w:b/>
      <w:sz w:val="24"/>
      <w:u w:val="single"/>
    </w:rPr>
  </w:style>
  <w:style w:type="character" w:customStyle="1" w:styleId="59">
    <w:name w:val="书籍标题1"/>
    <w:basedOn w:val="19"/>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903</Words>
  <Characters>5152</Characters>
  <Lines>42</Lines>
  <Paragraphs>12</Paragraphs>
  <TotalTime>0</TotalTime>
  <ScaleCrop>false</ScaleCrop>
  <LinksUpToDate>false</LinksUpToDate>
  <CharactersWithSpaces>6043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WPS_1515117467</cp:lastModifiedBy>
  <cp:lastPrinted>2018-02-24T03:15:00Z</cp:lastPrinted>
  <dcterms:modified xsi:type="dcterms:W3CDTF">2020-10-20T06:13:03Z</dcterms:modified>
  <dc:title>信息发布申请书</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