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84"/>
          <w:szCs w:val="84"/>
        </w:rPr>
      </w:pPr>
      <w:r>
        <w:rPr>
          <w:rFonts w:hint="eastAsia" w:ascii="楷体" w:hAnsi="楷体" w:eastAsia="楷体" w:cs="楷体"/>
          <w:b/>
          <w:sz w:val="84"/>
          <w:szCs w:val="84"/>
        </w:rPr>
        <w:t xml:space="preserve">常年法律顾问服务 </w:t>
      </w:r>
    </w:p>
    <w:p>
      <w:pPr>
        <w:jc w:val="center"/>
        <w:rPr>
          <w:rFonts w:ascii="楷体" w:hAnsi="楷体" w:eastAsia="楷体" w:cs="楷体"/>
          <w:b/>
          <w:sz w:val="84"/>
          <w:szCs w:val="84"/>
        </w:rPr>
      </w:pPr>
      <w:r>
        <w:rPr>
          <w:rFonts w:hint="eastAsia" w:ascii="楷体" w:hAnsi="楷体" w:eastAsia="楷体" w:cs="楷体"/>
          <w:b/>
          <w:sz w:val="84"/>
          <w:szCs w:val="84"/>
        </w:rPr>
        <w:t>招标文件</w:t>
      </w:r>
    </w:p>
    <w:p>
      <w:pPr>
        <w:jc w:val="center"/>
        <w:rPr>
          <w:rFonts w:ascii="宋体" w:hAnsi="宋体" w:cs="宋体"/>
          <w:sz w:val="32"/>
          <w:szCs w:val="32"/>
        </w:rPr>
      </w:pPr>
      <w:r>
        <w:rPr>
          <w:rFonts w:hint="eastAsia" w:ascii="宋体" w:hAnsi="宋体" w:cs="宋体"/>
          <w:sz w:val="32"/>
          <w:szCs w:val="32"/>
        </w:rPr>
        <w:t xml:space="preserve"> </w:t>
      </w:r>
    </w:p>
    <w:p>
      <w:pPr>
        <w:jc w:val="center"/>
        <w:rPr>
          <w:rFonts w:ascii="宋体" w:hAnsi="宋体" w:cs="宋体"/>
          <w:sz w:val="32"/>
          <w:szCs w:val="32"/>
        </w:rPr>
      </w:pPr>
      <w:r>
        <w:rPr>
          <w:rFonts w:hint="eastAsia" w:ascii="宋体" w:hAnsi="宋体" w:cs="宋体"/>
          <w:sz w:val="32"/>
          <w:szCs w:val="32"/>
        </w:rPr>
        <w:t xml:space="preserve"> </w:t>
      </w:r>
    </w:p>
    <w:p>
      <w:pPr>
        <w:jc w:val="center"/>
        <w:rPr>
          <w:rFonts w:ascii="宋体" w:hAnsi="宋体" w:cs="宋体"/>
          <w:sz w:val="32"/>
          <w:szCs w:val="32"/>
        </w:rPr>
      </w:pPr>
      <w:r>
        <w:rPr>
          <w:rFonts w:hint="eastAsia" w:ascii="宋体" w:hAnsi="宋体" w:cs="宋体"/>
          <w:sz w:val="32"/>
          <w:szCs w:val="32"/>
        </w:rPr>
        <w:t xml:space="preserve">  </w:t>
      </w:r>
    </w:p>
    <w:p>
      <w:pPr>
        <w:jc w:val="center"/>
        <w:rPr>
          <w:rFonts w:ascii="宋体" w:hAnsi="宋体" w:cs="宋体"/>
          <w:sz w:val="32"/>
          <w:szCs w:val="32"/>
        </w:rPr>
      </w:pPr>
      <w:r>
        <w:rPr>
          <w:rFonts w:hint="eastAsia" w:ascii="宋体" w:hAnsi="宋体" w:cs="宋体"/>
          <w:sz w:val="32"/>
          <w:szCs w:val="32"/>
        </w:rPr>
        <w:t xml:space="preserve"> </w:t>
      </w:r>
    </w:p>
    <w:p>
      <w:pPr>
        <w:jc w:val="center"/>
        <w:rPr>
          <w:rFonts w:ascii="宋体" w:hAnsi="宋体" w:cs="宋体"/>
          <w:sz w:val="32"/>
          <w:szCs w:val="32"/>
        </w:rPr>
      </w:pPr>
      <w:r>
        <w:rPr>
          <w:rFonts w:hint="eastAsia" w:ascii="宋体" w:hAnsi="宋体" w:cs="宋体"/>
          <w:sz w:val="32"/>
          <w:szCs w:val="32"/>
        </w:rPr>
        <w:t xml:space="preserve"> </w:t>
      </w:r>
    </w:p>
    <w:p>
      <w:pPr>
        <w:jc w:val="center"/>
        <w:rPr>
          <w:rFonts w:ascii="宋体" w:hAnsi="宋体" w:cs="宋体"/>
          <w:sz w:val="32"/>
          <w:szCs w:val="32"/>
        </w:rPr>
      </w:pPr>
    </w:p>
    <w:p>
      <w:pPr>
        <w:jc w:val="center"/>
        <w:rPr>
          <w:rFonts w:hint="eastAsia" w:ascii="宋体" w:hAnsi="宋体" w:cs="宋体"/>
          <w:b/>
          <w:sz w:val="32"/>
          <w:szCs w:val="32"/>
        </w:rPr>
      </w:pPr>
      <w:bookmarkStart w:id="0" w:name="OLE_LINK4"/>
      <w:bookmarkEnd w:id="0"/>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ascii="宋体" w:hAnsi="宋体" w:cs="宋体"/>
          <w:b/>
          <w:sz w:val="32"/>
          <w:szCs w:val="32"/>
        </w:rPr>
      </w:pPr>
      <w:r>
        <w:rPr>
          <w:rFonts w:hint="eastAsia" w:ascii="宋体" w:hAnsi="宋体" w:cs="宋体"/>
          <w:b/>
          <w:sz w:val="32"/>
          <w:szCs w:val="32"/>
        </w:rPr>
        <w:t>招标人：广州南沙建设维护管理有限公司</w:t>
      </w:r>
    </w:p>
    <w:p>
      <w:pPr>
        <w:spacing w:line="520" w:lineRule="exact"/>
        <w:ind w:right="-101" w:rightChars="-48"/>
        <w:jc w:val="center"/>
        <w:rPr>
          <w:rFonts w:ascii="宋体" w:hAnsi="宋体" w:cs="宋体"/>
          <w:spacing w:val="28"/>
          <w:position w:val="8"/>
          <w:sz w:val="28"/>
          <w:szCs w:val="28"/>
        </w:rPr>
      </w:pPr>
      <w:r>
        <w:rPr>
          <w:rFonts w:hint="eastAsia" w:ascii="宋体" w:hAnsi="宋体" w:cs="宋体"/>
          <w:b/>
          <w:sz w:val="32"/>
          <w:szCs w:val="32"/>
        </w:rPr>
        <w:t xml:space="preserve">日期：2021年  </w:t>
      </w:r>
      <w:r>
        <w:rPr>
          <w:rFonts w:hint="eastAsia" w:ascii="宋体" w:hAnsi="宋体" w:cs="宋体"/>
          <w:b/>
          <w:sz w:val="32"/>
          <w:szCs w:val="32"/>
          <w:lang w:val="en-US" w:eastAsia="zh-CN"/>
        </w:rPr>
        <w:t>1</w:t>
      </w:r>
      <w:r>
        <w:rPr>
          <w:rFonts w:hint="eastAsia" w:ascii="宋体" w:hAnsi="宋体" w:cs="宋体"/>
          <w:b/>
          <w:sz w:val="32"/>
          <w:szCs w:val="32"/>
        </w:rPr>
        <w:t xml:space="preserve"> 月</w:t>
      </w:r>
    </w:p>
    <w:p>
      <w:pPr>
        <w:rPr>
          <w:rFonts w:ascii="黑体" w:hAnsi="宋体" w:eastAsia="黑体" w:cs="黑体"/>
          <w:sz w:val="36"/>
          <w:szCs w:val="36"/>
        </w:rPr>
        <w:sectPr>
          <w:pgSz w:w="11915" w:h="16840"/>
          <w:pgMar w:top="1247" w:right="1135" w:bottom="1247" w:left="1361" w:header="720" w:footer="720" w:gutter="0"/>
          <w:cols w:space="720" w:num="1"/>
          <w:docGrid w:type="lines" w:linePitch="285" w:charSpace="0"/>
        </w:sectPr>
      </w:pPr>
    </w:p>
    <w:p>
      <w:pPr>
        <w:spacing w:line="560" w:lineRule="exact"/>
        <w:rPr>
          <w:rFonts w:hint="eastAsia" w:ascii="仿宋_GB2312" w:eastAsia="仿宋_GB2312"/>
          <w:bCs/>
          <w:sz w:val="32"/>
          <w:szCs w:val="32"/>
        </w:rPr>
      </w:pPr>
      <w:r>
        <w:rPr>
          <w:rFonts w:hint="eastAsia" w:ascii="仿宋_GB2312" w:eastAsia="仿宋_GB2312"/>
          <w:bCs/>
          <w:sz w:val="32"/>
          <w:szCs w:val="32"/>
        </w:rPr>
        <w:t xml:space="preserve">    </w:t>
      </w:r>
      <w:r>
        <w:rPr>
          <w:rFonts w:hint="eastAsia" w:ascii="黑体" w:hAnsi="黑体" w:eastAsia="黑体" w:cs="黑体"/>
          <w:bCs/>
          <w:sz w:val="32"/>
          <w:szCs w:val="32"/>
        </w:rPr>
        <w:t>一、招标人：</w:t>
      </w:r>
      <w:r>
        <w:rPr>
          <w:rFonts w:hint="eastAsia" w:ascii="仿宋_GB2312" w:eastAsia="仿宋_GB2312"/>
          <w:bCs/>
          <w:sz w:val="32"/>
          <w:szCs w:val="32"/>
        </w:rPr>
        <w:t xml:space="preserve">广州南沙建设维护管理有限公司 </w:t>
      </w:r>
    </w:p>
    <w:p>
      <w:pPr>
        <w:spacing w:line="560" w:lineRule="exact"/>
        <w:rPr>
          <w:rFonts w:hint="eastAsia" w:ascii="黑体" w:hAnsi="黑体" w:eastAsia="黑体" w:cs="黑体"/>
          <w:bCs/>
          <w:sz w:val="32"/>
          <w:szCs w:val="32"/>
        </w:rPr>
      </w:pPr>
      <w:r>
        <w:rPr>
          <w:rFonts w:hint="eastAsia" w:ascii="仿宋_GB2312" w:eastAsia="仿宋_GB2312"/>
          <w:bCs/>
          <w:sz w:val="32"/>
          <w:szCs w:val="32"/>
        </w:rPr>
        <w:t xml:space="preserve">    </w:t>
      </w:r>
      <w:r>
        <w:rPr>
          <w:rFonts w:hint="eastAsia" w:ascii="黑体" w:hAnsi="黑体" w:eastAsia="黑体" w:cs="黑体"/>
          <w:bCs/>
          <w:sz w:val="32"/>
          <w:szCs w:val="32"/>
        </w:rPr>
        <w:t>二、招标人介绍</w:t>
      </w:r>
    </w:p>
    <w:p>
      <w:pPr>
        <w:spacing w:line="560" w:lineRule="exact"/>
        <w:rPr>
          <w:rFonts w:hint="eastAsia" w:ascii="仿宋_GB2312" w:hAnsi="仿宋" w:eastAsia="仿宋_GB2312"/>
          <w:sz w:val="32"/>
          <w:szCs w:val="32"/>
        </w:rPr>
      </w:pPr>
      <w:r>
        <w:rPr>
          <w:rFonts w:hint="eastAsia" w:ascii="仿宋_GB2312" w:eastAsia="仿宋_GB2312"/>
          <w:bCs/>
          <w:sz w:val="32"/>
          <w:szCs w:val="32"/>
        </w:rPr>
        <w:t xml:space="preserve">    广州南沙建设维护管理有限公司是广州南沙资产经营集团有限公司下属企业</w:t>
      </w:r>
      <w:r>
        <w:rPr>
          <w:rFonts w:hint="eastAsia" w:ascii="仿宋_GB2312" w:hAnsi="仿宋" w:eastAsia="仿宋_GB2312"/>
          <w:sz w:val="32"/>
          <w:szCs w:val="32"/>
        </w:rPr>
        <w:t>，受托管理广州南沙经济技术开发区建筑总公司、广州南沙开发区腾龙山庄房地产有限公司、广州南沙港宏房地产开发有限公司、广州南沙工业园建设发展有限公司、广州滨海路桥建设有限公司5家正常运营的企业，公司主要从事房地产项目开发和代业主建设业务。</w:t>
      </w:r>
    </w:p>
    <w:p>
      <w:pPr>
        <w:spacing w:line="560" w:lineRule="exact"/>
        <w:ind w:firstLine="640"/>
        <w:rPr>
          <w:rFonts w:hint="eastAsia" w:ascii="仿宋_GB2312" w:eastAsia="仿宋_GB2312"/>
          <w:bCs/>
          <w:sz w:val="32"/>
          <w:szCs w:val="32"/>
        </w:rPr>
      </w:pPr>
      <w:r>
        <w:rPr>
          <w:rFonts w:hint="eastAsia" w:ascii="黑体" w:hAnsi="黑体" w:eastAsia="黑体" w:cs="黑体"/>
          <w:bCs/>
          <w:sz w:val="32"/>
          <w:szCs w:val="32"/>
        </w:rPr>
        <w:t>三、项目名称：</w:t>
      </w:r>
      <w:r>
        <w:rPr>
          <w:rFonts w:hint="eastAsia" w:ascii="仿宋_GB2312" w:eastAsia="仿宋_GB2312"/>
          <w:bCs/>
          <w:sz w:val="32"/>
          <w:szCs w:val="32"/>
        </w:rPr>
        <w:t>广州南沙建设维护管理有限公司常年法律顾问服务</w:t>
      </w:r>
    </w:p>
    <w:p>
      <w:pPr>
        <w:spacing w:line="560" w:lineRule="exact"/>
        <w:ind w:firstLine="640" w:firstLineChars="200"/>
        <w:rPr>
          <w:rFonts w:hint="eastAsia" w:ascii="仿宋_GB2312" w:eastAsia="仿宋_GB2312"/>
          <w:bCs/>
          <w:sz w:val="32"/>
          <w:szCs w:val="32"/>
        </w:rPr>
      </w:pPr>
      <w:r>
        <w:rPr>
          <w:rFonts w:hint="eastAsia" w:ascii="黑体" w:hAnsi="黑体" w:eastAsia="黑体" w:cs="黑体"/>
          <w:bCs/>
          <w:sz w:val="32"/>
          <w:szCs w:val="32"/>
        </w:rPr>
        <w:t>四、</w:t>
      </w:r>
      <w:r>
        <w:rPr>
          <w:rFonts w:hint="eastAsia" w:ascii="黑体" w:hAnsi="黑体" w:eastAsia="黑体" w:cs="黑体"/>
          <w:sz w:val="32"/>
          <w:szCs w:val="32"/>
        </w:rPr>
        <w:t>评审办法</w:t>
      </w:r>
      <w:r>
        <w:rPr>
          <w:rFonts w:hint="eastAsia" w:ascii="仿宋_GB2312" w:hAnsi="华文仿宋" w:eastAsia="仿宋_GB2312"/>
          <w:sz w:val="32"/>
          <w:szCs w:val="32"/>
        </w:rPr>
        <w:t>：综合评分法</w:t>
      </w:r>
    </w:p>
    <w:p>
      <w:pPr>
        <w:spacing w:line="560" w:lineRule="exact"/>
        <w:ind w:firstLine="640"/>
        <w:rPr>
          <w:rFonts w:hint="eastAsia" w:ascii="仿宋_GB2312" w:eastAsia="仿宋_GB2312"/>
          <w:bCs/>
          <w:sz w:val="32"/>
          <w:szCs w:val="32"/>
        </w:rPr>
      </w:pPr>
      <w:r>
        <w:rPr>
          <w:rFonts w:hint="eastAsia" w:ascii="黑体" w:hAnsi="黑体" w:eastAsia="黑体" w:cs="黑体"/>
          <w:bCs/>
          <w:sz w:val="32"/>
          <w:szCs w:val="32"/>
        </w:rPr>
        <w:t>五、服务时间：</w:t>
      </w:r>
    </w:p>
    <w:p>
      <w:pPr>
        <w:spacing w:line="580" w:lineRule="exact"/>
        <w:ind w:firstLine="640" w:firstLineChars="200"/>
        <w:rPr>
          <w:rFonts w:hint="eastAsia" w:ascii="仿宋_GB2312"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val="zh-CN"/>
        </w:rPr>
        <w:t>此次常年法律顾问服务期限为</w:t>
      </w:r>
      <w:r>
        <w:rPr>
          <w:rFonts w:hint="eastAsia" w:ascii="仿宋_GB2312" w:hAnsi="仿宋" w:eastAsia="仿宋_GB2312"/>
          <w:sz w:val="32"/>
          <w:szCs w:val="32"/>
        </w:rPr>
        <w:t>一</w:t>
      </w:r>
      <w:r>
        <w:rPr>
          <w:rFonts w:hint="eastAsia" w:ascii="仿宋_GB2312" w:hAnsi="仿宋" w:eastAsia="仿宋_GB2312"/>
          <w:sz w:val="32"/>
          <w:szCs w:val="32"/>
          <w:lang w:val="zh-CN"/>
        </w:rPr>
        <w:t>年，</w:t>
      </w:r>
      <w:r>
        <w:rPr>
          <w:rFonts w:hint="eastAsia" w:ascii="仿宋_GB2312" w:eastAsia="仿宋_GB2312"/>
          <w:sz w:val="32"/>
          <w:szCs w:val="32"/>
        </w:rPr>
        <w:t>自合同签订之日起计。</w:t>
      </w:r>
    </w:p>
    <w:p>
      <w:pPr>
        <w:spacing w:line="580" w:lineRule="exact"/>
        <w:ind w:firstLine="640" w:firstLineChars="200"/>
        <w:rPr>
          <w:rFonts w:hint="eastAsia" w:ascii="仿宋_GB2312" w:hAnsi="仿宋" w:eastAsia="仿宋_GB2312"/>
          <w:sz w:val="32"/>
          <w:szCs w:val="32"/>
          <w:lang w:val="zh-CN"/>
        </w:rPr>
      </w:pPr>
      <w:r>
        <w:rPr>
          <w:rFonts w:hint="eastAsia" w:ascii="仿宋_GB2312" w:hAnsi="仿宋" w:eastAsia="仿宋_GB2312"/>
          <w:sz w:val="32"/>
          <w:szCs w:val="32"/>
        </w:rPr>
        <w:t>2、</w:t>
      </w:r>
      <w:r>
        <w:rPr>
          <w:rFonts w:hint="eastAsia" w:ascii="仿宋_GB2312" w:hAnsi="仿宋" w:eastAsia="仿宋_GB2312"/>
          <w:sz w:val="32"/>
          <w:szCs w:val="32"/>
          <w:lang w:val="zh-CN"/>
        </w:rPr>
        <w:t>服务期满前，招标人可对投标人服务质量及派驻律师工作完成情况进行</w:t>
      </w:r>
      <w:r>
        <w:rPr>
          <w:rFonts w:hint="eastAsia" w:ascii="仿宋_GB2312" w:hAnsi="仿宋" w:eastAsia="仿宋_GB2312"/>
          <w:sz w:val="32"/>
          <w:szCs w:val="32"/>
        </w:rPr>
        <w:t>评估</w:t>
      </w:r>
      <w:r>
        <w:rPr>
          <w:rFonts w:hint="eastAsia" w:ascii="仿宋_GB2312" w:hAnsi="仿宋" w:eastAsia="仿宋_GB2312"/>
          <w:sz w:val="32"/>
          <w:szCs w:val="32"/>
          <w:lang w:val="zh-CN"/>
        </w:rPr>
        <w:t>，决定是否延长服务期（最多延长一年）。</w:t>
      </w:r>
    </w:p>
    <w:p>
      <w:pPr>
        <w:spacing w:line="580" w:lineRule="exact"/>
        <w:ind w:firstLine="640" w:firstLineChars="200"/>
        <w:rPr>
          <w:rFonts w:hint="eastAsia"/>
        </w:rPr>
      </w:pPr>
      <w:r>
        <w:rPr>
          <w:rFonts w:hint="eastAsia" w:ascii="仿宋_GB2312" w:hAnsi="仿宋" w:eastAsia="仿宋_GB2312"/>
          <w:sz w:val="32"/>
          <w:szCs w:val="32"/>
        </w:rPr>
        <w:t>3、</w:t>
      </w:r>
      <w:r>
        <w:rPr>
          <w:rFonts w:hint="eastAsia" w:ascii="仿宋_GB2312" w:hAnsi="仿宋" w:eastAsia="仿宋_GB2312"/>
          <w:sz w:val="32"/>
          <w:szCs w:val="32"/>
          <w:lang w:val="zh-CN"/>
        </w:rPr>
        <w:t>经双方协商一致，可依照本招标文件服务条件、服务费标准延长一年服务期，签订</w:t>
      </w:r>
      <w:r>
        <w:rPr>
          <w:rFonts w:hint="eastAsia" w:ascii="仿宋_GB2312" w:eastAsia="仿宋_GB2312"/>
          <w:bCs/>
          <w:sz w:val="32"/>
          <w:szCs w:val="32"/>
        </w:rPr>
        <w:t>常年法律顾问</w:t>
      </w:r>
      <w:r>
        <w:rPr>
          <w:rFonts w:hint="eastAsia" w:ascii="仿宋_GB2312" w:hAnsi="仿宋" w:eastAsia="仿宋_GB2312"/>
          <w:sz w:val="32"/>
          <w:szCs w:val="32"/>
          <w:lang w:val="zh-CN"/>
        </w:rPr>
        <w:t>服务补充合同。</w:t>
      </w:r>
    </w:p>
    <w:p>
      <w:pPr>
        <w:spacing w:line="560" w:lineRule="exact"/>
        <w:rPr>
          <w:rFonts w:hint="eastAsia" w:ascii="黑体" w:hAnsi="黑体" w:eastAsia="黑体" w:cs="黑体"/>
          <w:bCs/>
          <w:sz w:val="32"/>
          <w:szCs w:val="32"/>
        </w:rPr>
      </w:pPr>
      <w:r>
        <w:rPr>
          <w:rFonts w:hint="eastAsia" w:ascii="黑体" w:hAnsi="黑体" w:eastAsia="黑体" w:cs="黑体"/>
          <w:bCs/>
          <w:sz w:val="32"/>
          <w:szCs w:val="32"/>
        </w:rPr>
        <w:t xml:space="preserve">    六、招标内容及要求</w:t>
      </w:r>
    </w:p>
    <w:p>
      <w:pPr>
        <w:spacing w:line="560" w:lineRule="exact"/>
        <w:rPr>
          <w:rFonts w:hint="eastAsia" w:ascii="仿宋_GB2312" w:eastAsia="仿宋_GB2312"/>
          <w:bCs/>
          <w:sz w:val="32"/>
          <w:szCs w:val="32"/>
        </w:rPr>
      </w:pPr>
      <w:r>
        <w:rPr>
          <w:rFonts w:hint="eastAsia" w:ascii="仿宋_GB2312" w:eastAsia="仿宋_GB2312"/>
          <w:bCs/>
          <w:sz w:val="32"/>
          <w:szCs w:val="32"/>
        </w:rPr>
        <w:t xml:space="preserve">    为招标方提供常年法律顾问服务，具体包括：</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（一）解答招标人日常法律咨询、依法提供建议；</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（二）应招标人要求，出具律师意见书、律师函；</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（三）协助草拟、制订、审查或者修改合同等法律文书；</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（四）应招标人要求，参与磋商、谈判，进行法律分析、论证；</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（五）受招标人委托，签署、送达或者接受法律文件；</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（六）为招标人生产、经营、管理方面重大决策的合法性、风险预测及对策提供法律依据和书面的法律意见；</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（七）就招标人深化企业改革、完善法人治理结构、加强生产经营管理、提高企业经济效益等有关问题提供法律意见；</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（八）根据招标人要求，提供招标人经营业务相关的法律信息；</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九）经另行受托，须以不高于服务于同类企业的优惠价格代理招标人各类诉讼、仲裁、行政复议案件；代理招标人涉及经济、民事、知识产权、劳动、行政、刑事等必须进入诉讼或者仲裁法律程序的专案代理事务</w:t>
      </w:r>
      <w:r>
        <w:rPr>
          <w:rFonts w:hint="eastAsia" w:ascii="仿宋_GB2312" w:eastAsia="仿宋_GB2312"/>
          <w:bCs/>
          <w:sz w:val="32"/>
          <w:szCs w:val="32"/>
          <w:highlight w:val="none"/>
        </w:rPr>
        <w:t>;</w:t>
      </w:r>
      <w:bookmarkStart w:id="1" w:name="_Hlk62395501"/>
      <w:r>
        <w:rPr>
          <w:rFonts w:hint="eastAsia" w:ascii="仿宋_GB2312" w:eastAsia="仿宋_GB2312"/>
          <w:bCs/>
          <w:sz w:val="32"/>
          <w:szCs w:val="32"/>
          <w:highlight w:val="none"/>
        </w:rPr>
        <w:t>为招标人或下属企业范围内房地产开发或基础设施建设项目提供从项目立项、招投标、建设施工到竣工结算等项目建设全过程的法律咨询、法律文件审核及法律意见书等非诉专项法律服务；为招标人或下属企业范围内的资本运作、投融资项目提供法律尽职调查、法律意见书、项目交易文件起草审核等项目全过程的非诉专项法律服务</w:t>
      </w:r>
      <w:bookmarkEnd w:id="1"/>
      <w:r>
        <w:rPr>
          <w:rFonts w:hint="eastAsia" w:ascii="仿宋_GB2312" w:eastAsia="仿宋_GB2312"/>
          <w:bCs/>
          <w:sz w:val="32"/>
          <w:szCs w:val="32"/>
          <w:highlight w:val="none"/>
        </w:rPr>
        <w:t>等专项法律顾</w:t>
      </w:r>
      <w:r>
        <w:rPr>
          <w:rFonts w:hint="eastAsia" w:ascii="仿宋_GB2312" w:eastAsia="仿宋_GB2312"/>
          <w:bCs/>
          <w:sz w:val="32"/>
          <w:szCs w:val="32"/>
        </w:rPr>
        <w:t>问事务。</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上述另行受托事项，涉及的专项法律服务费收费标准按照广东省律师服务政府指导价（粤价[2006]298号）执行，下浮20%。</w:t>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七、投标人</w:t>
      </w:r>
      <w:r>
        <w:rPr>
          <w:rFonts w:hint="eastAsia" w:ascii="黑体" w:hAnsi="黑体" w:eastAsia="黑体" w:cs="黑体"/>
          <w:bCs/>
          <w:sz w:val="32"/>
          <w:szCs w:val="32"/>
          <w:lang w:val="zh-CN"/>
        </w:rPr>
        <w:t>资格要求</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（一）律师事务所需注册地址为广州，在广州市设有常驻服务机构，且成立时间在5年以上；</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（二）主办律师执业不低于8年，主要执业从事商事、民事、国有资产管理等相关领域；</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（三）主办律师有为国有企业提供法律顾问服务的经验；</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（四）律师事务所最近3年未被司法行政部门行政处罚或律师协会的行业处分；</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（五）主办律师必须遵守宪法和法律、法规，恪守律师职业道德和执业纪律，品行良好；3年内没有受到刑事处罚，没有受过司法行政部门行政处罚或律师协会的行业处分；</w:t>
      </w:r>
    </w:p>
    <w:p>
      <w:pPr>
        <w:spacing w:line="560" w:lineRule="exact"/>
        <w:ind w:firstLine="707" w:firstLineChars="221"/>
        <w:rPr>
          <w:rFonts w:hint="eastAsia" w:ascii="仿宋_GB2312" w:eastAsia="仿宋_GB2312"/>
          <w:bCs/>
          <w:sz w:val="32"/>
          <w:szCs w:val="32"/>
        </w:rPr>
      </w:pPr>
      <w:r>
        <w:rPr>
          <w:rFonts w:hint="eastAsia" w:ascii="仿宋_GB2312" w:eastAsia="仿宋_GB2312"/>
          <w:bCs/>
          <w:sz w:val="32"/>
          <w:szCs w:val="32"/>
        </w:rPr>
        <w:t>（六）熟悉国有企业历史沿革及现状，能及时、全面、准确、高效地提供法律意见及解决方案。</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（七）</w:t>
      </w:r>
      <w:r>
        <w:rPr>
          <w:rFonts w:hint="eastAsia" w:ascii="仿宋_GB2312" w:hAnsi="华文仿宋" w:eastAsia="仿宋_GB2312"/>
          <w:sz w:val="32"/>
          <w:szCs w:val="32"/>
        </w:rPr>
        <w:t>本项目不接受联合体共同投标，不接受以个人名义投标。</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 八、</w:t>
      </w:r>
      <w:r>
        <w:rPr>
          <w:rFonts w:hint="eastAsia" w:ascii="黑体" w:hAnsi="黑体" w:eastAsia="黑体" w:cs="黑体"/>
          <w:sz w:val="32"/>
          <w:szCs w:val="32"/>
          <w:lang w:val="zh-CN"/>
        </w:rPr>
        <w:t>对投标文件的要求</w:t>
      </w:r>
    </w:p>
    <w:p>
      <w:pPr>
        <w:spacing w:line="560" w:lineRule="exact"/>
        <w:ind w:firstLine="627" w:firstLineChars="196"/>
        <w:rPr>
          <w:rFonts w:hint="eastAsia" w:ascii="仿宋_GB2312" w:eastAsia="仿宋_GB2312"/>
          <w:bCs/>
          <w:sz w:val="32"/>
          <w:szCs w:val="32"/>
        </w:rPr>
      </w:pPr>
      <w:r>
        <w:rPr>
          <w:rFonts w:hint="eastAsia" w:ascii="仿宋_GB2312" w:eastAsia="仿宋_GB2312"/>
          <w:bCs/>
          <w:sz w:val="32"/>
          <w:szCs w:val="32"/>
        </w:rPr>
        <w:t>（一）投标人律师事务所</w:t>
      </w:r>
      <w:r>
        <w:rPr>
          <w:rFonts w:hint="eastAsia" w:ascii="仿宋_GB2312" w:hAnsi="宋体" w:eastAsia="仿宋_GB2312"/>
          <w:bCs/>
          <w:sz w:val="32"/>
          <w:szCs w:val="32"/>
        </w:rPr>
        <w:t>在有效期内的</w:t>
      </w:r>
      <w:r>
        <w:rPr>
          <w:rFonts w:hint="eastAsia" w:ascii="仿宋_GB2312" w:eastAsia="仿宋_GB2312"/>
          <w:bCs/>
          <w:sz w:val="32"/>
          <w:szCs w:val="32"/>
        </w:rPr>
        <w:t>执业许可证复印件</w:t>
      </w:r>
      <w:r>
        <w:rPr>
          <w:rFonts w:hint="eastAsia" w:ascii="仿宋_GB2312" w:hAnsi="宋体" w:eastAsia="仿宋_GB2312"/>
          <w:bCs/>
          <w:sz w:val="32"/>
          <w:szCs w:val="32"/>
        </w:rPr>
        <w:t>（加盖公章）；</w:t>
      </w:r>
    </w:p>
    <w:p>
      <w:pPr>
        <w:spacing w:line="560" w:lineRule="exact"/>
        <w:ind w:firstLine="627" w:firstLineChars="196"/>
        <w:rPr>
          <w:rFonts w:hint="eastAsia" w:ascii="仿宋_GB2312" w:eastAsia="仿宋_GB2312"/>
          <w:bCs/>
          <w:sz w:val="32"/>
          <w:szCs w:val="32"/>
        </w:rPr>
      </w:pPr>
      <w:r>
        <w:rPr>
          <w:rFonts w:hint="eastAsia" w:ascii="仿宋_GB2312" w:eastAsia="仿宋_GB2312"/>
          <w:bCs/>
          <w:sz w:val="32"/>
          <w:szCs w:val="32"/>
        </w:rPr>
        <w:t>（二）法律顾问服务方案（主要内容包括律师事务所及主办律师介绍及工作业绩、服务内容、提供其它法律服务等）（加盖公章）；</w:t>
      </w:r>
    </w:p>
    <w:p>
      <w:pPr>
        <w:spacing w:line="360" w:lineRule="auto"/>
        <w:ind w:firstLine="627" w:firstLineChars="196"/>
        <w:rPr>
          <w:rFonts w:hint="eastAsia" w:ascii="仿宋_GB2312" w:eastAsia="仿宋_GB2312"/>
          <w:bCs/>
          <w:sz w:val="32"/>
          <w:szCs w:val="32"/>
        </w:rPr>
      </w:pPr>
      <w:r>
        <w:rPr>
          <w:rFonts w:hint="eastAsia" w:ascii="仿宋_GB2312" w:eastAsia="仿宋_GB2312"/>
          <w:bCs/>
          <w:sz w:val="32"/>
          <w:szCs w:val="32"/>
        </w:rPr>
        <w:t>（三）投标人拟委派主办律师团队的律师执业证（</w:t>
      </w:r>
      <w:r>
        <w:rPr>
          <w:rFonts w:hint="eastAsia" w:ascii="仿宋_GB2312" w:hAnsi="宋体" w:eastAsia="仿宋_GB2312"/>
          <w:bCs/>
          <w:sz w:val="32"/>
          <w:szCs w:val="32"/>
        </w:rPr>
        <w:t>在有效期内</w:t>
      </w:r>
      <w:r>
        <w:rPr>
          <w:rFonts w:hint="eastAsia" w:ascii="仿宋_GB2312" w:eastAsia="仿宋_GB2312"/>
          <w:bCs/>
          <w:sz w:val="32"/>
          <w:szCs w:val="32"/>
        </w:rPr>
        <w:t>）、执业业绩（合同关键页复印件）；</w:t>
      </w:r>
    </w:p>
    <w:p>
      <w:pPr>
        <w:pStyle w:val="3"/>
        <w:tabs>
          <w:tab w:val="left" w:pos="630"/>
        </w:tabs>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（四）律师事务所负责人证明书和委托授权书（原件）；</w:t>
      </w:r>
      <w:r>
        <w:rPr>
          <w:rFonts w:hint="eastAsia" w:ascii="仿宋_GB2312" w:eastAsia="仿宋_GB2312"/>
          <w:bCs/>
          <w:sz w:val="32"/>
          <w:szCs w:val="32"/>
        </w:rPr>
        <w:tab/>
      </w:r>
      <w:r>
        <w:rPr>
          <w:rFonts w:hint="eastAsia" w:ascii="仿宋_GB2312" w:eastAsia="仿宋_GB2312"/>
          <w:bCs/>
          <w:sz w:val="32"/>
          <w:szCs w:val="32"/>
        </w:rPr>
        <w:t>（五）投标报价（不得高于限价）；</w:t>
      </w:r>
    </w:p>
    <w:p>
      <w:pPr>
        <w:spacing w:line="360" w:lineRule="auto"/>
        <w:ind w:firstLine="627" w:firstLineChars="196"/>
        <w:rPr>
          <w:rFonts w:hint="eastAsia" w:ascii="仿宋_GB2312" w:hAnsi="宋体" w:eastAsia="仿宋_GB2312"/>
          <w:bCs/>
          <w:sz w:val="32"/>
          <w:szCs w:val="32"/>
        </w:rPr>
      </w:pPr>
      <w:r>
        <w:rPr>
          <w:rFonts w:hint="eastAsia" w:ascii="仿宋_GB2312" w:eastAsia="仿宋_GB2312"/>
          <w:bCs/>
          <w:sz w:val="32"/>
          <w:szCs w:val="32"/>
        </w:rPr>
        <w:t>（六）</w:t>
      </w:r>
      <w:r>
        <w:rPr>
          <w:rFonts w:hint="eastAsia" w:ascii="仿宋_GB2312" w:hAnsi="宋体" w:eastAsia="仿宋_GB2312"/>
          <w:bCs/>
          <w:sz w:val="32"/>
          <w:szCs w:val="32"/>
        </w:rPr>
        <w:t>投标文件密封性完好（要求密封条封口且加盖公章）。</w:t>
      </w:r>
    </w:p>
    <w:p>
      <w:pPr>
        <w:pStyle w:val="2"/>
        <w:ind w:firstLine="640" w:firstLineChars="200"/>
        <w:rPr>
          <w:rFonts w:hint="eastAsia" w:eastAsia="仿宋_GB2312"/>
        </w:rPr>
      </w:pPr>
      <w:r>
        <w:rPr>
          <w:rFonts w:hint="eastAsia" w:ascii="仿宋_GB2312" w:eastAsia="仿宋_GB2312"/>
          <w:bCs/>
          <w:sz w:val="32"/>
          <w:szCs w:val="32"/>
        </w:rPr>
        <w:t>（七）其他响应招标文件的证明材料。</w:t>
      </w:r>
    </w:p>
    <w:p>
      <w:pPr>
        <w:spacing w:line="560" w:lineRule="exact"/>
        <w:rPr>
          <w:rFonts w:hint="eastAsia" w:ascii="仿宋_GB2312" w:eastAsia="仿宋_GB2312"/>
          <w:bCs/>
          <w:sz w:val="32"/>
          <w:szCs w:val="32"/>
        </w:rPr>
      </w:pPr>
      <w:r>
        <w:rPr>
          <w:rFonts w:hint="eastAsia" w:ascii="仿宋_GB2312" w:eastAsia="仿宋_GB2312"/>
          <w:bCs/>
          <w:sz w:val="32"/>
          <w:szCs w:val="32"/>
        </w:rPr>
        <w:t xml:space="preserve">   </w:t>
      </w:r>
      <w:r>
        <w:rPr>
          <w:rFonts w:hint="eastAsia" w:ascii="黑体" w:hAnsi="黑体" w:eastAsia="黑体" w:cs="黑体"/>
          <w:bCs/>
          <w:sz w:val="32"/>
          <w:szCs w:val="32"/>
        </w:rPr>
        <w:t xml:space="preserve"> 九、投标报价</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投标人可根据律师行业及单位相关收费标准、服务内容及相关服务等进行报价，投标单位报价时应该综合考虑服务期间所产生的一切相关费用。投标报价不得高于最高限价，否则按废标处理。</w:t>
      </w:r>
    </w:p>
    <w:p>
      <w:pPr>
        <w:spacing w:line="560" w:lineRule="exact"/>
        <w:ind w:firstLine="640"/>
        <w:rPr>
          <w:rFonts w:hint="eastAsia" w:ascii="黑体" w:hAnsi="黑体" w:eastAsia="黑体" w:cs="黑体"/>
          <w:bCs/>
          <w:sz w:val="32"/>
          <w:szCs w:val="32"/>
        </w:rPr>
      </w:pPr>
      <w:r>
        <w:rPr>
          <w:rFonts w:hint="eastAsia" w:ascii="黑体" w:hAnsi="黑体" w:eastAsia="黑体" w:cs="黑体"/>
          <w:bCs/>
          <w:sz w:val="32"/>
          <w:szCs w:val="32"/>
        </w:rPr>
        <w:t>十、最高限价</w:t>
      </w:r>
    </w:p>
    <w:p>
      <w:pPr>
        <w:spacing w:line="560" w:lineRule="exact"/>
        <w:ind w:firstLine="640"/>
        <w:rPr>
          <w:rFonts w:hint="eastAsia" w:ascii="仿宋_GB2312" w:eastAsia="仿宋_GB2312"/>
          <w:bCs/>
          <w:sz w:val="32"/>
          <w:szCs w:val="32"/>
        </w:rPr>
      </w:pPr>
      <w:r>
        <w:rPr>
          <w:rFonts w:hint="eastAsia" w:ascii="仿宋_GB2312" w:eastAsia="仿宋_GB2312"/>
          <w:bCs/>
          <w:sz w:val="32"/>
          <w:szCs w:val="32"/>
        </w:rPr>
        <w:t>限价：</w:t>
      </w:r>
      <w:r>
        <w:rPr>
          <w:rFonts w:ascii="Arial" w:hAnsi="Arial" w:eastAsia="仿宋_GB2312" w:cs="Arial"/>
          <w:bCs/>
          <w:sz w:val="32"/>
          <w:szCs w:val="32"/>
        </w:rPr>
        <w:t>¥</w:t>
      </w:r>
      <w:r>
        <w:rPr>
          <w:rFonts w:hint="eastAsia" w:ascii="仿宋_GB2312" w:eastAsia="仿宋_GB2312"/>
          <w:bCs/>
          <w:sz w:val="32"/>
          <w:szCs w:val="32"/>
        </w:rPr>
        <w:t>50000.00元（大写：人民币伍万元整），服务期为一年。</w:t>
      </w:r>
    </w:p>
    <w:p>
      <w:pPr>
        <w:spacing w:line="560" w:lineRule="exact"/>
        <w:rPr>
          <w:rFonts w:hint="eastAsia" w:ascii="黑体" w:hAnsi="黑体" w:eastAsia="黑体" w:cs="黑体"/>
          <w:bCs/>
          <w:sz w:val="32"/>
          <w:szCs w:val="32"/>
        </w:rPr>
      </w:pPr>
      <w:r>
        <w:rPr>
          <w:rFonts w:hint="eastAsia" w:ascii="黑体" w:hAnsi="黑体" w:eastAsia="黑体" w:cs="黑体"/>
          <w:bCs/>
          <w:sz w:val="32"/>
          <w:szCs w:val="32"/>
        </w:rPr>
        <w:t xml:space="preserve">    十一、支付方式</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1、签订常年法律服务合同生效，甲方收到乙方请款资料及足额增值税专用发票后，十个工作日内支付合同总价的30%；</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2、在常年法律服务合同生效满半年，甲方收到乙方请款资料及足额增值税专用发票后，十个工作日内支付合同总价的35%；</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3、在常年法律服务合同生效满一年，甲方收到乙方请款资料及足额增值税专用发票后，十个工作日内支付合同总价的35%。</w:t>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十二、评标定标原则</w:t>
      </w:r>
    </w:p>
    <w:p>
      <w:pPr>
        <w:spacing w:line="560" w:lineRule="exact"/>
        <w:ind w:firstLine="640"/>
        <w:rPr>
          <w:rFonts w:hint="eastAsia" w:ascii="仿宋_GB2312" w:eastAsia="仿宋_GB2312"/>
          <w:bCs/>
          <w:sz w:val="32"/>
          <w:szCs w:val="32"/>
          <w:highlight w:val="none"/>
        </w:rPr>
      </w:pPr>
      <w:r>
        <w:rPr>
          <w:rFonts w:hint="eastAsia" w:ascii="仿宋_GB2312" w:eastAsia="仿宋_GB2312"/>
          <w:bCs/>
          <w:sz w:val="32"/>
          <w:szCs w:val="32"/>
        </w:rPr>
        <w:t>按邀请招标文件的要求，经资格审查后，根据服务经验、荣誉及奖励、主办律师执业时</w:t>
      </w:r>
      <w:r>
        <w:rPr>
          <w:rFonts w:hint="eastAsia" w:ascii="仿宋_GB2312" w:eastAsia="仿宋_GB2312"/>
          <w:bCs/>
          <w:sz w:val="32"/>
          <w:szCs w:val="32"/>
          <w:highlight w:val="none"/>
        </w:rPr>
        <w:t>间和行业经验、专业经验、法律服务方案及服务价格的评分内容，按评分标准的评标分数最高单位中标，如果出现分数相同，则以主办律师的服务能力综合得分高者中标。</w:t>
      </w:r>
    </w:p>
    <w:p>
      <w:pPr>
        <w:spacing w:line="560" w:lineRule="exact"/>
        <w:rPr>
          <w:rFonts w:hint="eastAsia" w:ascii="黑体" w:hAnsi="黑体" w:eastAsia="黑体" w:cs="黑体"/>
          <w:sz w:val="32"/>
          <w:szCs w:val="32"/>
        </w:rPr>
      </w:pPr>
      <w:r>
        <w:rPr>
          <w:rFonts w:hint="eastAsia" w:ascii="黑体" w:hAnsi="黑体" w:eastAsia="黑体" w:cs="黑体"/>
          <w:sz w:val="32"/>
          <w:szCs w:val="32"/>
        </w:rPr>
        <w:t xml:space="preserve">    十三、投标和开标安排</w:t>
      </w:r>
    </w:p>
    <w:p>
      <w:pPr>
        <w:spacing w:line="56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Cs/>
          <w:sz w:val="32"/>
          <w:szCs w:val="32"/>
        </w:rPr>
        <w:t>（一）</w:t>
      </w:r>
      <w:r>
        <w:rPr>
          <w:rFonts w:hint="eastAsia" w:ascii="仿宋_GB2312" w:eastAsia="仿宋_GB2312"/>
          <w:sz w:val="32"/>
          <w:szCs w:val="32"/>
        </w:rPr>
        <w:t>投标方应于2021年</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2</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3</w:t>
      </w:r>
      <w:r>
        <w:rPr>
          <w:rFonts w:hint="eastAsia" w:ascii="仿宋_GB2312" w:eastAsia="仿宋_GB2312"/>
          <w:sz w:val="32"/>
          <w:szCs w:val="32"/>
          <w:u w:val="single"/>
        </w:rPr>
        <w:t xml:space="preserve"> </w:t>
      </w:r>
      <w:r>
        <w:rPr>
          <w:rFonts w:hint="eastAsia" w:ascii="仿宋_GB2312" w:eastAsia="仿宋_GB2312"/>
          <w:sz w:val="32"/>
          <w:szCs w:val="32"/>
        </w:rPr>
        <w:t>日</w:t>
      </w:r>
      <w:r>
        <w:rPr>
          <w:rFonts w:hint="eastAsia" w:ascii="仿宋_GB2312" w:eastAsia="仿宋_GB2312"/>
          <w:sz w:val="32"/>
          <w:szCs w:val="32"/>
          <w:lang w:val="en-US" w:eastAsia="zh-CN"/>
        </w:rPr>
        <w:t>上午9点30分</w:t>
      </w:r>
      <w:r>
        <w:rPr>
          <w:rFonts w:hint="eastAsia" w:ascii="仿宋_GB2312" w:eastAsia="仿宋_GB2312"/>
          <w:sz w:val="32"/>
          <w:szCs w:val="32"/>
        </w:rPr>
        <w:t>前将投标资料一式两份（密封）递交到</w:t>
      </w:r>
      <w:r>
        <w:rPr>
          <w:rFonts w:hint="eastAsia" w:ascii="仿宋_GB2312" w:eastAsia="仿宋_GB2312"/>
          <w:b/>
          <w:sz w:val="32"/>
          <w:szCs w:val="32"/>
        </w:rPr>
        <w:t>广州南沙开发区环市大道中富汇商业办公楼3号楼5楼会议室</w:t>
      </w:r>
      <w:r>
        <w:rPr>
          <w:rFonts w:hint="eastAsia" w:ascii="仿宋_GB2312" w:eastAsia="仿宋_GB2312"/>
          <w:sz w:val="32"/>
          <w:szCs w:val="32"/>
        </w:rPr>
        <w:t>。</w:t>
      </w:r>
    </w:p>
    <w:p>
      <w:pPr>
        <w:spacing w:line="56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Cs/>
          <w:sz w:val="32"/>
          <w:szCs w:val="32"/>
        </w:rPr>
        <w:t>（二）</w:t>
      </w:r>
      <w:r>
        <w:rPr>
          <w:rFonts w:hint="eastAsia" w:ascii="仿宋_GB2312" w:eastAsia="仿宋_GB2312"/>
          <w:sz w:val="32"/>
          <w:szCs w:val="32"/>
        </w:rPr>
        <w:t>开标时间：2021年</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2</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3</w:t>
      </w:r>
      <w:r>
        <w:rPr>
          <w:rFonts w:hint="eastAsia" w:ascii="仿宋_GB2312" w:eastAsia="仿宋_GB2312"/>
          <w:sz w:val="32"/>
          <w:szCs w:val="32"/>
          <w:u w:val="single"/>
        </w:rPr>
        <w:t xml:space="preserve"> </w:t>
      </w:r>
      <w:r>
        <w:rPr>
          <w:rFonts w:hint="eastAsia" w:ascii="仿宋_GB2312" w:eastAsia="仿宋_GB2312"/>
          <w:sz w:val="32"/>
          <w:szCs w:val="32"/>
        </w:rPr>
        <w:t>日</w:t>
      </w:r>
      <w:r>
        <w:rPr>
          <w:rFonts w:hint="eastAsia" w:ascii="仿宋_GB2312" w:eastAsia="仿宋_GB2312"/>
          <w:sz w:val="32"/>
          <w:szCs w:val="32"/>
          <w:lang w:val="en-US" w:eastAsia="zh-CN"/>
        </w:rPr>
        <w:t>9点30分</w:t>
      </w:r>
      <w:r>
        <w:rPr>
          <w:rFonts w:hint="eastAsia" w:ascii="仿宋_GB2312" w:eastAsia="仿宋_GB2312"/>
          <w:sz w:val="32"/>
          <w:szCs w:val="32"/>
        </w:rPr>
        <w:t>。</w:t>
      </w:r>
    </w:p>
    <w:p>
      <w:pPr>
        <w:spacing w:line="56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Cs/>
          <w:sz w:val="32"/>
          <w:szCs w:val="32"/>
        </w:rPr>
        <w:t>（三）</w:t>
      </w:r>
      <w:r>
        <w:rPr>
          <w:rFonts w:hint="eastAsia" w:ascii="仿宋_GB2312" w:hAnsi="仿宋_GB2312" w:eastAsia="仿宋_GB2312" w:cs="仿宋_GB2312"/>
          <w:sz w:val="32"/>
          <w:szCs w:val="32"/>
        </w:rPr>
        <w:t>开标地址：</w:t>
      </w:r>
      <w:r>
        <w:rPr>
          <w:rFonts w:hint="eastAsia" w:ascii="仿宋_GB2312" w:eastAsia="仿宋_GB2312"/>
          <w:b/>
          <w:sz w:val="32"/>
          <w:szCs w:val="32"/>
        </w:rPr>
        <w:t>广州南沙开发区环市大道中富汇商业办公楼3号楼5楼会议室</w:t>
      </w:r>
      <w:r>
        <w:rPr>
          <w:rFonts w:hint="eastAsia" w:ascii="仿宋_GB2312" w:hAnsi="仿宋_GB2312" w:eastAsia="仿宋_GB2312" w:cs="仿宋_GB2312"/>
          <w:sz w:val="32"/>
          <w:szCs w:val="32"/>
        </w:rPr>
        <w:t>。投标人参加开标会的须凭身份证入场，受委托人须持授权委托书和本人身份证入场。</w:t>
      </w:r>
    </w:p>
    <w:p>
      <w:pPr>
        <w:spacing w:line="56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Cs/>
          <w:sz w:val="32"/>
          <w:szCs w:val="32"/>
        </w:rPr>
        <w:t>（四）</w:t>
      </w:r>
      <w:r>
        <w:rPr>
          <w:rFonts w:hint="eastAsia" w:ascii="仿宋_GB2312" w:eastAsia="仿宋_GB2312"/>
          <w:sz w:val="32"/>
          <w:szCs w:val="32"/>
        </w:rPr>
        <w:t>联系人：李振 ，咨询电话：66806279，13560426055。</w:t>
      </w:r>
    </w:p>
    <w:p>
      <w:pPr>
        <w:autoSpaceDE w:val="0"/>
        <w:autoSpaceDN w:val="0"/>
        <w:adjustRightInd w:val="0"/>
        <w:spacing w:line="580" w:lineRule="exact"/>
        <w:ind w:firstLine="640" w:firstLineChars="200"/>
        <w:rPr>
          <w:rFonts w:hint="eastAsia" w:ascii="仿宋_GB2312" w:eastAsia="仿宋_GB2312"/>
          <w:sz w:val="32"/>
          <w:szCs w:val="32"/>
        </w:rPr>
      </w:pPr>
      <w:r>
        <w:rPr>
          <w:rFonts w:hint="eastAsia" w:ascii="黑体" w:hAnsi="黑体" w:eastAsia="黑体" w:cs="黑体"/>
          <w:sz w:val="32"/>
          <w:szCs w:val="32"/>
        </w:rPr>
        <w:t>十四、</w:t>
      </w:r>
      <w:r>
        <w:rPr>
          <w:rFonts w:hint="eastAsia" w:ascii="黑体" w:hAnsi="黑体" w:eastAsia="黑体"/>
          <w:sz w:val="32"/>
          <w:szCs w:val="32"/>
        </w:rPr>
        <w:t>招标人</w:t>
      </w:r>
      <w:r>
        <w:rPr>
          <w:rFonts w:ascii="黑体" w:hAnsi="黑体" w:eastAsia="黑体"/>
          <w:sz w:val="32"/>
          <w:szCs w:val="32"/>
        </w:rPr>
        <w:t>对本次招标活动及相关的文件资料拥有最终的解释权。</w:t>
      </w:r>
    </w:p>
    <w:p>
      <w:pPr>
        <w:spacing w:line="560" w:lineRule="exact"/>
        <w:jc w:val="cente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广州南沙建设维护管理有限公司</w:t>
      </w:r>
    </w:p>
    <w:p>
      <w:pPr>
        <w:spacing w:line="560" w:lineRule="exact"/>
        <w:ind w:right="640"/>
        <w:jc w:val="center"/>
        <w:rPr>
          <w:rFonts w:hint="eastAsia" w:ascii="仿宋_GB2312" w:eastAsia="仿宋_GB2312"/>
          <w:sz w:val="32"/>
          <w:szCs w:val="32"/>
        </w:rPr>
      </w:pPr>
      <w:r>
        <w:rPr>
          <w:rFonts w:hint="eastAsia" w:ascii="仿宋_GB2312" w:eastAsia="仿宋_GB2312"/>
          <w:sz w:val="32"/>
          <w:szCs w:val="32"/>
        </w:rPr>
        <w:t xml:space="preserve">                           2021</w:t>
      </w:r>
      <w:r>
        <w:rPr>
          <w:rFonts w:hint="eastAsia" w:ascii="仿宋_GB2312" w:eastAsia="仿宋_GB2312" w:cs="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1</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26</w:t>
      </w:r>
      <w:r>
        <w:rPr>
          <w:rFonts w:hint="eastAsia" w:ascii="仿宋_GB2312" w:eastAsia="仿宋_GB2312"/>
          <w:sz w:val="32"/>
          <w:szCs w:val="32"/>
          <w:u w:val="single"/>
        </w:rPr>
        <w:t xml:space="preserve"> </w:t>
      </w:r>
      <w:r>
        <w:rPr>
          <w:rFonts w:hint="eastAsia" w:ascii="仿宋_GB2312" w:eastAsia="仿宋_GB2312"/>
          <w:sz w:val="32"/>
          <w:szCs w:val="32"/>
        </w:rPr>
        <w:t>日</w:t>
      </w:r>
    </w:p>
    <w:p>
      <w:pPr>
        <w:spacing w:line="360" w:lineRule="auto"/>
        <w:rPr>
          <w:rFonts w:hint="eastAsia" w:ascii="黑体" w:hAnsi="黑体" w:eastAsia="黑体" w:cs="黑体"/>
          <w:bCs/>
          <w:sz w:val="32"/>
          <w:szCs w:val="32"/>
        </w:rPr>
      </w:pPr>
      <w:r>
        <w:rPr>
          <w:rFonts w:hint="eastAsia" w:ascii="黑体" w:hAnsi="黑体" w:eastAsia="黑体" w:cs="黑体"/>
          <w:bCs/>
          <w:sz w:val="32"/>
          <w:szCs w:val="32"/>
        </w:rPr>
        <w:br w:type="page"/>
      </w:r>
      <w:r>
        <w:rPr>
          <w:rFonts w:hint="eastAsia" w:ascii="黑体" w:hAnsi="黑体" w:eastAsia="黑体" w:cs="黑体"/>
          <w:bCs/>
          <w:sz w:val="32"/>
          <w:szCs w:val="32"/>
        </w:rPr>
        <w:t>附件1:符合性审查表</w:t>
      </w:r>
    </w:p>
    <w:p>
      <w:pPr>
        <w:spacing w:line="360" w:lineRule="auto"/>
        <w:rPr>
          <w:rFonts w:hint="eastAsia" w:ascii="仿宋_GB2312" w:eastAsia="仿宋_GB2312"/>
          <w:bCs/>
          <w:sz w:val="32"/>
          <w:szCs w:val="32"/>
        </w:rPr>
      </w:pPr>
      <w:r>
        <w:rPr>
          <w:rFonts w:hint="eastAsia" w:ascii="仿宋_GB2312" w:eastAsia="仿宋_GB2312"/>
          <w:bCs/>
          <w:sz w:val="32"/>
          <w:szCs w:val="32"/>
        </w:rPr>
        <w:t>项目名称：广州南沙建设维护管理有限公司常年法律顾问服务</w:t>
      </w:r>
    </w:p>
    <w:tbl>
      <w:tblPr>
        <w:tblStyle w:val="5"/>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543"/>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45" w:type="dxa"/>
            <w:noWrap w:val="0"/>
            <w:vAlign w:val="center"/>
          </w:tcPr>
          <w:p>
            <w:pPr>
              <w:spacing w:line="320" w:lineRule="exact"/>
              <w:rPr>
                <w:rFonts w:hint="eastAsia" w:ascii="仿宋_GB2312" w:eastAsia="仿宋_GB2312"/>
                <w:bCs/>
                <w:szCs w:val="21"/>
              </w:rPr>
            </w:pPr>
            <w:r>
              <w:rPr>
                <w:rFonts w:hint="eastAsia" w:ascii="仿宋_GB2312" w:eastAsia="仿宋_GB2312"/>
                <w:bCs/>
                <w:szCs w:val="21"/>
              </w:rPr>
              <w:t>编</w:t>
            </w:r>
          </w:p>
          <w:p>
            <w:pPr>
              <w:spacing w:line="320" w:lineRule="exact"/>
              <w:rPr>
                <w:rFonts w:hint="eastAsia" w:ascii="仿宋_GB2312" w:eastAsia="仿宋_GB2312"/>
                <w:bCs/>
                <w:szCs w:val="21"/>
              </w:rPr>
            </w:pPr>
            <w:r>
              <w:rPr>
                <w:rFonts w:hint="eastAsia" w:ascii="仿宋_GB2312" w:eastAsia="仿宋_GB2312"/>
                <w:bCs/>
                <w:szCs w:val="21"/>
              </w:rPr>
              <w:t>号</w:t>
            </w:r>
          </w:p>
        </w:tc>
        <w:tc>
          <w:tcPr>
            <w:tcW w:w="2543" w:type="dxa"/>
            <w:tcBorders>
              <w:tl2br w:val="single" w:color="auto" w:sz="4" w:space="0"/>
            </w:tcBorders>
            <w:noWrap w:val="0"/>
            <w:vAlign w:val="center"/>
          </w:tcPr>
          <w:p>
            <w:pPr>
              <w:spacing w:line="320" w:lineRule="exact"/>
              <w:ind w:firstLine="315" w:firstLineChars="150"/>
              <w:rPr>
                <w:rFonts w:hint="eastAsia" w:ascii="仿宋_GB2312" w:eastAsia="仿宋_GB2312"/>
                <w:bCs/>
                <w:szCs w:val="21"/>
              </w:rPr>
            </w:pPr>
            <w:r>
              <w:rPr>
                <w:rFonts w:hint="eastAsia" w:ascii="仿宋_GB2312" w:eastAsia="仿宋_GB2312"/>
                <w:bCs/>
                <w:szCs w:val="21"/>
              </w:rPr>
              <w:t xml:space="preserve">      投标人名称</w:t>
            </w:r>
          </w:p>
          <w:p>
            <w:pPr>
              <w:spacing w:line="320" w:lineRule="exact"/>
              <w:rPr>
                <w:rFonts w:hint="eastAsia" w:ascii="仿宋_GB2312" w:eastAsia="仿宋_GB2312"/>
                <w:bCs/>
                <w:szCs w:val="21"/>
              </w:rPr>
            </w:pPr>
            <w:r>
              <w:rPr>
                <w:rFonts w:hint="eastAsia" w:ascii="仿宋_GB2312" w:eastAsia="仿宋_GB2312"/>
                <w:bCs/>
                <w:szCs w:val="21"/>
              </w:rPr>
              <w:t>审查项目</w:t>
            </w:r>
          </w:p>
        </w:tc>
        <w:tc>
          <w:tcPr>
            <w:tcW w:w="727" w:type="dxa"/>
            <w:noWrap w:val="0"/>
            <w:vAlign w:val="center"/>
          </w:tcPr>
          <w:p>
            <w:pPr>
              <w:spacing w:line="320" w:lineRule="exact"/>
              <w:ind w:firstLine="315" w:firstLineChars="150"/>
              <w:rPr>
                <w:rFonts w:hint="eastAsia" w:ascii="仿宋_GB2312" w:eastAsia="仿宋_GB2312"/>
                <w:bCs/>
                <w:szCs w:val="21"/>
              </w:rPr>
            </w:pPr>
            <w:r>
              <w:rPr>
                <w:rFonts w:hint="eastAsia" w:ascii="仿宋_GB2312" w:eastAsia="仿宋_GB2312"/>
                <w:bCs/>
                <w:szCs w:val="21"/>
              </w:rPr>
              <w:t>A</w:t>
            </w:r>
          </w:p>
        </w:tc>
        <w:tc>
          <w:tcPr>
            <w:tcW w:w="728" w:type="dxa"/>
            <w:noWrap w:val="0"/>
            <w:vAlign w:val="center"/>
          </w:tcPr>
          <w:p>
            <w:pPr>
              <w:spacing w:line="320" w:lineRule="exact"/>
              <w:ind w:firstLine="315" w:firstLineChars="150"/>
              <w:rPr>
                <w:rFonts w:hint="eastAsia" w:ascii="仿宋_GB2312" w:eastAsia="仿宋_GB2312"/>
                <w:bCs/>
                <w:szCs w:val="21"/>
              </w:rPr>
            </w:pPr>
            <w:r>
              <w:rPr>
                <w:rFonts w:hint="eastAsia" w:ascii="仿宋_GB2312" w:eastAsia="仿宋_GB2312"/>
                <w:bCs/>
                <w:szCs w:val="21"/>
              </w:rPr>
              <w:t>B</w:t>
            </w:r>
          </w:p>
        </w:tc>
        <w:tc>
          <w:tcPr>
            <w:tcW w:w="728" w:type="dxa"/>
            <w:noWrap w:val="0"/>
            <w:vAlign w:val="center"/>
          </w:tcPr>
          <w:p>
            <w:pPr>
              <w:spacing w:line="320" w:lineRule="exact"/>
              <w:ind w:firstLine="315" w:firstLineChars="150"/>
              <w:rPr>
                <w:rFonts w:hint="eastAsia" w:ascii="仿宋_GB2312" w:eastAsia="仿宋_GB2312"/>
                <w:bCs/>
                <w:szCs w:val="21"/>
              </w:rPr>
            </w:pPr>
            <w:r>
              <w:rPr>
                <w:rFonts w:hint="eastAsia" w:ascii="仿宋_GB2312" w:eastAsia="仿宋_GB2312"/>
                <w:bCs/>
                <w:szCs w:val="21"/>
              </w:rPr>
              <w:t>C</w:t>
            </w:r>
          </w:p>
        </w:tc>
        <w:tc>
          <w:tcPr>
            <w:tcW w:w="728" w:type="dxa"/>
            <w:noWrap w:val="0"/>
            <w:vAlign w:val="center"/>
          </w:tcPr>
          <w:p>
            <w:pPr>
              <w:spacing w:line="320" w:lineRule="exact"/>
              <w:ind w:firstLine="315" w:firstLineChars="150"/>
              <w:rPr>
                <w:rFonts w:hint="eastAsia" w:ascii="仿宋_GB2312" w:eastAsia="仿宋_GB2312"/>
                <w:bCs/>
                <w:szCs w:val="21"/>
              </w:rPr>
            </w:pPr>
            <w:r>
              <w:rPr>
                <w:rFonts w:hint="eastAsia" w:ascii="仿宋_GB2312" w:eastAsia="仿宋_GB2312"/>
                <w:bCs/>
                <w:szCs w:val="21"/>
              </w:rPr>
              <w:t>D</w:t>
            </w:r>
          </w:p>
        </w:tc>
        <w:tc>
          <w:tcPr>
            <w:tcW w:w="727" w:type="dxa"/>
            <w:noWrap w:val="0"/>
            <w:vAlign w:val="center"/>
          </w:tcPr>
          <w:p>
            <w:pPr>
              <w:spacing w:line="320" w:lineRule="exact"/>
              <w:ind w:firstLine="315" w:firstLineChars="150"/>
              <w:rPr>
                <w:rFonts w:hint="eastAsia" w:ascii="仿宋_GB2312" w:eastAsia="仿宋_GB2312"/>
                <w:bCs/>
                <w:szCs w:val="21"/>
              </w:rPr>
            </w:pPr>
            <w:r>
              <w:rPr>
                <w:rFonts w:hint="eastAsia" w:ascii="仿宋_GB2312" w:eastAsia="仿宋_GB2312"/>
                <w:bCs/>
                <w:szCs w:val="21"/>
              </w:rPr>
              <w:t>E</w:t>
            </w:r>
          </w:p>
        </w:tc>
        <w:tc>
          <w:tcPr>
            <w:tcW w:w="728" w:type="dxa"/>
            <w:noWrap w:val="0"/>
            <w:vAlign w:val="center"/>
          </w:tcPr>
          <w:p>
            <w:pPr>
              <w:spacing w:line="320" w:lineRule="exact"/>
              <w:ind w:firstLine="315" w:firstLineChars="150"/>
              <w:rPr>
                <w:rFonts w:hint="eastAsia" w:ascii="仿宋_GB2312" w:eastAsia="仿宋_GB2312"/>
                <w:bCs/>
                <w:szCs w:val="21"/>
              </w:rPr>
            </w:pPr>
            <w:r>
              <w:rPr>
                <w:rFonts w:hint="eastAsia" w:ascii="仿宋_GB2312" w:eastAsia="仿宋_GB2312"/>
                <w:bCs/>
                <w:szCs w:val="21"/>
              </w:rPr>
              <w:t>F</w:t>
            </w:r>
          </w:p>
        </w:tc>
        <w:tc>
          <w:tcPr>
            <w:tcW w:w="728" w:type="dxa"/>
            <w:noWrap w:val="0"/>
            <w:vAlign w:val="center"/>
          </w:tcPr>
          <w:p>
            <w:pPr>
              <w:spacing w:line="320" w:lineRule="exact"/>
              <w:ind w:firstLine="315" w:firstLineChars="150"/>
              <w:rPr>
                <w:rFonts w:hint="eastAsia" w:ascii="仿宋_GB2312" w:eastAsia="仿宋_GB2312"/>
                <w:bCs/>
                <w:szCs w:val="21"/>
              </w:rPr>
            </w:pPr>
            <w:r>
              <w:rPr>
                <w:rFonts w:hint="eastAsia" w:ascii="仿宋_GB2312" w:eastAsia="仿宋_GB2312"/>
                <w:bCs/>
                <w:szCs w:val="21"/>
              </w:rPr>
              <w:t>G</w:t>
            </w:r>
          </w:p>
        </w:tc>
        <w:tc>
          <w:tcPr>
            <w:tcW w:w="728" w:type="dxa"/>
            <w:noWrap w:val="0"/>
            <w:vAlign w:val="center"/>
          </w:tcPr>
          <w:p>
            <w:pPr>
              <w:spacing w:line="320" w:lineRule="exact"/>
              <w:ind w:firstLine="315" w:firstLineChars="150"/>
              <w:rPr>
                <w:rFonts w:hint="eastAsia" w:ascii="仿宋_GB2312" w:eastAsia="仿宋_GB2312"/>
                <w:bCs/>
                <w:szCs w:val="21"/>
              </w:rPr>
            </w:pPr>
            <w:r>
              <w:rPr>
                <w:rFonts w:hint="eastAsia" w:ascii="仿宋_GB2312" w:eastAsia="仿宋_GB2312"/>
                <w:bCs/>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45" w:type="dxa"/>
            <w:noWrap w:val="0"/>
            <w:vAlign w:val="center"/>
          </w:tcPr>
          <w:p>
            <w:pPr>
              <w:spacing w:line="320" w:lineRule="exact"/>
              <w:rPr>
                <w:rFonts w:hint="eastAsia" w:ascii="仿宋_GB2312" w:eastAsia="仿宋_GB2312"/>
                <w:bCs/>
                <w:szCs w:val="21"/>
              </w:rPr>
            </w:pPr>
            <w:r>
              <w:rPr>
                <w:rFonts w:hint="eastAsia" w:ascii="仿宋_GB2312" w:eastAsia="仿宋_GB2312"/>
                <w:bCs/>
                <w:szCs w:val="21"/>
              </w:rPr>
              <w:t>1</w:t>
            </w:r>
          </w:p>
        </w:tc>
        <w:tc>
          <w:tcPr>
            <w:tcW w:w="2543" w:type="dxa"/>
            <w:noWrap w:val="0"/>
            <w:vAlign w:val="center"/>
          </w:tcPr>
          <w:p>
            <w:pPr>
              <w:spacing w:line="320" w:lineRule="exact"/>
              <w:rPr>
                <w:rFonts w:hint="eastAsia" w:ascii="仿宋_GB2312" w:eastAsia="仿宋_GB2312"/>
                <w:bCs/>
                <w:szCs w:val="21"/>
              </w:rPr>
            </w:pPr>
            <w:r>
              <w:rPr>
                <w:rFonts w:hint="eastAsia" w:ascii="仿宋_GB2312" w:eastAsia="仿宋_GB2312"/>
                <w:bCs/>
                <w:szCs w:val="21"/>
              </w:rPr>
              <w:t>投标文件中附有有效的律师事务所负责人证明书原件，或由委托代理人签署的投标文件中附有律师事务所负责人授权书原件；</w:t>
            </w:r>
          </w:p>
        </w:tc>
        <w:tc>
          <w:tcPr>
            <w:tcW w:w="727" w:type="dxa"/>
            <w:noWrap w:val="0"/>
            <w:vAlign w:val="center"/>
          </w:tcPr>
          <w:p>
            <w:pPr>
              <w:spacing w:line="320" w:lineRule="exact"/>
              <w:ind w:firstLine="315" w:firstLineChars="150"/>
              <w:rPr>
                <w:rFonts w:hint="eastAsia" w:ascii="仿宋_GB2312" w:eastAsia="仿宋_GB2312"/>
                <w:bCs/>
                <w:szCs w:val="21"/>
              </w:rPr>
            </w:pPr>
          </w:p>
        </w:tc>
        <w:tc>
          <w:tcPr>
            <w:tcW w:w="728" w:type="dxa"/>
            <w:noWrap w:val="0"/>
            <w:vAlign w:val="center"/>
          </w:tcPr>
          <w:p>
            <w:pPr>
              <w:spacing w:line="320" w:lineRule="exact"/>
              <w:ind w:firstLine="315" w:firstLineChars="150"/>
              <w:rPr>
                <w:rFonts w:hint="eastAsia" w:ascii="仿宋_GB2312" w:eastAsia="仿宋_GB2312"/>
                <w:bCs/>
                <w:szCs w:val="21"/>
              </w:rPr>
            </w:pPr>
          </w:p>
        </w:tc>
        <w:tc>
          <w:tcPr>
            <w:tcW w:w="728" w:type="dxa"/>
            <w:noWrap w:val="0"/>
            <w:vAlign w:val="center"/>
          </w:tcPr>
          <w:p>
            <w:pPr>
              <w:spacing w:line="320" w:lineRule="exact"/>
              <w:ind w:firstLine="315" w:firstLineChars="150"/>
              <w:rPr>
                <w:rFonts w:hint="eastAsia" w:ascii="仿宋_GB2312" w:eastAsia="仿宋_GB2312"/>
                <w:bCs/>
                <w:szCs w:val="21"/>
              </w:rPr>
            </w:pPr>
          </w:p>
        </w:tc>
        <w:tc>
          <w:tcPr>
            <w:tcW w:w="728" w:type="dxa"/>
            <w:noWrap w:val="0"/>
            <w:vAlign w:val="center"/>
          </w:tcPr>
          <w:p>
            <w:pPr>
              <w:spacing w:line="320" w:lineRule="exact"/>
              <w:ind w:firstLine="315" w:firstLineChars="150"/>
              <w:rPr>
                <w:rFonts w:hint="eastAsia" w:ascii="仿宋_GB2312" w:eastAsia="仿宋_GB2312"/>
                <w:bCs/>
                <w:szCs w:val="21"/>
              </w:rPr>
            </w:pPr>
          </w:p>
        </w:tc>
        <w:tc>
          <w:tcPr>
            <w:tcW w:w="727" w:type="dxa"/>
            <w:noWrap w:val="0"/>
            <w:vAlign w:val="center"/>
          </w:tcPr>
          <w:p>
            <w:pPr>
              <w:spacing w:line="320" w:lineRule="exact"/>
              <w:ind w:firstLine="315" w:firstLineChars="150"/>
              <w:rPr>
                <w:rFonts w:hint="eastAsia" w:ascii="仿宋_GB2312" w:eastAsia="仿宋_GB2312"/>
                <w:bCs/>
                <w:szCs w:val="21"/>
              </w:rPr>
            </w:pPr>
          </w:p>
        </w:tc>
        <w:tc>
          <w:tcPr>
            <w:tcW w:w="728" w:type="dxa"/>
            <w:noWrap w:val="0"/>
            <w:vAlign w:val="center"/>
          </w:tcPr>
          <w:p>
            <w:pPr>
              <w:spacing w:line="320" w:lineRule="exact"/>
              <w:ind w:firstLine="315" w:firstLineChars="150"/>
              <w:rPr>
                <w:rFonts w:hint="eastAsia" w:ascii="仿宋_GB2312" w:eastAsia="仿宋_GB2312"/>
                <w:bCs/>
                <w:szCs w:val="21"/>
              </w:rPr>
            </w:pPr>
          </w:p>
        </w:tc>
        <w:tc>
          <w:tcPr>
            <w:tcW w:w="728" w:type="dxa"/>
            <w:noWrap w:val="0"/>
            <w:vAlign w:val="center"/>
          </w:tcPr>
          <w:p>
            <w:pPr>
              <w:spacing w:line="320" w:lineRule="exact"/>
              <w:ind w:firstLine="315" w:firstLineChars="150"/>
              <w:rPr>
                <w:rFonts w:hint="eastAsia" w:ascii="仿宋_GB2312" w:eastAsia="仿宋_GB2312"/>
                <w:bCs/>
                <w:szCs w:val="21"/>
              </w:rPr>
            </w:pPr>
          </w:p>
        </w:tc>
        <w:tc>
          <w:tcPr>
            <w:tcW w:w="728" w:type="dxa"/>
            <w:noWrap w:val="0"/>
            <w:vAlign w:val="center"/>
          </w:tcPr>
          <w:p>
            <w:pPr>
              <w:spacing w:line="320" w:lineRule="exact"/>
              <w:ind w:firstLine="315" w:firstLineChars="150"/>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noWrap w:val="0"/>
            <w:vAlign w:val="center"/>
          </w:tcPr>
          <w:p>
            <w:pPr>
              <w:spacing w:line="320" w:lineRule="exact"/>
              <w:rPr>
                <w:rFonts w:hint="eastAsia" w:ascii="仿宋_GB2312" w:eastAsia="仿宋_GB2312"/>
                <w:bCs/>
                <w:szCs w:val="21"/>
              </w:rPr>
            </w:pPr>
            <w:r>
              <w:rPr>
                <w:rFonts w:hint="eastAsia" w:ascii="仿宋_GB2312" w:eastAsia="仿宋_GB2312"/>
                <w:bCs/>
                <w:szCs w:val="21"/>
              </w:rPr>
              <w:t>2</w:t>
            </w:r>
          </w:p>
        </w:tc>
        <w:tc>
          <w:tcPr>
            <w:tcW w:w="2543" w:type="dxa"/>
            <w:noWrap w:val="0"/>
            <w:vAlign w:val="center"/>
          </w:tcPr>
          <w:p>
            <w:pPr>
              <w:spacing w:line="320" w:lineRule="exact"/>
              <w:rPr>
                <w:rFonts w:hint="eastAsia" w:ascii="仿宋_GB2312" w:eastAsia="仿宋_GB2312"/>
                <w:bCs/>
                <w:szCs w:val="21"/>
              </w:rPr>
            </w:pPr>
            <w:r>
              <w:rPr>
                <w:rFonts w:hint="eastAsia" w:ascii="仿宋_GB2312" w:eastAsia="仿宋_GB2312"/>
                <w:bCs/>
                <w:szCs w:val="21"/>
              </w:rPr>
              <w:t>投标文件的封面加盖投标单位的法定印章；</w:t>
            </w:r>
          </w:p>
        </w:tc>
        <w:tc>
          <w:tcPr>
            <w:tcW w:w="727" w:type="dxa"/>
            <w:noWrap w:val="0"/>
            <w:vAlign w:val="center"/>
          </w:tcPr>
          <w:p>
            <w:pPr>
              <w:spacing w:line="320" w:lineRule="exact"/>
              <w:ind w:firstLine="315" w:firstLineChars="150"/>
              <w:rPr>
                <w:rFonts w:hint="eastAsia" w:ascii="仿宋_GB2312" w:eastAsia="仿宋_GB2312"/>
                <w:bCs/>
                <w:szCs w:val="21"/>
              </w:rPr>
            </w:pPr>
          </w:p>
        </w:tc>
        <w:tc>
          <w:tcPr>
            <w:tcW w:w="728" w:type="dxa"/>
            <w:noWrap w:val="0"/>
            <w:vAlign w:val="center"/>
          </w:tcPr>
          <w:p>
            <w:pPr>
              <w:spacing w:line="320" w:lineRule="exact"/>
              <w:ind w:firstLine="315" w:firstLineChars="150"/>
              <w:rPr>
                <w:rFonts w:hint="eastAsia" w:ascii="仿宋_GB2312" w:eastAsia="仿宋_GB2312"/>
                <w:bCs/>
                <w:szCs w:val="21"/>
              </w:rPr>
            </w:pPr>
          </w:p>
        </w:tc>
        <w:tc>
          <w:tcPr>
            <w:tcW w:w="728" w:type="dxa"/>
            <w:noWrap w:val="0"/>
            <w:vAlign w:val="center"/>
          </w:tcPr>
          <w:p>
            <w:pPr>
              <w:spacing w:line="320" w:lineRule="exact"/>
              <w:ind w:firstLine="315" w:firstLineChars="150"/>
              <w:rPr>
                <w:rFonts w:hint="eastAsia" w:ascii="仿宋_GB2312" w:eastAsia="仿宋_GB2312"/>
                <w:bCs/>
                <w:szCs w:val="21"/>
              </w:rPr>
            </w:pPr>
          </w:p>
        </w:tc>
        <w:tc>
          <w:tcPr>
            <w:tcW w:w="728" w:type="dxa"/>
            <w:noWrap w:val="0"/>
            <w:vAlign w:val="center"/>
          </w:tcPr>
          <w:p>
            <w:pPr>
              <w:spacing w:line="320" w:lineRule="exact"/>
              <w:ind w:firstLine="315" w:firstLineChars="150"/>
              <w:rPr>
                <w:rFonts w:hint="eastAsia" w:ascii="仿宋_GB2312" w:eastAsia="仿宋_GB2312"/>
                <w:bCs/>
                <w:szCs w:val="21"/>
              </w:rPr>
            </w:pPr>
          </w:p>
        </w:tc>
        <w:tc>
          <w:tcPr>
            <w:tcW w:w="727" w:type="dxa"/>
            <w:noWrap w:val="0"/>
            <w:vAlign w:val="center"/>
          </w:tcPr>
          <w:p>
            <w:pPr>
              <w:spacing w:line="320" w:lineRule="exact"/>
              <w:ind w:firstLine="315" w:firstLineChars="150"/>
              <w:rPr>
                <w:rFonts w:hint="eastAsia" w:ascii="仿宋_GB2312" w:eastAsia="仿宋_GB2312"/>
                <w:bCs/>
                <w:szCs w:val="21"/>
              </w:rPr>
            </w:pPr>
          </w:p>
        </w:tc>
        <w:tc>
          <w:tcPr>
            <w:tcW w:w="728" w:type="dxa"/>
            <w:noWrap w:val="0"/>
            <w:vAlign w:val="center"/>
          </w:tcPr>
          <w:p>
            <w:pPr>
              <w:spacing w:line="320" w:lineRule="exact"/>
              <w:ind w:firstLine="315" w:firstLineChars="150"/>
              <w:rPr>
                <w:rFonts w:hint="eastAsia" w:ascii="仿宋_GB2312" w:eastAsia="仿宋_GB2312"/>
                <w:bCs/>
                <w:szCs w:val="21"/>
              </w:rPr>
            </w:pPr>
          </w:p>
        </w:tc>
        <w:tc>
          <w:tcPr>
            <w:tcW w:w="728" w:type="dxa"/>
            <w:noWrap w:val="0"/>
            <w:vAlign w:val="center"/>
          </w:tcPr>
          <w:p>
            <w:pPr>
              <w:spacing w:line="320" w:lineRule="exact"/>
              <w:ind w:firstLine="315" w:firstLineChars="150"/>
              <w:rPr>
                <w:rFonts w:hint="eastAsia" w:ascii="仿宋_GB2312" w:eastAsia="仿宋_GB2312"/>
                <w:bCs/>
                <w:szCs w:val="21"/>
              </w:rPr>
            </w:pPr>
          </w:p>
        </w:tc>
        <w:tc>
          <w:tcPr>
            <w:tcW w:w="728" w:type="dxa"/>
            <w:noWrap w:val="0"/>
            <w:vAlign w:val="center"/>
          </w:tcPr>
          <w:p>
            <w:pPr>
              <w:spacing w:line="320" w:lineRule="exact"/>
              <w:ind w:firstLine="315" w:firstLineChars="150"/>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445" w:type="dxa"/>
            <w:noWrap w:val="0"/>
            <w:vAlign w:val="center"/>
          </w:tcPr>
          <w:p>
            <w:pPr>
              <w:spacing w:line="320" w:lineRule="exact"/>
              <w:rPr>
                <w:rFonts w:hint="eastAsia" w:ascii="仿宋_GB2312" w:eastAsia="仿宋_GB2312"/>
                <w:bCs/>
                <w:szCs w:val="21"/>
              </w:rPr>
            </w:pPr>
            <w:r>
              <w:rPr>
                <w:rFonts w:hint="eastAsia" w:ascii="仿宋_GB2312" w:eastAsia="仿宋_GB2312"/>
                <w:bCs/>
                <w:szCs w:val="21"/>
              </w:rPr>
              <w:t>3</w:t>
            </w:r>
          </w:p>
        </w:tc>
        <w:tc>
          <w:tcPr>
            <w:tcW w:w="2543" w:type="dxa"/>
            <w:noWrap w:val="0"/>
            <w:vAlign w:val="center"/>
          </w:tcPr>
          <w:p>
            <w:pPr>
              <w:spacing w:line="320" w:lineRule="exact"/>
              <w:rPr>
                <w:rFonts w:hint="eastAsia" w:ascii="仿宋_GB2312" w:eastAsia="仿宋_GB2312"/>
                <w:bCs/>
                <w:szCs w:val="21"/>
              </w:rPr>
            </w:pPr>
            <w:r>
              <w:rPr>
                <w:rFonts w:hint="eastAsia" w:ascii="仿宋_GB2312" w:eastAsia="仿宋_GB2312"/>
                <w:bCs/>
                <w:szCs w:val="21"/>
              </w:rPr>
              <w:t>投标文件按规定的格式填写，内容齐全、关键字迹清晰；</w:t>
            </w:r>
          </w:p>
        </w:tc>
        <w:tc>
          <w:tcPr>
            <w:tcW w:w="727" w:type="dxa"/>
            <w:noWrap w:val="0"/>
            <w:vAlign w:val="center"/>
          </w:tcPr>
          <w:p>
            <w:pPr>
              <w:spacing w:line="320" w:lineRule="exact"/>
              <w:ind w:firstLine="315" w:firstLineChars="150"/>
              <w:rPr>
                <w:rFonts w:hint="eastAsia" w:ascii="仿宋_GB2312" w:eastAsia="仿宋_GB2312"/>
                <w:bCs/>
                <w:szCs w:val="21"/>
              </w:rPr>
            </w:pPr>
          </w:p>
        </w:tc>
        <w:tc>
          <w:tcPr>
            <w:tcW w:w="728" w:type="dxa"/>
            <w:noWrap w:val="0"/>
            <w:vAlign w:val="center"/>
          </w:tcPr>
          <w:p>
            <w:pPr>
              <w:spacing w:line="320" w:lineRule="exact"/>
              <w:ind w:firstLine="315" w:firstLineChars="150"/>
              <w:rPr>
                <w:rFonts w:hint="eastAsia" w:ascii="仿宋_GB2312" w:eastAsia="仿宋_GB2312"/>
                <w:bCs/>
                <w:szCs w:val="21"/>
              </w:rPr>
            </w:pPr>
          </w:p>
        </w:tc>
        <w:tc>
          <w:tcPr>
            <w:tcW w:w="728" w:type="dxa"/>
            <w:noWrap w:val="0"/>
            <w:vAlign w:val="center"/>
          </w:tcPr>
          <w:p>
            <w:pPr>
              <w:spacing w:line="320" w:lineRule="exact"/>
              <w:ind w:firstLine="315" w:firstLineChars="150"/>
              <w:rPr>
                <w:rFonts w:hint="eastAsia" w:ascii="仿宋_GB2312" w:eastAsia="仿宋_GB2312"/>
                <w:bCs/>
                <w:szCs w:val="21"/>
              </w:rPr>
            </w:pPr>
          </w:p>
        </w:tc>
        <w:tc>
          <w:tcPr>
            <w:tcW w:w="728" w:type="dxa"/>
            <w:noWrap w:val="0"/>
            <w:vAlign w:val="center"/>
          </w:tcPr>
          <w:p>
            <w:pPr>
              <w:spacing w:line="320" w:lineRule="exact"/>
              <w:ind w:firstLine="315" w:firstLineChars="150"/>
              <w:rPr>
                <w:rFonts w:hint="eastAsia" w:ascii="仿宋_GB2312" w:eastAsia="仿宋_GB2312"/>
                <w:bCs/>
                <w:szCs w:val="21"/>
              </w:rPr>
            </w:pPr>
          </w:p>
        </w:tc>
        <w:tc>
          <w:tcPr>
            <w:tcW w:w="727" w:type="dxa"/>
            <w:noWrap w:val="0"/>
            <w:vAlign w:val="center"/>
          </w:tcPr>
          <w:p>
            <w:pPr>
              <w:spacing w:line="320" w:lineRule="exact"/>
              <w:ind w:firstLine="315" w:firstLineChars="150"/>
              <w:rPr>
                <w:rFonts w:hint="eastAsia" w:ascii="仿宋_GB2312" w:eastAsia="仿宋_GB2312"/>
                <w:bCs/>
                <w:szCs w:val="21"/>
              </w:rPr>
            </w:pPr>
          </w:p>
        </w:tc>
        <w:tc>
          <w:tcPr>
            <w:tcW w:w="728" w:type="dxa"/>
            <w:noWrap w:val="0"/>
            <w:vAlign w:val="center"/>
          </w:tcPr>
          <w:p>
            <w:pPr>
              <w:spacing w:line="320" w:lineRule="exact"/>
              <w:ind w:firstLine="315" w:firstLineChars="150"/>
              <w:rPr>
                <w:rFonts w:hint="eastAsia" w:ascii="仿宋_GB2312" w:eastAsia="仿宋_GB2312"/>
                <w:bCs/>
                <w:szCs w:val="21"/>
              </w:rPr>
            </w:pPr>
          </w:p>
        </w:tc>
        <w:tc>
          <w:tcPr>
            <w:tcW w:w="728" w:type="dxa"/>
            <w:noWrap w:val="0"/>
            <w:vAlign w:val="center"/>
          </w:tcPr>
          <w:p>
            <w:pPr>
              <w:spacing w:line="320" w:lineRule="exact"/>
              <w:ind w:firstLine="315" w:firstLineChars="150"/>
              <w:rPr>
                <w:rFonts w:hint="eastAsia" w:ascii="仿宋_GB2312" w:eastAsia="仿宋_GB2312"/>
                <w:bCs/>
                <w:szCs w:val="21"/>
              </w:rPr>
            </w:pPr>
          </w:p>
        </w:tc>
        <w:tc>
          <w:tcPr>
            <w:tcW w:w="728" w:type="dxa"/>
            <w:noWrap w:val="0"/>
            <w:vAlign w:val="center"/>
          </w:tcPr>
          <w:p>
            <w:pPr>
              <w:spacing w:line="320" w:lineRule="exact"/>
              <w:ind w:firstLine="315" w:firstLineChars="150"/>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45" w:type="dxa"/>
            <w:noWrap w:val="0"/>
            <w:vAlign w:val="center"/>
          </w:tcPr>
          <w:p>
            <w:pPr>
              <w:spacing w:line="320" w:lineRule="exact"/>
              <w:rPr>
                <w:rFonts w:hint="eastAsia" w:ascii="仿宋_GB2312" w:eastAsia="仿宋_GB2312"/>
                <w:bCs/>
                <w:szCs w:val="21"/>
              </w:rPr>
            </w:pPr>
            <w:r>
              <w:rPr>
                <w:rFonts w:hint="eastAsia" w:ascii="仿宋_GB2312" w:eastAsia="仿宋_GB2312"/>
                <w:bCs/>
                <w:szCs w:val="21"/>
              </w:rPr>
              <w:t>4</w:t>
            </w:r>
          </w:p>
        </w:tc>
        <w:tc>
          <w:tcPr>
            <w:tcW w:w="2543" w:type="dxa"/>
            <w:noWrap w:val="0"/>
            <w:vAlign w:val="center"/>
          </w:tcPr>
          <w:p>
            <w:pPr>
              <w:spacing w:line="320" w:lineRule="exact"/>
              <w:rPr>
                <w:rFonts w:hint="eastAsia" w:ascii="仿宋_GB2312" w:eastAsia="仿宋_GB2312"/>
                <w:bCs/>
                <w:szCs w:val="21"/>
              </w:rPr>
            </w:pPr>
            <w:r>
              <w:rPr>
                <w:rFonts w:hint="eastAsia" w:ascii="仿宋_GB2312" w:eastAsia="仿宋_GB2312"/>
                <w:bCs/>
                <w:szCs w:val="21"/>
              </w:rPr>
              <w:t>投标文件未出现两个或以上的投标报价；</w:t>
            </w:r>
          </w:p>
        </w:tc>
        <w:tc>
          <w:tcPr>
            <w:tcW w:w="727" w:type="dxa"/>
            <w:noWrap w:val="0"/>
            <w:vAlign w:val="center"/>
          </w:tcPr>
          <w:p>
            <w:pPr>
              <w:spacing w:line="320" w:lineRule="exact"/>
              <w:ind w:firstLine="315" w:firstLineChars="150"/>
              <w:rPr>
                <w:rFonts w:hint="eastAsia" w:ascii="仿宋_GB2312" w:eastAsia="仿宋_GB2312"/>
                <w:bCs/>
                <w:szCs w:val="21"/>
              </w:rPr>
            </w:pPr>
          </w:p>
        </w:tc>
        <w:tc>
          <w:tcPr>
            <w:tcW w:w="728" w:type="dxa"/>
            <w:noWrap w:val="0"/>
            <w:vAlign w:val="center"/>
          </w:tcPr>
          <w:p>
            <w:pPr>
              <w:spacing w:line="320" w:lineRule="exact"/>
              <w:ind w:firstLine="315" w:firstLineChars="150"/>
              <w:rPr>
                <w:rFonts w:hint="eastAsia" w:ascii="仿宋_GB2312" w:eastAsia="仿宋_GB2312"/>
                <w:bCs/>
                <w:szCs w:val="21"/>
              </w:rPr>
            </w:pPr>
          </w:p>
        </w:tc>
        <w:tc>
          <w:tcPr>
            <w:tcW w:w="728" w:type="dxa"/>
            <w:noWrap w:val="0"/>
            <w:vAlign w:val="center"/>
          </w:tcPr>
          <w:p>
            <w:pPr>
              <w:spacing w:line="320" w:lineRule="exact"/>
              <w:ind w:firstLine="315" w:firstLineChars="150"/>
              <w:rPr>
                <w:rFonts w:hint="eastAsia" w:ascii="仿宋_GB2312" w:eastAsia="仿宋_GB2312"/>
                <w:bCs/>
                <w:szCs w:val="21"/>
              </w:rPr>
            </w:pPr>
          </w:p>
        </w:tc>
        <w:tc>
          <w:tcPr>
            <w:tcW w:w="728" w:type="dxa"/>
            <w:noWrap w:val="0"/>
            <w:vAlign w:val="center"/>
          </w:tcPr>
          <w:p>
            <w:pPr>
              <w:spacing w:line="320" w:lineRule="exact"/>
              <w:ind w:firstLine="315" w:firstLineChars="150"/>
              <w:rPr>
                <w:rFonts w:hint="eastAsia" w:ascii="仿宋_GB2312" w:eastAsia="仿宋_GB2312"/>
                <w:bCs/>
                <w:szCs w:val="21"/>
              </w:rPr>
            </w:pPr>
          </w:p>
        </w:tc>
        <w:tc>
          <w:tcPr>
            <w:tcW w:w="727" w:type="dxa"/>
            <w:noWrap w:val="0"/>
            <w:vAlign w:val="center"/>
          </w:tcPr>
          <w:p>
            <w:pPr>
              <w:spacing w:line="320" w:lineRule="exact"/>
              <w:ind w:firstLine="315" w:firstLineChars="150"/>
              <w:rPr>
                <w:rFonts w:hint="eastAsia" w:ascii="仿宋_GB2312" w:eastAsia="仿宋_GB2312"/>
                <w:bCs/>
                <w:szCs w:val="21"/>
              </w:rPr>
            </w:pPr>
          </w:p>
        </w:tc>
        <w:tc>
          <w:tcPr>
            <w:tcW w:w="728" w:type="dxa"/>
            <w:noWrap w:val="0"/>
            <w:vAlign w:val="center"/>
          </w:tcPr>
          <w:p>
            <w:pPr>
              <w:spacing w:line="320" w:lineRule="exact"/>
              <w:ind w:firstLine="315" w:firstLineChars="150"/>
              <w:rPr>
                <w:rFonts w:hint="eastAsia" w:ascii="仿宋_GB2312" w:eastAsia="仿宋_GB2312"/>
                <w:bCs/>
                <w:szCs w:val="21"/>
              </w:rPr>
            </w:pPr>
          </w:p>
        </w:tc>
        <w:tc>
          <w:tcPr>
            <w:tcW w:w="728" w:type="dxa"/>
            <w:noWrap w:val="0"/>
            <w:vAlign w:val="center"/>
          </w:tcPr>
          <w:p>
            <w:pPr>
              <w:spacing w:line="320" w:lineRule="exact"/>
              <w:ind w:firstLine="315" w:firstLineChars="150"/>
              <w:rPr>
                <w:rFonts w:hint="eastAsia" w:ascii="仿宋_GB2312" w:eastAsia="仿宋_GB2312"/>
                <w:bCs/>
                <w:szCs w:val="21"/>
              </w:rPr>
            </w:pPr>
          </w:p>
        </w:tc>
        <w:tc>
          <w:tcPr>
            <w:tcW w:w="728" w:type="dxa"/>
            <w:noWrap w:val="0"/>
            <w:vAlign w:val="center"/>
          </w:tcPr>
          <w:p>
            <w:pPr>
              <w:spacing w:line="320" w:lineRule="exact"/>
              <w:ind w:firstLine="315" w:firstLineChars="150"/>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45" w:type="dxa"/>
            <w:tcBorders>
              <w:bottom w:val="single" w:color="auto" w:sz="4" w:space="0"/>
            </w:tcBorders>
            <w:noWrap w:val="0"/>
            <w:vAlign w:val="center"/>
          </w:tcPr>
          <w:p>
            <w:pPr>
              <w:spacing w:line="320" w:lineRule="exact"/>
              <w:rPr>
                <w:rFonts w:hint="eastAsia" w:ascii="仿宋_GB2312" w:eastAsia="仿宋_GB2312"/>
                <w:bCs/>
                <w:szCs w:val="21"/>
              </w:rPr>
            </w:pPr>
            <w:r>
              <w:rPr>
                <w:rFonts w:hint="eastAsia" w:ascii="仿宋_GB2312" w:eastAsia="仿宋_GB2312"/>
                <w:bCs/>
                <w:szCs w:val="21"/>
              </w:rPr>
              <w:t>5</w:t>
            </w:r>
          </w:p>
        </w:tc>
        <w:tc>
          <w:tcPr>
            <w:tcW w:w="2543" w:type="dxa"/>
            <w:tcBorders>
              <w:bottom w:val="single" w:color="auto" w:sz="4" w:space="0"/>
            </w:tcBorders>
            <w:noWrap w:val="0"/>
            <w:vAlign w:val="center"/>
          </w:tcPr>
          <w:p>
            <w:pPr>
              <w:spacing w:line="320" w:lineRule="exact"/>
              <w:rPr>
                <w:rFonts w:hint="eastAsia" w:ascii="仿宋_GB2312" w:eastAsia="仿宋_GB2312"/>
                <w:bCs/>
                <w:szCs w:val="21"/>
              </w:rPr>
            </w:pPr>
            <w:r>
              <w:rPr>
                <w:rFonts w:hint="eastAsia" w:ascii="仿宋_GB2312" w:eastAsia="仿宋_GB2312"/>
                <w:bCs/>
                <w:szCs w:val="21"/>
              </w:rPr>
              <w:t>律师事务所、主办律师条件符合招标文件中对注册地点、常驻服务机构、执业人数、执业时间、执业经验等的要求；</w:t>
            </w:r>
          </w:p>
        </w:tc>
        <w:tc>
          <w:tcPr>
            <w:tcW w:w="727" w:type="dxa"/>
            <w:tcBorders>
              <w:bottom w:val="single" w:color="auto" w:sz="4" w:space="0"/>
            </w:tcBorders>
            <w:noWrap w:val="0"/>
            <w:vAlign w:val="center"/>
          </w:tcPr>
          <w:p>
            <w:pPr>
              <w:spacing w:line="320" w:lineRule="exact"/>
              <w:ind w:firstLine="315" w:firstLineChars="150"/>
              <w:rPr>
                <w:rFonts w:hint="eastAsia" w:ascii="仿宋_GB2312" w:eastAsia="仿宋_GB2312"/>
                <w:bCs/>
                <w:szCs w:val="21"/>
              </w:rPr>
            </w:pPr>
          </w:p>
        </w:tc>
        <w:tc>
          <w:tcPr>
            <w:tcW w:w="728" w:type="dxa"/>
            <w:tcBorders>
              <w:bottom w:val="single" w:color="auto" w:sz="4" w:space="0"/>
            </w:tcBorders>
            <w:noWrap w:val="0"/>
            <w:vAlign w:val="center"/>
          </w:tcPr>
          <w:p>
            <w:pPr>
              <w:spacing w:line="320" w:lineRule="exact"/>
              <w:ind w:firstLine="315" w:firstLineChars="150"/>
              <w:rPr>
                <w:rFonts w:hint="eastAsia" w:ascii="仿宋_GB2312" w:eastAsia="仿宋_GB2312"/>
                <w:bCs/>
                <w:szCs w:val="21"/>
              </w:rPr>
            </w:pPr>
          </w:p>
        </w:tc>
        <w:tc>
          <w:tcPr>
            <w:tcW w:w="728" w:type="dxa"/>
            <w:tcBorders>
              <w:bottom w:val="single" w:color="auto" w:sz="4" w:space="0"/>
            </w:tcBorders>
            <w:noWrap w:val="0"/>
            <w:vAlign w:val="center"/>
          </w:tcPr>
          <w:p>
            <w:pPr>
              <w:spacing w:line="320" w:lineRule="exact"/>
              <w:ind w:firstLine="315" w:firstLineChars="150"/>
              <w:rPr>
                <w:rFonts w:hint="eastAsia" w:ascii="仿宋_GB2312" w:eastAsia="仿宋_GB2312"/>
                <w:bCs/>
                <w:szCs w:val="21"/>
              </w:rPr>
            </w:pPr>
          </w:p>
        </w:tc>
        <w:tc>
          <w:tcPr>
            <w:tcW w:w="728" w:type="dxa"/>
            <w:tcBorders>
              <w:bottom w:val="single" w:color="auto" w:sz="4" w:space="0"/>
            </w:tcBorders>
            <w:noWrap w:val="0"/>
            <w:vAlign w:val="center"/>
          </w:tcPr>
          <w:p>
            <w:pPr>
              <w:spacing w:line="320" w:lineRule="exact"/>
              <w:ind w:firstLine="315" w:firstLineChars="150"/>
              <w:rPr>
                <w:rFonts w:hint="eastAsia" w:ascii="仿宋_GB2312" w:eastAsia="仿宋_GB2312"/>
                <w:bCs/>
                <w:szCs w:val="21"/>
              </w:rPr>
            </w:pPr>
          </w:p>
        </w:tc>
        <w:tc>
          <w:tcPr>
            <w:tcW w:w="727" w:type="dxa"/>
            <w:tcBorders>
              <w:bottom w:val="single" w:color="auto" w:sz="4" w:space="0"/>
            </w:tcBorders>
            <w:noWrap w:val="0"/>
            <w:vAlign w:val="center"/>
          </w:tcPr>
          <w:p>
            <w:pPr>
              <w:spacing w:line="320" w:lineRule="exact"/>
              <w:ind w:firstLine="315" w:firstLineChars="150"/>
              <w:rPr>
                <w:rFonts w:hint="eastAsia" w:ascii="仿宋_GB2312" w:eastAsia="仿宋_GB2312"/>
                <w:bCs/>
                <w:szCs w:val="21"/>
              </w:rPr>
            </w:pPr>
          </w:p>
        </w:tc>
        <w:tc>
          <w:tcPr>
            <w:tcW w:w="728" w:type="dxa"/>
            <w:tcBorders>
              <w:bottom w:val="single" w:color="auto" w:sz="4" w:space="0"/>
            </w:tcBorders>
            <w:noWrap w:val="0"/>
            <w:vAlign w:val="center"/>
          </w:tcPr>
          <w:p>
            <w:pPr>
              <w:spacing w:line="320" w:lineRule="exact"/>
              <w:ind w:firstLine="315" w:firstLineChars="150"/>
              <w:rPr>
                <w:rFonts w:hint="eastAsia" w:ascii="仿宋_GB2312" w:eastAsia="仿宋_GB2312"/>
                <w:bCs/>
                <w:szCs w:val="21"/>
              </w:rPr>
            </w:pPr>
          </w:p>
        </w:tc>
        <w:tc>
          <w:tcPr>
            <w:tcW w:w="728" w:type="dxa"/>
            <w:tcBorders>
              <w:bottom w:val="single" w:color="auto" w:sz="4" w:space="0"/>
            </w:tcBorders>
            <w:noWrap w:val="0"/>
            <w:vAlign w:val="center"/>
          </w:tcPr>
          <w:p>
            <w:pPr>
              <w:spacing w:line="320" w:lineRule="exact"/>
              <w:ind w:firstLine="315" w:firstLineChars="150"/>
              <w:rPr>
                <w:rFonts w:hint="eastAsia" w:ascii="仿宋_GB2312" w:eastAsia="仿宋_GB2312"/>
                <w:bCs/>
                <w:szCs w:val="21"/>
              </w:rPr>
            </w:pPr>
          </w:p>
        </w:tc>
        <w:tc>
          <w:tcPr>
            <w:tcW w:w="728" w:type="dxa"/>
            <w:tcBorders>
              <w:bottom w:val="single" w:color="auto" w:sz="4" w:space="0"/>
            </w:tcBorders>
            <w:noWrap w:val="0"/>
            <w:vAlign w:val="center"/>
          </w:tcPr>
          <w:p>
            <w:pPr>
              <w:spacing w:line="320" w:lineRule="exact"/>
              <w:ind w:firstLine="315" w:firstLineChars="150"/>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eastAsia="仿宋_GB2312"/>
                <w:bCs/>
                <w:szCs w:val="21"/>
              </w:rPr>
            </w:pPr>
            <w:r>
              <w:rPr>
                <w:rFonts w:hint="eastAsia" w:ascii="仿宋_GB2312" w:eastAsia="仿宋_GB2312"/>
                <w:bCs/>
                <w:szCs w:val="21"/>
              </w:rPr>
              <w:t>6</w:t>
            </w:r>
          </w:p>
        </w:tc>
        <w:tc>
          <w:tcPr>
            <w:tcW w:w="2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eastAsia="仿宋_GB2312"/>
                <w:bCs/>
                <w:szCs w:val="21"/>
              </w:rPr>
            </w:pPr>
            <w:r>
              <w:rPr>
                <w:rFonts w:hint="eastAsia" w:ascii="仿宋_GB2312" w:eastAsia="仿宋_GB2312"/>
                <w:bCs/>
                <w:szCs w:val="21"/>
              </w:rPr>
              <w:t>律师事务所、主办律师最近3年未被司法行政机关给予没收违法所得、停业整顿等处罚；</w:t>
            </w: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hint="eastAsia" w:ascii="仿宋_GB2312" w:eastAsia="仿宋_GB2312"/>
                <w:bCs/>
                <w:szCs w:val="21"/>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hint="eastAsia" w:ascii="仿宋_GB2312" w:eastAsia="仿宋_GB2312"/>
                <w:bCs/>
                <w:szCs w:val="21"/>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hint="eastAsia" w:ascii="仿宋_GB2312" w:eastAsia="仿宋_GB2312"/>
                <w:bCs/>
                <w:szCs w:val="21"/>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hint="eastAsia" w:ascii="仿宋_GB2312" w:eastAsia="仿宋_GB2312"/>
                <w:bCs/>
                <w:szCs w:val="21"/>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hint="eastAsia" w:ascii="仿宋_GB2312" w:eastAsia="仿宋_GB2312"/>
                <w:bCs/>
                <w:szCs w:val="21"/>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hint="eastAsia" w:ascii="仿宋_GB2312" w:eastAsia="仿宋_GB2312"/>
                <w:bCs/>
                <w:szCs w:val="21"/>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hint="eastAsia" w:ascii="仿宋_GB2312" w:eastAsia="仿宋_GB2312"/>
                <w:bCs/>
                <w:szCs w:val="21"/>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bCs/>
                <w:szCs w:val="21"/>
              </w:rPr>
            </w:pPr>
            <w:r>
              <w:rPr>
                <w:rFonts w:hint="eastAsia" w:ascii="仿宋_GB2312" w:eastAsia="仿宋_GB2312"/>
                <w:bCs/>
                <w:szCs w:val="21"/>
              </w:rPr>
              <w:t>7</w:t>
            </w:r>
          </w:p>
        </w:tc>
        <w:tc>
          <w:tcPr>
            <w:tcW w:w="2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eastAsia="仿宋_GB2312"/>
                <w:bCs/>
                <w:szCs w:val="21"/>
              </w:rPr>
            </w:pPr>
            <w:r>
              <w:rPr>
                <w:rFonts w:hint="eastAsia" w:ascii="仿宋_GB2312" w:eastAsia="仿宋_GB2312"/>
                <w:bCs/>
                <w:szCs w:val="21"/>
              </w:rPr>
              <w:t>投标报价不高于最高限价</w:t>
            </w: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hint="eastAsia" w:ascii="仿宋_GB2312" w:eastAsia="仿宋_GB2312"/>
                <w:bCs/>
                <w:szCs w:val="21"/>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hint="eastAsia" w:ascii="仿宋_GB2312" w:eastAsia="仿宋_GB2312"/>
                <w:bCs/>
                <w:szCs w:val="21"/>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hint="eastAsia" w:ascii="仿宋_GB2312" w:eastAsia="仿宋_GB2312"/>
                <w:bCs/>
                <w:szCs w:val="21"/>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hint="eastAsia" w:ascii="仿宋_GB2312" w:eastAsia="仿宋_GB2312"/>
                <w:bCs/>
                <w:szCs w:val="21"/>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hint="eastAsia" w:ascii="仿宋_GB2312" w:eastAsia="仿宋_GB2312"/>
                <w:bCs/>
                <w:szCs w:val="21"/>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hint="eastAsia" w:ascii="仿宋_GB2312" w:eastAsia="仿宋_GB2312"/>
                <w:bCs/>
                <w:szCs w:val="21"/>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hint="eastAsia" w:ascii="仿宋_GB2312" w:eastAsia="仿宋_GB2312"/>
                <w:bCs/>
                <w:szCs w:val="21"/>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45"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仿宋_GB2312" w:eastAsia="仿宋_GB2312"/>
                <w:bCs/>
                <w:szCs w:val="21"/>
              </w:rPr>
            </w:pPr>
            <w:r>
              <w:rPr>
                <w:rFonts w:hint="eastAsia" w:ascii="仿宋_GB2312" w:eastAsia="仿宋_GB2312"/>
                <w:bCs/>
                <w:szCs w:val="21"/>
              </w:rPr>
              <w:t>结论</w:t>
            </w:r>
          </w:p>
        </w:tc>
        <w:tc>
          <w:tcPr>
            <w:tcW w:w="2543"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仿宋_GB2312" w:eastAsia="仿宋_GB2312"/>
                <w:bCs/>
                <w:szCs w:val="21"/>
              </w:rPr>
            </w:pPr>
            <w:r>
              <w:rPr>
                <w:rFonts w:hint="eastAsia" w:ascii="仿宋_GB2312" w:eastAsia="仿宋_GB2312"/>
                <w:bCs/>
                <w:szCs w:val="21"/>
              </w:rPr>
              <w:t>是否通过并进入下一阶段评审</w:t>
            </w:r>
          </w:p>
        </w:tc>
        <w:tc>
          <w:tcPr>
            <w:tcW w:w="727" w:type="dxa"/>
            <w:tcBorders>
              <w:top w:val="nil"/>
              <w:left w:val="single" w:color="auto" w:sz="4" w:space="0"/>
              <w:bottom w:val="single" w:color="auto" w:sz="4" w:space="0"/>
              <w:right w:val="single" w:color="auto" w:sz="4" w:space="0"/>
            </w:tcBorders>
            <w:noWrap w:val="0"/>
            <w:vAlign w:val="center"/>
          </w:tcPr>
          <w:p>
            <w:pPr>
              <w:spacing w:line="320" w:lineRule="exact"/>
              <w:ind w:firstLine="315" w:firstLineChars="150"/>
              <w:rPr>
                <w:rFonts w:hint="eastAsia" w:ascii="仿宋_GB2312" w:eastAsia="仿宋_GB2312"/>
                <w:bCs/>
                <w:szCs w:val="21"/>
              </w:rPr>
            </w:pPr>
          </w:p>
        </w:tc>
        <w:tc>
          <w:tcPr>
            <w:tcW w:w="728" w:type="dxa"/>
            <w:tcBorders>
              <w:top w:val="nil"/>
              <w:left w:val="single" w:color="auto" w:sz="4" w:space="0"/>
              <w:bottom w:val="single" w:color="auto" w:sz="4" w:space="0"/>
              <w:right w:val="single" w:color="auto" w:sz="4" w:space="0"/>
            </w:tcBorders>
            <w:noWrap w:val="0"/>
            <w:vAlign w:val="center"/>
          </w:tcPr>
          <w:p>
            <w:pPr>
              <w:spacing w:line="320" w:lineRule="exact"/>
              <w:ind w:firstLine="315" w:firstLineChars="150"/>
              <w:rPr>
                <w:rFonts w:hint="eastAsia" w:ascii="仿宋_GB2312" w:eastAsia="仿宋_GB2312"/>
                <w:bCs/>
                <w:szCs w:val="21"/>
              </w:rPr>
            </w:pPr>
          </w:p>
        </w:tc>
        <w:tc>
          <w:tcPr>
            <w:tcW w:w="728" w:type="dxa"/>
            <w:tcBorders>
              <w:top w:val="nil"/>
              <w:left w:val="single" w:color="auto" w:sz="4" w:space="0"/>
              <w:bottom w:val="single" w:color="auto" w:sz="4" w:space="0"/>
              <w:right w:val="single" w:color="auto" w:sz="4" w:space="0"/>
            </w:tcBorders>
            <w:noWrap w:val="0"/>
            <w:vAlign w:val="center"/>
          </w:tcPr>
          <w:p>
            <w:pPr>
              <w:spacing w:line="320" w:lineRule="exact"/>
              <w:ind w:firstLine="315" w:firstLineChars="150"/>
              <w:rPr>
                <w:rFonts w:hint="eastAsia" w:ascii="仿宋_GB2312" w:eastAsia="仿宋_GB2312"/>
                <w:bCs/>
                <w:szCs w:val="21"/>
              </w:rPr>
            </w:pPr>
          </w:p>
        </w:tc>
        <w:tc>
          <w:tcPr>
            <w:tcW w:w="728" w:type="dxa"/>
            <w:tcBorders>
              <w:top w:val="nil"/>
              <w:left w:val="single" w:color="auto" w:sz="4" w:space="0"/>
              <w:bottom w:val="single" w:color="auto" w:sz="4" w:space="0"/>
              <w:right w:val="single" w:color="auto" w:sz="4" w:space="0"/>
            </w:tcBorders>
            <w:noWrap w:val="0"/>
            <w:vAlign w:val="center"/>
          </w:tcPr>
          <w:p>
            <w:pPr>
              <w:spacing w:line="320" w:lineRule="exact"/>
              <w:ind w:firstLine="315" w:firstLineChars="150"/>
              <w:rPr>
                <w:rFonts w:hint="eastAsia" w:ascii="仿宋_GB2312" w:eastAsia="仿宋_GB2312"/>
                <w:bCs/>
                <w:szCs w:val="21"/>
              </w:rPr>
            </w:pPr>
          </w:p>
        </w:tc>
        <w:tc>
          <w:tcPr>
            <w:tcW w:w="727" w:type="dxa"/>
            <w:tcBorders>
              <w:top w:val="nil"/>
              <w:left w:val="single" w:color="auto" w:sz="4" w:space="0"/>
              <w:bottom w:val="single" w:color="auto" w:sz="4" w:space="0"/>
              <w:right w:val="single" w:color="auto" w:sz="4" w:space="0"/>
            </w:tcBorders>
            <w:noWrap w:val="0"/>
            <w:vAlign w:val="center"/>
          </w:tcPr>
          <w:p>
            <w:pPr>
              <w:spacing w:line="320" w:lineRule="exact"/>
              <w:ind w:firstLine="315" w:firstLineChars="150"/>
              <w:rPr>
                <w:rFonts w:hint="eastAsia" w:ascii="仿宋_GB2312" w:eastAsia="仿宋_GB2312"/>
                <w:bCs/>
                <w:szCs w:val="21"/>
              </w:rPr>
            </w:pPr>
          </w:p>
        </w:tc>
        <w:tc>
          <w:tcPr>
            <w:tcW w:w="728" w:type="dxa"/>
            <w:tcBorders>
              <w:top w:val="nil"/>
              <w:left w:val="single" w:color="auto" w:sz="4" w:space="0"/>
              <w:bottom w:val="single" w:color="auto" w:sz="4" w:space="0"/>
              <w:right w:val="single" w:color="auto" w:sz="4" w:space="0"/>
            </w:tcBorders>
            <w:noWrap w:val="0"/>
            <w:vAlign w:val="center"/>
          </w:tcPr>
          <w:p>
            <w:pPr>
              <w:spacing w:line="320" w:lineRule="exact"/>
              <w:ind w:firstLine="315" w:firstLineChars="150"/>
              <w:rPr>
                <w:rFonts w:hint="eastAsia" w:ascii="仿宋_GB2312" w:eastAsia="仿宋_GB2312"/>
                <w:bCs/>
                <w:szCs w:val="21"/>
              </w:rPr>
            </w:pPr>
          </w:p>
        </w:tc>
        <w:tc>
          <w:tcPr>
            <w:tcW w:w="728" w:type="dxa"/>
            <w:tcBorders>
              <w:top w:val="nil"/>
              <w:left w:val="single" w:color="auto" w:sz="4" w:space="0"/>
              <w:bottom w:val="single" w:color="auto" w:sz="4" w:space="0"/>
              <w:right w:val="single" w:color="auto" w:sz="4" w:space="0"/>
            </w:tcBorders>
            <w:noWrap w:val="0"/>
            <w:vAlign w:val="center"/>
          </w:tcPr>
          <w:p>
            <w:pPr>
              <w:spacing w:line="320" w:lineRule="exact"/>
              <w:ind w:firstLine="315" w:firstLineChars="150"/>
              <w:rPr>
                <w:rFonts w:hint="eastAsia" w:ascii="仿宋_GB2312" w:eastAsia="仿宋_GB2312"/>
                <w:bCs/>
                <w:szCs w:val="21"/>
              </w:rPr>
            </w:pPr>
          </w:p>
        </w:tc>
        <w:tc>
          <w:tcPr>
            <w:tcW w:w="728" w:type="dxa"/>
            <w:tcBorders>
              <w:top w:val="nil"/>
              <w:left w:val="single" w:color="auto" w:sz="4" w:space="0"/>
              <w:bottom w:val="single" w:color="auto" w:sz="4" w:space="0"/>
              <w:right w:val="single" w:color="auto" w:sz="4" w:space="0"/>
            </w:tcBorders>
            <w:noWrap w:val="0"/>
            <w:vAlign w:val="center"/>
          </w:tcPr>
          <w:p>
            <w:pPr>
              <w:spacing w:line="320" w:lineRule="exact"/>
              <w:ind w:firstLine="315" w:firstLineChars="150"/>
              <w:rPr>
                <w:rFonts w:hint="eastAsia" w:ascii="仿宋_GB2312" w:eastAsia="仿宋_GB2312"/>
                <w:bCs/>
                <w:szCs w:val="21"/>
              </w:rPr>
            </w:pPr>
          </w:p>
        </w:tc>
      </w:tr>
    </w:tbl>
    <w:p>
      <w:pPr>
        <w:spacing w:line="320" w:lineRule="exact"/>
        <w:rPr>
          <w:rFonts w:hint="eastAsia" w:ascii="仿宋_GB2312" w:eastAsia="仿宋_GB2312"/>
          <w:bCs/>
          <w:szCs w:val="21"/>
        </w:rPr>
      </w:pPr>
      <w:r>
        <w:rPr>
          <w:rFonts w:hint="eastAsia" w:ascii="仿宋_GB2312" w:eastAsia="仿宋_GB2312"/>
          <w:bCs/>
          <w:szCs w:val="21"/>
        </w:rPr>
        <w:t>备注：1、“是否通过并进入下一阶段评审”一栏应写“通过”“不通过”。</w:t>
      </w:r>
    </w:p>
    <w:p>
      <w:pPr>
        <w:spacing w:line="320" w:lineRule="exact"/>
        <w:ind w:firstLine="315" w:firstLineChars="150"/>
        <w:rPr>
          <w:rFonts w:hint="eastAsia" w:ascii="仿宋_GB2312" w:eastAsia="仿宋_GB2312"/>
          <w:bCs/>
          <w:szCs w:val="21"/>
        </w:rPr>
      </w:pPr>
      <w:r>
        <w:rPr>
          <w:rFonts w:hint="eastAsia" w:ascii="仿宋_GB2312" w:eastAsia="仿宋_GB2312"/>
          <w:bCs/>
          <w:szCs w:val="21"/>
        </w:rPr>
        <w:t xml:space="preserve">   2、符合上述情况的打“○”，不符合的打“×”。</w:t>
      </w:r>
    </w:p>
    <w:p>
      <w:pPr>
        <w:spacing w:line="320" w:lineRule="exact"/>
        <w:ind w:firstLine="315" w:firstLineChars="150"/>
        <w:rPr>
          <w:rFonts w:hint="eastAsia" w:ascii="仿宋_GB2312" w:eastAsia="仿宋_GB2312"/>
          <w:bCs/>
          <w:szCs w:val="21"/>
        </w:rPr>
      </w:pPr>
      <w:r>
        <w:rPr>
          <w:rFonts w:hint="eastAsia" w:ascii="仿宋_GB2312" w:eastAsia="仿宋_GB2312"/>
          <w:bCs/>
          <w:szCs w:val="21"/>
        </w:rPr>
        <w:t xml:space="preserve">   3、经评标委员会审核后，出现一个“×”的结论为“不通过”，即按废标处理。</w:t>
      </w:r>
    </w:p>
    <w:p>
      <w:pPr>
        <w:spacing w:line="320" w:lineRule="exact"/>
        <w:ind w:firstLine="315" w:firstLineChars="150"/>
        <w:rPr>
          <w:rFonts w:hint="eastAsia" w:ascii="仿宋_GB2312" w:eastAsia="仿宋_GB2312"/>
          <w:bCs/>
          <w:szCs w:val="21"/>
        </w:rPr>
      </w:pPr>
      <w:r>
        <w:rPr>
          <w:rFonts w:hint="eastAsia" w:ascii="仿宋_GB2312" w:eastAsia="仿宋_GB2312"/>
          <w:bCs/>
          <w:szCs w:val="21"/>
        </w:rPr>
        <w:t xml:space="preserve">   4、表中全部条件满足为“通过”，同意进入下一阶段评审。</w:t>
      </w:r>
    </w:p>
    <w:p>
      <w:pPr>
        <w:spacing w:line="320" w:lineRule="exact"/>
        <w:ind w:firstLine="315" w:firstLineChars="150"/>
        <w:rPr>
          <w:rFonts w:hint="eastAsia" w:ascii="仿宋_GB2312" w:eastAsia="仿宋_GB2312"/>
          <w:bCs/>
          <w:szCs w:val="21"/>
        </w:rPr>
      </w:pPr>
      <w:r>
        <w:rPr>
          <w:rFonts w:hint="eastAsia" w:ascii="仿宋_GB2312" w:eastAsia="仿宋_GB2312"/>
          <w:bCs/>
          <w:szCs w:val="21"/>
        </w:rPr>
        <w:t xml:space="preserve">   5、若评委意见不一致时，则按少数服从多数的原则，决定该投标人是否通过符合性审查，进入下一阶段评审。</w:t>
      </w:r>
    </w:p>
    <w:p>
      <w:pPr>
        <w:spacing w:line="320" w:lineRule="exact"/>
        <w:ind w:firstLine="315" w:firstLineChars="150"/>
        <w:rPr>
          <w:rFonts w:hint="eastAsia" w:ascii="仿宋_GB2312" w:eastAsia="仿宋_GB2312"/>
          <w:bCs/>
          <w:szCs w:val="21"/>
        </w:rPr>
      </w:pPr>
    </w:p>
    <w:p>
      <w:pPr>
        <w:spacing w:line="320" w:lineRule="exact"/>
        <w:ind w:firstLine="315" w:firstLineChars="150"/>
        <w:jc w:val="center"/>
        <w:rPr>
          <w:rFonts w:hint="eastAsia" w:ascii="仿宋_GB2312" w:eastAsia="仿宋_GB2312"/>
          <w:bCs/>
          <w:szCs w:val="21"/>
        </w:rPr>
      </w:pPr>
      <w:r>
        <w:rPr>
          <w:rFonts w:hint="eastAsia" w:ascii="仿宋_GB2312" w:eastAsia="仿宋_GB2312"/>
          <w:bCs/>
          <w:szCs w:val="21"/>
        </w:rPr>
        <w:t>评审人员签名：                     日期：</w:t>
      </w:r>
    </w:p>
    <w:p>
      <w:pPr>
        <w:spacing w:line="320" w:lineRule="exact"/>
        <w:ind w:firstLine="315" w:firstLineChars="150"/>
        <w:rPr>
          <w:rFonts w:hint="eastAsia" w:ascii="仿宋_GB2312" w:eastAsia="仿宋_GB2312"/>
          <w:bCs/>
          <w:szCs w:val="21"/>
        </w:rPr>
      </w:pPr>
    </w:p>
    <w:p>
      <w:pPr>
        <w:spacing w:line="340" w:lineRule="exact"/>
        <w:rPr>
          <w:rFonts w:ascii="黑体" w:hAnsi="黑体" w:eastAsia="黑体" w:cs="黑体"/>
          <w:bCs/>
          <w:sz w:val="32"/>
          <w:szCs w:val="32"/>
        </w:rPr>
      </w:pPr>
      <w:r>
        <w:rPr>
          <w:rFonts w:hint="eastAsia" w:ascii="黑体" w:hAnsi="黑体" w:eastAsia="黑体" w:cs="黑体"/>
          <w:bCs/>
          <w:sz w:val="32"/>
          <w:szCs w:val="32"/>
        </w:rPr>
        <w:br w:type="page"/>
      </w:r>
      <w:r>
        <w:rPr>
          <w:rFonts w:hint="eastAsia" w:ascii="黑体" w:hAnsi="黑体" w:eastAsia="黑体" w:cs="黑体"/>
          <w:bCs/>
          <w:sz w:val="32"/>
          <w:szCs w:val="32"/>
        </w:rPr>
        <w:t>附件2：评分表</w:t>
      </w:r>
    </w:p>
    <w:tbl>
      <w:tblPr>
        <w:tblStyle w:val="5"/>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455"/>
        <w:gridCol w:w="18"/>
        <w:gridCol w:w="442"/>
        <w:gridCol w:w="1089"/>
        <w:gridCol w:w="4272"/>
        <w:gridCol w:w="500"/>
        <w:gridCol w:w="596"/>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9" w:type="dxa"/>
            <w:vMerge w:val="restart"/>
            <w:tcBorders>
              <w:top w:val="single" w:color="auto" w:sz="4" w:space="0"/>
              <w:left w:val="single" w:color="auto" w:sz="4" w:space="0"/>
              <w:right w:val="single" w:color="auto" w:sz="4" w:space="0"/>
            </w:tcBorders>
            <w:noWrap w:val="0"/>
            <w:vAlign w:val="center"/>
          </w:tcPr>
          <w:p>
            <w:pPr>
              <w:spacing w:line="320" w:lineRule="exact"/>
              <w:rPr>
                <w:rFonts w:ascii="仿宋_GB2312" w:eastAsia="仿宋_GB2312"/>
                <w:bCs/>
                <w:szCs w:val="21"/>
              </w:rPr>
            </w:pPr>
          </w:p>
          <w:p>
            <w:pPr>
              <w:spacing w:line="320" w:lineRule="exact"/>
              <w:rPr>
                <w:rFonts w:ascii="仿宋_GB2312" w:eastAsia="仿宋_GB2312"/>
                <w:bCs/>
                <w:szCs w:val="21"/>
              </w:rPr>
            </w:pPr>
            <w:r>
              <w:rPr>
                <w:rFonts w:hint="eastAsia" w:ascii="仿宋_GB2312" w:eastAsia="仿宋_GB2312"/>
                <w:bCs/>
                <w:szCs w:val="21"/>
              </w:rPr>
              <w:t>评分项目</w:t>
            </w:r>
          </w:p>
        </w:tc>
        <w:tc>
          <w:tcPr>
            <w:tcW w:w="91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bCs/>
                <w:szCs w:val="21"/>
              </w:rPr>
            </w:pPr>
            <w:r>
              <w:rPr>
                <w:rFonts w:hint="eastAsia" w:ascii="仿宋_GB2312" w:eastAsia="仿宋_GB2312"/>
                <w:bCs/>
                <w:szCs w:val="21"/>
              </w:rPr>
              <w:t>基础分</w:t>
            </w:r>
          </w:p>
        </w:tc>
        <w:tc>
          <w:tcPr>
            <w:tcW w:w="5361" w:type="dxa"/>
            <w:gridSpan w:val="2"/>
            <w:vMerge w:val="restart"/>
            <w:tcBorders>
              <w:top w:val="single" w:color="auto" w:sz="4" w:space="0"/>
              <w:left w:val="single" w:color="auto" w:sz="4" w:space="0"/>
              <w:right w:val="single" w:color="auto" w:sz="4" w:space="0"/>
            </w:tcBorders>
            <w:noWrap w:val="0"/>
            <w:vAlign w:val="center"/>
          </w:tcPr>
          <w:p>
            <w:pPr>
              <w:spacing w:line="320" w:lineRule="exact"/>
              <w:ind w:firstLine="315" w:firstLineChars="150"/>
              <w:jc w:val="center"/>
              <w:rPr>
                <w:rFonts w:ascii="仿宋_GB2312" w:eastAsia="仿宋_GB2312"/>
                <w:bCs/>
                <w:szCs w:val="21"/>
              </w:rPr>
            </w:pPr>
            <w:r>
              <w:rPr>
                <w:rFonts w:hint="eastAsia" w:ascii="仿宋_GB2312" w:eastAsia="仿宋_GB2312"/>
                <w:bCs/>
                <w:szCs w:val="21"/>
              </w:rPr>
              <w:t>分项内容及要求</w:t>
            </w:r>
          </w:p>
        </w:tc>
        <w:tc>
          <w:tcPr>
            <w:tcW w:w="1096" w:type="dxa"/>
            <w:gridSpan w:val="2"/>
            <w:tcBorders>
              <w:top w:val="single" w:color="auto" w:sz="4" w:space="0"/>
              <w:left w:val="single" w:color="auto" w:sz="4" w:space="0"/>
              <w:right w:val="single" w:color="auto" w:sz="4" w:space="0"/>
            </w:tcBorders>
            <w:noWrap w:val="0"/>
            <w:vAlign w:val="center"/>
          </w:tcPr>
          <w:p>
            <w:pPr>
              <w:spacing w:line="320" w:lineRule="exact"/>
              <w:rPr>
                <w:rFonts w:ascii="仿宋_GB2312" w:eastAsia="仿宋_GB2312"/>
                <w:bCs/>
                <w:szCs w:val="21"/>
              </w:rPr>
            </w:pPr>
            <w:r>
              <w:rPr>
                <w:rFonts w:hint="eastAsia" w:ascii="仿宋_GB2312" w:eastAsia="仿宋_GB2312"/>
                <w:bCs/>
                <w:szCs w:val="21"/>
              </w:rPr>
              <w:t>候选者及其得分</w:t>
            </w:r>
          </w:p>
        </w:tc>
        <w:tc>
          <w:tcPr>
            <w:tcW w:w="1065" w:type="dxa"/>
            <w:vMerge w:val="restart"/>
            <w:tcBorders>
              <w:top w:val="single" w:color="auto" w:sz="4" w:space="0"/>
              <w:left w:val="single" w:color="auto" w:sz="4" w:space="0"/>
              <w:right w:val="single" w:color="auto" w:sz="4" w:space="0"/>
            </w:tcBorders>
            <w:noWrap w:val="0"/>
            <w:vAlign w:val="center"/>
          </w:tcPr>
          <w:p>
            <w:pPr>
              <w:spacing w:line="320" w:lineRule="exact"/>
              <w:rPr>
                <w:rFonts w:ascii="仿宋_GB2312" w:eastAsia="仿宋_GB2312"/>
                <w:bCs/>
                <w:szCs w:val="21"/>
              </w:rPr>
            </w:pPr>
            <w:r>
              <w:rPr>
                <w:rFonts w:hint="eastAsia" w:ascii="仿宋_GB2312" w:eastAsia="仿宋_GB2312"/>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9" w:type="dxa"/>
            <w:vMerge w:val="continue"/>
            <w:tcBorders>
              <w:top w:val="single" w:color="auto" w:sz="4" w:space="0"/>
              <w:left w:val="single" w:color="auto" w:sz="4" w:space="0"/>
              <w:right w:val="single" w:color="auto" w:sz="4" w:space="0"/>
            </w:tcBorders>
            <w:noWrap w:val="0"/>
            <w:vAlign w:val="center"/>
          </w:tcPr>
          <w:p>
            <w:pPr>
              <w:spacing w:line="320" w:lineRule="exact"/>
              <w:jc w:val="center"/>
            </w:pPr>
          </w:p>
        </w:tc>
        <w:tc>
          <w:tcPr>
            <w:tcW w:w="4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pPr>
            <w:r>
              <w:rPr>
                <w:rFonts w:hint="eastAsia" w:ascii="仿宋_GB2312" w:eastAsia="仿宋_GB2312"/>
                <w:bCs/>
                <w:szCs w:val="21"/>
              </w:rPr>
              <w:t>总计</w:t>
            </w:r>
          </w:p>
        </w:tc>
        <w:tc>
          <w:tcPr>
            <w:tcW w:w="46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bCs/>
                <w:szCs w:val="21"/>
              </w:rPr>
            </w:pPr>
            <w:r>
              <w:rPr>
                <w:rFonts w:hint="eastAsia" w:ascii="仿宋_GB2312" w:eastAsia="仿宋_GB2312"/>
                <w:bCs/>
                <w:szCs w:val="21"/>
              </w:rPr>
              <w:t>小计</w:t>
            </w:r>
          </w:p>
        </w:tc>
        <w:tc>
          <w:tcPr>
            <w:tcW w:w="5361" w:type="dxa"/>
            <w:gridSpan w:val="2"/>
            <w:vMerge w:val="continue"/>
            <w:tcBorders>
              <w:top w:val="single" w:color="auto" w:sz="4" w:space="0"/>
              <w:left w:val="single" w:color="auto" w:sz="4" w:space="0"/>
              <w:right w:val="single" w:color="auto" w:sz="4" w:space="0"/>
            </w:tcBorders>
            <w:noWrap w:val="0"/>
            <w:vAlign w:val="center"/>
          </w:tcPr>
          <w:p>
            <w:pPr>
              <w:spacing w:line="320" w:lineRule="exact"/>
              <w:jc w:val="center"/>
              <w:rPr>
                <w:rFonts w:ascii="仿宋_GB2312" w:eastAsia="仿宋_GB2312"/>
                <w:bCs/>
                <w:szCs w:val="21"/>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pPr>
          </w:p>
        </w:tc>
        <w:tc>
          <w:tcPr>
            <w:tcW w:w="5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bCs/>
                <w:szCs w:val="21"/>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79" w:type="dxa"/>
            <w:vMerge w:val="restart"/>
            <w:tcBorders>
              <w:left w:val="single" w:color="auto" w:sz="4" w:space="0"/>
              <w:right w:val="single" w:color="auto" w:sz="4" w:space="0"/>
            </w:tcBorders>
            <w:noWrap w:val="0"/>
            <w:vAlign w:val="center"/>
          </w:tcPr>
          <w:p>
            <w:pPr>
              <w:spacing w:line="320" w:lineRule="exact"/>
              <w:rPr>
                <w:rFonts w:ascii="仿宋_GB2312" w:eastAsia="仿宋_GB2312"/>
                <w:bCs/>
                <w:szCs w:val="21"/>
              </w:rPr>
            </w:pPr>
            <w:r>
              <w:rPr>
                <w:rFonts w:hint="eastAsia" w:ascii="仿宋_GB2312" w:eastAsia="仿宋_GB2312"/>
                <w:bCs/>
                <w:szCs w:val="21"/>
              </w:rPr>
              <w:t>律师事务所情况</w:t>
            </w:r>
          </w:p>
        </w:tc>
        <w:tc>
          <w:tcPr>
            <w:tcW w:w="473" w:type="dxa"/>
            <w:gridSpan w:val="2"/>
            <w:vMerge w:val="restart"/>
            <w:tcBorders>
              <w:left w:val="single" w:color="auto" w:sz="4" w:space="0"/>
              <w:right w:val="single" w:color="auto" w:sz="4" w:space="0"/>
            </w:tcBorders>
            <w:noWrap w:val="0"/>
            <w:vAlign w:val="center"/>
          </w:tcPr>
          <w:p>
            <w:pPr>
              <w:spacing w:line="320" w:lineRule="exact"/>
              <w:rPr>
                <w:rFonts w:ascii="仿宋_GB2312" w:eastAsia="仿宋_GB2312"/>
                <w:bCs/>
                <w:szCs w:val="21"/>
              </w:rPr>
            </w:pPr>
            <w:r>
              <w:rPr>
                <w:rFonts w:hint="eastAsia" w:ascii="仿宋_GB2312" w:eastAsia="仿宋_GB2312"/>
                <w:bCs/>
                <w:szCs w:val="21"/>
              </w:rPr>
              <w:t>17</w:t>
            </w:r>
          </w:p>
        </w:tc>
        <w:tc>
          <w:tcPr>
            <w:tcW w:w="442" w:type="dxa"/>
            <w:tcBorders>
              <w:top w:val="single" w:color="auto" w:sz="4" w:space="0"/>
              <w:left w:val="single" w:color="auto" w:sz="4" w:space="0"/>
              <w:right w:val="single" w:color="auto" w:sz="4" w:space="0"/>
            </w:tcBorders>
            <w:noWrap w:val="0"/>
            <w:vAlign w:val="center"/>
          </w:tcPr>
          <w:p>
            <w:pPr>
              <w:spacing w:line="320" w:lineRule="exact"/>
              <w:rPr>
                <w:rFonts w:ascii="仿宋_GB2312" w:eastAsia="仿宋_GB2312"/>
                <w:bCs/>
                <w:szCs w:val="21"/>
              </w:rPr>
            </w:pPr>
            <w:r>
              <w:rPr>
                <w:rFonts w:hint="eastAsia" w:ascii="仿宋_GB2312" w:eastAsia="仿宋_GB2312"/>
                <w:bCs/>
                <w:szCs w:val="21"/>
              </w:rPr>
              <w:t>5</w:t>
            </w:r>
          </w:p>
        </w:tc>
        <w:tc>
          <w:tcPr>
            <w:tcW w:w="1089" w:type="dxa"/>
            <w:tcBorders>
              <w:top w:val="single" w:color="auto" w:sz="4" w:space="0"/>
              <w:left w:val="single" w:color="auto" w:sz="4" w:space="0"/>
              <w:right w:val="single" w:color="auto" w:sz="4" w:space="0"/>
            </w:tcBorders>
            <w:noWrap w:val="0"/>
            <w:vAlign w:val="center"/>
          </w:tcPr>
          <w:p>
            <w:pPr>
              <w:spacing w:line="320" w:lineRule="exact"/>
              <w:rPr>
                <w:rFonts w:ascii="仿宋_GB2312" w:eastAsia="仿宋_GB2312"/>
                <w:bCs/>
                <w:szCs w:val="21"/>
              </w:rPr>
            </w:pPr>
            <w:r>
              <w:rPr>
                <w:rFonts w:hint="eastAsia" w:ascii="仿宋_GB2312" w:eastAsia="仿宋_GB2312"/>
                <w:bCs/>
                <w:szCs w:val="21"/>
              </w:rPr>
              <w:t>党建要求</w:t>
            </w:r>
          </w:p>
        </w:tc>
        <w:tc>
          <w:tcPr>
            <w:tcW w:w="4272" w:type="dxa"/>
            <w:tcBorders>
              <w:top w:val="single" w:color="auto" w:sz="4" w:space="0"/>
              <w:left w:val="single" w:color="auto" w:sz="4" w:space="0"/>
              <w:right w:val="single" w:color="auto" w:sz="4" w:space="0"/>
            </w:tcBorders>
            <w:noWrap w:val="0"/>
            <w:vAlign w:val="center"/>
          </w:tcPr>
          <w:p>
            <w:pPr>
              <w:spacing w:line="320" w:lineRule="exact"/>
              <w:rPr>
                <w:rFonts w:ascii="仿宋_GB2312" w:eastAsia="仿宋_GB2312"/>
                <w:bCs/>
                <w:color w:val="auto"/>
                <w:szCs w:val="21"/>
              </w:rPr>
            </w:pPr>
            <w:r>
              <w:rPr>
                <w:rFonts w:hint="eastAsia" w:ascii="仿宋_GB2312" w:eastAsia="仿宋_GB2312"/>
                <w:bCs/>
                <w:color w:val="auto"/>
                <w:szCs w:val="21"/>
              </w:rPr>
              <w:t>常驻服务机构成立党组织的得3分；获得党建相关荣誉的得2分。</w:t>
            </w:r>
          </w:p>
        </w:tc>
        <w:tc>
          <w:tcPr>
            <w:tcW w:w="500" w:type="dxa"/>
            <w:tcBorders>
              <w:top w:val="single" w:color="auto" w:sz="4" w:space="0"/>
              <w:left w:val="single" w:color="auto" w:sz="4" w:space="0"/>
              <w:right w:val="single" w:color="auto" w:sz="4" w:space="0"/>
            </w:tcBorders>
            <w:noWrap w:val="0"/>
            <w:vAlign w:val="center"/>
          </w:tcPr>
          <w:p>
            <w:pPr>
              <w:spacing w:line="320" w:lineRule="exact"/>
              <w:ind w:firstLine="315" w:firstLineChars="150"/>
              <w:rPr>
                <w:rFonts w:ascii="仿宋_GB2312" w:eastAsia="仿宋_GB2312"/>
                <w:bCs/>
                <w:color w:val="auto"/>
                <w:szCs w:val="21"/>
              </w:rPr>
            </w:pPr>
          </w:p>
        </w:tc>
        <w:tc>
          <w:tcPr>
            <w:tcW w:w="596" w:type="dxa"/>
            <w:tcBorders>
              <w:top w:val="single" w:color="auto" w:sz="4" w:space="0"/>
              <w:left w:val="single" w:color="auto" w:sz="4" w:space="0"/>
              <w:right w:val="single" w:color="auto" w:sz="4" w:space="0"/>
            </w:tcBorders>
            <w:noWrap w:val="0"/>
            <w:vAlign w:val="center"/>
          </w:tcPr>
          <w:p>
            <w:pPr>
              <w:spacing w:line="320" w:lineRule="exact"/>
              <w:ind w:firstLine="315" w:firstLineChars="150"/>
              <w:rPr>
                <w:rFonts w:ascii="仿宋_GB2312" w:eastAsia="仿宋_GB2312"/>
                <w:bCs/>
                <w:color w:val="auto"/>
                <w:szCs w:val="21"/>
              </w:rPr>
            </w:pPr>
          </w:p>
        </w:tc>
        <w:tc>
          <w:tcPr>
            <w:tcW w:w="1065" w:type="dxa"/>
            <w:tcBorders>
              <w:top w:val="single" w:color="auto" w:sz="4" w:space="0"/>
              <w:left w:val="single" w:color="auto" w:sz="4" w:space="0"/>
              <w:right w:val="single" w:color="auto" w:sz="4" w:space="0"/>
            </w:tcBorders>
            <w:noWrap w:val="0"/>
            <w:vAlign w:val="center"/>
          </w:tcPr>
          <w:p>
            <w:pPr>
              <w:spacing w:line="320" w:lineRule="exact"/>
              <w:rPr>
                <w:rFonts w:ascii="仿宋_GB2312" w:eastAsia="仿宋_GB2312"/>
                <w:bCs/>
                <w:color w:val="auto"/>
                <w:szCs w:val="21"/>
              </w:rPr>
            </w:pPr>
            <w:r>
              <w:rPr>
                <w:rFonts w:hint="eastAsia" w:ascii="仿宋_GB2312" w:eastAsia="仿宋_GB2312"/>
                <w:bCs/>
                <w:color w:val="auto"/>
                <w:szCs w:val="21"/>
              </w:rPr>
              <w:t>提供党组织成立文件、荣誉证明文件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9" w:type="dxa"/>
            <w:vMerge w:val="continue"/>
            <w:tcBorders>
              <w:left w:val="single" w:color="auto" w:sz="4" w:space="0"/>
              <w:right w:val="single" w:color="auto" w:sz="4" w:space="0"/>
            </w:tcBorders>
            <w:noWrap w:val="0"/>
            <w:vAlign w:val="center"/>
          </w:tcPr>
          <w:p>
            <w:pPr>
              <w:spacing w:line="320" w:lineRule="exact"/>
              <w:ind w:firstLine="315" w:firstLineChars="150"/>
              <w:rPr>
                <w:rFonts w:ascii="仿宋_GB2312" w:eastAsia="仿宋_GB2312"/>
                <w:bCs/>
                <w:szCs w:val="21"/>
              </w:rPr>
            </w:pPr>
          </w:p>
        </w:tc>
        <w:tc>
          <w:tcPr>
            <w:tcW w:w="473" w:type="dxa"/>
            <w:gridSpan w:val="2"/>
            <w:vMerge w:val="continue"/>
            <w:tcBorders>
              <w:left w:val="single" w:color="auto" w:sz="4" w:space="0"/>
              <w:right w:val="single" w:color="auto" w:sz="4" w:space="0"/>
            </w:tcBorders>
            <w:noWrap w:val="0"/>
            <w:vAlign w:val="center"/>
          </w:tcPr>
          <w:p>
            <w:pPr>
              <w:spacing w:line="320" w:lineRule="exact"/>
              <w:ind w:firstLine="315" w:firstLineChars="150"/>
              <w:rPr>
                <w:rFonts w:ascii="仿宋_GB2312" w:eastAsia="仿宋_GB2312"/>
                <w:bCs/>
                <w:szCs w:val="21"/>
              </w:rPr>
            </w:pPr>
          </w:p>
        </w:tc>
        <w:tc>
          <w:tcPr>
            <w:tcW w:w="4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szCs w:val="21"/>
              </w:rPr>
            </w:pPr>
            <w:r>
              <w:rPr>
                <w:rFonts w:hint="eastAsia" w:ascii="仿宋_GB2312" w:eastAsia="仿宋_GB2312"/>
                <w:bCs/>
                <w:szCs w:val="21"/>
              </w:rPr>
              <w:t>6</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szCs w:val="21"/>
              </w:rPr>
            </w:pPr>
            <w:r>
              <w:rPr>
                <w:rFonts w:hint="eastAsia" w:ascii="仿宋_GB2312" w:eastAsia="仿宋_GB2312"/>
                <w:bCs/>
                <w:szCs w:val="21"/>
              </w:rPr>
              <w:t>获得荣誉及奖励</w:t>
            </w:r>
          </w:p>
        </w:tc>
        <w:tc>
          <w:tcPr>
            <w:tcW w:w="42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color w:val="auto"/>
                <w:szCs w:val="21"/>
              </w:rPr>
            </w:pPr>
            <w:r>
              <w:rPr>
                <w:rFonts w:hint="eastAsia" w:ascii="仿宋_GB2312" w:eastAsia="仿宋_GB2312"/>
                <w:bCs/>
                <w:color w:val="auto"/>
                <w:szCs w:val="21"/>
              </w:rPr>
              <w:t>获得国家级荣誉或奖励的1项得3分，国际权威法律评级机构评级榜单或荣誉、省级荣誉或奖励的1项得2分，市级荣誉或奖励的1项得1分，最多得6分。</w:t>
            </w:r>
          </w:p>
        </w:tc>
        <w:tc>
          <w:tcPr>
            <w:tcW w:w="5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ascii="仿宋_GB2312" w:eastAsia="仿宋_GB2312"/>
                <w:bCs/>
                <w:color w:val="auto"/>
                <w:szCs w:val="21"/>
              </w:rPr>
            </w:pPr>
          </w:p>
        </w:tc>
        <w:tc>
          <w:tcPr>
            <w:tcW w:w="5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ascii="仿宋_GB2312" w:eastAsia="仿宋_GB2312"/>
                <w:bCs/>
                <w:color w:val="auto"/>
                <w:szCs w:val="21"/>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color w:val="auto"/>
                <w:szCs w:val="21"/>
              </w:rPr>
            </w:pPr>
            <w:r>
              <w:rPr>
                <w:rFonts w:hint="eastAsia" w:ascii="仿宋_GB2312" w:eastAsia="仿宋_GB2312"/>
                <w:bCs/>
                <w:color w:val="auto"/>
                <w:szCs w:val="21"/>
              </w:rPr>
              <w:t>提供获奖证明材料复印件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679" w:type="dxa"/>
            <w:vMerge w:val="continue"/>
            <w:tcBorders>
              <w:left w:val="single" w:color="auto" w:sz="4" w:space="0"/>
              <w:right w:val="single" w:color="auto" w:sz="4" w:space="0"/>
            </w:tcBorders>
            <w:noWrap w:val="0"/>
            <w:vAlign w:val="center"/>
          </w:tcPr>
          <w:p>
            <w:pPr>
              <w:spacing w:line="320" w:lineRule="exact"/>
              <w:ind w:firstLine="315" w:firstLineChars="150"/>
              <w:rPr>
                <w:rFonts w:ascii="仿宋_GB2312" w:eastAsia="仿宋_GB2312"/>
                <w:bCs/>
                <w:szCs w:val="21"/>
              </w:rPr>
            </w:pPr>
          </w:p>
        </w:tc>
        <w:tc>
          <w:tcPr>
            <w:tcW w:w="473" w:type="dxa"/>
            <w:gridSpan w:val="2"/>
            <w:vMerge w:val="continue"/>
            <w:tcBorders>
              <w:left w:val="single" w:color="auto" w:sz="4" w:space="0"/>
              <w:right w:val="single" w:color="auto" w:sz="4" w:space="0"/>
            </w:tcBorders>
            <w:noWrap w:val="0"/>
            <w:vAlign w:val="center"/>
          </w:tcPr>
          <w:p>
            <w:pPr>
              <w:spacing w:line="320" w:lineRule="exact"/>
              <w:ind w:firstLine="315" w:firstLineChars="150"/>
              <w:rPr>
                <w:rFonts w:ascii="仿宋_GB2312" w:eastAsia="仿宋_GB2312"/>
                <w:bCs/>
                <w:szCs w:val="21"/>
              </w:rPr>
            </w:pPr>
          </w:p>
        </w:tc>
        <w:tc>
          <w:tcPr>
            <w:tcW w:w="442" w:type="dxa"/>
            <w:tcBorders>
              <w:top w:val="single" w:color="auto" w:sz="4" w:space="0"/>
              <w:left w:val="single" w:color="auto" w:sz="4" w:space="0"/>
              <w:right w:val="single" w:color="auto" w:sz="4" w:space="0"/>
            </w:tcBorders>
            <w:noWrap w:val="0"/>
            <w:vAlign w:val="center"/>
          </w:tcPr>
          <w:p>
            <w:pPr>
              <w:spacing w:line="320" w:lineRule="exact"/>
              <w:jc w:val="left"/>
              <w:rPr>
                <w:rFonts w:ascii="仿宋_GB2312" w:eastAsia="仿宋_GB2312"/>
                <w:bCs/>
                <w:szCs w:val="21"/>
              </w:rPr>
            </w:pPr>
            <w:r>
              <w:rPr>
                <w:rFonts w:hint="eastAsia" w:ascii="仿宋_GB2312" w:eastAsia="仿宋_GB2312"/>
                <w:bCs/>
                <w:szCs w:val="21"/>
              </w:rPr>
              <w:t>6</w:t>
            </w:r>
          </w:p>
        </w:tc>
        <w:tc>
          <w:tcPr>
            <w:tcW w:w="1089" w:type="dxa"/>
            <w:tcBorders>
              <w:top w:val="single" w:color="auto" w:sz="4" w:space="0"/>
              <w:left w:val="single" w:color="auto" w:sz="4" w:space="0"/>
              <w:right w:val="single" w:color="auto" w:sz="4" w:space="0"/>
            </w:tcBorders>
            <w:noWrap w:val="0"/>
            <w:vAlign w:val="center"/>
          </w:tcPr>
          <w:p>
            <w:pPr>
              <w:spacing w:line="320" w:lineRule="exact"/>
              <w:rPr>
                <w:rFonts w:ascii="仿宋_GB2312" w:eastAsia="仿宋_GB2312"/>
                <w:bCs/>
                <w:color w:val="FF0000"/>
                <w:szCs w:val="21"/>
              </w:rPr>
            </w:pPr>
            <w:r>
              <w:rPr>
                <w:rFonts w:hint="eastAsia" w:ascii="仿宋_GB2312" w:eastAsia="仿宋_GB2312"/>
                <w:bCs/>
                <w:color w:val="auto"/>
                <w:szCs w:val="21"/>
              </w:rPr>
              <w:t>工程建设服务经验</w:t>
            </w:r>
          </w:p>
        </w:tc>
        <w:tc>
          <w:tcPr>
            <w:tcW w:w="4272" w:type="dxa"/>
            <w:tcBorders>
              <w:top w:val="single" w:color="auto" w:sz="4" w:space="0"/>
              <w:left w:val="single" w:color="auto" w:sz="4" w:space="0"/>
              <w:right w:val="single" w:color="auto" w:sz="4" w:space="0"/>
            </w:tcBorders>
            <w:noWrap w:val="0"/>
            <w:vAlign w:val="center"/>
          </w:tcPr>
          <w:p>
            <w:pPr>
              <w:spacing w:line="320" w:lineRule="exact"/>
              <w:rPr>
                <w:rFonts w:hint="eastAsia" w:ascii="仿宋_GB2312" w:eastAsia="仿宋_GB2312"/>
                <w:bCs/>
                <w:color w:val="auto"/>
                <w:szCs w:val="21"/>
              </w:rPr>
            </w:pPr>
            <w:r>
              <w:rPr>
                <w:rFonts w:hint="eastAsia" w:ascii="仿宋_GB2312" w:eastAsia="仿宋_GB2312"/>
                <w:bCs/>
                <w:color w:val="auto"/>
                <w:szCs w:val="21"/>
              </w:rPr>
              <w:t>本项目服务团队过往有关房地产开发或建设工程相关领域执业经验和案例，每项得一分，最高得6分；</w:t>
            </w:r>
          </w:p>
        </w:tc>
        <w:tc>
          <w:tcPr>
            <w:tcW w:w="500" w:type="dxa"/>
            <w:tcBorders>
              <w:top w:val="single" w:color="auto" w:sz="4" w:space="0"/>
              <w:left w:val="single" w:color="auto" w:sz="4" w:space="0"/>
              <w:right w:val="single" w:color="auto" w:sz="4" w:space="0"/>
            </w:tcBorders>
            <w:noWrap w:val="0"/>
            <w:vAlign w:val="center"/>
          </w:tcPr>
          <w:p>
            <w:pPr>
              <w:spacing w:line="320" w:lineRule="exact"/>
              <w:ind w:firstLine="315" w:firstLineChars="150"/>
              <w:rPr>
                <w:rFonts w:ascii="仿宋_GB2312" w:eastAsia="仿宋_GB2312"/>
                <w:bCs/>
                <w:color w:val="auto"/>
                <w:szCs w:val="21"/>
              </w:rPr>
            </w:pPr>
          </w:p>
        </w:tc>
        <w:tc>
          <w:tcPr>
            <w:tcW w:w="596" w:type="dxa"/>
            <w:tcBorders>
              <w:top w:val="single" w:color="auto" w:sz="4" w:space="0"/>
              <w:left w:val="single" w:color="auto" w:sz="4" w:space="0"/>
              <w:right w:val="single" w:color="auto" w:sz="4" w:space="0"/>
            </w:tcBorders>
            <w:noWrap w:val="0"/>
            <w:vAlign w:val="center"/>
          </w:tcPr>
          <w:p>
            <w:pPr>
              <w:spacing w:line="320" w:lineRule="exact"/>
              <w:ind w:firstLine="315" w:firstLineChars="150"/>
              <w:rPr>
                <w:rFonts w:ascii="仿宋_GB2312" w:eastAsia="仿宋_GB2312"/>
                <w:bCs/>
                <w:color w:val="auto"/>
                <w:szCs w:val="21"/>
              </w:rPr>
            </w:pPr>
          </w:p>
        </w:tc>
        <w:tc>
          <w:tcPr>
            <w:tcW w:w="1065" w:type="dxa"/>
            <w:tcBorders>
              <w:top w:val="single" w:color="auto" w:sz="4" w:space="0"/>
              <w:left w:val="single" w:color="auto" w:sz="4" w:space="0"/>
              <w:right w:val="single" w:color="auto" w:sz="4" w:space="0"/>
            </w:tcBorders>
            <w:noWrap w:val="0"/>
            <w:vAlign w:val="center"/>
          </w:tcPr>
          <w:p>
            <w:pPr>
              <w:jc w:val="left"/>
              <w:rPr>
                <w:rFonts w:ascii="仿宋_GB2312" w:eastAsia="仿宋_GB2312"/>
                <w:bCs/>
                <w:color w:val="auto"/>
                <w:szCs w:val="21"/>
              </w:rPr>
            </w:pPr>
            <w:r>
              <w:rPr>
                <w:rFonts w:hint="eastAsia" w:ascii="仿宋_GB2312" w:eastAsia="仿宋_GB2312"/>
                <w:bCs/>
                <w:color w:val="auto"/>
                <w:szCs w:val="21"/>
              </w:rPr>
              <w:t>提供合同关键页复印件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79" w:type="dxa"/>
            <w:vMerge w:val="restart"/>
            <w:tcBorders>
              <w:top w:val="single" w:color="auto" w:sz="4" w:space="0"/>
              <w:left w:val="single" w:color="auto" w:sz="4" w:space="0"/>
              <w:right w:val="single" w:color="auto" w:sz="4" w:space="0"/>
            </w:tcBorders>
            <w:noWrap w:val="0"/>
            <w:vAlign w:val="center"/>
          </w:tcPr>
          <w:p>
            <w:pPr>
              <w:spacing w:line="320" w:lineRule="exact"/>
              <w:rPr>
                <w:rFonts w:ascii="仿宋_GB2312" w:eastAsia="仿宋_GB2312"/>
                <w:bCs/>
                <w:szCs w:val="21"/>
              </w:rPr>
            </w:pPr>
            <w:r>
              <w:rPr>
                <w:rFonts w:hint="eastAsia" w:ascii="仿宋_GB2312" w:eastAsia="仿宋_GB2312"/>
                <w:bCs/>
                <w:szCs w:val="21"/>
              </w:rPr>
              <w:t xml:space="preserve">主办律师服务能力证明材料情况（指定一名主办律师） </w:t>
            </w:r>
          </w:p>
        </w:tc>
        <w:tc>
          <w:tcPr>
            <w:tcW w:w="473" w:type="dxa"/>
            <w:gridSpan w:val="2"/>
            <w:vMerge w:val="restart"/>
            <w:tcBorders>
              <w:top w:val="single" w:color="auto" w:sz="4" w:space="0"/>
              <w:left w:val="single" w:color="auto" w:sz="4" w:space="0"/>
              <w:right w:val="single" w:color="auto" w:sz="4" w:space="0"/>
            </w:tcBorders>
            <w:noWrap w:val="0"/>
            <w:vAlign w:val="center"/>
          </w:tcPr>
          <w:p>
            <w:pPr>
              <w:spacing w:line="320" w:lineRule="exact"/>
              <w:rPr>
                <w:rFonts w:ascii="仿宋_GB2312" w:eastAsia="仿宋_GB2312"/>
                <w:bCs/>
                <w:szCs w:val="21"/>
              </w:rPr>
            </w:pPr>
            <w:r>
              <w:rPr>
                <w:rFonts w:hint="eastAsia" w:ascii="仿宋_GB2312" w:eastAsia="仿宋_GB2312"/>
                <w:bCs/>
                <w:szCs w:val="21"/>
              </w:rPr>
              <w:t>38</w:t>
            </w:r>
          </w:p>
        </w:tc>
        <w:tc>
          <w:tcPr>
            <w:tcW w:w="442" w:type="dxa"/>
            <w:vMerge w:val="restart"/>
            <w:tcBorders>
              <w:top w:val="single" w:color="auto" w:sz="4" w:space="0"/>
              <w:left w:val="single" w:color="auto" w:sz="4" w:space="0"/>
              <w:right w:val="single" w:color="auto" w:sz="4" w:space="0"/>
            </w:tcBorders>
            <w:noWrap w:val="0"/>
            <w:vAlign w:val="center"/>
          </w:tcPr>
          <w:p>
            <w:pPr>
              <w:spacing w:line="320" w:lineRule="exact"/>
              <w:rPr>
                <w:rFonts w:ascii="仿宋_GB2312" w:eastAsia="仿宋_GB2312"/>
                <w:bCs/>
                <w:szCs w:val="21"/>
              </w:rPr>
            </w:pPr>
            <w:r>
              <w:rPr>
                <w:rFonts w:hint="eastAsia" w:ascii="仿宋_GB2312" w:eastAsia="仿宋_GB2312"/>
                <w:bCs/>
                <w:szCs w:val="21"/>
              </w:rPr>
              <w:t>6</w:t>
            </w:r>
          </w:p>
        </w:tc>
        <w:tc>
          <w:tcPr>
            <w:tcW w:w="1089" w:type="dxa"/>
            <w:vMerge w:val="restart"/>
            <w:tcBorders>
              <w:top w:val="single" w:color="auto" w:sz="4" w:space="0"/>
              <w:left w:val="single" w:color="auto" w:sz="4" w:space="0"/>
              <w:right w:val="single" w:color="auto" w:sz="4" w:space="0"/>
            </w:tcBorders>
            <w:noWrap w:val="0"/>
            <w:vAlign w:val="center"/>
          </w:tcPr>
          <w:p>
            <w:pPr>
              <w:spacing w:line="320" w:lineRule="exact"/>
              <w:rPr>
                <w:rFonts w:ascii="仿宋_GB2312" w:eastAsia="仿宋_GB2312"/>
                <w:bCs/>
                <w:szCs w:val="21"/>
              </w:rPr>
            </w:pPr>
            <w:r>
              <w:rPr>
                <w:rFonts w:hint="eastAsia" w:ascii="仿宋_GB2312" w:eastAsia="仿宋_GB2312"/>
                <w:bCs/>
                <w:szCs w:val="21"/>
              </w:rPr>
              <w:t>执业时间</w:t>
            </w:r>
          </w:p>
        </w:tc>
        <w:tc>
          <w:tcPr>
            <w:tcW w:w="42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color w:val="auto"/>
                <w:szCs w:val="21"/>
              </w:rPr>
            </w:pPr>
            <w:r>
              <w:rPr>
                <w:rFonts w:hint="eastAsia" w:ascii="仿宋_GB2312" w:eastAsia="仿宋_GB2312"/>
                <w:bCs/>
                <w:color w:val="auto"/>
                <w:szCs w:val="21"/>
              </w:rPr>
              <w:t>主办律师从业年限5年以上8年以下，得3分。</w:t>
            </w:r>
          </w:p>
        </w:tc>
        <w:tc>
          <w:tcPr>
            <w:tcW w:w="5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ascii="仿宋_GB2312" w:eastAsia="仿宋_GB2312"/>
                <w:bCs/>
                <w:color w:val="auto"/>
                <w:szCs w:val="21"/>
              </w:rPr>
            </w:pPr>
          </w:p>
        </w:tc>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ascii="仿宋_GB2312" w:eastAsia="仿宋_GB2312"/>
                <w:bCs/>
                <w:color w:val="auto"/>
                <w:szCs w:val="21"/>
              </w:rPr>
            </w:pPr>
          </w:p>
        </w:tc>
        <w:tc>
          <w:tcPr>
            <w:tcW w:w="106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color w:val="auto"/>
                <w:szCs w:val="21"/>
              </w:rPr>
            </w:pPr>
            <w:r>
              <w:rPr>
                <w:rFonts w:hint="eastAsia" w:ascii="仿宋_GB2312" w:eastAsia="仿宋_GB2312"/>
                <w:bCs/>
                <w:color w:val="auto"/>
                <w:szCs w:val="21"/>
              </w:rPr>
              <w:t>提供执业证件复印件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9" w:type="dxa"/>
            <w:vMerge w:val="continue"/>
            <w:tcBorders>
              <w:left w:val="single" w:color="auto" w:sz="4" w:space="0"/>
              <w:right w:val="single" w:color="auto" w:sz="4" w:space="0"/>
            </w:tcBorders>
            <w:noWrap w:val="0"/>
            <w:vAlign w:val="center"/>
          </w:tcPr>
          <w:p>
            <w:pPr>
              <w:spacing w:line="320" w:lineRule="exact"/>
              <w:rPr>
                <w:rFonts w:ascii="仿宋_GB2312" w:eastAsia="仿宋_GB2312"/>
                <w:bCs/>
                <w:szCs w:val="21"/>
              </w:rPr>
            </w:pPr>
          </w:p>
        </w:tc>
        <w:tc>
          <w:tcPr>
            <w:tcW w:w="473" w:type="dxa"/>
            <w:gridSpan w:val="2"/>
            <w:vMerge w:val="continue"/>
            <w:tcBorders>
              <w:left w:val="single" w:color="auto" w:sz="4" w:space="0"/>
              <w:right w:val="single" w:color="auto" w:sz="4" w:space="0"/>
            </w:tcBorders>
            <w:noWrap w:val="0"/>
            <w:vAlign w:val="center"/>
          </w:tcPr>
          <w:p>
            <w:pPr>
              <w:spacing w:line="320" w:lineRule="exact"/>
              <w:rPr>
                <w:rFonts w:ascii="仿宋_GB2312" w:eastAsia="仿宋_GB2312"/>
                <w:bCs/>
                <w:szCs w:val="21"/>
              </w:rPr>
            </w:pPr>
          </w:p>
        </w:tc>
        <w:tc>
          <w:tcPr>
            <w:tcW w:w="442" w:type="dxa"/>
            <w:vMerge w:val="continue"/>
            <w:tcBorders>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szCs w:val="21"/>
              </w:rPr>
            </w:pPr>
          </w:p>
        </w:tc>
        <w:tc>
          <w:tcPr>
            <w:tcW w:w="1089" w:type="dxa"/>
            <w:vMerge w:val="continue"/>
            <w:tcBorders>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szCs w:val="21"/>
              </w:rPr>
            </w:pPr>
          </w:p>
        </w:tc>
        <w:tc>
          <w:tcPr>
            <w:tcW w:w="42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color w:val="auto"/>
                <w:szCs w:val="21"/>
              </w:rPr>
            </w:pPr>
            <w:r>
              <w:rPr>
                <w:rFonts w:hint="eastAsia" w:ascii="仿宋_GB2312" w:eastAsia="仿宋_GB2312"/>
                <w:bCs/>
                <w:color w:val="auto"/>
                <w:szCs w:val="21"/>
              </w:rPr>
              <w:t>从业年限8年或以上，得6分</w:t>
            </w:r>
          </w:p>
        </w:tc>
        <w:tc>
          <w:tcPr>
            <w:tcW w:w="5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ascii="仿宋_GB2312" w:eastAsia="仿宋_GB2312"/>
                <w:bCs/>
                <w:color w:val="auto"/>
                <w:szCs w:val="21"/>
              </w:rPr>
            </w:pPr>
          </w:p>
        </w:tc>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ascii="仿宋_GB2312" w:eastAsia="仿宋_GB2312"/>
                <w:bCs/>
                <w:color w:val="auto"/>
                <w:szCs w:val="21"/>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ascii="仿宋_GB2312" w:eastAsia="仿宋_GB2312"/>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79" w:type="dxa"/>
            <w:vMerge w:val="continue"/>
            <w:tcBorders>
              <w:left w:val="single" w:color="auto" w:sz="4" w:space="0"/>
              <w:right w:val="single" w:color="auto" w:sz="4" w:space="0"/>
            </w:tcBorders>
            <w:noWrap w:val="0"/>
            <w:vAlign w:val="center"/>
          </w:tcPr>
          <w:p>
            <w:pPr>
              <w:spacing w:line="320" w:lineRule="exact"/>
              <w:ind w:firstLine="315" w:firstLineChars="150"/>
              <w:rPr>
                <w:rFonts w:ascii="仿宋_GB2312" w:eastAsia="仿宋_GB2312"/>
                <w:bCs/>
                <w:szCs w:val="21"/>
              </w:rPr>
            </w:pPr>
          </w:p>
        </w:tc>
        <w:tc>
          <w:tcPr>
            <w:tcW w:w="473" w:type="dxa"/>
            <w:gridSpan w:val="2"/>
            <w:vMerge w:val="continue"/>
            <w:tcBorders>
              <w:left w:val="single" w:color="auto" w:sz="4" w:space="0"/>
              <w:right w:val="single" w:color="auto" w:sz="4" w:space="0"/>
            </w:tcBorders>
            <w:noWrap w:val="0"/>
            <w:vAlign w:val="center"/>
          </w:tcPr>
          <w:p>
            <w:pPr>
              <w:spacing w:line="320" w:lineRule="exact"/>
              <w:ind w:firstLine="315" w:firstLineChars="150"/>
              <w:rPr>
                <w:rFonts w:ascii="仿宋_GB2312" w:eastAsia="仿宋_GB2312"/>
                <w:bCs/>
                <w:szCs w:val="21"/>
              </w:rPr>
            </w:pPr>
          </w:p>
        </w:tc>
        <w:tc>
          <w:tcPr>
            <w:tcW w:w="442" w:type="dxa"/>
            <w:vMerge w:val="restart"/>
            <w:tcBorders>
              <w:top w:val="single" w:color="auto" w:sz="4" w:space="0"/>
              <w:left w:val="single" w:color="auto" w:sz="4" w:space="0"/>
              <w:right w:val="single" w:color="auto" w:sz="4" w:space="0"/>
            </w:tcBorders>
            <w:noWrap w:val="0"/>
            <w:vAlign w:val="center"/>
          </w:tcPr>
          <w:p>
            <w:pPr>
              <w:spacing w:line="320" w:lineRule="exact"/>
              <w:rPr>
                <w:rFonts w:ascii="仿宋_GB2312" w:eastAsia="仿宋_GB2312"/>
                <w:bCs/>
                <w:szCs w:val="21"/>
              </w:rPr>
            </w:pPr>
            <w:r>
              <w:rPr>
                <w:rFonts w:hint="eastAsia" w:ascii="仿宋_GB2312" w:eastAsia="仿宋_GB2312"/>
                <w:bCs/>
                <w:szCs w:val="21"/>
              </w:rPr>
              <w:t>6</w:t>
            </w:r>
          </w:p>
        </w:tc>
        <w:tc>
          <w:tcPr>
            <w:tcW w:w="1089" w:type="dxa"/>
            <w:vMerge w:val="restart"/>
            <w:tcBorders>
              <w:top w:val="single" w:color="auto" w:sz="4" w:space="0"/>
              <w:left w:val="single" w:color="auto" w:sz="4" w:space="0"/>
              <w:right w:val="single" w:color="auto" w:sz="4" w:space="0"/>
            </w:tcBorders>
            <w:noWrap w:val="0"/>
            <w:vAlign w:val="center"/>
          </w:tcPr>
          <w:p>
            <w:pPr>
              <w:spacing w:line="320" w:lineRule="exact"/>
              <w:rPr>
                <w:rFonts w:ascii="仿宋_GB2312" w:eastAsia="仿宋_GB2312"/>
                <w:bCs/>
                <w:szCs w:val="21"/>
              </w:rPr>
            </w:pPr>
            <w:r>
              <w:rPr>
                <w:rFonts w:hint="eastAsia" w:ascii="仿宋_GB2312" w:eastAsia="仿宋_GB2312"/>
                <w:bCs/>
                <w:szCs w:val="21"/>
              </w:rPr>
              <w:t>综合执业经验</w:t>
            </w:r>
          </w:p>
        </w:tc>
        <w:tc>
          <w:tcPr>
            <w:tcW w:w="42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color w:val="auto"/>
                <w:szCs w:val="21"/>
              </w:rPr>
            </w:pPr>
            <w:r>
              <w:rPr>
                <w:rFonts w:hint="eastAsia" w:ascii="仿宋_GB2312" w:eastAsia="仿宋_GB2312"/>
                <w:bCs/>
                <w:color w:val="auto"/>
                <w:szCs w:val="21"/>
              </w:rPr>
              <w:t>目前仍在服务期内的，主办律师提供常年法律顾问服务企业达10-15家，得3分。（0-9家的，不得分）</w:t>
            </w:r>
          </w:p>
        </w:tc>
        <w:tc>
          <w:tcPr>
            <w:tcW w:w="5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ascii="仿宋_GB2312" w:eastAsia="仿宋_GB2312"/>
                <w:bCs/>
                <w:color w:val="auto"/>
                <w:szCs w:val="21"/>
              </w:rPr>
            </w:pPr>
          </w:p>
        </w:tc>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ascii="仿宋_GB2312" w:eastAsia="仿宋_GB2312"/>
                <w:bCs/>
                <w:color w:val="auto"/>
                <w:szCs w:val="21"/>
              </w:rPr>
            </w:pPr>
          </w:p>
        </w:tc>
        <w:tc>
          <w:tcPr>
            <w:tcW w:w="106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color w:val="auto"/>
                <w:szCs w:val="21"/>
              </w:rPr>
            </w:pPr>
            <w:r>
              <w:rPr>
                <w:rFonts w:hint="eastAsia" w:ascii="仿宋_GB2312" w:eastAsia="仿宋_GB2312"/>
                <w:bCs/>
                <w:color w:val="auto"/>
                <w:szCs w:val="21"/>
              </w:rPr>
              <w:t>提供合同关键页复印件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9" w:type="dxa"/>
            <w:vMerge w:val="continue"/>
            <w:tcBorders>
              <w:left w:val="single" w:color="auto" w:sz="4" w:space="0"/>
              <w:right w:val="single" w:color="auto" w:sz="4" w:space="0"/>
            </w:tcBorders>
            <w:noWrap w:val="0"/>
            <w:vAlign w:val="center"/>
          </w:tcPr>
          <w:p>
            <w:pPr>
              <w:spacing w:line="320" w:lineRule="exact"/>
              <w:ind w:firstLine="315" w:firstLineChars="150"/>
              <w:rPr>
                <w:rFonts w:ascii="仿宋_GB2312" w:eastAsia="仿宋_GB2312"/>
                <w:bCs/>
                <w:szCs w:val="21"/>
              </w:rPr>
            </w:pPr>
          </w:p>
        </w:tc>
        <w:tc>
          <w:tcPr>
            <w:tcW w:w="473" w:type="dxa"/>
            <w:gridSpan w:val="2"/>
            <w:vMerge w:val="continue"/>
            <w:tcBorders>
              <w:left w:val="single" w:color="auto" w:sz="4" w:space="0"/>
              <w:right w:val="single" w:color="auto" w:sz="4" w:space="0"/>
            </w:tcBorders>
            <w:noWrap w:val="0"/>
            <w:vAlign w:val="center"/>
          </w:tcPr>
          <w:p>
            <w:pPr>
              <w:spacing w:line="320" w:lineRule="exact"/>
              <w:ind w:firstLine="315" w:firstLineChars="150"/>
              <w:rPr>
                <w:rFonts w:ascii="仿宋_GB2312" w:eastAsia="仿宋_GB2312"/>
                <w:bCs/>
                <w:szCs w:val="21"/>
              </w:rPr>
            </w:pPr>
          </w:p>
        </w:tc>
        <w:tc>
          <w:tcPr>
            <w:tcW w:w="442" w:type="dxa"/>
            <w:vMerge w:val="continue"/>
            <w:tcBorders>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szCs w:val="21"/>
              </w:rPr>
            </w:pPr>
          </w:p>
        </w:tc>
        <w:tc>
          <w:tcPr>
            <w:tcW w:w="1089" w:type="dxa"/>
            <w:vMerge w:val="continue"/>
            <w:tcBorders>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szCs w:val="21"/>
              </w:rPr>
            </w:pPr>
          </w:p>
        </w:tc>
        <w:tc>
          <w:tcPr>
            <w:tcW w:w="42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color w:val="auto"/>
                <w:szCs w:val="21"/>
              </w:rPr>
            </w:pPr>
            <w:r>
              <w:rPr>
                <w:rFonts w:hint="eastAsia" w:ascii="仿宋_GB2312" w:eastAsia="仿宋_GB2312"/>
                <w:bCs/>
                <w:color w:val="auto"/>
                <w:szCs w:val="21"/>
              </w:rPr>
              <w:t>目前仍在服务期内的，主办律师提供常年法律顾问服务企业达15家或以上，得6分。</w:t>
            </w:r>
          </w:p>
        </w:tc>
        <w:tc>
          <w:tcPr>
            <w:tcW w:w="5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ascii="仿宋_GB2312" w:eastAsia="仿宋_GB2312"/>
                <w:bCs/>
                <w:color w:val="auto"/>
                <w:szCs w:val="21"/>
              </w:rPr>
            </w:pPr>
          </w:p>
        </w:tc>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ascii="仿宋_GB2312" w:eastAsia="仿宋_GB2312"/>
                <w:bCs/>
                <w:color w:val="auto"/>
                <w:szCs w:val="21"/>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ascii="仿宋_GB2312" w:eastAsia="仿宋_GB2312"/>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9" w:type="dxa"/>
            <w:vMerge w:val="continue"/>
            <w:tcBorders>
              <w:left w:val="single" w:color="auto" w:sz="4" w:space="0"/>
              <w:right w:val="single" w:color="auto" w:sz="4" w:space="0"/>
            </w:tcBorders>
            <w:noWrap w:val="0"/>
            <w:vAlign w:val="center"/>
          </w:tcPr>
          <w:p>
            <w:pPr>
              <w:spacing w:line="320" w:lineRule="exact"/>
              <w:ind w:firstLine="315" w:firstLineChars="150"/>
              <w:rPr>
                <w:rFonts w:ascii="仿宋_GB2312" w:eastAsia="仿宋_GB2312"/>
                <w:bCs/>
                <w:szCs w:val="21"/>
              </w:rPr>
            </w:pPr>
          </w:p>
        </w:tc>
        <w:tc>
          <w:tcPr>
            <w:tcW w:w="473" w:type="dxa"/>
            <w:gridSpan w:val="2"/>
            <w:vMerge w:val="continue"/>
            <w:tcBorders>
              <w:left w:val="single" w:color="auto" w:sz="4" w:space="0"/>
              <w:right w:val="single" w:color="auto" w:sz="4" w:space="0"/>
            </w:tcBorders>
            <w:noWrap w:val="0"/>
            <w:vAlign w:val="center"/>
          </w:tcPr>
          <w:p>
            <w:pPr>
              <w:spacing w:line="320" w:lineRule="exact"/>
              <w:ind w:firstLine="315" w:firstLineChars="150"/>
              <w:rPr>
                <w:rFonts w:ascii="仿宋_GB2312" w:eastAsia="仿宋_GB2312"/>
                <w:bCs/>
                <w:szCs w:val="21"/>
              </w:rPr>
            </w:pPr>
          </w:p>
        </w:tc>
        <w:tc>
          <w:tcPr>
            <w:tcW w:w="442" w:type="dxa"/>
            <w:tcBorders>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szCs w:val="21"/>
              </w:rPr>
            </w:pPr>
            <w:r>
              <w:rPr>
                <w:rFonts w:hint="eastAsia" w:ascii="仿宋_GB2312" w:eastAsia="仿宋_GB2312"/>
                <w:bCs/>
                <w:szCs w:val="21"/>
              </w:rPr>
              <w:t>5</w:t>
            </w:r>
          </w:p>
        </w:tc>
        <w:tc>
          <w:tcPr>
            <w:tcW w:w="1089" w:type="dxa"/>
            <w:tcBorders>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szCs w:val="21"/>
              </w:rPr>
            </w:pPr>
            <w:r>
              <w:rPr>
                <w:rFonts w:hint="eastAsia" w:ascii="仿宋_GB2312" w:eastAsia="仿宋_GB2312"/>
                <w:bCs/>
                <w:szCs w:val="21"/>
              </w:rPr>
              <w:t>国资顾问经验</w:t>
            </w:r>
          </w:p>
        </w:tc>
        <w:tc>
          <w:tcPr>
            <w:tcW w:w="42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eastAsia="仿宋_GB2312"/>
                <w:bCs/>
                <w:color w:val="auto"/>
                <w:szCs w:val="21"/>
              </w:rPr>
            </w:pPr>
            <w:r>
              <w:rPr>
                <w:rFonts w:hint="eastAsia" w:ascii="仿宋_GB2312" w:eastAsia="仿宋_GB2312"/>
                <w:bCs/>
                <w:color w:val="auto"/>
                <w:szCs w:val="21"/>
              </w:rPr>
              <w:t>目前仍在服务期内的，主办律师有国有企业常年法律顾问服务经验的得3分，每多1家增加1分，最多得5分。与综合执业经验重复的，可叠加。</w:t>
            </w:r>
          </w:p>
        </w:tc>
        <w:tc>
          <w:tcPr>
            <w:tcW w:w="5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ascii="仿宋_GB2312" w:eastAsia="仿宋_GB2312"/>
                <w:bCs/>
                <w:color w:val="auto"/>
                <w:szCs w:val="21"/>
              </w:rPr>
            </w:pPr>
          </w:p>
        </w:tc>
        <w:tc>
          <w:tcPr>
            <w:tcW w:w="5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ascii="仿宋_GB2312" w:eastAsia="仿宋_GB2312"/>
                <w:bCs/>
                <w:color w:val="auto"/>
                <w:szCs w:val="21"/>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ascii="仿宋_GB2312" w:eastAsia="仿宋_GB2312"/>
                <w:bCs/>
                <w:color w:val="auto"/>
                <w:szCs w:val="21"/>
              </w:rPr>
            </w:pPr>
            <w:r>
              <w:rPr>
                <w:rFonts w:hint="eastAsia" w:ascii="仿宋_GB2312" w:eastAsia="仿宋_GB2312"/>
                <w:bCs/>
                <w:color w:val="auto"/>
                <w:szCs w:val="21"/>
              </w:rPr>
              <w:t>提供合同关键页复印件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679" w:type="dxa"/>
            <w:vMerge w:val="continue"/>
            <w:tcBorders>
              <w:left w:val="single" w:color="auto" w:sz="4" w:space="0"/>
              <w:right w:val="single" w:color="auto" w:sz="4" w:space="0"/>
            </w:tcBorders>
            <w:noWrap w:val="0"/>
            <w:vAlign w:val="center"/>
          </w:tcPr>
          <w:p>
            <w:pPr>
              <w:spacing w:line="320" w:lineRule="exact"/>
              <w:ind w:firstLine="315" w:firstLineChars="150"/>
              <w:rPr>
                <w:rFonts w:ascii="仿宋_GB2312" w:eastAsia="仿宋_GB2312"/>
                <w:bCs/>
                <w:szCs w:val="21"/>
              </w:rPr>
            </w:pPr>
          </w:p>
        </w:tc>
        <w:tc>
          <w:tcPr>
            <w:tcW w:w="473" w:type="dxa"/>
            <w:gridSpan w:val="2"/>
            <w:vMerge w:val="continue"/>
            <w:tcBorders>
              <w:left w:val="single" w:color="auto" w:sz="4" w:space="0"/>
              <w:right w:val="single" w:color="auto" w:sz="4" w:space="0"/>
            </w:tcBorders>
            <w:noWrap w:val="0"/>
            <w:vAlign w:val="center"/>
          </w:tcPr>
          <w:p>
            <w:pPr>
              <w:spacing w:line="320" w:lineRule="exact"/>
              <w:ind w:firstLine="315" w:firstLineChars="150"/>
              <w:rPr>
                <w:rFonts w:ascii="仿宋_GB2312" w:eastAsia="仿宋_GB2312"/>
                <w:bCs/>
                <w:szCs w:val="21"/>
              </w:rPr>
            </w:pPr>
          </w:p>
        </w:tc>
        <w:tc>
          <w:tcPr>
            <w:tcW w:w="4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szCs w:val="21"/>
              </w:rPr>
            </w:pPr>
            <w:r>
              <w:rPr>
                <w:rFonts w:hint="eastAsia" w:ascii="仿宋_GB2312" w:eastAsia="仿宋_GB2312"/>
                <w:bCs/>
                <w:szCs w:val="21"/>
              </w:rPr>
              <w:t>6</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szCs w:val="21"/>
              </w:rPr>
            </w:pPr>
            <w:r>
              <w:rPr>
                <w:rFonts w:hint="eastAsia" w:ascii="仿宋_GB2312" w:eastAsia="仿宋_GB2312"/>
                <w:bCs/>
                <w:szCs w:val="21"/>
              </w:rPr>
              <w:t>南沙执业经验</w:t>
            </w:r>
          </w:p>
        </w:tc>
        <w:tc>
          <w:tcPr>
            <w:tcW w:w="42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color w:val="auto"/>
                <w:szCs w:val="21"/>
              </w:rPr>
            </w:pPr>
            <w:r>
              <w:rPr>
                <w:rFonts w:hint="eastAsia" w:ascii="仿宋_GB2312" w:eastAsia="仿宋_GB2312"/>
                <w:bCs/>
                <w:color w:val="auto"/>
                <w:szCs w:val="21"/>
              </w:rPr>
              <w:t>2016年1月至今，主办律师有为广州南沙区政府或南沙区内国有企业提供过常年顾问或国资领域、开发建设领域专项法律服务1家的得3分，每多增加1家增加1分，最多得6分。同一家单位不同项目的，分别计算；与工程建设、综合执业经验或国资顾问经验重复的，可叠加。</w:t>
            </w:r>
          </w:p>
        </w:tc>
        <w:tc>
          <w:tcPr>
            <w:tcW w:w="5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ascii="仿宋_GB2312" w:eastAsia="仿宋_GB2312"/>
                <w:bCs/>
                <w:color w:val="auto"/>
                <w:szCs w:val="21"/>
              </w:rPr>
            </w:pPr>
          </w:p>
        </w:tc>
        <w:tc>
          <w:tcPr>
            <w:tcW w:w="5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ascii="仿宋_GB2312" w:eastAsia="仿宋_GB2312"/>
                <w:bCs/>
                <w:color w:val="auto"/>
                <w:szCs w:val="21"/>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color w:val="auto"/>
                <w:szCs w:val="21"/>
              </w:rPr>
            </w:pPr>
            <w:r>
              <w:rPr>
                <w:rFonts w:hint="eastAsia" w:ascii="仿宋_GB2312" w:eastAsia="仿宋_GB2312"/>
                <w:bCs/>
                <w:color w:val="auto"/>
                <w:szCs w:val="21"/>
              </w:rPr>
              <w:t>提供合同关键页复印件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679" w:type="dxa"/>
            <w:vMerge w:val="continue"/>
            <w:tcBorders>
              <w:left w:val="single" w:color="auto" w:sz="4" w:space="0"/>
              <w:right w:val="single" w:color="auto" w:sz="4" w:space="0"/>
            </w:tcBorders>
            <w:noWrap w:val="0"/>
            <w:vAlign w:val="center"/>
          </w:tcPr>
          <w:p>
            <w:pPr>
              <w:spacing w:line="320" w:lineRule="exact"/>
              <w:ind w:firstLine="315" w:firstLineChars="150"/>
              <w:rPr>
                <w:rFonts w:ascii="仿宋_GB2312" w:eastAsia="仿宋_GB2312"/>
                <w:bCs/>
                <w:szCs w:val="21"/>
              </w:rPr>
            </w:pPr>
          </w:p>
        </w:tc>
        <w:tc>
          <w:tcPr>
            <w:tcW w:w="473" w:type="dxa"/>
            <w:gridSpan w:val="2"/>
            <w:vMerge w:val="continue"/>
            <w:tcBorders>
              <w:left w:val="single" w:color="auto" w:sz="4" w:space="0"/>
              <w:right w:val="single" w:color="auto" w:sz="4" w:space="0"/>
            </w:tcBorders>
            <w:noWrap w:val="0"/>
            <w:vAlign w:val="center"/>
          </w:tcPr>
          <w:p>
            <w:pPr>
              <w:spacing w:line="320" w:lineRule="exact"/>
              <w:ind w:firstLine="315" w:firstLineChars="150"/>
              <w:rPr>
                <w:rFonts w:ascii="仿宋_GB2312" w:eastAsia="仿宋_GB2312"/>
                <w:bCs/>
                <w:szCs w:val="21"/>
              </w:rPr>
            </w:pPr>
          </w:p>
        </w:tc>
        <w:tc>
          <w:tcPr>
            <w:tcW w:w="4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szCs w:val="21"/>
              </w:rPr>
            </w:pPr>
            <w:r>
              <w:rPr>
                <w:rFonts w:hint="eastAsia" w:ascii="仿宋_GB2312" w:eastAsia="仿宋_GB2312"/>
                <w:bCs/>
                <w:szCs w:val="21"/>
              </w:rPr>
              <w:t>8</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szCs w:val="21"/>
              </w:rPr>
            </w:pPr>
            <w:r>
              <w:rPr>
                <w:rFonts w:hint="eastAsia" w:ascii="仿宋_GB2312" w:eastAsia="仿宋_GB2312"/>
                <w:bCs/>
                <w:szCs w:val="21"/>
              </w:rPr>
              <w:t>政府认可经验</w:t>
            </w:r>
          </w:p>
        </w:tc>
        <w:tc>
          <w:tcPr>
            <w:tcW w:w="42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color w:val="auto"/>
                <w:szCs w:val="21"/>
              </w:rPr>
            </w:pPr>
            <w:r>
              <w:rPr>
                <w:rFonts w:hint="eastAsia" w:ascii="仿宋_GB2312" w:eastAsia="仿宋_GB2312"/>
                <w:bCs/>
                <w:color w:val="auto"/>
                <w:szCs w:val="21"/>
              </w:rPr>
              <w:t>主办律师被省、市或南沙区政府或国资主管单位聘为国资领域的专家、外部董事或独立董事之一的，得4分；两项以上的，得8分；未获得聘任的，不得分。</w:t>
            </w:r>
          </w:p>
        </w:tc>
        <w:tc>
          <w:tcPr>
            <w:tcW w:w="5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ascii="仿宋_GB2312" w:eastAsia="仿宋_GB2312"/>
                <w:bCs/>
                <w:color w:val="auto"/>
                <w:szCs w:val="21"/>
              </w:rPr>
            </w:pPr>
          </w:p>
        </w:tc>
        <w:tc>
          <w:tcPr>
            <w:tcW w:w="5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ascii="仿宋_GB2312" w:eastAsia="仿宋_GB2312"/>
                <w:bCs/>
                <w:color w:val="auto"/>
                <w:szCs w:val="21"/>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color w:val="auto"/>
                <w:szCs w:val="21"/>
              </w:rPr>
            </w:pPr>
            <w:r>
              <w:rPr>
                <w:rFonts w:hint="eastAsia" w:ascii="仿宋_GB2312" w:eastAsia="仿宋_GB2312"/>
                <w:bCs/>
                <w:color w:val="auto"/>
                <w:szCs w:val="21"/>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679" w:type="dxa"/>
            <w:vMerge w:val="continue"/>
            <w:tcBorders>
              <w:left w:val="single" w:color="auto" w:sz="4" w:space="0"/>
              <w:right w:val="single" w:color="auto" w:sz="4" w:space="0"/>
            </w:tcBorders>
            <w:noWrap w:val="0"/>
            <w:vAlign w:val="center"/>
          </w:tcPr>
          <w:p>
            <w:pPr>
              <w:spacing w:line="320" w:lineRule="exact"/>
              <w:ind w:firstLine="315" w:firstLineChars="150"/>
              <w:rPr>
                <w:rFonts w:ascii="仿宋_GB2312" w:eastAsia="仿宋_GB2312"/>
                <w:bCs/>
                <w:szCs w:val="21"/>
              </w:rPr>
            </w:pPr>
          </w:p>
        </w:tc>
        <w:tc>
          <w:tcPr>
            <w:tcW w:w="473" w:type="dxa"/>
            <w:gridSpan w:val="2"/>
            <w:vMerge w:val="continue"/>
            <w:tcBorders>
              <w:left w:val="single" w:color="auto" w:sz="4" w:space="0"/>
              <w:right w:val="single" w:color="auto" w:sz="4" w:space="0"/>
            </w:tcBorders>
            <w:noWrap w:val="0"/>
            <w:vAlign w:val="center"/>
          </w:tcPr>
          <w:p>
            <w:pPr>
              <w:spacing w:line="320" w:lineRule="exact"/>
              <w:ind w:firstLine="315" w:firstLineChars="150"/>
              <w:rPr>
                <w:rFonts w:ascii="仿宋_GB2312" w:eastAsia="仿宋_GB2312"/>
                <w:bCs/>
                <w:szCs w:val="21"/>
              </w:rPr>
            </w:pPr>
          </w:p>
        </w:tc>
        <w:tc>
          <w:tcPr>
            <w:tcW w:w="4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szCs w:val="21"/>
              </w:rPr>
            </w:pPr>
            <w:r>
              <w:rPr>
                <w:rFonts w:hint="eastAsia" w:ascii="仿宋_GB2312" w:eastAsia="仿宋_GB2312"/>
                <w:bCs/>
                <w:szCs w:val="21"/>
              </w:rPr>
              <w:t>7</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szCs w:val="21"/>
              </w:rPr>
            </w:pPr>
            <w:r>
              <w:rPr>
                <w:rFonts w:hint="eastAsia" w:ascii="仿宋_GB2312" w:eastAsia="仿宋_GB2312"/>
                <w:bCs/>
                <w:szCs w:val="21"/>
              </w:rPr>
              <w:t>行业认可经验</w:t>
            </w:r>
          </w:p>
        </w:tc>
        <w:tc>
          <w:tcPr>
            <w:tcW w:w="42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color w:val="auto"/>
                <w:szCs w:val="21"/>
              </w:rPr>
            </w:pPr>
            <w:r>
              <w:rPr>
                <w:rFonts w:hint="eastAsia" w:ascii="仿宋_GB2312" w:eastAsia="仿宋_GB2312"/>
                <w:bCs/>
                <w:color w:val="auto"/>
                <w:szCs w:val="21"/>
              </w:rPr>
              <w:t>主办律师参加省或市律师协会各专业委员会的，参加一个得2分；省市都参加的得4分；获得省、市律师协会优秀案例或研究成果奖项的，每项得1分；最多3分；</w:t>
            </w:r>
          </w:p>
        </w:tc>
        <w:tc>
          <w:tcPr>
            <w:tcW w:w="5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ascii="仿宋_GB2312" w:eastAsia="仿宋_GB2312"/>
                <w:bCs/>
                <w:szCs w:val="21"/>
              </w:rPr>
            </w:pPr>
          </w:p>
        </w:tc>
        <w:tc>
          <w:tcPr>
            <w:tcW w:w="5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ascii="仿宋_GB2312" w:eastAsia="仿宋_GB2312"/>
                <w:bCs/>
                <w:szCs w:val="21"/>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szCs w:val="21"/>
              </w:rPr>
            </w:pPr>
            <w:r>
              <w:rPr>
                <w:rFonts w:hint="eastAsia" w:ascii="仿宋_GB2312" w:eastAsia="仿宋_GB2312"/>
                <w:bCs/>
                <w:szCs w:val="21"/>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szCs w:val="21"/>
              </w:rPr>
            </w:pPr>
            <w:r>
              <w:rPr>
                <w:rFonts w:hint="eastAsia" w:ascii="仿宋_GB2312" w:eastAsia="仿宋_GB2312"/>
                <w:bCs/>
                <w:szCs w:val="21"/>
              </w:rPr>
              <w:t>法律服务内容</w:t>
            </w:r>
          </w:p>
        </w:tc>
        <w:tc>
          <w:tcPr>
            <w:tcW w:w="47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szCs w:val="21"/>
              </w:rPr>
            </w:pPr>
            <w:r>
              <w:rPr>
                <w:rFonts w:hint="eastAsia" w:ascii="仿宋_GB2312" w:eastAsia="仿宋_GB2312"/>
                <w:bCs/>
                <w:szCs w:val="21"/>
              </w:rPr>
              <w:t>15</w:t>
            </w:r>
          </w:p>
        </w:tc>
        <w:tc>
          <w:tcPr>
            <w:tcW w:w="4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szCs w:val="21"/>
              </w:rPr>
            </w:pPr>
            <w:r>
              <w:rPr>
                <w:rFonts w:hint="eastAsia" w:ascii="仿宋_GB2312" w:eastAsia="仿宋_GB2312"/>
                <w:bCs/>
                <w:szCs w:val="21"/>
              </w:rPr>
              <w:t>15</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szCs w:val="21"/>
              </w:rPr>
            </w:pPr>
            <w:r>
              <w:rPr>
                <w:rFonts w:hint="eastAsia" w:ascii="仿宋_GB2312" w:eastAsia="仿宋_GB2312"/>
                <w:bCs/>
                <w:szCs w:val="21"/>
              </w:rPr>
              <w:t>法律服务方案</w:t>
            </w:r>
          </w:p>
        </w:tc>
        <w:tc>
          <w:tcPr>
            <w:tcW w:w="42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color w:val="auto"/>
                <w:szCs w:val="21"/>
              </w:rPr>
            </w:pPr>
            <w:r>
              <w:rPr>
                <w:rFonts w:hint="eastAsia" w:ascii="仿宋_GB2312" w:eastAsia="仿宋_GB2312"/>
                <w:bCs/>
                <w:color w:val="auto"/>
                <w:szCs w:val="21"/>
              </w:rPr>
              <w:t>服务方案详细合理、可操作性强，能够切合招标人的国企身份和国资监管要求，及从事的房地产项目开发、基础设施建设或代业主建设等主营业务。优得12-15分，良得6-11分，基本满足得1-5分，差不得分。（得分须为整数）</w:t>
            </w:r>
          </w:p>
        </w:tc>
        <w:tc>
          <w:tcPr>
            <w:tcW w:w="5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ascii="仿宋_GB2312" w:eastAsia="仿宋_GB2312"/>
                <w:bCs/>
                <w:szCs w:val="21"/>
              </w:rPr>
            </w:pPr>
          </w:p>
        </w:tc>
        <w:tc>
          <w:tcPr>
            <w:tcW w:w="5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ascii="仿宋_GB2312" w:eastAsia="仿宋_GB2312"/>
                <w:bCs/>
                <w:szCs w:val="21"/>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6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szCs w:val="21"/>
              </w:rPr>
            </w:pPr>
            <w:r>
              <w:rPr>
                <w:rFonts w:hint="eastAsia" w:ascii="仿宋_GB2312" w:eastAsia="仿宋_GB2312"/>
                <w:bCs/>
                <w:szCs w:val="21"/>
              </w:rPr>
              <w:t>服务</w:t>
            </w:r>
          </w:p>
          <w:p>
            <w:pPr>
              <w:spacing w:line="320" w:lineRule="exact"/>
              <w:rPr>
                <w:rFonts w:ascii="仿宋_GB2312" w:eastAsia="仿宋_GB2312"/>
                <w:bCs/>
                <w:szCs w:val="21"/>
              </w:rPr>
            </w:pPr>
            <w:r>
              <w:rPr>
                <w:rFonts w:hint="eastAsia" w:ascii="仿宋_GB2312" w:eastAsia="仿宋_GB2312"/>
                <w:bCs/>
                <w:szCs w:val="21"/>
              </w:rPr>
              <w:t>报价</w:t>
            </w:r>
          </w:p>
        </w:tc>
        <w:tc>
          <w:tcPr>
            <w:tcW w:w="47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szCs w:val="21"/>
              </w:rPr>
            </w:pPr>
            <w:r>
              <w:rPr>
                <w:rFonts w:hint="eastAsia" w:ascii="仿宋_GB2312" w:eastAsia="仿宋_GB2312"/>
                <w:bCs/>
                <w:szCs w:val="21"/>
              </w:rPr>
              <w:t>30</w:t>
            </w:r>
          </w:p>
        </w:tc>
        <w:tc>
          <w:tcPr>
            <w:tcW w:w="4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szCs w:val="21"/>
              </w:rPr>
            </w:pPr>
            <w:r>
              <w:rPr>
                <w:rFonts w:hint="eastAsia" w:ascii="仿宋_GB2312" w:eastAsia="仿宋_GB2312"/>
                <w:bCs/>
                <w:szCs w:val="21"/>
              </w:rPr>
              <w:t>30</w:t>
            </w:r>
          </w:p>
        </w:tc>
        <w:tc>
          <w:tcPr>
            <w:tcW w:w="536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szCs w:val="21"/>
              </w:rPr>
            </w:pPr>
            <w:r>
              <w:rPr>
                <w:rFonts w:hint="eastAsia" w:ascii="仿宋_GB2312" w:eastAsia="仿宋_GB2312"/>
                <w:bCs/>
                <w:szCs w:val="21"/>
              </w:rPr>
              <w:t>以各投标人有效报价的平均值为参考价，得分计算如下：</w:t>
            </w:r>
          </w:p>
          <w:p>
            <w:pPr>
              <w:spacing w:line="320" w:lineRule="exact"/>
              <w:rPr>
                <w:rFonts w:ascii="仿宋_GB2312" w:eastAsia="仿宋_GB2312"/>
                <w:bCs/>
                <w:szCs w:val="21"/>
              </w:rPr>
            </w:pPr>
            <w:r>
              <w:rPr>
                <w:rFonts w:hint="eastAsia" w:ascii="仿宋_GB2312" w:eastAsia="仿宋_GB2312"/>
                <w:bCs/>
                <w:szCs w:val="21"/>
              </w:rPr>
              <w:t>1、报价等于参考价的，报价得分为30分；</w:t>
            </w:r>
          </w:p>
          <w:p>
            <w:pPr>
              <w:spacing w:line="320" w:lineRule="exact"/>
              <w:rPr>
                <w:rFonts w:ascii="仿宋_GB2312" w:eastAsia="仿宋_GB2312"/>
                <w:bCs/>
                <w:szCs w:val="21"/>
              </w:rPr>
            </w:pPr>
            <w:r>
              <w:rPr>
                <w:rFonts w:hint="eastAsia" w:ascii="仿宋_GB2312" w:eastAsia="仿宋_GB2312"/>
                <w:bCs/>
                <w:szCs w:val="21"/>
              </w:rPr>
              <w:t>2、报价低于参考价的，报价得分=30-（参考价-报价）/参考价</w:t>
            </w:r>
            <w:r>
              <w:rPr>
                <w:rFonts w:ascii="Arial" w:hAnsi="Arial" w:eastAsia="仿宋_GB2312" w:cs="Arial"/>
                <w:bCs/>
                <w:szCs w:val="21"/>
              </w:rPr>
              <w:t>×</w:t>
            </w:r>
            <w:r>
              <w:rPr>
                <w:rFonts w:hint="eastAsia" w:ascii="仿宋_GB2312" w:eastAsia="仿宋_GB2312"/>
                <w:bCs/>
                <w:szCs w:val="21"/>
              </w:rPr>
              <w:t>（0.5</w:t>
            </w:r>
            <w:r>
              <w:rPr>
                <w:rFonts w:ascii="Arial" w:hAnsi="Arial" w:eastAsia="仿宋_GB2312" w:cs="Arial"/>
                <w:bCs/>
                <w:szCs w:val="21"/>
              </w:rPr>
              <w:t>×</w:t>
            </w:r>
            <w:r>
              <w:rPr>
                <w:rFonts w:hint="eastAsia" w:ascii="仿宋_GB2312" w:eastAsia="仿宋_GB2312"/>
                <w:bCs/>
                <w:szCs w:val="21"/>
              </w:rPr>
              <w:t>100）；</w:t>
            </w:r>
          </w:p>
          <w:p>
            <w:pPr>
              <w:spacing w:line="320" w:lineRule="exact"/>
              <w:rPr>
                <w:rFonts w:ascii="仿宋_GB2312" w:eastAsia="仿宋_GB2312"/>
                <w:bCs/>
                <w:szCs w:val="21"/>
              </w:rPr>
            </w:pPr>
            <w:r>
              <w:rPr>
                <w:rFonts w:hint="eastAsia" w:ascii="仿宋_GB2312" w:eastAsia="仿宋_GB2312"/>
                <w:bCs/>
                <w:szCs w:val="21"/>
              </w:rPr>
              <w:t>3、报价高于参考价的，报价得分=30-（报价-参考价）/参考价</w:t>
            </w:r>
            <w:r>
              <w:rPr>
                <w:rFonts w:ascii="Arial" w:hAnsi="Arial" w:eastAsia="仿宋_GB2312" w:cs="Arial"/>
                <w:bCs/>
                <w:szCs w:val="21"/>
              </w:rPr>
              <w:t>×</w:t>
            </w:r>
            <w:r>
              <w:rPr>
                <w:rFonts w:hint="eastAsia" w:ascii="仿宋_GB2312" w:eastAsia="仿宋_GB2312"/>
                <w:bCs/>
                <w:szCs w:val="21"/>
              </w:rPr>
              <w:t>（1</w:t>
            </w:r>
            <w:r>
              <w:rPr>
                <w:rFonts w:ascii="Arial" w:hAnsi="Arial" w:eastAsia="仿宋_GB2312" w:cs="Arial"/>
                <w:bCs/>
                <w:szCs w:val="21"/>
              </w:rPr>
              <w:t>×</w:t>
            </w:r>
            <w:r>
              <w:rPr>
                <w:rFonts w:hint="eastAsia" w:ascii="仿宋_GB2312" w:eastAsia="仿宋_GB2312"/>
                <w:bCs/>
                <w:szCs w:val="21"/>
              </w:rPr>
              <w:t>100）。</w:t>
            </w:r>
          </w:p>
          <w:p>
            <w:pPr>
              <w:spacing w:line="320" w:lineRule="exact"/>
              <w:rPr>
                <w:rFonts w:ascii="仿宋_GB2312" w:eastAsia="仿宋_GB2312"/>
                <w:bCs/>
                <w:szCs w:val="21"/>
              </w:rPr>
            </w:pPr>
            <w:r>
              <w:rPr>
                <w:rFonts w:hint="eastAsia" w:ascii="仿宋_GB2312" w:eastAsia="仿宋_GB2312"/>
                <w:bCs/>
                <w:szCs w:val="21"/>
              </w:rPr>
              <w:t>备注：以上公式计算中均需四舍五入保留至小数点后两位有效数，报价得分最低为0分</w:t>
            </w:r>
          </w:p>
        </w:tc>
        <w:tc>
          <w:tcPr>
            <w:tcW w:w="5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ascii="仿宋_GB2312" w:eastAsia="仿宋_GB2312"/>
                <w:bCs/>
                <w:szCs w:val="21"/>
              </w:rPr>
            </w:pPr>
          </w:p>
        </w:tc>
        <w:tc>
          <w:tcPr>
            <w:tcW w:w="5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ascii="仿宋_GB2312" w:eastAsia="仿宋_GB2312"/>
                <w:bCs/>
                <w:szCs w:val="21"/>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bCs/>
                <w:szCs w:val="21"/>
              </w:rPr>
            </w:pPr>
            <w:r>
              <w:rPr>
                <w:rFonts w:hint="eastAsia" w:ascii="仿宋_GB2312" w:eastAsia="仿宋_GB2312"/>
                <w:bCs/>
                <w:szCs w:val="21"/>
              </w:rPr>
              <w:t>得分</w:t>
            </w:r>
          </w:p>
        </w:tc>
        <w:tc>
          <w:tcPr>
            <w:tcW w:w="91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bCs/>
                <w:szCs w:val="21"/>
              </w:rPr>
            </w:pPr>
            <w:r>
              <w:rPr>
                <w:rFonts w:hint="eastAsia" w:ascii="仿宋_GB2312" w:eastAsia="仿宋_GB2312"/>
                <w:bCs/>
                <w:szCs w:val="21"/>
              </w:rPr>
              <w:t>100</w:t>
            </w:r>
          </w:p>
        </w:tc>
        <w:tc>
          <w:tcPr>
            <w:tcW w:w="536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ascii="仿宋_GB2312" w:eastAsia="仿宋_GB2312"/>
                <w:bCs/>
                <w:szCs w:val="21"/>
              </w:rPr>
            </w:pPr>
          </w:p>
        </w:tc>
        <w:tc>
          <w:tcPr>
            <w:tcW w:w="5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ascii="仿宋_GB2312" w:eastAsia="仿宋_GB2312"/>
                <w:bCs/>
                <w:szCs w:val="21"/>
              </w:rPr>
            </w:pPr>
          </w:p>
        </w:tc>
        <w:tc>
          <w:tcPr>
            <w:tcW w:w="5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ascii="仿宋_GB2312" w:eastAsia="仿宋_GB2312"/>
                <w:bCs/>
                <w:szCs w:val="21"/>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15" w:firstLineChars="150"/>
              <w:rPr>
                <w:rFonts w:ascii="仿宋_GB2312" w:eastAsia="仿宋_GB2312"/>
                <w:bCs/>
                <w:szCs w:val="21"/>
              </w:rPr>
            </w:pPr>
          </w:p>
        </w:tc>
      </w:tr>
    </w:tbl>
    <w:p>
      <w:pPr>
        <w:spacing w:line="560" w:lineRule="exact"/>
        <w:jc w:val="left"/>
        <w:rPr>
          <w:rFonts w:hint="eastAsia" w:ascii="黑体" w:hAnsi="黑体" w:eastAsia="黑体" w:cs="黑体"/>
          <w:b/>
          <w:sz w:val="32"/>
          <w:szCs w:val="32"/>
        </w:rPr>
      </w:pPr>
      <w:r>
        <w:rPr>
          <w:rFonts w:hint="eastAsia" w:ascii="黑体" w:hAnsi="黑体" w:eastAsia="黑体" w:cs="黑体"/>
          <w:b/>
          <w:sz w:val="32"/>
          <w:szCs w:val="32"/>
        </w:rPr>
        <w:br w:type="page"/>
      </w:r>
      <w:r>
        <w:rPr>
          <w:rFonts w:hint="eastAsia" w:ascii="黑体" w:hAnsi="黑体" w:eastAsia="黑体" w:cs="黑体"/>
          <w:b/>
          <w:sz w:val="32"/>
          <w:szCs w:val="32"/>
        </w:rPr>
        <w:t>附件3：合同样版（仅供参考，最终以双方审核确认版本为准）</w:t>
      </w:r>
    </w:p>
    <w:p>
      <w:pPr>
        <w:spacing w:line="560" w:lineRule="exact"/>
        <w:jc w:val="center"/>
        <w:rPr>
          <w:rFonts w:hint="eastAsia" w:ascii="方正小标宋简体" w:hAnsi="方正小标宋简体" w:eastAsia="方正小标宋简体" w:cs="方正小标宋简体"/>
          <w:b/>
          <w:bCs/>
          <w:sz w:val="44"/>
        </w:rPr>
      </w:pPr>
      <w:r>
        <w:rPr>
          <w:rFonts w:hint="eastAsia" w:ascii="方正小标宋简体" w:hAnsi="方正小标宋简体" w:eastAsia="方正小标宋简体" w:cs="方正小标宋简体"/>
          <w:b/>
          <w:bCs/>
          <w:sz w:val="44"/>
        </w:rPr>
        <w:t>常年法律顾问服务合同</w:t>
      </w:r>
    </w:p>
    <w:p>
      <w:pPr>
        <w:wordWrap w:val="0"/>
        <w:spacing w:line="560" w:lineRule="exact"/>
        <w:jc w:val="right"/>
        <w:rPr>
          <w:rFonts w:hint="eastAsia"/>
          <w:sz w:val="24"/>
        </w:rPr>
      </w:pPr>
      <w:r>
        <w:rPr>
          <w:rFonts w:hint="eastAsia"/>
          <w:sz w:val="24"/>
        </w:rPr>
        <w:t xml:space="preserve"> </w:t>
      </w:r>
    </w:p>
    <w:p>
      <w:pPr>
        <w:spacing w:line="560" w:lineRule="exact"/>
        <w:rPr>
          <w:rFonts w:hint="eastAsia" w:ascii="仿宋_GB2312" w:eastAsia="仿宋_GB2312"/>
          <w:bCs/>
          <w:sz w:val="32"/>
          <w:szCs w:val="32"/>
        </w:rPr>
      </w:pPr>
      <w:r>
        <w:rPr>
          <w:rFonts w:hint="eastAsia" w:ascii="仿宋_GB2312" w:eastAsia="仿宋_GB2312"/>
          <w:bCs/>
          <w:sz w:val="32"/>
          <w:szCs w:val="32"/>
        </w:rPr>
        <w:t>甲方：广州南沙建设维护管理有限公司</w:t>
      </w:r>
    </w:p>
    <w:p>
      <w:pPr>
        <w:spacing w:line="560" w:lineRule="exact"/>
        <w:rPr>
          <w:rFonts w:hint="eastAsia" w:ascii="仿宋_GB2312" w:eastAsia="仿宋_GB2312"/>
          <w:bCs/>
          <w:sz w:val="32"/>
          <w:szCs w:val="32"/>
        </w:rPr>
      </w:pPr>
      <w:r>
        <w:rPr>
          <w:rFonts w:hint="eastAsia" w:ascii="仿宋_GB2312" w:eastAsia="仿宋_GB2312"/>
          <w:bCs/>
          <w:sz w:val="32"/>
          <w:szCs w:val="32"/>
        </w:rPr>
        <w:t xml:space="preserve">乙方： </w:t>
      </w:r>
    </w:p>
    <w:p>
      <w:pPr>
        <w:spacing w:line="560" w:lineRule="exact"/>
        <w:rPr>
          <w:rFonts w:hint="eastAsia" w:ascii="仿宋_GB2312" w:eastAsia="仿宋_GB2312"/>
          <w:bCs/>
          <w:sz w:val="32"/>
          <w:szCs w:val="32"/>
        </w:rPr>
      </w:pPr>
    </w:p>
    <w:p>
      <w:pPr>
        <w:spacing w:line="560" w:lineRule="exact"/>
        <w:rPr>
          <w:rFonts w:hint="eastAsia" w:ascii="仿宋_GB2312" w:eastAsia="仿宋_GB2312"/>
          <w:bCs/>
          <w:sz w:val="32"/>
          <w:szCs w:val="32"/>
        </w:rPr>
      </w:pPr>
      <w:r>
        <w:rPr>
          <w:rFonts w:hint="eastAsia" w:ascii="仿宋_GB2312" w:eastAsia="仿宋_GB2312"/>
          <w:bCs/>
          <w:sz w:val="32"/>
          <w:szCs w:val="32"/>
        </w:rPr>
        <w:t xml:space="preserve">    甲方因业务发展需要，聘请乙方律师担任常年法律顾问，经双方协商一致，订立本合同，共同遵照履行。具体条款如下：</w:t>
      </w:r>
    </w:p>
    <w:p>
      <w:pPr>
        <w:spacing w:line="560" w:lineRule="exact"/>
        <w:rPr>
          <w:rFonts w:hint="eastAsia" w:ascii="黑体" w:hAnsi="黑体" w:eastAsia="黑体" w:cs="黑体"/>
          <w:bCs/>
          <w:sz w:val="32"/>
          <w:szCs w:val="32"/>
        </w:rPr>
      </w:pPr>
      <w:r>
        <w:rPr>
          <w:rFonts w:hint="eastAsia" w:ascii="黑体" w:hAnsi="黑体" w:eastAsia="黑体" w:cs="黑体"/>
          <w:bCs/>
          <w:sz w:val="32"/>
          <w:szCs w:val="32"/>
        </w:rPr>
        <w:t>第一条</w:t>
      </w:r>
      <w:r>
        <w:rPr>
          <w:rFonts w:hint="eastAsia" w:ascii="黑体" w:hAnsi="黑体" w:eastAsia="黑体" w:cs="黑体"/>
          <w:bCs/>
          <w:sz w:val="32"/>
          <w:szCs w:val="32"/>
        </w:rPr>
        <w:tab/>
      </w:r>
      <w:r>
        <w:rPr>
          <w:rFonts w:hint="eastAsia" w:ascii="黑体" w:hAnsi="黑体" w:eastAsia="黑体" w:cs="黑体"/>
          <w:bCs/>
          <w:sz w:val="32"/>
          <w:szCs w:val="32"/>
        </w:rPr>
        <w:t>顾问律师</w:t>
      </w:r>
    </w:p>
    <w:p>
      <w:pPr>
        <w:spacing w:line="560" w:lineRule="exact"/>
        <w:rPr>
          <w:rFonts w:hint="eastAsia" w:ascii="仿宋_GB2312" w:eastAsia="仿宋_GB2312"/>
          <w:bCs/>
          <w:sz w:val="32"/>
          <w:szCs w:val="32"/>
        </w:rPr>
      </w:pPr>
      <w:r>
        <w:rPr>
          <w:rFonts w:hint="eastAsia" w:ascii="仿宋_GB2312" w:eastAsia="仿宋_GB2312"/>
          <w:bCs/>
          <w:sz w:val="32"/>
          <w:szCs w:val="32"/>
        </w:rPr>
        <w:t xml:space="preserve">    乙方接受甲方聘请，指派</w:t>
      </w:r>
      <w:r>
        <w:rPr>
          <w:rFonts w:hint="eastAsia" w:ascii="仿宋_GB2312" w:eastAsia="仿宋_GB2312"/>
          <w:bCs/>
          <w:sz w:val="32"/>
          <w:szCs w:val="32"/>
          <w:u w:val="single"/>
        </w:rPr>
        <w:t xml:space="preserve">     </w:t>
      </w:r>
      <w:r>
        <w:rPr>
          <w:rFonts w:hint="eastAsia" w:ascii="仿宋_GB2312" w:eastAsia="仿宋_GB2312"/>
          <w:bCs/>
          <w:sz w:val="32"/>
          <w:szCs w:val="32"/>
        </w:rPr>
        <w:t>律师担任甲方常年法律顾问。</w:t>
      </w:r>
    </w:p>
    <w:p>
      <w:pPr>
        <w:spacing w:line="560" w:lineRule="exact"/>
        <w:rPr>
          <w:rFonts w:hint="eastAsia" w:ascii="黑体" w:hAnsi="黑体" w:eastAsia="黑体" w:cs="黑体"/>
          <w:bCs/>
          <w:sz w:val="32"/>
          <w:szCs w:val="32"/>
        </w:rPr>
      </w:pPr>
      <w:r>
        <w:rPr>
          <w:rFonts w:hint="eastAsia" w:ascii="黑体" w:hAnsi="黑体" w:eastAsia="黑体" w:cs="黑体"/>
          <w:bCs/>
          <w:sz w:val="32"/>
          <w:szCs w:val="32"/>
        </w:rPr>
        <w:t>第二条</w:t>
      </w:r>
      <w:r>
        <w:rPr>
          <w:rFonts w:hint="eastAsia" w:ascii="黑体" w:hAnsi="黑体" w:eastAsia="黑体" w:cs="黑体"/>
          <w:bCs/>
          <w:sz w:val="32"/>
          <w:szCs w:val="32"/>
        </w:rPr>
        <w:tab/>
      </w:r>
      <w:r>
        <w:rPr>
          <w:rFonts w:hint="eastAsia" w:ascii="黑体" w:hAnsi="黑体" w:eastAsia="黑体" w:cs="黑体"/>
          <w:bCs/>
          <w:sz w:val="32"/>
          <w:szCs w:val="32"/>
        </w:rPr>
        <w:t>工作范围</w:t>
      </w:r>
      <w:r>
        <w:rPr>
          <w:rFonts w:hint="eastAsia" w:ascii="黑体" w:hAnsi="黑体" w:eastAsia="黑体" w:cs="黑体"/>
          <w:bCs/>
          <w:sz w:val="32"/>
          <w:szCs w:val="32"/>
        </w:rPr>
        <w:tab/>
      </w:r>
      <w:r>
        <w:rPr>
          <w:rFonts w:hint="eastAsia" w:ascii="黑体" w:hAnsi="黑体" w:eastAsia="黑体" w:cs="黑体"/>
          <w:bCs/>
          <w:sz w:val="32"/>
          <w:szCs w:val="32"/>
        </w:rPr>
        <w:tab/>
      </w:r>
    </w:p>
    <w:p>
      <w:pPr>
        <w:spacing w:line="560" w:lineRule="exact"/>
        <w:rPr>
          <w:rFonts w:hint="eastAsia" w:ascii="仿宋_GB2312" w:eastAsia="仿宋_GB2312"/>
          <w:bCs/>
          <w:sz w:val="32"/>
          <w:szCs w:val="32"/>
        </w:rPr>
      </w:pPr>
      <w:r>
        <w:rPr>
          <w:rFonts w:hint="eastAsia" w:ascii="仿宋_GB2312" w:eastAsia="仿宋_GB2312"/>
          <w:bCs/>
          <w:sz w:val="32"/>
          <w:szCs w:val="32"/>
        </w:rPr>
        <w:t xml:space="preserve">    常年法律顾问的职责是为甲方（含甲方广州南沙建设维护管理有限公司以及甲方受托管理的</w:t>
      </w:r>
      <w:r>
        <w:rPr>
          <w:rFonts w:hint="eastAsia" w:ascii="仿宋_GB2312" w:hAnsi="仿宋" w:eastAsia="仿宋_GB2312"/>
          <w:sz w:val="32"/>
          <w:szCs w:val="32"/>
        </w:rPr>
        <w:t>广州南沙经济技术开发区建筑总公司、广州南沙开发区腾龙山庄房地产有限公司、广州南沙港宏房地产开发有限公司、广州南沙工业园建设发展有限公司、广州滨海路桥建设有限公司）</w:t>
      </w:r>
      <w:r>
        <w:rPr>
          <w:rFonts w:hint="eastAsia" w:ascii="仿宋_GB2312" w:eastAsia="仿宋_GB2312"/>
          <w:bCs/>
          <w:sz w:val="32"/>
          <w:szCs w:val="32"/>
        </w:rPr>
        <w:t>提供法律帮助，依法维护甲方的合法权益，工作范围如下：</w:t>
      </w:r>
    </w:p>
    <w:p>
      <w:pPr>
        <w:spacing w:line="560" w:lineRule="exact"/>
        <w:rPr>
          <w:rFonts w:hint="eastAsia" w:ascii="仿宋_GB2312" w:eastAsia="仿宋_GB2312"/>
          <w:bCs/>
          <w:sz w:val="32"/>
          <w:szCs w:val="32"/>
        </w:rPr>
      </w:pPr>
      <w:r>
        <w:rPr>
          <w:rFonts w:hint="eastAsia" w:ascii="仿宋_GB2312" w:eastAsia="仿宋_GB2312"/>
          <w:bCs/>
          <w:sz w:val="32"/>
          <w:szCs w:val="32"/>
        </w:rPr>
        <w:t xml:space="preserve">   （一）应甲方要求，为甲方业务活动的重大决策提供法律意见和法律依据；</w:t>
      </w:r>
    </w:p>
    <w:p>
      <w:pPr>
        <w:spacing w:line="560" w:lineRule="exact"/>
        <w:rPr>
          <w:rFonts w:hint="eastAsia" w:ascii="仿宋_GB2312" w:eastAsia="仿宋_GB2312"/>
          <w:bCs/>
          <w:sz w:val="32"/>
          <w:szCs w:val="32"/>
        </w:rPr>
      </w:pPr>
      <w:r>
        <w:rPr>
          <w:rFonts w:hint="eastAsia" w:ascii="仿宋_GB2312" w:eastAsia="仿宋_GB2312"/>
          <w:bCs/>
          <w:sz w:val="32"/>
          <w:szCs w:val="32"/>
        </w:rPr>
        <w:t xml:space="preserve">   （二）协助审查甲方签订的经济合同；</w:t>
      </w:r>
    </w:p>
    <w:p>
      <w:pPr>
        <w:spacing w:line="560" w:lineRule="exact"/>
        <w:rPr>
          <w:rFonts w:hint="eastAsia" w:ascii="仿宋_GB2312" w:eastAsia="仿宋_GB2312"/>
          <w:bCs/>
          <w:sz w:val="32"/>
          <w:szCs w:val="32"/>
        </w:rPr>
      </w:pPr>
      <w:r>
        <w:rPr>
          <w:rFonts w:hint="eastAsia" w:ascii="仿宋_GB2312" w:eastAsia="仿宋_GB2312"/>
          <w:bCs/>
          <w:sz w:val="32"/>
          <w:szCs w:val="32"/>
        </w:rPr>
        <w:t xml:space="preserve">   （三）协助审查甲方有关法律事务方面的文书；</w:t>
      </w:r>
    </w:p>
    <w:p>
      <w:pPr>
        <w:spacing w:line="560" w:lineRule="exact"/>
        <w:rPr>
          <w:rFonts w:hint="eastAsia" w:ascii="仿宋_GB2312" w:eastAsia="仿宋_GB2312"/>
          <w:bCs/>
          <w:sz w:val="32"/>
          <w:szCs w:val="32"/>
        </w:rPr>
      </w:pPr>
      <w:r>
        <w:rPr>
          <w:rFonts w:hint="eastAsia" w:ascii="仿宋_GB2312" w:eastAsia="仿宋_GB2312"/>
          <w:bCs/>
          <w:sz w:val="32"/>
          <w:szCs w:val="32"/>
        </w:rPr>
        <w:t xml:space="preserve">   （四）提供与甲方活动有关的法律信息及资料；</w:t>
      </w:r>
    </w:p>
    <w:p>
      <w:pPr>
        <w:spacing w:line="560" w:lineRule="exact"/>
        <w:rPr>
          <w:rFonts w:hint="eastAsia" w:ascii="仿宋_GB2312" w:eastAsia="仿宋_GB2312"/>
          <w:bCs/>
          <w:sz w:val="32"/>
          <w:szCs w:val="32"/>
        </w:rPr>
      </w:pPr>
      <w:r>
        <w:rPr>
          <w:rFonts w:hint="eastAsia" w:ascii="仿宋_GB2312" w:eastAsia="仿宋_GB2312"/>
          <w:bCs/>
          <w:sz w:val="32"/>
          <w:szCs w:val="32"/>
        </w:rPr>
        <w:t xml:space="preserve">   （五）根据实际需要，协助甲方运用法律手段加强单位内部管理；</w:t>
      </w:r>
    </w:p>
    <w:p>
      <w:pPr>
        <w:spacing w:line="560" w:lineRule="exact"/>
        <w:rPr>
          <w:rFonts w:hint="eastAsia" w:ascii="仿宋_GB2312" w:eastAsia="仿宋_GB2312"/>
          <w:bCs/>
          <w:sz w:val="32"/>
          <w:szCs w:val="32"/>
        </w:rPr>
      </w:pPr>
      <w:r>
        <w:rPr>
          <w:rFonts w:hint="eastAsia" w:ascii="仿宋_GB2312" w:eastAsia="仿宋_GB2312"/>
          <w:bCs/>
          <w:sz w:val="32"/>
          <w:szCs w:val="32"/>
        </w:rPr>
        <w:t xml:space="preserve">   （六）运用法律手段协助甲方协调劳资关系，完善劳动合同及劳动管理制度；</w:t>
      </w:r>
    </w:p>
    <w:p>
      <w:pPr>
        <w:spacing w:line="560" w:lineRule="exact"/>
        <w:rPr>
          <w:rFonts w:hint="eastAsia" w:ascii="仿宋_GB2312" w:eastAsia="仿宋_GB2312"/>
          <w:bCs/>
          <w:sz w:val="32"/>
          <w:szCs w:val="32"/>
        </w:rPr>
      </w:pPr>
      <w:r>
        <w:rPr>
          <w:rFonts w:hint="eastAsia" w:ascii="仿宋_GB2312" w:eastAsia="仿宋_GB2312"/>
          <w:bCs/>
          <w:sz w:val="32"/>
          <w:szCs w:val="32"/>
        </w:rPr>
        <w:t xml:space="preserve">   （七）参与甲方经济项目的谈判、经济合同的拟定、修改，为甲方的业务活动办理见证或公证，为甲方的重大经营事项出具法律意见书。</w:t>
      </w:r>
    </w:p>
    <w:p>
      <w:pPr>
        <w:spacing w:line="560" w:lineRule="exact"/>
        <w:ind w:firstLine="640" w:firstLineChars="200"/>
        <w:rPr>
          <w:rFonts w:hint="eastAsia" w:ascii="仿宋_GB2312" w:eastAsia="仿宋_GB2312"/>
          <w:bCs/>
          <w:sz w:val="32"/>
          <w:szCs w:val="32"/>
          <w:highlight w:val="none"/>
        </w:rPr>
      </w:pPr>
      <w:bookmarkStart w:id="2" w:name="_GoBack"/>
      <w:r>
        <w:rPr>
          <w:rFonts w:hint="eastAsia" w:ascii="仿宋_GB2312" w:eastAsia="仿宋_GB2312"/>
          <w:bCs/>
          <w:sz w:val="32"/>
          <w:szCs w:val="32"/>
          <w:highlight w:val="none"/>
        </w:rPr>
        <w:t>（八）接受甲方另行委托，代理甲方参与各类诉讼、仲裁及其他诉讼法律事务；为甲方房地产开发或基础设施建设项目提供从项目立项、招投标、建设施工到竣工结算等项目建设全过程非诉专项法律服务；为甲方资本运作、投融资项目提供法律尽职调查、法律意见书、项目交易文件起草审核等项目全过程的非诉专项法律服务等。</w:t>
      </w:r>
    </w:p>
    <w:bookmarkEnd w:id="2"/>
    <w:p>
      <w:pPr>
        <w:spacing w:line="560" w:lineRule="exact"/>
        <w:rPr>
          <w:rFonts w:hint="eastAsia" w:ascii="仿宋_GB2312" w:eastAsia="仿宋_GB2312"/>
          <w:bCs/>
          <w:sz w:val="32"/>
          <w:szCs w:val="32"/>
        </w:rPr>
      </w:pPr>
      <w:r>
        <w:rPr>
          <w:rFonts w:hint="eastAsia" w:ascii="仿宋_GB2312" w:eastAsia="仿宋_GB2312"/>
          <w:bCs/>
          <w:sz w:val="32"/>
          <w:szCs w:val="32"/>
        </w:rPr>
        <w:t xml:space="preserve">   （九）代办其他法律事务。</w:t>
      </w:r>
    </w:p>
    <w:p>
      <w:pPr>
        <w:spacing w:line="560" w:lineRule="exact"/>
        <w:rPr>
          <w:rFonts w:hint="eastAsia" w:ascii="黑体" w:hAnsi="黑体" w:eastAsia="黑体" w:cs="黑体"/>
          <w:bCs/>
          <w:sz w:val="32"/>
          <w:szCs w:val="32"/>
        </w:rPr>
      </w:pPr>
      <w:r>
        <w:rPr>
          <w:rFonts w:hint="eastAsia" w:ascii="黑体" w:hAnsi="黑体" w:eastAsia="黑体" w:cs="黑体"/>
          <w:bCs/>
          <w:sz w:val="32"/>
          <w:szCs w:val="32"/>
        </w:rPr>
        <w:t>第三条</w:t>
      </w:r>
      <w:r>
        <w:rPr>
          <w:rFonts w:hint="eastAsia" w:ascii="黑体" w:hAnsi="黑体" w:eastAsia="黑体" w:cs="黑体"/>
          <w:bCs/>
          <w:sz w:val="32"/>
          <w:szCs w:val="32"/>
        </w:rPr>
        <w:tab/>
      </w:r>
      <w:r>
        <w:rPr>
          <w:rFonts w:hint="eastAsia" w:ascii="黑体" w:hAnsi="黑体" w:eastAsia="黑体" w:cs="黑体"/>
          <w:bCs/>
          <w:sz w:val="32"/>
          <w:szCs w:val="32"/>
        </w:rPr>
        <w:t>顾问费的支付</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（一）合同总价为：</w:t>
      </w:r>
      <w:r>
        <w:rPr>
          <w:rFonts w:ascii="Arial" w:hAnsi="Arial" w:eastAsia="仿宋_GB2312" w:cs="Arial"/>
          <w:bCs/>
          <w:sz w:val="32"/>
          <w:szCs w:val="32"/>
        </w:rPr>
        <w:t>¥</w:t>
      </w:r>
      <w:r>
        <w:rPr>
          <w:rFonts w:hint="eastAsia" w:ascii="仿宋_GB2312" w:eastAsia="仿宋_GB2312"/>
          <w:bCs/>
          <w:sz w:val="32"/>
          <w:szCs w:val="32"/>
          <w:u w:val="single"/>
        </w:rPr>
        <w:t xml:space="preserve">          元（大写：人民币   ）</w:t>
      </w:r>
      <w:r>
        <w:rPr>
          <w:rFonts w:hint="eastAsia" w:ascii="仿宋_GB2312" w:eastAsia="仿宋_GB2312"/>
          <w:bCs/>
          <w:sz w:val="32"/>
          <w:szCs w:val="32"/>
        </w:rPr>
        <w:t>，其中，不含税价为</w:t>
      </w:r>
      <w:r>
        <w:rPr>
          <w:rFonts w:ascii="Arial" w:hAnsi="Arial" w:eastAsia="仿宋_GB2312" w:cs="Arial"/>
          <w:bCs/>
          <w:sz w:val="32"/>
          <w:szCs w:val="32"/>
        </w:rPr>
        <w:t>¥</w:t>
      </w:r>
      <w:r>
        <w:rPr>
          <w:rFonts w:hint="eastAsia" w:ascii="仿宋_GB2312" w:eastAsia="仿宋_GB2312"/>
          <w:bCs/>
          <w:sz w:val="32"/>
          <w:szCs w:val="32"/>
          <w:u w:val="single"/>
        </w:rPr>
        <w:t xml:space="preserve">          元</w:t>
      </w:r>
      <w:r>
        <w:rPr>
          <w:rFonts w:hint="eastAsia" w:ascii="仿宋_GB2312" w:eastAsia="仿宋_GB2312"/>
          <w:bCs/>
          <w:sz w:val="32"/>
          <w:szCs w:val="32"/>
        </w:rPr>
        <w:t>，税费为：</w:t>
      </w:r>
      <w:r>
        <w:rPr>
          <w:rFonts w:ascii="Arial" w:hAnsi="Arial" w:eastAsia="仿宋_GB2312" w:cs="Arial"/>
          <w:bCs/>
          <w:sz w:val="32"/>
          <w:szCs w:val="32"/>
        </w:rPr>
        <w:t>¥</w:t>
      </w:r>
      <w:r>
        <w:rPr>
          <w:rFonts w:hint="eastAsia" w:ascii="仿宋_GB2312" w:eastAsia="仿宋_GB2312"/>
          <w:bCs/>
          <w:sz w:val="32"/>
          <w:szCs w:val="32"/>
          <w:u w:val="single"/>
        </w:rPr>
        <w:t xml:space="preserve">          元</w:t>
      </w:r>
      <w:r>
        <w:rPr>
          <w:rFonts w:hint="eastAsia" w:ascii="仿宋_GB2312" w:eastAsia="仿宋_GB2312"/>
          <w:bCs/>
          <w:sz w:val="32"/>
          <w:szCs w:val="32"/>
        </w:rPr>
        <w:t>，税率为</w:t>
      </w:r>
      <w:r>
        <w:rPr>
          <w:rFonts w:hint="eastAsia" w:ascii="仿宋_GB2312" w:eastAsia="仿宋_GB2312"/>
          <w:bCs/>
          <w:sz w:val="32"/>
          <w:szCs w:val="32"/>
          <w:u w:val="single"/>
        </w:rPr>
        <w:t xml:space="preserve">    %</w:t>
      </w:r>
      <w:r>
        <w:rPr>
          <w:rFonts w:hint="eastAsia" w:ascii="仿宋_GB2312" w:eastAsia="仿宋_GB2312"/>
          <w:bCs/>
          <w:sz w:val="32"/>
          <w:szCs w:val="32"/>
        </w:rPr>
        <w:t>。</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1、签订常年法律服务合同生效，甲方收到乙方请款资料及足额增值税专用发票后十个工作日内支付合同总价的30%；</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2、在常年法律服务合同生效满半年，甲方收到乙方请款资料及足额增值税专用发票后十个工作日内支付合同总价的35%；</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3、在常年法律服务合同生效满一年，甲方收到乙方请款资料及足额增值税专用发票后十个工作日内支付合同总价的35%。</w:t>
      </w:r>
    </w:p>
    <w:p>
      <w:pPr>
        <w:spacing w:line="560" w:lineRule="exact"/>
        <w:rPr>
          <w:rFonts w:hint="eastAsia" w:ascii="仿宋_GB2312" w:eastAsia="仿宋_GB2312"/>
          <w:bCs/>
          <w:sz w:val="32"/>
          <w:szCs w:val="32"/>
        </w:rPr>
      </w:pPr>
      <w:r>
        <w:rPr>
          <w:rFonts w:hint="eastAsia" w:ascii="仿宋_GB2312" w:eastAsia="仿宋_GB2312"/>
          <w:bCs/>
          <w:sz w:val="32"/>
          <w:szCs w:val="32"/>
        </w:rPr>
        <w:t xml:space="preserve">   （二）甲方支付上述法律顾问费之后，乙方律师办理第二条第（一）至（七）项事务时甲方不必另办委托手续，不再支付费用。</w:t>
      </w:r>
    </w:p>
    <w:p>
      <w:pPr>
        <w:spacing w:line="560" w:lineRule="exact"/>
        <w:rPr>
          <w:rFonts w:hint="eastAsia" w:ascii="仿宋_GB2312" w:eastAsia="仿宋_GB2312"/>
          <w:bCs/>
          <w:sz w:val="32"/>
          <w:szCs w:val="32"/>
        </w:rPr>
      </w:pPr>
      <w:r>
        <w:rPr>
          <w:rFonts w:hint="eastAsia" w:ascii="仿宋_GB2312" w:eastAsia="仿宋_GB2312"/>
          <w:bCs/>
          <w:sz w:val="32"/>
          <w:szCs w:val="32"/>
        </w:rPr>
        <w:t xml:space="preserve">   （三）甲方委托乙方律师办理第二条第（八）项事务时，须另行办理委托手续和另行交费，涉及的专项法律服务费收费标准按照广东省律师服务政府指导价（粤价[2006]298号）执行，下浮20%。</w:t>
      </w:r>
    </w:p>
    <w:p>
      <w:pPr>
        <w:spacing w:line="560" w:lineRule="exact"/>
        <w:rPr>
          <w:rFonts w:hint="eastAsia" w:ascii="仿宋_GB2312" w:eastAsia="仿宋_GB2312"/>
          <w:bCs/>
          <w:sz w:val="32"/>
          <w:szCs w:val="32"/>
        </w:rPr>
      </w:pPr>
      <w:r>
        <w:rPr>
          <w:rFonts w:hint="eastAsia" w:ascii="仿宋_GB2312" w:eastAsia="仿宋_GB2312"/>
          <w:bCs/>
          <w:sz w:val="32"/>
          <w:szCs w:val="32"/>
        </w:rPr>
        <w:t xml:space="preserve">   （四）应甲方要求，乙方律师到广州市区以外办理有关事务时，差旅费由甲方承担。</w:t>
      </w:r>
    </w:p>
    <w:p>
      <w:pPr>
        <w:spacing w:line="560" w:lineRule="exact"/>
        <w:rPr>
          <w:rFonts w:hint="eastAsia" w:ascii="黑体" w:hAnsi="黑体" w:eastAsia="黑体" w:cs="黑体"/>
          <w:bCs/>
          <w:sz w:val="32"/>
          <w:szCs w:val="32"/>
        </w:rPr>
      </w:pPr>
      <w:r>
        <w:rPr>
          <w:rFonts w:hint="eastAsia" w:ascii="黑体" w:hAnsi="黑体" w:eastAsia="黑体" w:cs="黑体"/>
          <w:bCs/>
          <w:sz w:val="32"/>
          <w:szCs w:val="32"/>
        </w:rPr>
        <w:t>第四条</w:t>
      </w:r>
      <w:r>
        <w:rPr>
          <w:rFonts w:hint="eastAsia" w:ascii="黑体" w:hAnsi="黑体" w:eastAsia="黑体" w:cs="黑体"/>
          <w:bCs/>
          <w:sz w:val="32"/>
          <w:szCs w:val="32"/>
        </w:rPr>
        <w:tab/>
      </w:r>
      <w:r>
        <w:rPr>
          <w:rFonts w:hint="eastAsia" w:ascii="黑体" w:hAnsi="黑体" w:eastAsia="黑体" w:cs="黑体"/>
          <w:bCs/>
          <w:sz w:val="32"/>
          <w:szCs w:val="32"/>
        </w:rPr>
        <w:t>工作方式</w:t>
      </w:r>
    </w:p>
    <w:p>
      <w:pPr>
        <w:spacing w:line="560" w:lineRule="exact"/>
        <w:rPr>
          <w:rFonts w:hint="eastAsia" w:ascii="仿宋_GB2312" w:eastAsia="仿宋_GB2312"/>
          <w:bCs/>
          <w:sz w:val="32"/>
          <w:szCs w:val="32"/>
        </w:rPr>
      </w:pPr>
      <w:r>
        <w:rPr>
          <w:rFonts w:hint="eastAsia" w:ascii="仿宋_GB2312" w:eastAsia="仿宋_GB2312"/>
          <w:bCs/>
          <w:sz w:val="32"/>
          <w:szCs w:val="32"/>
        </w:rPr>
        <w:t xml:space="preserve">    （一）乙方律师应保持与甲方人员的联系，甲方遇有本合同第二条第（一）至（七）项约定的事务时，可通知乙方律师办理，乙方律师应及时开展有关工作，保证质量，讲求效率，认真履行职责。</w:t>
      </w:r>
    </w:p>
    <w:p>
      <w:pPr>
        <w:spacing w:line="560" w:lineRule="exact"/>
        <w:rPr>
          <w:rFonts w:hint="eastAsia" w:ascii="仿宋_GB2312" w:eastAsia="仿宋_GB2312"/>
          <w:bCs/>
          <w:sz w:val="32"/>
          <w:szCs w:val="32"/>
        </w:rPr>
      </w:pPr>
      <w:r>
        <w:rPr>
          <w:rFonts w:hint="eastAsia" w:ascii="仿宋_GB2312" w:eastAsia="仿宋_GB2312"/>
          <w:bCs/>
          <w:sz w:val="32"/>
          <w:szCs w:val="32"/>
        </w:rPr>
        <w:t xml:space="preserve">   （二）甲方口头咨询及要求提供信息的，乙方应该在一个工作日内答复；甲方书面咨询及法律文件审核的，乙方应在三个工作日内根据甲方要求的方式答复。传真及电子邮件视为书面形式。</w:t>
      </w:r>
    </w:p>
    <w:p>
      <w:pPr>
        <w:spacing w:line="560" w:lineRule="exact"/>
        <w:rPr>
          <w:rFonts w:hint="eastAsia" w:ascii="仿宋_GB2312" w:eastAsia="仿宋_GB2312"/>
          <w:bCs/>
          <w:sz w:val="32"/>
          <w:szCs w:val="32"/>
        </w:rPr>
      </w:pPr>
      <w:r>
        <w:rPr>
          <w:rFonts w:hint="eastAsia" w:ascii="仿宋_GB2312" w:eastAsia="仿宋_GB2312"/>
          <w:bCs/>
          <w:sz w:val="32"/>
          <w:szCs w:val="32"/>
        </w:rPr>
        <w:t xml:space="preserve">    （三）双方的联络方式：甲方可以就本合同的服务向乙方任何一位顾问律师直接联络。</w:t>
      </w:r>
    </w:p>
    <w:p>
      <w:pPr>
        <w:spacing w:line="560" w:lineRule="exact"/>
        <w:rPr>
          <w:rFonts w:hint="eastAsia" w:ascii="黑体" w:hAnsi="黑体" w:eastAsia="黑体" w:cs="黑体"/>
          <w:bCs/>
          <w:sz w:val="32"/>
          <w:szCs w:val="32"/>
        </w:rPr>
      </w:pPr>
      <w:r>
        <w:rPr>
          <w:rFonts w:hint="eastAsia" w:ascii="黑体" w:hAnsi="黑体" w:eastAsia="黑体" w:cs="黑体"/>
          <w:bCs/>
          <w:sz w:val="32"/>
          <w:szCs w:val="32"/>
        </w:rPr>
        <w:t>第五条</w:t>
      </w:r>
      <w:r>
        <w:rPr>
          <w:rFonts w:hint="eastAsia" w:ascii="黑体" w:hAnsi="黑体" w:eastAsia="黑体" w:cs="黑体"/>
          <w:bCs/>
          <w:sz w:val="32"/>
          <w:szCs w:val="32"/>
        </w:rPr>
        <w:tab/>
      </w:r>
      <w:r>
        <w:rPr>
          <w:rFonts w:hint="eastAsia" w:ascii="黑体" w:hAnsi="黑体" w:eastAsia="黑体" w:cs="黑体"/>
          <w:bCs/>
          <w:sz w:val="32"/>
          <w:szCs w:val="32"/>
        </w:rPr>
        <w:t>增派律师</w:t>
      </w:r>
    </w:p>
    <w:p>
      <w:pPr>
        <w:spacing w:line="560" w:lineRule="exact"/>
        <w:rPr>
          <w:rFonts w:hint="eastAsia" w:ascii="仿宋_GB2312" w:eastAsia="仿宋_GB2312"/>
          <w:bCs/>
          <w:sz w:val="32"/>
          <w:szCs w:val="32"/>
        </w:rPr>
      </w:pPr>
      <w:r>
        <w:rPr>
          <w:rFonts w:hint="eastAsia" w:ascii="仿宋_GB2312" w:eastAsia="仿宋_GB2312"/>
          <w:bCs/>
          <w:sz w:val="32"/>
          <w:szCs w:val="32"/>
        </w:rPr>
        <w:t xml:space="preserve">    如乙方指派担任法律顾问的律师因工作变动等原因不能履行职责或顾问律师不能满足甲方业务要求时，经甲方同意，乙方应及时变更或增派律师，且应保证不降低服务水平。</w:t>
      </w:r>
    </w:p>
    <w:p>
      <w:pPr>
        <w:spacing w:line="560" w:lineRule="exact"/>
        <w:rPr>
          <w:rFonts w:hint="eastAsia" w:ascii="黑体" w:hAnsi="黑体" w:eastAsia="黑体" w:cs="黑体"/>
          <w:bCs/>
          <w:sz w:val="32"/>
          <w:szCs w:val="32"/>
        </w:rPr>
      </w:pPr>
      <w:r>
        <w:rPr>
          <w:rFonts w:hint="eastAsia" w:ascii="黑体" w:hAnsi="黑体" w:eastAsia="黑体" w:cs="黑体"/>
          <w:bCs/>
          <w:sz w:val="32"/>
          <w:szCs w:val="32"/>
        </w:rPr>
        <w:t>第六条</w:t>
      </w:r>
      <w:r>
        <w:rPr>
          <w:rFonts w:hint="eastAsia" w:ascii="黑体" w:hAnsi="黑体" w:eastAsia="黑体" w:cs="黑体"/>
          <w:bCs/>
          <w:sz w:val="32"/>
          <w:szCs w:val="32"/>
        </w:rPr>
        <w:tab/>
      </w:r>
      <w:r>
        <w:rPr>
          <w:rFonts w:hint="eastAsia" w:ascii="黑体" w:hAnsi="黑体" w:eastAsia="黑体" w:cs="黑体"/>
          <w:bCs/>
          <w:sz w:val="32"/>
          <w:szCs w:val="32"/>
        </w:rPr>
        <w:t>甲方的协助义务</w:t>
      </w:r>
    </w:p>
    <w:p>
      <w:pPr>
        <w:spacing w:line="560" w:lineRule="exact"/>
        <w:rPr>
          <w:rFonts w:hint="eastAsia" w:ascii="仿宋_GB2312" w:eastAsia="仿宋_GB2312"/>
          <w:bCs/>
          <w:sz w:val="32"/>
          <w:szCs w:val="32"/>
        </w:rPr>
      </w:pPr>
      <w:r>
        <w:rPr>
          <w:rFonts w:hint="eastAsia" w:ascii="仿宋_GB2312" w:eastAsia="仿宋_GB2312"/>
          <w:bCs/>
          <w:sz w:val="32"/>
          <w:szCs w:val="32"/>
        </w:rPr>
        <w:t xml:space="preserve">    为使乙方律师能依法履行职责，更好地提供法律帮助，甲方应向乙方律师真实详细地介绍有关情况，提供有关文件、资料，积极协助乙方律师开展工作；甲方需要乙方律师参加会议、研究合同或参加谈判时，甲方应提前通知，并事先提交所需的材料，让乙方律师有充足的时间准备。</w:t>
      </w:r>
    </w:p>
    <w:p>
      <w:pPr>
        <w:spacing w:line="560" w:lineRule="exact"/>
        <w:rPr>
          <w:rFonts w:hint="eastAsia" w:ascii="黑体" w:hAnsi="黑体" w:eastAsia="黑体" w:cs="黑体"/>
          <w:bCs/>
          <w:sz w:val="32"/>
          <w:szCs w:val="32"/>
        </w:rPr>
      </w:pPr>
      <w:r>
        <w:rPr>
          <w:rFonts w:hint="eastAsia" w:ascii="黑体" w:hAnsi="黑体" w:eastAsia="黑体" w:cs="黑体"/>
          <w:bCs/>
          <w:sz w:val="32"/>
          <w:szCs w:val="32"/>
        </w:rPr>
        <w:t>第七条</w:t>
      </w:r>
      <w:r>
        <w:rPr>
          <w:rFonts w:hint="eastAsia" w:ascii="黑体" w:hAnsi="黑体" w:eastAsia="黑体" w:cs="黑体"/>
          <w:bCs/>
          <w:sz w:val="32"/>
          <w:szCs w:val="32"/>
        </w:rPr>
        <w:tab/>
      </w:r>
      <w:r>
        <w:rPr>
          <w:rFonts w:hint="eastAsia" w:ascii="黑体" w:hAnsi="黑体" w:eastAsia="黑体" w:cs="黑体"/>
          <w:bCs/>
          <w:sz w:val="32"/>
          <w:szCs w:val="32"/>
        </w:rPr>
        <w:t>乙方的保密义务</w:t>
      </w:r>
    </w:p>
    <w:p>
      <w:pPr>
        <w:spacing w:line="560" w:lineRule="exact"/>
        <w:ind w:firstLine="645"/>
        <w:rPr>
          <w:rFonts w:hint="eastAsia" w:ascii="仿宋_GB2312" w:eastAsia="仿宋_GB2312"/>
          <w:bCs/>
          <w:sz w:val="32"/>
          <w:szCs w:val="32"/>
        </w:rPr>
      </w:pPr>
      <w:r>
        <w:rPr>
          <w:rFonts w:hint="eastAsia" w:ascii="仿宋_GB2312" w:eastAsia="仿宋_GB2312"/>
          <w:bCs/>
          <w:sz w:val="32"/>
          <w:szCs w:val="32"/>
        </w:rPr>
        <w:t>乙方律师在履行职责时对甲方所提供的资料、文件及有关的图纸、谈话记录、录音、商业秘密等，应严格保守秘密。</w:t>
      </w:r>
    </w:p>
    <w:p>
      <w:pPr>
        <w:spacing w:line="560" w:lineRule="exact"/>
        <w:rPr>
          <w:rFonts w:hint="eastAsia" w:ascii="黑体" w:hAnsi="黑体" w:eastAsia="黑体" w:cs="黑体"/>
          <w:bCs/>
          <w:sz w:val="32"/>
          <w:szCs w:val="32"/>
        </w:rPr>
      </w:pPr>
      <w:r>
        <w:rPr>
          <w:rFonts w:hint="eastAsia" w:ascii="黑体" w:hAnsi="黑体" w:eastAsia="黑体" w:cs="黑体"/>
          <w:bCs/>
          <w:sz w:val="32"/>
          <w:szCs w:val="32"/>
        </w:rPr>
        <w:t>第八条</w:t>
      </w:r>
      <w:r>
        <w:rPr>
          <w:rFonts w:hint="eastAsia" w:ascii="黑体" w:hAnsi="黑体" w:eastAsia="黑体" w:cs="黑体"/>
          <w:bCs/>
          <w:sz w:val="32"/>
          <w:szCs w:val="32"/>
        </w:rPr>
        <w:tab/>
      </w:r>
      <w:r>
        <w:rPr>
          <w:rFonts w:hint="eastAsia" w:ascii="黑体" w:hAnsi="黑体" w:eastAsia="黑体" w:cs="黑体"/>
          <w:bCs/>
          <w:sz w:val="32"/>
          <w:szCs w:val="32"/>
        </w:rPr>
        <w:t>违约责任</w:t>
      </w:r>
    </w:p>
    <w:p>
      <w:pPr>
        <w:spacing w:line="560" w:lineRule="exact"/>
        <w:ind w:firstLine="800" w:firstLineChars="250"/>
        <w:rPr>
          <w:rFonts w:hint="eastAsia" w:ascii="仿宋_GB2312" w:eastAsia="仿宋_GB2312"/>
          <w:bCs/>
          <w:sz w:val="32"/>
          <w:szCs w:val="32"/>
        </w:rPr>
      </w:pPr>
      <w:r>
        <w:rPr>
          <w:rFonts w:hint="eastAsia" w:ascii="仿宋_GB2312" w:hAnsi="宋体" w:eastAsia="仿宋_GB2312"/>
          <w:sz w:val="32"/>
          <w:szCs w:val="32"/>
        </w:rPr>
        <w:t>本合同任何一方不履行本合同约定之义务的，均构成对本合同的违反，亦即构成本合同项下的违约行为，违约方应承担相应的违约责任。</w:t>
      </w:r>
    </w:p>
    <w:p>
      <w:pPr>
        <w:spacing w:line="560" w:lineRule="exact"/>
        <w:rPr>
          <w:rFonts w:hint="eastAsia" w:ascii="黑体" w:hAnsi="黑体" w:eastAsia="黑体" w:cs="黑体"/>
          <w:bCs/>
          <w:sz w:val="32"/>
          <w:szCs w:val="32"/>
        </w:rPr>
      </w:pPr>
      <w:r>
        <w:rPr>
          <w:rFonts w:hint="eastAsia" w:ascii="黑体" w:hAnsi="黑体" w:eastAsia="黑体" w:cs="黑体"/>
          <w:bCs/>
          <w:sz w:val="32"/>
          <w:szCs w:val="32"/>
        </w:rPr>
        <w:t>第九条</w:t>
      </w:r>
      <w:r>
        <w:rPr>
          <w:rFonts w:hint="eastAsia" w:ascii="黑体" w:hAnsi="黑体" w:eastAsia="黑体" w:cs="黑体"/>
          <w:bCs/>
          <w:sz w:val="32"/>
          <w:szCs w:val="32"/>
        </w:rPr>
        <w:tab/>
      </w:r>
      <w:r>
        <w:rPr>
          <w:rFonts w:hint="eastAsia" w:ascii="黑体" w:hAnsi="黑体" w:eastAsia="黑体" w:cs="黑体"/>
          <w:bCs/>
          <w:sz w:val="32"/>
          <w:szCs w:val="32"/>
        </w:rPr>
        <w:t>法律顾问的服务期限</w:t>
      </w:r>
    </w:p>
    <w:p>
      <w:pPr>
        <w:spacing w:line="560" w:lineRule="exact"/>
        <w:ind w:firstLine="645"/>
        <w:rPr>
          <w:rFonts w:hint="eastAsia" w:ascii="仿宋_GB2312" w:eastAsia="仿宋_GB2312"/>
          <w:bCs/>
          <w:sz w:val="32"/>
          <w:szCs w:val="32"/>
        </w:rPr>
      </w:pPr>
      <w:r>
        <w:rPr>
          <w:rFonts w:hint="eastAsia" w:ascii="仿宋_GB2312" w:eastAsia="仿宋_GB2312"/>
          <w:bCs/>
          <w:sz w:val="32"/>
          <w:szCs w:val="32"/>
        </w:rPr>
        <w:t>本合同约定的法律顾问服务期限为一年，自2021年  月  日起至2022年  月  日止。</w:t>
      </w:r>
    </w:p>
    <w:p>
      <w:pPr>
        <w:numPr>
          <w:ilvl w:val="0"/>
          <w:numId w:val="1"/>
        </w:numPr>
        <w:spacing w:line="560" w:lineRule="exact"/>
        <w:rPr>
          <w:rFonts w:hint="eastAsia" w:ascii="黑体" w:hAnsi="黑体" w:eastAsia="黑体" w:cs="黑体"/>
          <w:bCs/>
          <w:sz w:val="32"/>
          <w:szCs w:val="32"/>
        </w:rPr>
      </w:pPr>
      <w:r>
        <w:rPr>
          <w:rFonts w:hint="eastAsia" w:ascii="黑体" w:hAnsi="黑体" w:eastAsia="黑体" w:cs="黑体"/>
          <w:bCs/>
          <w:sz w:val="32"/>
          <w:szCs w:val="32"/>
        </w:rPr>
        <w:t>争议解决</w:t>
      </w:r>
    </w:p>
    <w:p>
      <w:pPr>
        <w:spacing w:line="560" w:lineRule="exact"/>
        <w:ind w:firstLine="640" w:firstLineChars="200"/>
        <w:rPr>
          <w:rFonts w:hint="eastAsia" w:ascii="仿宋_GB2312" w:eastAsia="仿宋_GB2312"/>
          <w:bCs/>
          <w:sz w:val="32"/>
          <w:szCs w:val="32"/>
        </w:rPr>
      </w:pPr>
      <w:r>
        <w:rPr>
          <w:rFonts w:hint="eastAsia" w:ascii="仿宋_GB2312" w:hAnsi="宋体" w:eastAsia="仿宋_GB2312"/>
          <w:sz w:val="32"/>
          <w:szCs w:val="32"/>
        </w:rPr>
        <w:t>因本合同引起或与本合同有关争议，均应通过友好协商解决。如协商不成或不愿协商的，双方同意由甲方所在地人民法院诉讼、管辖。</w:t>
      </w:r>
    </w:p>
    <w:p>
      <w:pPr>
        <w:spacing w:line="560" w:lineRule="exact"/>
        <w:rPr>
          <w:rFonts w:hint="eastAsia" w:ascii="黑体" w:hAnsi="黑体" w:eastAsia="黑体" w:cs="黑体"/>
          <w:bCs/>
          <w:sz w:val="32"/>
          <w:szCs w:val="32"/>
        </w:rPr>
      </w:pPr>
      <w:r>
        <w:rPr>
          <w:rFonts w:hint="eastAsia" w:ascii="黑体" w:hAnsi="黑体" w:eastAsia="黑体" w:cs="黑体"/>
          <w:bCs/>
          <w:sz w:val="32"/>
          <w:szCs w:val="32"/>
        </w:rPr>
        <w:t>第十一条</w:t>
      </w:r>
      <w:r>
        <w:rPr>
          <w:rFonts w:hint="eastAsia" w:ascii="黑体" w:hAnsi="黑体" w:eastAsia="黑体" w:cs="黑体"/>
          <w:bCs/>
          <w:sz w:val="32"/>
          <w:szCs w:val="32"/>
        </w:rPr>
        <w:tab/>
      </w:r>
      <w:r>
        <w:rPr>
          <w:rFonts w:hint="eastAsia" w:ascii="黑体" w:hAnsi="黑体" w:eastAsia="黑体" w:cs="黑体"/>
          <w:bCs/>
          <w:sz w:val="32"/>
          <w:szCs w:val="32"/>
        </w:rPr>
        <w:t>附则</w:t>
      </w:r>
    </w:p>
    <w:p>
      <w:pPr>
        <w:spacing w:line="560" w:lineRule="exact"/>
        <w:ind w:firstLine="640"/>
        <w:rPr>
          <w:rFonts w:hint="eastAsia" w:ascii="仿宋_GB2312" w:eastAsia="仿宋_GB2312"/>
          <w:bCs/>
          <w:sz w:val="32"/>
          <w:szCs w:val="32"/>
        </w:rPr>
      </w:pPr>
      <w:r>
        <w:rPr>
          <w:rFonts w:hint="eastAsia" w:ascii="仿宋_GB2312" w:eastAsia="仿宋_GB2312"/>
          <w:bCs/>
          <w:sz w:val="32"/>
          <w:szCs w:val="32"/>
        </w:rPr>
        <w:t>本合同经双方签字盖章后生效。本合同一式捌份，甲方执肆份，乙方执</w:t>
      </w:r>
      <w:r>
        <w:rPr>
          <w:rFonts w:ascii="仿宋_GB2312" w:eastAsia="仿宋_GB2312"/>
          <w:bCs/>
          <w:sz w:val="32"/>
          <w:szCs w:val="32"/>
        </w:rPr>
        <w:t>肆</w:t>
      </w:r>
      <w:r>
        <w:rPr>
          <w:rFonts w:hint="eastAsia" w:ascii="仿宋_GB2312" w:eastAsia="仿宋_GB2312"/>
          <w:bCs/>
          <w:sz w:val="32"/>
          <w:szCs w:val="32"/>
        </w:rPr>
        <w:t xml:space="preserve">份，具有同等法律效力。 </w:t>
      </w:r>
    </w:p>
    <w:p>
      <w:pPr>
        <w:spacing w:line="560" w:lineRule="exact"/>
        <w:ind w:firstLine="640"/>
        <w:rPr>
          <w:rFonts w:hint="eastAsia" w:ascii="仿宋_GB2312" w:eastAsia="仿宋_GB2312"/>
          <w:bCs/>
          <w:sz w:val="32"/>
          <w:szCs w:val="32"/>
        </w:rPr>
      </w:pPr>
    </w:p>
    <w:p>
      <w:pPr>
        <w:spacing w:line="560" w:lineRule="exact"/>
        <w:rPr>
          <w:rFonts w:hint="eastAsia" w:ascii="仿宋_GB2312" w:eastAsia="仿宋_GB2312"/>
          <w:bCs/>
          <w:sz w:val="32"/>
          <w:szCs w:val="32"/>
        </w:rPr>
      </w:pPr>
      <w:r>
        <w:rPr>
          <w:rFonts w:hint="eastAsia" w:ascii="仿宋_GB2312" w:eastAsia="仿宋_GB2312"/>
          <w:bCs/>
          <w:sz w:val="32"/>
          <w:szCs w:val="32"/>
        </w:rPr>
        <w:t>甲方：广州南沙建设维护管理有限公司  乙方：</w:t>
      </w:r>
    </w:p>
    <w:p>
      <w:pPr>
        <w:spacing w:line="560" w:lineRule="exact"/>
        <w:rPr>
          <w:rFonts w:hint="eastAsia" w:ascii="仿宋_GB2312" w:eastAsia="仿宋_GB2312"/>
          <w:bCs/>
          <w:sz w:val="32"/>
          <w:szCs w:val="32"/>
        </w:rPr>
      </w:pPr>
      <w:r>
        <w:rPr>
          <w:rFonts w:hint="eastAsia" w:ascii="仿宋_GB2312" w:eastAsia="仿宋_GB2312"/>
          <w:bCs/>
          <w:sz w:val="32"/>
          <w:szCs w:val="32"/>
        </w:rPr>
        <w:t>（盖章）                         （盖章）</w:t>
      </w:r>
    </w:p>
    <w:p>
      <w:pPr>
        <w:spacing w:line="560" w:lineRule="exact"/>
        <w:rPr>
          <w:rFonts w:hint="eastAsia" w:ascii="仿宋_GB2312" w:eastAsia="仿宋_GB2312"/>
          <w:bCs/>
          <w:sz w:val="32"/>
          <w:szCs w:val="32"/>
        </w:rPr>
      </w:pPr>
      <w:r>
        <w:rPr>
          <w:rFonts w:hint="eastAsia" w:ascii="仿宋_GB2312" w:eastAsia="仿宋_GB2312"/>
          <w:bCs/>
          <w:sz w:val="32"/>
          <w:szCs w:val="32"/>
        </w:rPr>
        <w:t xml:space="preserve">签约代表：                     </w:t>
      </w:r>
      <w:r>
        <w:rPr>
          <w:rFonts w:hint="eastAsia" w:ascii="仿宋_GB2312" w:eastAsia="仿宋_GB2312"/>
          <w:bCs/>
          <w:sz w:val="32"/>
          <w:szCs w:val="32"/>
        </w:rPr>
        <w:tab/>
      </w:r>
      <w:r>
        <w:rPr>
          <w:rFonts w:hint="eastAsia" w:ascii="仿宋_GB2312" w:eastAsia="仿宋_GB2312"/>
          <w:bCs/>
          <w:sz w:val="32"/>
          <w:szCs w:val="32"/>
        </w:rPr>
        <w:t xml:space="preserve"> 承办律师：</w:t>
      </w:r>
    </w:p>
    <w:p>
      <w:pPr>
        <w:spacing w:line="560" w:lineRule="exact"/>
        <w:rPr>
          <w:rFonts w:hint="eastAsia" w:ascii="仿宋_GB2312" w:eastAsia="仿宋_GB2312"/>
          <w:bCs/>
          <w:sz w:val="32"/>
          <w:szCs w:val="32"/>
        </w:rPr>
      </w:pPr>
      <w:r>
        <w:rPr>
          <w:rFonts w:hint="eastAsia" w:ascii="仿宋_GB2312" w:eastAsia="仿宋_GB2312"/>
          <w:bCs/>
          <w:sz w:val="32"/>
          <w:szCs w:val="32"/>
        </w:rPr>
        <w:t>日期：2021年  月  日            日期：2021年  月  日</w:t>
      </w:r>
    </w:p>
    <w:p>
      <w:pPr>
        <w:spacing w:line="560" w:lineRule="exact"/>
        <w:rPr>
          <w:rFonts w:hint="eastAsia" w:ascii="仿宋_GB2312" w:eastAsia="仿宋_GB2312"/>
          <w:bCs/>
          <w:sz w:val="32"/>
          <w:szCs w:val="32"/>
        </w:rPr>
      </w:pPr>
      <w:r>
        <w:rPr>
          <w:rFonts w:hint="eastAsia" w:ascii="仿宋_GB2312" w:eastAsia="仿宋_GB2312"/>
          <w:bCs/>
          <w:sz w:val="32"/>
          <w:szCs w:val="32"/>
        </w:rPr>
        <w:t xml:space="preserve">                     </w:t>
      </w:r>
    </w:p>
    <w:p>
      <w:pPr>
        <w:spacing w:line="560" w:lineRule="exact"/>
        <w:rPr>
          <w:rFonts w:hint="eastAsia" w:ascii="黑体" w:hAnsi="华文楷体" w:eastAsia="黑体"/>
          <w:sz w:val="32"/>
          <w:szCs w:val="32"/>
        </w:rPr>
      </w:pPr>
    </w:p>
    <w:p>
      <w:pPr>
        <w:spacing w:line="560" w:lineRule="exact"/>
        <w:rPr>
          <w:rFonts w:hint="eastAsia" w:ascii="黑体" w:hAnsi="华文楷体" w:eastAsia="黑体"/>
          <w:sz w:val="32"/>
          <w:szCs w:val="32"/>
        </w:rPr>
      </w:pPr>
    </w:p>
    <w:p>
      <w:pPr>
        <w:spacing w:line="560" w:lineRule="exact"/>
        <w:rPr>
          <w:rFonts w:hint="eastAsia" w:ascii="黑体" w:hAnsi="华文楷体" w:eastAsia="黑体"/>
          <w:sz w:val="30"/>
          <w:szCs w:val="30"/>
        </w:rPr>
      </w:pPr>
      <w:r>
        <w:rPr>
          <w:rFonts w:hint="eastAsia" w:ascii="黑体" w:hAnsi="华文楷体" w:eastAsia="黑体"/>
          <w:sz w:val="32"/>
          <w:szCs w:val="32"/>
        </w:rPr>
        <w:br w:type="page"/>
      </w:r>
      <w:r>
        <w:rPr>
          <w:rFonts w:hint="eastAsia" w:ascii="黑体" w:hAnsi="华文楷体" w:eastAsia="黑体"/>
          <w:sz w:val="32"/>
          <w:szCs w:val="32"/>
        </w:rPr>
        <w:t>附件4：</w:t>
      </w:r>
    </w:p>
    <w:p>
      <w:pPr>
        <w:spacing w:line="560" w:lineRule="exact"/>
        <w:jc w:val="center"/>
        <w:rPr>
          <w:rFonts w:hint="eastAsia"/>
          <w:sz w:val="44"/>
          <w:szCs w:val="44"/>
        </w:rPr>
      </w:pPr>
    </w:p>
    <w:p>
      <w:pPr>
        <w:spacing w:line="56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律师事务所负责人证明书</w:t>
      </w:r>
    </w:p>
    <w:p>
      <w:pPr>
        <w:spacing w:line="560" w:lineRule="exact"/>
        <w:jc w:val="center"/>
        <w:rPr>
          <w:rFonts w:hint="eastAsia"/>
          <w:b/>
          <w:sz w:val="32"/>
          <w:szCs w:val="32"/>
        </w:rPr>
      </w:pPr>
    </w:p>
    <w:p>
      <w:pPr>
        <w:spacing w:before="156" w:beforeLines="50" w:line="560" w:lineRule="exact"/>
        <w:ind w:firstLine="280" w:firstLineChars="100"/>
        <w:rPr>
          <w:rFonts w:hint="eastAsia" w:ascii="仿宋_GB2312" w:hAnsi="仿宋_GB2312" w:eastAsia="仿宋_GB2312" w:cs="仿宋_GB2312"/>
          <w:sz w:val="32"/>
          <w:szCs w:val="32"/>
        </w:rPr>
      </w:pPr>
      <w:r>
        <w:rPr>
          <w:rFonts w:hint="eastAsia"/>
          <w:sz w:val="28"/>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z w:val="32"/>
          <w:szCs w:val="32"/>
        </w:rPr>
        <w:t xml:space="preserve">现任我单位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z w:val="32"/>
          <w:szCs w:val="32"/>
        </w:rPr>
        <w:t>职务，为负责人，特此证明。</w:t>
      </w:r>
    </w:p>
    <w:p>
      <w:pPr>
        <w:snapToGrid w:val="0"/>
        <w:spacing w:line="560" w:lineRule="exact"/>
        <w:ind w:firstLine="320" w:firstLineChars="1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有效期限：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napToGrid w:val="0"/>
        <w:spacing w:line="560" w:lineRule="exact"/>
        <w:ind w:firstLine="5878" w:firstLineChars="1837"/>
        <w:rPr>
          <w:rFonts w:hint="eastAsia" w:ascii="仿宋_GB2312" w:hAnsi="仿宋_GB2312" w:eastAsia="仿宋_GB2312" w:cs="仿宋_GB2312"/>
          <w:sz w:val="32"/>
          <w:szCs w:val="32"/>
        </w:rPr>
      </w:pPr>
    </w:p>
    <w:p>
      <w:pPr>
        <w:snapToGrid w:val="0"/>
        <w:spacing w:line="560" w:lineRule="exact"/>
        <w:ind w:firstLine="5878" w:firstLineChars="1837"/>
        <w:rPr>
          <w:rFonts w:hint="eastAsia" w:ascii="仿宋_GB2312" w:hAnsi="仿宋_GB2312" w:eastAsia="仿宋_GB2312" w:cs="仿宋_GB2312"/>
          <w:sz w:val="32"/>
          <w:szCs w:val="32"/>
        </w:rPr>
      </w:pPr>
    </w:p>
    <w:p>
      <w:pPr>
        <w:snapToGrid w:val="0"/>
        <w:spacing w:line="560" w:lineRule="exact"/>
        <w:ind w:firstLine="5878" w:firstLineChars="1837"/>
        <w:rPr>
          <w:rFonts w:hint="eastAsia" w:ascii="仿宋_GB2312" w:hAnsi="仿宋_GB2312" w:eastAsia="仿宋_GB2312" w:cs="仿宋_GB2312"/>
          <w:sz w:val="32"/>
          <w:szCs w:val="32"/>
        </w:rPr>
      </w:pPr>
    </w:p>
    <w:p>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单  位： 　 （盖章）</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日  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560" w:lineRule="exact"/>
        <w:ind w:firstLine="358"/>
        <w:rPr>
          <w:rFonts w:hint="eastAsia" w:ascii="仿宋_GB2312" w:hAnsi="仿宋_GB2312" w:eastAsia="仿宋_GB2312" w:cs="仿宋_GB2312"/>
          <w:sz w:val="32"/>
          <w:szCs w:val="32"/>
        </w:rPr>
      </w:pPr>
    </w:p>
    <w:p>
      <w:pPr>
        <w:spacing w:line="560" w:lineRule="exact"/>
        <w:ind w:firstLine="538"/>
        <w:rPr>
          <w:sz w:val="24"/>
        </w:rPr>
        <w:sectPr>
          <w:footerReference r:id="rId3" w:type="default"/>
          <w:pgSz w:w="11906" w:h="16838"/>
          <w:pgMar w:top="838" w:right="1474" w:bottom="458" w:left="1587" w:header="851" w:footer="992" w:gutter="0"/>
          <w:cols w:space="720" w:num="1"/>
          <w:docGrid w:type="lines" w:linePitch="312" w:charSpace="0"/>
        </w:sectPr>
      </w:pP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附件5：</w:t>
      </w:r>
    </w:p>
    <w:p>
      <w:pPr>
        <w:spacing w:line="56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授权委托书</w:t>
      </w:r>
    </w:p>
    <w:p>
      <w:pPr>
        <w:spacing w:line="560" w:lineRule="exact"/>
        <w:jc w:val="center"/>
        <w:rPr>
          <w:rFonts w:hint="eastAsia" w:ascii="仿宋_GB2312" w:hAnsi="仿宋_GB2312" w:eastAsia="仿宋_GB2312" w:cs="仿宋_GB2312"/>
          <w:sz w:val="32"/>
          <w:szCs w:val="32"/>
        </w:rPr>
      </w:pPr>
    </w:p>
    <w:p>
      <w:pPr>
        <w:snapToGrid w:val="0"/>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兹授权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为我方委托代理人，其权限是：</w:t>
      </w:r>
      <w:r>
        <w:rPr>
          <w:rFonts w:hint="eastAsia" w:ascii="仿宋_GB2312" w:hAnsi="仿宋_GB2312" w:eastAsia="仿宋_GB2312" w:cs="仿宋_GB2312"/>
          <w:sz w:val="32"/>
          <w:szCs w:val="32"/>
          <w:u w:val="single"/>
        </w:rPr>
        <w:t xml:space="preserve">                          </w:t>
      </w:r>
    </w:p>
    <w:p>
      <w:pPr>
        <w:snapToGrid w:val="0"/>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before="156" w:beforeLines="50"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有效期限：</w:t>
      </w:r>
      <w:r>
        <w:rPr>
          <w:rFonts w:hint="eastAsia" w:ascii="仿宋_GB2312" w:hAnsi="仿宋_GB2312" w:eastAsia="仿宋_GB2312" w:cs="仿宋_GB2312"/>
          <w:sz w:val="32"/>
          <w:szCs w:val="32"/>
          <w:u w:val="single"/>
        </w:rPr>
        <w:t>三个月</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附：代理人性别：</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z w:val="32"/>
          <w:szCs w:val="32"/>
        </w:rPr>
        <w:t>年龄：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p>
    <w:p>
      <w:pPr>
        <w:snapToGrid w:val="0"/>
        <w:spacing w:line="560" w:lineRule="exact"/>
        <w:ind w:firstLine="640" w:firstLineChars="200"/>
        <w:rPr>
          <w:rFonts w:hint="eastAsia" w:ascii="仿宋_GB2312" w:hAnsi="仿宋_GB2312" w:eastAsia="仿宋_GB2312" w:cs="仿宋_GB2312"/>
          <w:sz w:val="32"/>
          <w:szCs w:val="32"/>
        </w:rPr>
      </w:pP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（签名或盖章）</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授权单位：</w:t>
      </w:r>
      <w:r>
        <w:rPr>
          <w:rFonts w:hint="eastAsia" w:ascii="仿宋_GB2312" w:hAnsi="仿宋_GB2312" w:eastAsia="仿宋_GB2312" w:cs="仿宋_GB2312"/>
          <w:sz w:val="32"/>
          <w:szCs w:val="32"/>
          <w:u w:val="single"/>
        </w:rPr>
        <w:t xml:space="preserve">         （盖章）            </w:t>
      </w:r>
      <w:r>
        <w:rPr>
          <w:rFonts w:hint="eastAsia" w:ascii="仿宋_GB2312" w:hAnsi="仿宋_GB2312" w:eastAsia="仿宋_GB2312" w:cs="仿宋_GB2312"/>
          <w:sz w:val="32"/>
          <w:szCs w:val="32"/>
        </w:rPr>
        <w:t xml:space="preserve"> </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560" w:lineRule="exact"/>
        <w:jc w:val="right"/>
        <w:rPr>
          <w:rFonts w:ascii="楷体_GB2312" w:hAnsi="宋体" w:eastAsia="楷体_GB2312"/>
          <w:b/>
          <w:sz w:val="24"/>
        </w:rPr>
      </w:pPr>
    </w:p>
    <w:p>
      <w:pPr>
        <w:spacing w:line="560" w:lineRule="exact"/>
        <w:rPr>
          <w:rFonts w:hint="eastAsia" w:ascii="仿宋_GB2312" w:eastAsia="仿宋_GB2312"/>
          <w:bCs/>
          <w:sz w:val="32"/>
          <w:szCs w:val="32"/>
        </w:rPr>
      </w:pPr>
    </w:p>
    <w:p>
      <w:pPr>
        <w:spacing w:line="560" w:lineRule="exact"/>
        <w:rPr>
          <w:rFonts w:hint="eastAsia" w:ascii="仿宋_GB2312" w:eastAsia="仿宋_GB2312"/>
          <w:bCs/>
          <w:sz w:val="32"/>
          <w:szCs w:val="32"/>
        </w:rPr>
      </w:pPr>
    </w:p>
    <w:p>
      <w:pPr>
        <w:spacing w:line="560" w:lineRule="exact"/>
        <w:rPr>
          <w:rFonts w:hint="eastAsia" w:ascii="仿宋_GB2312" w:eastAsia="仿宋_GB2312"/>
          <w:bCs/>
          <w:sz w:val="32"/>
          <w:szCs w:val="32"/>
        </w:rPr>
      </w:pPr>
    </w:p>
    <w:p>
      <w:pPr>
        <w:spacing w:line="560" w:lineRule="exact"/>
        <w:rPr>
          <w:rFonts w:hint="eastAsia" w:ascii="仿宋_GB2312" w:eastAsia="仿宋_GB2312"/>
          <w:bCs/>
          <w:sz w:val="32"/>
          <w:szCs w:val="32"/>
        </w:rPr>
      </w:pPr>
    </w:p>
    <w:p/>
    <w:sectPr>
      <w:footerReference r:id="rId4" w:type="default"/>
      <w:footerReference r:id="rId5"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10</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6662B"/>
    <w:multiLevelType w:val="multilevel"/>
    <w:tmpl w:val="0C56662B"/>
    <w:lvl w:ilvl="0" w:tentative="0">
      <w:start w:val="10"/>
      <w:numFmt w:val="japaneseCounting"/>
      <w:lvlText w:val="第%1条"/>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4970C0"/>
    <w:rsid w:val="08DE7F87"/>
    <w:rsid w:val="0A0F33EF"/>
    <w:rsid w:val="15564B43"/>
    <w:rsid w:val="27F71632"/>
    <w:rsid w:val="744970C0"/>
    <w:rsid w:val="77D56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 宋体 小四 行距: 1.5 倍行距"/>
    <w:basedOn w:val="1"/>
    <w:qFormat/>
    <w:uiPriority w:val="0"/>
    <w:rPr>
      <w:rFonts w:ascii="宋体" w:hAnsi="宋体" w:cs="宋体"/>
      <w:sz w:val="28"/>
    </w:rPr>
  </w:style>
  <w:style w:type="paragraph" w:styleId="3">
    <w:name w:val="Plain Text"/>
    <w:basedOn w:val="1"/>
    <w:uiPriority w:val="0"/>
    <w:rPr>
      <w:rFonts w:ascii="宋体" w:hAnsi="Courier New" w:cs="Courier New"/>
      <w:szCs w:val="21"/>
    </w:rPr>
  </w:style>
  <w:style w:type="paragraph" w:styleId="4">
    <w:name w:val="footer"/>
    <w:basedOn w:val="1"/>
    <w:uiPriority w:val="99"/>
    <w:pPr>
      <w:tabs>
        <w:tab w:val="center" w:pos="4153"/>
        <w:tab w:val="right" w:pos="8306"/>
      </w:tabs>
      <w:snapToGrid w:val="0"/>
      <w:jc w:val="left"/>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2021-01-24T23:59:00Z</dcterms:created>
  <dc:creator>许钧</dc:creator>
  <cp:lastModifiedBy>oscar</cp:lastModifiedBy>
  <dcterms:modified xsi:type="dcterms:W3CDTF">2021-01-26T06:27:11Z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