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ascii="宋体" w:hAnsi="宋体"/>
          <w:b/>
          <w:sz w:val="48"/>
          <w:szCs w:val="48"/>
        </w:rPr>
      </w:pPr>
    </w:p>
    <w:p>
      <w:pPr>
        <w:spacing w:line="360" w:lineRule="auto"/>
        <w:jc w:val="center"/>
        <w:rPr>
          <w:rFonts w:hint="eastAsia" w:ascii="宋体" w:hAnsi="宋体"/>
          <w:b/>
          <w:bCs/>
          <w:kern w:val="44"/>
          <w:sz w:val="48"/>
          <w:szCs w:val="52"/>
        </w:rPr>
      </w:pPr>
      <w:r>
        <w:rPr>
          <w:rFonts w:hint="eastAsia" w:ascii="宋体" w:hAnsi="宋体"/>
          <w:b/>
          <w:bCs/>
          <w:kern w:val="44"/>
          <w:sz w:val="48"/>
          <w:szCs w:val="52"/>
        </w:rPr>
        <w:t>南沙(黄阁)公交枢纽综合体项目方案设计国际竞赛、PPP全过程咨询</w:t>
      </w:r>
    </w:p>
    <w:p>
      <w:pPr>
        <w:spacing w:line="360" w:lineRule="auto"/>
        <w:jc w:val="center"/>
        <w:rPr>
          <w:rFonts w:ascii="宋体" w:hAnsi="宋体"/>
          <w:b/>
          <w:bCs/>
          <w:kern w:val="44"/>
          <w:sz w:val="48"/>
          <w:szCs w:val="52"/>
        </w:rPr>
      </w:pPr>
      <w:r>
        <w:rPr>
          <w:rFonts w:hint="eastAsia" w:ascii="宋体" w:hAnsi="宋体"/>
          <w:b/>
          <w:bCs/>
          <w:kern w:val="44"/>
          <w:sz w:val="48"/>
          <w:szCs w:val="52"/>
        </w:rPr>
        <w:t>招标代理服务</w:t>
      </w:r>
    </w:p>
    <w:p>
      <w:pPr>
        <w:jc w:val="center"/>
        <w:rPr>
          <w:rFonts w:ascii="宋体" w:hAnsi="宋体"/>
          <w:b/>
          <w:sz w:val="5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jc w:val="center"/>
        <w:rPr>
          <w:rFonts w:ascii="宋体" w:hAnsi="宋体"/>
          <w:b/>
          <w:sz w:val="52"/>
        </w:rPr>
      </w:pPr>
    </w:p>
    <w:p>
      <w:pPr>
        <w:jc w:val="center"/>
        <w:rPr>
          <w:rFonts w:ascii="宋体" w:hAnsi="宋体"/>
          <w:b/>
          <w:sz w:val="36"/>
        </w:rPr>
      </w:pPr>
    </w:p>
    <w:p>
      <w:pPr>
        <w:jc w:val="center"/>
        <w:rPr>
          <w:rFonts w:ascii="黑体" w:eastAsia="黑体"/>
          <w:b/>
          <w:sz w:val="52"/>
          <w:szCs w:val="52"/>
        </w:rPr>
      </w:pPr>
      <w:r>
        <w:rPr>
          <w:rFonts w:hint="eastAsia" w:ascii="黑体" w:eastAsia="黑体"/>
          <w:b/>
          <w:sz w:val="52"/>
          <w:szCs w:val="52"/>
        </w:rPr>
        <w:t>招 标 文 件</w:t>
      </w: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jc w:val="center"/>
        <w:rPr>
          <w:rFonts w:hint="eastAsia" w:ascii="宋体" w:hAnsi="宋体"/>
          <w:b/>
          <w:bCs/>
          <w:kern w:val="44"/>
          <w:sz w:val="40"/>
          <w:szCs w:val="44"/>
        </w:rPr>
      </w:pPr>
      <w:r>
        <w:rPr>
          <w:rFonts w:hint="eastAsia" w:ascii="宋体" w:hAnsi="宋体"/>
          <w:b/>
          <w:bCs/>
          <w:kern w:val="44"/>
          <w:sz w:val="40"/>
          <w:szCs w:val="44"/>
        </w:rPr>
        <w:t>广州南沙经济技术开发区建设和交通局</w:t>
      </w:r>
    </w:p>
    <w:p>
      <w:pPr>
        <w:jc w:val="center"/>
        <w:rPr>
          <w:rFonts w:ascii="宋体" w:hAnsi="宋体"/>
          <w:b/>
          <w:bCs/>
          <w:kern w:val="44"/>
          <w:sz w:val="40"/>
          <w:szCs w:val="44"/>
          <w:highlight w:val="yellow"/>
        </w:rPr>
      </w:pPr>
      <w:r>
        <w:rPr>
          <w:rFonts w:hint="eastAsia" w:ascii="宋体" w:hAnsi="宋体"/>
          <w:b/>
          <w:bCs/>
          <w:kern w:val="44"/>
          <w:sz w:val="40"/>
          <w:szCs w:val="44"/>
        </w:rPr>
        <w:t>广州南沙科技投资有限公司</w:t>
      </w:r>
    </w:p>
    <w:p>
      <w:pPr>
        <w:jc w:val="center"/>
        <w:rPr>
          <w:rFonts w:ascii="宋体" w:hAnsi="宋体"/>
          <w:sz w:val="28"/>
        </w:rPr>
      </w:pPr>
    </w:p>
    <w:p>
      <w:pPr>
        <w:rPr>
          <w:rFonts w:ascii="宋体" w:hAnsi="宋体"/>
          <w:sz w:val="28"/>
        </w:rPr>
      </w:pPr>
    </w:p>
    <w:p>
      <w:pPr>
        <w:pStyle w:val="19"/>
        <w:jc w:val="center"/>
        <w:rPr>
          <w:rFonts w:ascii="宋体" w:hAnsi="宋体" w:eastAsia="宋体" w:cs="宋体"/>
          <w:b/>
          <w:sz w:val="32"/>
        </w:rPr>
        <w:sectPr>
          <w:footerReference r:id="rId5" w:type="first"/>
          <w:footerReference r:id="rId3" w:type="default"/>
          <w:footerReference r:id="rId4" w:type="even"/>
          <w:footnotePr>
            <w:numFmt w:val="decimalEnclosedCircleChinese"/>
            <w:numRestart w:val="eachPage"/>
          </w:footnotePr>
          <w:pgSz w:w="11906" w:h="16838"/>
          <w:pgMar w:top="1588" w:right="1644" w:bottom="1474" w:left="1701" w:header="851" w:footer="794" w:gutter="0"/>
          <w:pgNumType w:fmt="decimal" w:start="1"/>
          <w:cols w:space="720" w:num="1"/>
          <w:titlePg/>
          <w:docGrid w:linePitch="312" w:charSpace="0"/>
        </w:sectPr>
      </w:pPr>
      <w:r>
        <w:rPr>
          <w:rFonts w:hint="eastAsia" w:ascii="宋体" w:hAnsi="宋体" w:eastAsia="宋体" w:cs="宋体"/>
          <w:b/>
          <w:sz w:val="32"/>
        </w:rPr>
        <w:t>2021 年</w:t>
      </w:r>
      <w:r>
        <w:rPr>
          <w:rFonts w:hint="eastAsia" w:ascii="宋体" w:hAnsi="宋体" w:eastAsia="宋体" w:cs="宋体"/>
          <w:b/>
          <w:sz w:val="32"/>
          <w:lang w:val="en-US" w:eastAsia="zh-CN"/>
        </w:rPr>
        <w:t>6</w:t>
      </w:r>
      <w:r>
        <w:rPr>
          <w:rFonts w:hint="eastAsia" w:ascii="宋体" w:hAnsi="宋体" w:eastAsia="宋体" w:cs="宋体"/>
          <w:b/>
          <w:sz w:val="32"/>
        </w:rPr>
        <w:t xml:space="preserve"> 月</w:t>
      </w:r>
    </w:p>
    <w:p>
      <w:pPr>
        <w:pStyle w:val="19"/>
        <w:jc w:val="center"/>
        <w:rPr>
          <w:rFonts w:ascii="宋体" w:hAnsi="宋体"/>
          <w:b/>
          <w:sz w:val="32"/>
          <w:szCs w:val="32"/>
        </w:rPr>
      </w:pPr>
      <w:r>
        <w:rPr>
          <w:rFonts w:hint="eastAsia" w:ascii="宋体" w:hAnsi="宋体" w:eastAsia="宋体"/>
          <w:b/>
          <w:bCs/>
          <w:kern w:val="44"/>
          <w:sz w:val="40"/>
          <w:szCs w:val="40"/>
        </w:rPr>
        <w:t>目 录</w:t>
      </w:r>
      <w:r>
        <w:rPr>
          <w:rFonts w:hint="eastAsia" w:ascii="宋体" w:hAnsi="宋体" w:eastAsia="宋体"/>
          <w:b/>
          <w:bCs/>
          <w:kern w:val="44"/>
          <w:sz w:val="32"/>
          <w:szCs w:val="32"/>
        </w:rPr>
        <w:t xml:space="preserve"> </w:t>
      </w:r>
    </w:p>
    <w:p>
      <w:bookmarkStart w:id="0" w:name="_Toc513209228"/>
    </w:p>
    <w:p>
      <w:pPr>
        <w:pStyle w:val="23"/>
        <w:tabs>
          <w:tab w:val="right" w:leader="dot" w:pos="8561"/>
          <w:tab w:val="clear" w:pos="9060"/>
        </w:tabs>
        <w:spacing w:line="480" w:lineRule="auto"/>
      </w:pPr>
      <w:r>
        <w:fldChar w:fldCharType="begin"/>
      </w:r>
      <w:r>
        <w:instrText xml:space="preserve">TOC \o "1-1" \h \u </w:instrText>
      </w:r>
      <w:r>
        <w:fldChar w:fldCharType="separate"/>
      </w:r>
      <w:r>
        <w:fldChar w:fldCharType="begin"/>
      </w:r>
      <w:r>
        <w:instrText xml:space="preserve"> HYPERLINK \l "_Toc8847" </w:instrText>
      </w:r>
      <w:r>
        <w:fldChar w:fldCharType="separate"/>
      </w:r>
      <w:r>
        <w:t xml:space="preserve">第一章 </w:t>
      </w:r>
      <w:r>
        <w:rPr>
          <w:rFonts w:hint="eastAsia"/>
        </w:rPr>
        <w:t>招标公告…………………………………………………………</w:t>
      </w:r>
      <w:r>
        <w:tab/>
      </w:r>
      <w:r>
        <w:fldChar w:fldCharType="begin"/>
      </w:r>
      <w:r>
        <w:instrText xml:space="preserve"> PAGEREF _Toc8847 \h </w:instrText>
      </w:r>
      <w:r>
        <w:fldChar w:fldCharType="separate"/>
      </w:r>
      <w:r>
        <w:t>2</w:t>
      </w:r>
      <w:r>
        <w:fldChar w:fldCharType="end"/>
      </w:r>
      <w:r>
        <w:fldChar w:fldCharType="end"/>
      </w:r>
    </w:p>
    <w:p>
      <w:pPr>
        <w:pStyle w:val="23"/>
        <w:tabs>
          <w:tab w:val="right" w:leader="dot" w:pos="8561"/>
          <w:tab w:val="clear" w:pos="9060"/>
        </w:tabs>
        <w:spacing w:line="480" w:lineRule="auto"/>
      </w:pPr>
      <w:r>
        <w:fldChar w:fldCharType="begin"/>
      </w:r>
      <w:r>
        <w:instrText xml:space="preserve"> HYPERLINK \l "_Toc12183" </w:instrText>
      </w:r>
      <w:r>
        <w:fldChar w:fldCharType="separate"/>
      </w:r>
      <w:r>
        <w:t xml:space="preserve">第二章 </w:t>
      </w:r>
      <w:r>
        <w:rPr>
          <w:rFonts w:hint="eastAsia"/>
        </w:rPr>
        <w:t>投标人须知及投标人须知前附表………………………………</w:t>
      </w:r>
      <w:r>
        <w:tab/>
      </w:r>
      <w:r>
        <w:fldChar w:fldCharType="begin"/>
      </w:r>
      <w:r>
        <w:instrText xml:space="preserve"> PAGEREF _Toc12183 \h </w:instrText>
      </w:r>
      <w:r>
        <w:fldChar w:fldCharType="separate"/>
      </w:r>
      <w:r>
        <w:t>4</w:t>
      </w:r>
      <w:r>
        <w:fldChar w:fldCharType="end"/>
      </w:r>
      <w:r>
        <w:fldChar w:fldCharType="end"/>
      </w:r>
    </w:p>
    <w:p>
      <w:pPr>
        <w:pStyle w:val="23"/>
        <w:tabs>
          <w:tab w:val="right" w:pos="3200"/>
          <w:tab w:val="right" w:leader="dot" w:pos="8561"/>
          <w:tab w:val="clear" w:pos="9060"/>
        </w:tabs>
        <w:spacing w:line="480" w:lineRule="auto"/>
        <w:jc w:val="left"/>
      </w:pPr>
      <w:r>
        <w:fldChar w:fldCharType="begin"/>
      </w:r>
      <w:r>
        <w:instrText xml:space="preserve"> HYPERLINK \l "_Toc17020" </w:instrText>
      </w:r>
      <w:r>
        <w:fldChar w:fldCharType="separate"/>
      </w:r>
      <w:r>
        <w:rPr>
          <w:rFonts w:hint="eastAsia"/>
        </w:rPr>
        <w:t>第三章 服务需求 ………………………………………………………</w:t>
      </w:r>
      <w:r>
        <w:tab/>
      </w:r>
      <w:r>
        <w:fldChar w:fldCharType="begin"/>
      </w:r>
      <w:r>
        <w:instrText xml:space="preserve"> PAGEREF _Toc17020 \h </w:instrText>
      </w:r>
      <w:r>
        <w:fldChar w:fldCharType="separate"/>
      </w:r>
      <w:r>
        <w:t>18</w:t>
      </w:r>
      <w:r>
        <w:fldChar w:fldCharType="end"/>
      </w:r>
      <w:r>
        <w:fldChar w:fldCharType="end"/>
      </w:r>
    </w:p>
    <w:p>
      <w:pPr>
        <w:pStyle w:val="23"/>
        <w:tabs>
          <w:tab w:val="right" w:pos="3200"/>
          <w:tab w:val="right" w:leader="dot" w:pos="8561"/>
          <w:tab w:val="clear" w:pos="9060"/>
        </w:tabs>
        <w:spacing w:line="480" w:lineRule="auto"/>
      </w:pPr>
      <w:r>
        <w:fldChar w:fldCharType="begin"/>
      </w:r>
      <w:r>
        <w:instrText xml:space="preserve"> HYPERLINK \l "_Toc26118" </w:instrText>
      </w:r>
      <w:r>
        <w:fldChar w:fldCharType="separate"/>
      </w:r>
      <w:r>
        <w:rPr>
          <w:rFonts w:hint="eastAsia"/>
        </w:rPr>
        <w:t>第四章 投标文件格式……………………………………………………</w:t>
      </w:r>
      <w:r>
        <w:tab/>
      </w:r>
      <w:r>
        <w:fldChar w:fldCharType="begin"/>
      </w:r>
      <w:r>
        <w:instrText xml:space="preserve"> PAGEREF _Toc26118 \h </w:instrText>
      </w:r>
      <w:r>
        <w:fldChar w:fldCharType="separate"/>
      </w:r>
      <w:r>
        <w:t>20</w:t>
      </w:r>
      <w:r>
        <w:fldChar w:fldCharType="end"/>
      </w:r>
      <w:r>
        <w:fldChar w:fldCharType="end"/>
      </w:r>
    </w:p>
    <w:p>
      <w:pPr>
        <w:spacing w:line="480" w:lineRule="auto"/>
      </w:pPr>
      <w:r>
        <w:fldChar w:fldCharType="end"/>
      </w:r>
    </w:p>
    <w:p/>
    <w:p>
      <w:pPr>
        <w:sectPr>
          <w:footerReference r:id="rId7" w:type="first"/>
          <w:footerReference r:id="rId6" w:type="default"/>
          <w:footnotePr>
            <w:numFmt w:val="decimalEnclosedCircleChinese"/>
            <w:numRestart w:val="eachPage"/>
          </w:footnotePr>
          <w:pgSz w:w="11906" w:h="16838"/>
          <w:pgMar w:top="1588" w:right="1644" w:bottom="1474" w:left="1701" w:header="851" w:footer="1214" w:gutter="0"/>
          <w:pgNumType w:fmt="decimal"/>
          <w:cols w:space="720" w:num="1"/>
          <w:titlePg/>
          <w:docGrid w:linePitch="312" w:charSpace="0"/>
        </w:sectPr>
      </w:pPr>
    </w:p>
    <w:bookmarkEnd w:id="0"/>
    <w:p>
      <w:pPr>
        <w:pStyle w:val="2"/>
        <w:numPr>
          <w:ilvl w:val="0"/>
          <w:numId w:val="1"/>
        </w:numPr>
        <w:jc w:val="center"/>
      </w:pPr>
      <w:bookmarkStart w:id="1" w:name="_Toc16403"/>
      <w:bookmarkStart w:id="2" w:name="_Toc8847"/>
      <w:r>
        <w:rPr>
          <w:rFonts w:hint="eastAsia"/>
        </w:rPr>
        <w:t>招标公告</w:t>
      </w:r>
      <w:bookmarkEnd w:id="1"/>
      <w:bookmarkEnd w:id="2"/>
    </w:p>
    <w:p>
      <w:pPr>
        <w:snapToGrid w:val="0"/>
        <w:spacing w:before="72" w:beforeLines="30" w:after="72" w:afterLines="30" w:line="360" w:lineRule="auto"/>
        <w:ind w:firstLine="480" w:firstLineChars="200"/>
        <w:rPr>
          <w:rFonts w:ascii="宋体" w:hAnsi="宋体" w:cs="宋体"/>
          <w:sz w:val="24"/>
        </w:rPr>
      </w:pPr>
      <w:r>
        <w:rPr>
          <w:rFonts w:hint="eastAsia" w:ascii="宋体" w:hAnsi="宋体" w:cs="宋体"/>
          <w:color w:val="000000"/>
          <w:sz w:val="24"/>
        </w:rPr>
        <w:t>南沙（黄阁）公交枢纽综合体项目采用PPP模式进行投资开发建设，由广州南沙经济技术开发区建设和交通局作为牵头单位，广州南沙科技投资有限公司作为政府出资代表，先行筹集资金推动项目前期有关工作。广州南沙科技投资有限公司（下称“我司”）为广州南沙资产经营集团有限公司</w:t>
      </w:r>
      <w:r>
        <w:rPr>
          <w:rFonts w:hint="eastAsia" w:ascii="宋体" w:hAnsi="宋体" w:cs="宋体"/>
          <w:sz w:val="24"/>
        </w:rPr>
        <w:t>下属企业，依据我司的有关规定，我司将采用在广州南沙资产经营集团有限公司网站</w:t>
      </w:r>
      <w:r>
        <w:rPr>
          <w:rFonts w:hint="eastAsia" w:ascii="宋体" w:hAnsi="宋体" w:cs="宋体"/>
          <w:sz w:val="24"/>
          <w:u w:val="single"/>
        </w:rPr>
        <w:t>（http://www.gnao.com.cn/）上</w:t>
      </w:r>
      <w:r>
        <w:rPr>
          <w:rFonts w:hint="eastAsia" w:ascii="宋体" w:hAnsi="宋体" w:cs="宋体"/>
          <w:sz w:val="24"/>
          <w:u w:val="single"/>
          <w:lang w:val="en-US" w:eastAsia="zh-CN"/>
        </w:rPr>
        <w:t>邀请</w:t>
      </w:r>
      <w:r>
        <w:rPr>
          <w:rFonts w:hint="eastAsia" w:ascii="宋体" w:hAnsi="宋体" w:cs="宋体"/>
          <w:sz w:val="24"/>
          <w:u w:val="single"/>
        </w:rPr>
        <w:t>招标的采购方式</w:t>
      </w:r>
      <w:r>
        <w:rPr>
          <w:rFonts w:hint="eastAsia" w:ascii="宋体" w:hAnsi="宋体" w:cs="宋体"/>
          <w:sz w:val="24"/>
        </w:rPr>
        <w:t>采购</w:t>
      </w:r>
      <w:r>
        <w:rPr>
          <w:rFonts w:hint="eastAsia" w:ascii="宋体" w:hAnsi="宋体" w:cs="宋体"/>
          <w:sz w:val="24"/>
          <w:u w:val="single"/>
        </w:rPr>
        <w:t>南沙(黄阁)公交枢纽综合体项目方案设计国际竞赛、PPP全过程咨询招标代理</w:t>
      </w:r>
      <w:r>
        <w:rPr>
          <w:rFonts w:hint="eastAsia" w:ascii="宋体" w:hAnsi="宋体" w:cs="宋体"/>
          <w:sz w:val="24"/>
          <w:u w:val="single"/>
          <w:shd w:val="clear" w:color="auto" w:fill="FFFFFF"/>
        </w:rPr>
        <w:t>服务</w:t>
      </w:r>
      <w:r>
        <w:rPr>
          <w:rFonts w:hint="eastAsia" w:ascii="宋体" w:hAnsi="宋体" w:cs="宋体"/>
          <w:sz w:val="24"/>
          <w:shd w:val="clear" w:color="auto" w:fill="FFFFFF"/>
        </w:rPr>
        <w:t>项目</w:t>
      </w:r>
      <w:r>
        <w:rPr>
          <w:rFonts w:hint="eastAsia" w:ascii="宋体" w:hAnsi="宋体" w:cs="宋体"/>
          <w:sz w:val="24"/>
        </w:rPr>
        <w:t>。</w:t>
      </w:r>
    </w:p>
    <w:p>
      <w:pPr>
        <w:adjustRightInd w:val="0"/>
        <w:snapToGrid w:val="0"/>
        <w:spacing w:line="360" w:lineRule="auto"/>
        <w:rPr>
          <w:rFonts w:ascii="宋体" w:hAnsi="宋体"/>
          <w:b/>
          <w:bCs/>
          <w:sz w:val="28"/>
          <w:szCs w:val="28"/>
        </w:rPr>
      </w:pPr>
      <w:r>
        <w:rPr>
          <w:rFonts w:hint="eastAsia" w:ascii="宋体" w:hAnsi="宋体"/>
          <w:b/>
          <w:bCs/>
          <w:sz w:val="28"/>
          <w:szCs w:val="28"/>
        </w:rPr>
        <w:t>1、项目概况</w:t>
      </w:r>
    </w:p>
    <w:p>
      <w:pPr>
        <w:pStyle w:val="29"/>
        <w:spacing w:line="360" w:lineRule="auto"/>
        <w:ind w:firstLine="480" w:firstLineChars="200"/>
        <w:rPr>
          <w:rFonts w:ascii="宋体" w:hAnsi="宋体" w:cs="宋体"/>
          <w:color w:val="000000"/>
          <w:sz w:val="24"/>
        </w:rPr>
      </w:pPr>
      <w:r>
        <w:rPr>
          <w:rFonts w:hint="eastAsia" w:ascii="宋体" w:hAnsi="宋体" w:cs="宋体"/>
          <w:color w:val="000000"/>
          <w:sz w:val="24"/>
        </w:rPr>
        <w:t>南沙（黄阁）公交枢纽综合体项目（下称：“本项目”）位于广州市南沙区黄阁镇地铁4号线黄阁汽车城站旁。项目规划用地面积7.36万平方米，项目建设内容包括南沙公交总站约10.5万㎡、公安局车管所约4.5万㎡。项目拟采用PPP模式进行投资开发建设，在满足上述政府公共功能基础上，复合一定规模的配套商业、产业商务办公、酒店公寓等功能业态。</w:t>
      </w:r>
    </w:p>
    <w:p>
      <w:pPr>
        <w:adjustRightInd w:val="0"/>
        <w:snapToGrid w:val="0"/>
        <w:spacing w:line="360" w:lineRule="auto"/>
        <w:rPr>
          <w:rFonts w:ascii="宋体" w:hAnsi="宋体"/>
          <w:b/>
          <w:bCs/>
          <w:sz w:val="28"/>
          <w:szCs w:val="28"/>
        </w:rPr>
      </w:pPr>
      <w:r>
        <w:rPr>
          <w:rFonts w:hint="eastAsia" w:ascii="宋体" w:hAnsi="宋体"/>
          <w:b/>
          <w:bCs/>
          <w:sz w:val="28"/>
          <w:szCs w:val="28"/>
        </w:rPr>
        <w:t>2、服务范围</w:t>
      </w:r>
    </w:p>
    <w:p>
      <w:pPr>
        <w:pStyle w:val="29"/>
        <w:spacing w:line="360" w:lineRule="auto"/>
        <w:ind w:firstLine="480" w:firstLineChars="200"/>
        <w:rPr>
          <w:rFonts w:ascii="宋体" w:hAnsi="宋体"/>
          <w:b/>
          <w:bCs/>
          <w:sz w:val="28"/>
          <w:szCs w:val="28"/>
        </w:rPr>
      </w:pPr>
      <w:r>
        <w:rPr>
          <w:rFonts w:hint="eastAsia" w:ascii="宋体" w:hAnsi="宋体" w:cs="宋体"/>
          <w:color w:val="000000"/>
          <w:sz w:val="24"/>
        </w:rPr>
        <w:t>完成本项目有关的方案设计国际竞赛</w:t>
      </w:r>
      <w:r>
        <w:rPr>
          <w:rFonts w:hint="eastAsia" w:ascii="宋体" w:hAnsi="宋体" w:cs="宋体"/>
          <w:sz w:val="24"/>
        </w:rPr>
        <w:t>、PPP全过程咨询</w:t>
      </w:r>
      <w:r>
        <w:rPr>
          <w:rFonts w:hint="eastAsia" w:ascii="宋体" w:hAnsi="宋体" w:cs="宋体"/>
          <w:color w:val="000000"/>
          <w:sz w:val="24"/>
        </w:rPr>
        <w:t>招标代理服务（方案设计国际竞赛、PPP</w:t>
      </w:r>
      <w:r>
        <w:rPr>
          <w:rFonts w:hint="eastAsia" w:ascii="宋体" w:hAnsi="宋体" w:cs="宋体"/>
          <w:sz w:val="24"/>
        </w:rPr>
        <w:t>全过程咨询须</w:t>
      </w:r>
      <w:r>
        <w:rPr>
          <w:rFonts w:hint="eastAsia" w:ascii="宋体" w:hAnsi="宋体" w:cs="宋体"/>
          <w:color w:val="000000"/>
          <w:sz w:val="24"/>
        </w:rPr>
        <w:t>分开招标）。</w:t>
      </w:r>
    </w:p>
    <w:p>
      <w:pPr>
        <w:adjustRightInd w:val="0"/>
        <w:snapToGrid w:val="0"/>
        <w:spacing w:line="360" w:lineRule="auto"/>
        <w:rPr>
          <w:rFonts w:ascii="宋体" w:hAnsi="宋体"/>
          <w:b/>
          <w:bCs/>
          <w:sz w:val="28"/>
          <w:szCs w:val="28"/>
        </w:rPr>
      </w:pPr>
      <w:r>
        <w:rPr>
          <w:rFonts w:hint="eastAsia" w:ascii="宋体" w:hAnsi="宋体"/>
          <w:b/>
          <w:bCs/>
          <w:sz w:val="28"/>
          <w:szCs w:val="28"/>
        </w:rPr>
        <w:t>3、合格投标人</w:t>
      </w:r>
    </w:p>
    <w:p>
      <w:pPr>
        <w:spacing w:before="72" w:beforeLines="30" w:after="72" w:afterLines="30" w:line="360" w:lineRule="auto"/>
        <w:ind w:firstLine="480" w:firstLineChars="200"/>
        <w:rPr>
          <w:rFonts w:ascii="宋体" w:hAnsi="宋体" w:cs="宋体"/>
          <w:sz w:val="24"/>
        </w:rPr>
      </w:pPr>
      <w:r>
        <w:rPr>
          <w:rFonts w:hint="eastAsia" w:ascii="宋体" w:hAnsi="宋体" w:cs="宋体"/>
          <w:sz w:val="24"/>
        </w:rPr>
        <w:t>（1）具有中华人民共和国独立法人资格，持有有效的企业法人营业执照；按国家法律经营，经营范围包括工程建设项目招标代理服务范围[以工商营业执照注明的经营范围或事业单位法人证书注明的业务范围为准，如营业执照中没有体现经营范围的，则须提供工商部门网站“商事主体信息公示平台”查询平台页面（含经营范围）打印件]。</w:t>
      </w:r>
    </w:p>
    <w:p>
      <w:pPr>
        <w:spacing w:before="72" w:beforeLines="30" w:after="72" w:afterLines="30" w:line="360" w:lineRule="auto"/>
        <w:ind w:firstLine="480" w:firstLineChars="200"/>
        <w:rPr>
          <w:rFonts w:ascii="宋体" w:hAnsi="宋体" w:cs="宋体"/>
          <w:sz w:val="24"/>
        </w:rPr>
      </w:pPr>
      <w:r>
        <w:rPr>
          <w:rFonts w:hint="eastAsia" w:ascii="宋体" w:hAnsi="宋体" w:cs="宋体"/>
          <w:sz w:val="24"/>
        </w:rPr>
        <w:t>（2）拟委派的项目负责人须具有工程类或经济类中级或以上技术职称资格。项目负责人为投标单位正式员工，需提供能反映投标单位为其缴纳的社保证明（提供近半年内社保证明）。</w:t>
      </w:r>
    </w:p>
    <w:p>
      <w:pPr>
        <w:spacing w:before="72" w:beforeLines="30" w:after="72" w:afterLines="30" w:line="360" w:lineRule="auto"/>
        <w:ind w:firstLine="480" w:firstLineChars="200"/>
        <w:rPr>
          <w:rFonts w:ascii="宋体" w:hAnsi="宋体" w:cs="宋体"/>
          <w:sz w:val="24"/>
        </w:rPr>
      </w:pPr>
      <w:r>
        <w:rPr>
          <w:rFonts w:hint="eastAsia" w:ascii="宋体" w:hAnsi="宋体" w:cs="宋体"/>
          <w:sz w:val="24"/>
        </w:rPr>
        <w:t>（3）投标单位参加投标的意思表达清楚，投标单位代表被授权有效。</w:t>
      </w:r>
    </w:p>
    <w:p>
      <w:pPr>
        <w:spacing w:before="72" w:beforeLines="30" w:after="72" w:afterLines="30" w:line="360" w:lineRule="auto"/>
        <w:ind w:firstLine="480" w:firstLineChars="200"/>
        <w:rPr>
          <w:rFonts w:ascii="宋体" w:hAnsi="宋体" w:cs="宋体"/>
          <w:sz w:val="24"/>
        </w:rPr>
      </w:pPr>
      <w:r>
        <w:rPr>
          <w:rFonts w:hint="eastAsia" w:ascii="宋体" w:hAnsi="宋体" w:cs="宋体"/>
          <w:sz w:val="24"/>
        </w:rPr>
        <w:t>（4）本项目不接受联合体投标。</w:t>
      </w:r>
    </w:p>
    <w:p>
      <w:pPr>
        <w:adjustRightInd w:val="0"/>
        <w:snapToGrid w:val="0"/>
        <w:spacing w:line="360" w:lineRule="auto"/>
        <w:rPr>
          <w:rFonts w:ascii="宋体" w:hAnsi="宋体"/>
          <w:b/>
          <w:bCs/>
          <w:sz w:val="28"/>
          <w:szCs w:val="28"/>
        </w:rPr>
      </w:pPr>
      <w:r>
        <w:rPr>
          <w:rFonts w:hint="eastAsia" w:ascii="宋体" w:hAnsi="宋体"/>
          <w:b/>
          <w:bCs/>
          <w:sz w:val="28"/>
          <w:szCs w:val="28"/>
        </w:rPr>
        <w:t>4、报名文件时间及方式</w:t>
      </w:r>
    </w:p>
    <w:p>
      <w:pPr>
        <w:adjustRightInd w:val="0"/>
        <w:snapToGrid w:val="0"/>
        <w:spacing w:line="360" w:lineRule="auto"/>
        <w:ind w:firstLine="480" w:firstLineChars="200"/>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报名时间：2021年</w:t>
      </w:r>
      <w:r>
        <w:rPr>
          <w:rFonts w:hint="eastAsia" w:ascii="宋体" w:hAnsi="宋体" w:cs="宋体"/>
          <w:kern w:val="0"/>
          <w:sz w:val="24"/>
          <w:shd w:val="clear" w:color="auto" w:fill="FFFFFF"/>
          <w:lang w:val="en-US" w:eastAsia="zh-CN" w:bidi="ar"/>
        </w:rPr>
        <w:t>6</w:t>
      </w:r>
      <w:r>
        <w:rPr>
          <w:rFonts w:hint="eastAsia" w:ascii="宋体" w:hAnsi="宋体" w:cs="宋体"/>
          <w:kern w:val="0"/>
          <w:sz w:val="24"/>
          <w:shd w:val="clear" w:color="auto" w:fill="FFFFFF"/>
          <w:lang w:bidi="ar"/>
        </w:rPr>
        <w:t xml:space="preserve"> 月</w:t>
      </w:r>
      <w:r>
        <w:rPr>
          <w:rFonts w:hint="eastAsia" w:ascii="宋体" w:hAnsi="宋体" w:cs="宋体"/>
          <w:kern w:val="0"/>
          <w:sz w:val="24"/>
          <w:shd w:val="clear" w:color="auto" w:fill="FFFFFF"/>
          <w:lang w:val="en-US" w:eastAsia="zh-CN" w:bidi="ar"/>
        </w:rPr>
        <w:t>8-9</w:t>
      </w:r>
      <w:r>
        <w:rPr>
          <w:rFonts w:hint="eastAsia" w:ascii="宋体" w:hAnsi="宋体" w:cs="宋体"/>
          <w:kern w:val="0"/>
          <w:sz w:val="24"/>
          <w:shd w:val="clear" w:color="auto" w:fill="FFFFFF"/>
          <w:lang w:bidi="ar"/>
        </w:rPr>
        <w:t>日</w:t>
      </w:r>
      <w:r>
        <w:rPr>
          <w:rFonts w:hint="eastAsia" w:ascii="宋体" w:hAnsi="宋体" w:cs="宋体"/>
          <w:kern w:val="0"/>
          <w:sz w:val="24"/>
          <w:shd w:val="clear" w:color="auto" w:fill="FFFFFF"/>
          <w:lang w:eastAsia="zh-CN" w:bidi="ar"/>
        </w:rPr>
        <w:t>（</w:t>
      </w:r>
      <w:r>
        <w:rPr>
          <w:rFonts w:hint="eastAsia" w:ascii="宋体" w:hAnsi="宋体" w:cs="宋体"/>
          <w:kern w:val="0"/>
          <w:sz w:val="24"/>
          <w:shd w:val="clear" w:color="auto" w:fill="FFFFFF"/>
          <w:lang w:bidi="ar"/>
        </w:rPr>
        <w:t>上午</w:t>
      </w:r>
      <w:r>
        <w:rPr>
          <w:rFonts w:hint="eastAsia" w:ascii="宋体" w:hAnsi="宋体" w:cs="宋体"/>
          <w:kern w:val="0"/>
          <w:sz w:val="24"/>
          <w:shd w:val="clear" w:color="auto" w:fill="FFFFFF"/>
          <w:lang w:val="en-US" w:eastAsia="zh-CN" w:bidi="ar"/>
        </w:rPr>
        <w:t>9</w:t>
      </w:r>
      <w:r>
        <w:rPr>
          <w:rFonts w:hint="eastAsia" w:ascii="宋体" w:hAnsi="宋体" w:cs="宋体"/>
          <w:kern w:val="0"/>
          <w:sz w:val="24"/>
          <w:shd w:val="clear" w:color="auto" w:fill="FFFFFF"/>
          <w:lang w:bidi="ar"/>
        </w:rPr>
        <w:t>：00至</w:t>
      </w:r>
      <w:r>
        <w:rPr>
          <w:rFonts w:hint="eastAsia" w:ascii="宋体" w:hAnsi="宋体" w:cs="宋体"/>
          <w:kern w:val="0"/>
          <w:sz w:val="24"/>
          <w:shd w:val="clear" w:color="auto" w:fill="FFFFFF"/>
          <w:lang w:val="en-US" w:eastAsia="zh-CN" w:bidi="ar"/>
        </w:rPr>
        <w:t>下</w:t>
      </w:r>
      <w:r>
        <w:rPr>
          <w:rFonts w:hint="eastAsia" w:ascii="宋体" w:hAnsi="宋体" w:cs="宋体"/>
          <w:kern w:val="0"/>
          <w:sz w:val="24"/>
          <w:shd w:val="clear" w:color="auto" w:fill="FFFFFF"/>
          <w:lang w:bidi="ar"/>
        </w:rPr>
        <w:t>午17：0</w:t>
      </w:r>
      <w:r>
        <w:rPr>
          <w:rFonts w:hint="eastAsia" w:ascii="宋体" w:hAnsi="宋体" w:cs="宋体"/>
          <w:kern w:val="0"/>
          <w:sz w:val="24"/>
          <w:shd w:val="clear" w:color="auto" w:fill="FFFFFF"/>
          <w:lang w:val="en-US" w:eastAsia="zh-CN" w:bidi="ar"/>
        </w:rPr>
        <w:t>0</w:t>
      </w:r>
      <w:r>
        <w:rPr>
          <w:rFonts w:hint="eastAsia" w:ascii="宋体" w:hAnsi="宋体" w:cs="宋体"/>
          <w:kern w:val="0"/>
          <w:sz w:val="24"/>
          <w:shd w:val="clear" w:color="auto" w:fill="FFFFFF"/>
          <w:lang w:eastAsia="zh-CN" w:bidi="ar"/>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报名方式：现场递交投标报名申请表（格式详见附件）</w:t>
      </w:r>
    </w:p>
    <w:p>
      <w:pPr>
        <w:adjustRightInd w:val="0"/>
        <w:snapToGrid w:val="0"/>
        <w:spacing w:line="360" w:lineRule="auto"/>
        <w:ind w:firstLine="480" w:firstLineChars="200"/>
        <w:rPr>
          <w:rFonts w:ascii="宋体" w:hAnsi="宋体" w:cs="宋体"/>
          <w:sz w:val="24"/>
        </w:rPr>
      </w:pPr>
      <w:r>
        <w:rPr>
          <w:rFonts w:hint="eastAsia" w:ascii="宋体" w:hAnsi="宋体"/>
          <w:bCs/>
          <w:sz w:val="24"/>
        </w:rPr>
        <w:t>报名地址：</w:t>
      </w:r>
      <w:r>
        <w:rPr>
          <w:rFonts w:hint="eastAsia" w:ascii="宋体" w:hAnsi="宋体" w:cs="宋体"/>
          <w:sz w:val="24"/>
        </w:rPr>
        <w:t>广东省广州市南沙区海滨路171号南沙金融大厦17楼1703室</w:t>
      </w:r>
    </w:p>
    <w:p>
      <w:pPr>
        <w:adjustRightInd w:val="0"/>
        <w:snapToGrid w:val="0"/>
        <w:spacing w:line="360" w:lineRule="auto"/>
        <w:rPr>
          <w:rFonts w:ascii="宋体" w:hAnsi="宋体"/>
          <w:b/>
          <w:bCs/>
          <w:sz w:val="28"/>
          <w:szCs w:val="28"/>
        </w:rPr>
      </w:pPr>
      <w:r>
        <w:rPr>
          <w:rFonts w:hint="eastAsia" w:ascii="宋体" w:hAnsi="宋体"/>
          <w:b/>
          <w:bCs/>
          <w:sz w:val="28"/>
          <w:szCs w:val="28"/>
        </w:rPr>
        <w:t>5、投标文件递交的截止时间及地点</w:t>
      </w:r>
    </w:p>
    <w:p>
      <w:pPr>
        <w:adjustRightInd w:val="0"/>
        <w:snapToGrid w:val="0"/>
        <w:spacing w:line="360" w:lineRule="auto"/>
        <w:ind w:firstLine="480" w:firstLineChars="200"/>
        <w:rPr>
          <w:rFonts w:ascii="宋体" w:hAnsi="宋体"/>
          <w:bCs/>
          <w:sz w:val="24"/>
        </w:rPr>
      </w:pPr>
      <w:r>
        <w:rPr>
          <w:rFonts w:hint="eastAsia" w:ascii="宋体" w:hAnsi="宋体"/>
          <w:bCs/>
          <w:sz w:val="24"/>
        </w:rPr>
        <w:t>投标文件递交的截止时</w:t>
      </w:r>
      <w:r>
        <w:rPr>
          <w:rFonts w:hint="eastAsia" w:ascii="宋体" w:hAnsi="宋体" w:cs="宋体"/>
          <w:kern w:val="0"/>
          <w:sz w:val="24"/>
          <w:shd w:val="clear" w:color="auto" w:fill="FFFFFF"/>
          <w:lang w:bidi="ar"/>
        </w:rPr>
        <w:t>间：2021年</w:t>
      </w:r>
      <w:r>
        <w:rPr>
          <w:rFonts w:hint="eastAsia" w:ascii="宋体" w:hAnsi="宋体" w:cs="宋体"/>
          <w:kern w:val="0"/>
          <w:sz w:val="24"/>
          <w:shd w:val="clear" w:color="auto" w:fill="FFFFFF"/>
          <w:lang w:val="en-US" w:eastAsia="zh-CN" w:bidi="ar"/>
        </w:rPr>
        <w:t>6</w:t>
      </w:r>
      <w:r>
        <w:rPr>
          <w:rFonts w:hint="eastAsia" w:ascii="宋体" w:hAnsi="宋体" w:cs="宋体"/>
          <w:kern w:val="0"/>
          <w:sz w:val="24"/>
          <w:shd w:val="clear" w:color="auto" w:fill="FFFFFF"/>
          <w:lang w:bidi="ar"/>
        </w:rPr>
        <w:t>月</w:t>
      </w:r>
      <w:r>
        <w:rPr>
          <w:rFonts w:hint="eastAsia" w:ascii="宋体" w:hAnsi="宋体" w:cs="宋体"/>
          <w:kern w:val="0"/>
          <w:sz w:val="24"/>
          <w:shd w:val="clear" w:color="auto" w:fill="FFFFFF"/>
          <w:lang w:val="en-US" w:eastAsia="zh-CN" w:bidi="ar"/>
        </w:rPr>
        <w:t>10</w:t>
      </w:r>
      <w:r>
        <w:rPr>
          <w:rFonts w:hint="eastAsia" w:ascii="宋体" w:hAnsi="宋体" w:cs="宋体"/>
          <w:kern w:val="0"/>
          <w:sz w:val="24"/>
          <w:shd w:val="clear" w:color="auto" w:fill="FFFFFF"/>
          <w:lang w:bidi="ar"/>
        </w:rPr>
        <w:t>日上午</w:t>
      </w:r>
      <w:r>
        <w:rPr>
          <w:rFonts w:hint="eastAsia" w:ascii="宋体" w:hAnsi="宋体" w:cs="宋体"/>
          <w:kern w:val="0"/>
          <w:sz w:val="24"/>
          <w:shd w:val="clear" w:color="auto" w:fill="FFFFFF"/>
          <w:lang w:val="en-US" w:eastAsia="zh-CN" w:bidi="ar"/>
        </w:rPr>
        <w:t>9：30</w:t>
      </w:r>
      <w:r>
        <w:rPr>
          <w:rFonts w:hint="eastAsia" w:ascii="宋体" w:hAnsi="宋体" w:cs="宋体"/>
          <w:kern w:val="0"/>
          <w:sz w:val="24"/>
          <w:shd w:val="clear" w:color="auto" w:fill="FFFFFF"/>
          <w:lang w:bidi="ar"/>
        </w:rPr>
        <w:t>，逾</w:t>
      </w:r>
      <w:r>
        <w:rPr>
          <w:rFonts w:hint="eastAsia" w:ascii="宋体" w:hAnsi="宋体"/>
          <w:bCs/>
          <w:sz w:val="24"/>
        </w:rPr>
        <w:t>期送达的投标文件，投标人不予受理。</w:t>
      </w:r>
    </w:p>
    <w:p>
      <w:pPr>
        <w:adjustRightInd w:val="0"/>
        <w:snapToGrid w:val="0"/>
        <w:spacing w:line="360" w:lineRule="auto"/>
        <w:ind w:firstLine="480" w:firstLineChars="200"/>
        <w:rPr>
          <w:rFonts w:ascii="宋体" w:hAnsi="宋体"/>
          <w:b/>
          <w:bCs/>
          <w:sz w:val="28"/>
          <w:szCs w:val="28"/>
        </w:rPr>
      </w:pPr>
      <w:r>
        <w:rPr>
          <w:rFonts w:hint="eastAsia" w:ascii="宋体" w:hAnsi="宋体"/>
          <w:bCs/>
          <w:sz w:val="24"/>
        </w:rPr>
        <w:t>递交投标文件地点：</w:t>
      </w:r>
      <w:r>
        <w:rPr>
          <w:rFonts w:hint="eastAsia" w:ascii="宋体" w:hAnsi="宋体" w:cs="宋体"/>
          <w:sz w:val="24"/>
        </w:rPr>
        <w:t>广东省广州市南沙区海滨路171号南沙金融大厦17楼1703室</w:t>
      </w:r>
    </w:p>
    <w:p>
      <w:pPr>
        <w:adjustRightInd w:val="0"/>
        <w:snapToGrid w:val="0"/>
        <w:spacing w:line="360" w:lineRule="auto"/>
        <w:rPr>
          <w:rFonts w:ascii="宋体" w:hAnsi="宋体"/>
          <w:b/>
          <w:bCs/>
          <w:sz w:val="28"/>
          <w:szCs w:val="28"/>
        </w:rPr>
      </w:pPr>
      <w:r>
        <w:rPr>
          <w:rFonts w:hint="eastAsia" w:ascii="宋体" w:hAnsi="宋体"/>
          <w:b/>
          <w:bCs/>
          <w:sz w:val="28"/>
          <w:szCs w:val="28"/>
        </w:rPr>
        <w:t>6、开标时间及地点</w:t>
      </w:r>
    </w:p>
    <w:p>
      <w:pPr>
        <w:spacing w:before="72" w:beforeLines="30" w:after="72" w:afterLines="30" w:line="360" w:lineRule="auto"/>
        <w:ind w:firstLine="480" w:firstLineChars="200"/>
        <w:jc w:val="left"/>
        <w:rPr>
          <w:rFonts w:hint="default" w:ascii="宋体" w:hAnsi="宋体" w:eastAsia="宋体" w:cs="宋体"/>
          <w:kern w:val="0"/>
          <w:sz w:val="24"/>
          <w:shd w:val="clear" w:color="auto" w:fill="FFFFFF"/>
          <w:lang w:val="en-US" w:eastAsia="zh-CN" w:bidi="ar"/>
        </w:rPr>
      </w:pPr>
      <w:r>
        <w:rPr>
          <w:rFonts w:hint="eastAsia" w:ascii="宋体" w:hAnsi="宋体" w:cs="宋体"/>
          <w:kern w:val="0"/>
          <w:sz w:val="24"/>
          <w:shd w:val="clear" w:color="auto" w:fill="FFFFFF"/>
          <w:lang w:bidi="ar"/>
        </w:rPr>
        <w:t>开标时间：2021年</w:t>
      </w:r>
      <w:r>
        <w:rPr>
          <w:rFonts w:hint="eastAsia" w:ascii="宋体" w:hAnsi="宋体" w:cs="宋体"/>
          <w:kern w:val="0"/>
          <w:sz w:val="24"/>
          <w:shd w:val="clear" w:color="auto" w:fill="FFFFFF"/>
          <w:lang w:val="en-US" w:eastAsia="zh-CN" w:bidi="ar"/>
        </w:rPr>
        <w:t>6</w:t>
      </w:r>
      <w:r>
        <w:rPr>
          <w:rFonts w:hint="eastAsia" w:ascii="宋体" w:hAnsi="宋体" w:cs="宋体"/>
          <w:kern w:val="0"/>
          <w:sz w:val="24"/>
          <w:shd w:val="clear" w:color="auto" w:fill="FFFFFF"/>
          <w:lang w:bidi="ar"/>
        </w:rPr>
        <w:t>月</w:t>
      </w:r>
      <w:r>
        <w:rPr>
          <w:rFonts w:hint="eastAsia" w:ascii="宋体" w:hAnsi="宋体" w:cs="宋体"/>
          <w:kern w:val="0"/>
          <w:sz w:val="24"/>
          <w:shd w:val="clear" w:color="auto" w:fill="FFFFFF"/>
          <w:lang w:val="en-US" w:eastAsia="zh-CN" w:bidi="ar"/>
        </w:rPr>
        <w:t>10</w:t>
      </w:r>
      <w:r>
        <w:rPr>
          <w:rFonts w:hint="eastAsia" w:ascii="宋体" w:hAnsi="宋体" w:cs="宋体"/>
          <w:kern w:val="0"/>
          <w:sz w:val="24"/>
          <w:shd w:val="clear" w:color="auto" w:fill="FFFFFF"/>
          <w:lang w:bidi="ar"/>
        </w:rPr>
        <w:t>日上午</w:t>
      </w:r>
      <w:r>
        <w:rPr>
          <w:rFonts w:hint="eastAsia" w:ascii="宋体" w:hAnsi="宋体" w:cs="宋体"/>
          <w:kern w:val="0"/>
          <w:sz w:val="24"/>
          <w:shd w:val="clear" w:color="auto" w:fill="FFFFFF"/>
          <w:lang w:val="en-US" w:eastAsia="zh-CN" w:bidi="ar"/>
        </w:rPr>
        <w:t>9</w:t>
      </w:r>
      <w:r>
        <w:rPr>
          <w:rFonts w:hint="eastAsia" w:ascii="宋体" w:hAnsi="宋体" w:cs="宋体"/>
          <w:kern w:val="0"/>
          <w:sz w:val="24"/>
          <w:shd w:val="clear" w:color="auto" w:fill="FFFFFF"/>
          <w:lang w:bidi="ar"/>
        </w:rPr>
        <w:t>：</w:t>
      </w:r>
      <w:r>
        <w:rPr>
          <w:rFonts w:hint="eastAsia" w:ascii="宋体" w:hAnsi="宋体" w:cs="宋体"/>
          <w:kern w:val="0"/>
          <w:sz w:val="24"/>
          <w:shd w:val="clear" w:color="auto" w:fill="FFFFFF"/>
          <w:lang w:val="en-US" w:eastAsia="zh-CN" w:bidi="ar"/>
        </w:rPr>
        <w:t>30</w:t>
      </w:r>
    </w:p>
    <w:p>
      <w:pPr>
        <w:adjustRightInd w:val="0"/>
        <w:snapToGrid w:val="0"/>
        <w:spacing w:line="360" w:lineRule="auto"/>
        <w:ind w:firstLine="480" w:firstLineChars="200"/>
        <w:rPr>
          <w:rFonts w:ascii="宋体" w:hAnsi="宋体"/>
          <w:b/>
          <w:bCs/>
          <w:sz w:val="28"/>
          <w:szCs w:val="28"/>
        </w:rPr>
      </w:pPr>
      <w:r>
        <w:rPr>
          <w:rFonts w:hint="eastAsia" w:ascii="宋体" w:hAnsi="宋体"/>
          <w:bCs/>
          <w:sz w:val="24"/>
        </w:rPr>
        <w:t>开标地点：</w:t>
      </w:r>
      <w:r>
        <w:rPr>
          <w:rFonts w:hint="eastAsia" w:ascii="宋体" w:hAnsi="宋体" w:cs="宋体"/>
          <w:sz w:val="24"/>
        </w:rPr>
        <w:t xml:space="preserve">广东省广州市南沙区海滨路171号南沙金融大厦17楼1807室    </w:t>
      </w:r>
      <w:r>
        <w:rPr>
          <w:rFonts w:hint="eastAsia" w:ascii="宋体" w:hAnsi="宋体"/>
          <w:bCs/>
          <w:sz w:val="24"/>
        </w:rPr>
        <w:t xml:space="preserve">            </w:t>
      </w:r>
    </w:p>
    <w:p>
      <w:pPr>
        <w:adjustRightInd w:val="0"/>
        <w:snapToGrid w:val="0"/>
        <w:spacing w:line="360" w:lineRule="auto"/>
        <w:rPr>
          <w:rFonts w:ascii="宋体" w:hAnsi="宋体"/>
          <w:b/>
          <w:bCs/>
          <w:sz w:val="28"/>
          <w:szCs w:val="28"/>
        </w:rPr>
      </w:pPr>
      <w:r>
        <w:rPr>
          <w:rFonts w:hint="eastAsia" w:ascii="宋体" w:hAnsi="宋体"/>
          <w:b/>
          <w:bCs/>
          <w:sz w:val="28"/>
          <w:szCs w:val="28"/>
        </w:rPr>
        <w:t>7、其他</w:t>
      </w:r>
    </w:p>
    <w:p>
      <w:pPr>
        <w:spacing w:before="72" w:beforeLines="30" w:after="72" w:afterLines="30" w:line="360" w:lineRule="auto"/>
        <w:ind w:firstLine="480" w:firstLineChars="200"/>
        <w:jc w:val="left"/>
        <w:rPr>
          <w:rFonts w:ascii="宋体" w:hAnsi="宋体" w:cs="宋体"/>
          <w:sz w:val="24"/>
        </w:rPr>
      </w:pPr>
      <w:r>
        <w:rPr>
          <w:rFonts w:hint="eastAsia" w:ascii="宋体" w:hAnsi="宋体" w:cs="宋体"/>
          <w:sz w:val="24"/>
        </w:rPr>
        <w:t>（1）本项目在广州南沙资产经营集团有限公司</w:t>
      </w:r>
      <w:r>
        <w:rPr>
          <w:rFonts w:hint="eastAsia" w:ascii="宋体" w:hAnsi="宋体" w:cs="宋体"/>
          <w:kern w:val="0"/>
          <w:sz w:val="24"/>
          <w:shd w:val="clear" w:color="auto" w:fill="FFFFFF"/>
          <w:lang w:bidi="ar"/>
        </w:rPr>
        <w:t>网站（http://www.gnao.com.cn/）</w:t>
      </w:r>
      <w:r>
        <w:rPr>
          <w:rFonts w:hint="eastAsia" w:ascii="宋体" w:hAnsi="宋体" w:cs="宋体"/>
          <w:sz w:val="24"/>
        </w:rPr>
        <w:t>发布</w:t>
      </w:r>
      <w:r>
        <w:rPr>
          <w:rFonts w:hint="eastAsia" w:ascii="宋体" w:hAnsi="宋体" w:cs="宋体"/>
          <w:sz w:val="24"/>
          <w:lang w:val="en-US" w:eastAsia="zh-CN"/>
        </w:rPr>
        <w:t>邀请</w:t>
      </w:r>
      <w:r>
        <w:rPr>
          <w:rFonts w:hint="eastAsia" w:ascii="宋体" w:hAnsi="宋体" w:cs="宋体"/>
          <w:sz w:val="24"/>
        </w:rPr>
        <w:t>招标公告，现诚邀有兴趣的潜在投标单位按照本公告的要求在公告截止时间前进行报名并领取招标文件。有关本次招标的相关事宜及信息的发布网址为：广州南沙资产经营集团有限公司</w:t>
      </w:r>
      <w:r>
        <w:rPr>
          <w:rFonts w:hint="eastAsia" w:ascii="宋体" w:hAnsi="宋体" w:cs="宋体"/>
          <w:kern w:val="0"/>
          <w:sz w:val="24"/>
          <w:shd w:val="clear" w:color="auto" w:fill="FFFFFF"/>
          <w:lang w:bidi="ar"/>
        </w:rPr>
        <w:t>网站（http://www.gnao.com.cn/）</w:t>
      </w:r>
      <w:r>
        <w:rPr>
          <w:rFonts w:hint="eastAsia" w:ascii="宋体" w:hAnsi="宋体" w:cs="宋体"/>
          <w:sz w:val="24"/>
        </w:rPr>
        <w:t>所有相关信息以该平台公布的为准。</w:t>
      </w:r>
    </w:p>
    <w:p>
      <w:pPr>
        <w:spacing w:before="72" w:beforeLines="30" w:after="72" w:afterLines="30" w:line="360" w:lineRule="auto"/>
        <w:ind w:firstLine="480" w:firstLineChars="200"/>
        <w:rPr>
          <w:rFonts w:ascii="宋体" w:hAnsi="宋体" w:cs="宋体"/>
          <w:sz w:val="24"/>
        </w:rPr>
      </w:pPr>
      <w:r>
        <w:rPr>
          <w:rFonts w:hint="eastAsia" w:ascii="宋体" w:hAnsi="宋体" w:cs="宋体"/>
          <w:sz w:val="24"/>
        </w:rPr>
        <w:t>（2）招标人将不负责投标单位准备、制作、递交响应文件所发生的任何成本或费用。</w:t>
      </w:r>
    </w:p>
    <w:p>
      <w:pPr>
        <w:adjustRightInd w:val="0"/>
        <w:snapToGrid w:val="0"/>
        <w:spacing w:line="360" w:lineRule="auto"/>
        <w:rPr>
          <w:rFonts w:ascii="宋体" w:hAnsi="宋体"/>
          <w:bCs/>
          <w:sz w:val="24"/>
        </w:rPr>
      </w:pPr>
      <w:r>
        <w:rPr>
          <w:rFonts w:hint="eastAsia" w:ascii="宋体" w:hAnsi="宋体"/>
          <w:b/>
          <w:bCs/>
          <w:sz w:val="28"/>
          <w:szCs w:val="28"/>
        </w:rPr>
        <w:t>8、招标人信息</w:t>
      </w:r>
    </w:p>
    <w:p>
      <w:pPr>
        <w:adjustRightInd w:val="0"/>
        <w:snapToGrid w:val="0"/>
        <w:spacing w:line="360" w:lineRule="auto"/>
        <w:ind w:firstLine="480" w:firstLineChars="200"/>
        <w:rPr>
          <w:rFonts w:hint="eastAsia" w:ascii="宋体" w:hAnsi="宋体"/>
          <w:bCs/>
          <w:sz w:val="24"/>
        </w:rPr>
      </w:pPr>
      <w:r>
        <w:rPr>
          <w:rFonts w:hint="eastAsia" w:ascii="宋体" w:hAnsi="宋体"/>
          <w:bCs/>
          <w:sz w:val="24"/>
        </w:rPr>
        <w:t>招标人：广州南沙经济技术开发区建设和交通局（牵头单位）</w:t>
      </w:r>
    </w:p>
    <w:p>
      <w:pPr>
        <w:adjustRightInd w:val="0"/>
        <w:snapToGrid w:val="0"/>
        <w:spacing w:line="360" w:lineRule="auto"/>
        <w:ind w:firstLine="1440" w:firstLineChars="600"/>
        <w:rPr>
          <w:rFonts w:hint="eastAsia" w:ascii="宋体" w:hAnsi="宋体"/>
          <w:bCs/>
          <w:sz w:val="24"/>
        </w:rPr>
      </w:pPr>
      <w:r>
        <w:rPr>
          <w:rFonts w:hint="eastAsia" w:ascii="宋体" w:hAnsi="宋体"/>
          <w:bCs/>
          <w:sz w:val="24"/>
        </w:rPr>
        <w:t>广州南沙科技投资有限公司（出资代表）</w:t>
      </w:r>
    </w:p>
    <w:p>
      <w:pPr>
        <w:adjustRightInd w:val="0"/>
        <w:snapToGrid w:val="0"/>
        <w:spacing w:line="360" w:lineRule="auto"/>
        <w:ind w:firstLine="480" w:firstLineChars="200"/>
        <w:rPr>
          <w:rFonts w:ascii="宋体" w:hAnsi="宋体"/>
          <w:bCs/>
          <w:sz w:val="24"/>
        </w:rPr>
      </w:pPr>
      <w:r>
        <w:rPr>
          <w:rFonts w:hint="eastAsia" w:ascii="宋体" w:hAnsi="宋体"/>
          <w:bCs/>
          <w:sz w:val="24"/>
        </w:rPr>
        <w:t>联系人：梁小姐</w:t>
      </w:r>
    </w:p>
    <w:p>
      <w:pPr>
        <w:adjustRightInd w:val="0"/>
        <w:snapToGrid w:val="0"/>
        <w:spacing w:line="360" w:lineRule="auto"/>
        <w:ind w:firstLine="480" w:firstLineChars="200"/>
        <w:rPr>
          <w:rFonts w:hint="eastAsia" w:ascii="宋体" w:hAnsi="宋体"/>
          <w:bCs/>
          <w:sz w:val="24"/>
        </w:rPr>
      </w:pPr>
      <w:r>
        <w:rPr>
          <w:rFonts w:hint="eastAsia" w:ascii="宋体" w:hAnsi="宋体"/>
          <w:bCs/>
          <w:sz w:val="24"/>
        </w:rPr>
        <w:t>电  话：020-66813692</w:t>
      </w:r>
    </w:p>
    <w:p>
      <w:pPr>
        <w:pStyle w:val="2"/>
        <w:rPr>
          <w:rFonts w:hint="eastAsia" w:ascii="宋体" w:hAnsi="宋体"/>
          <w:bCs/>
          <w:sz w:val="24"/>
        </w:rPr>
      </w:pPr>
    </w:p>
    <w:p>
      <w:pPr>
        <w:jc w:val="right"/>
        <w:rPr>
          <w:rFonts w:hint="eastAsia" w:ascii="宋体" w:hAnsi="宋体"/>
          <w:bCs/>
          <w:sz w:val="24"/>
        </w:rPr>
      </w:pPr>
      <w:r>
        <w:rPr>
          <w:rFonts w:hint="eastAsia" w:ascii="宋体" w:hAnsi="宋体"/>
          <w:bCs/>
          <w:sz w:val="24"/>
        </w:rPr>
        <w:t>广州南沙科技投资有限公司</w:t>
      </w:r>
    </w:p>
    <w:p>
      <w:pPr>
        <w:pStyle w:val="2"/>
        <w:jc w:val="right"/>
      </w:pPr>
      <w:r>
        <w:rPr>
          <w:rFonts w:hint="eastAsia" w:ascii="宋体" w:hAnsi="宋体" w:eastAsia="宋体" w:cs="宋体"/>
          <w:b w:val="0"/>
          <w:bCs w:val="0"/>
          <w:sz w:val="24"/>
          <w:szCs w:val="24"/>
          <w:lang w:val="en-US" w:eastAsia="zh-CN"/>
        </w:rPr>
        <w:t>2021年6月7日</w:t>
      </w:r>
      <w:bookmarkStart w:id="79" w:name="_GoBack"/>
      <w:bookmarkEnd w:id="79"/>
    </w:p>
    <w:p>
      <w:pPr>
        <w:pStyle w:val="29"/>
        <w:ind w:firstLine="210"/>
        <w:rPr>
          <w:highlight w:val="yellow"/>
        </w:rPr>
      </w:pPr>
      <w:r>
        <w:rPr>
          <w:highlight w:val="yellow"/>
        </w:rPr>
        <w:br w:type="page"/>
      </w:r>
    </w:p>
    <w:p>
      <w:pPr>
        <w:pStyle w:val="2"/>
        <w:numPr>
          <w:ilvl w:val="0"/>
          <w:numId w:val="1"/>
        </w:numPr>
      </w:pPr>
      <w:r>
        <w:rPr>
          <w:rFonts w:hint="eastAsia"/>
        </w:rPr>
        <w:t xml:space="preserve"> </w:t>
      </w:r>
      <w:bookmarkStart w:id="3" w:name="_Toc12183"/>
      <w:bookmarkStart w:id="4" w:name="_Toc13117"/>
      <w:r>
        <w:rPr>
          <w:rFonts w:hint="eastAsia"/>
        </w:rPr>
        <w:t>投标人须知及投标人须知前附表</w:t>
      </w:r>
      <w:bookmarkEnd w:id="3"/>
      <w:bookmarkEnd w:id="4"/>
    </w:p>
    <w:p>
      <w:pPr>
        <w:jc w:val="center"/>
        <w:rPr>
          <w:sz w:val="28"/>
          <w:szCs w:val="28"/>
        </w:rPr>
      </w:pPr>
      <w:r>
        <w:rPr>
          <w:rFonts w:hint="eastAsia" w:ascii="Cambria" w:hAnsi="Cambria"/>
          <w:b/>
          <w:bCs/>
          <w:sz w:val="32"/>
          <w:szCs w:val="32"/>
        </w:rPr>
        <w:t>投标人须知前附表</w:t>
      </w:r>
    </w:p>
    <w:tbl>
      <w:tblPr>
        <w:tblStyle w:val="3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13"/>
        <w:gridCol w:w="822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9" w:hRule="atLeast"/>
          <w:tblHeader/>
        </w:trPr>
        <w:tc>
          <w:tcPr>
            <w:tcW w:w="1013" w:type="dxa"/>
            <w:noWrap w:val="0"/>
            <w:vAlign w:val="center"/>
          </w:tcPr>
          <w:p>
            <w:pPr>
              <w:jc w:val="center"/>
              <w:rPr>
                <w:rFonts w:ascii="宋体" w:hAnsi="宋体"/>
                <w:b/>
                <w:sz w:val="28"/>
                <w:szCs w:val="36"/>
              </w:rPr>
            </w:pPr>
            <w:r>
              <w:rPr>
                <w:rFonts w:hint="eastAsia" w:ascii="宋体" w:hAnsi="宋体"/>
                <w:b/>
                <w:sz w:val="28"/>
                <w:szCs w:val="36"/>
              </w:rPr>
              <w:t>序号</w:t>
            </w:r>
          </w:p>
        </w:tc>
        <w:tc>
          <w:tcPr>
            <w:tcW w:w="8229" w:type="dxa"/>
            <w:noWrap w:val="0"/>
            <w:vAlign w:val="center"/>
          </w:tcPr>
          <w:p>
            <w:pPr>
              <w:jc w:val="center"/>
              <w:rPr>
                <w:rFonts w:ascii="宋体" w:hAnsi="宋体"/>
                <w:b/>
                <w:sz w:val="28"/>
                <w:szCs w:val="36"/>
              </w:rPr>
            </w:pPr>
            <w:r>
              <w:rPr>
                <w:rFonts w:hint="eastAsia" w:ascii="宋体" w:hAnsi="宋体"/>
                <w:b/>
                <w:sz w:val="28"/>
                <w:szCs w:val="36"/>
              </w:rPr>
              <w:t>内</w:t>
            </w:r>
            <w:r>
              <w:rPr>
                <w:rFonts w:ascii="宋体" w:hAnsi="宋体"/>
                <w:b/>
                <w:sz w:val="28"/>
                <w:szCs w:val="36"/>
              </w:rPr>
              <w:t xml:space="preserve">      </w:t>
            </w:r>
            <w:r>
              <w:rPr>
                <w:rFonts w:hint="eastAsia" w:ascii="宋体" w:hAnsi="宋体"/>
                <w:b/>
                <w:sz w:val="28"/>
                <w:szCs w:val="36"/>
              </w:rPr>
              <w:t>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13" w:type="dxa"/>
            <w:noWrap w:val="0"/>
            <w:vAlign w:val="center"/>
          </w:tcPr>
          <w:p>
            <w:pPr>
              <w:numPr>
                <w:ilvl w:val="0"/>
                <w:numId w:val="2"/>
              </w:numPr>
              <w:jc w:val="center"/>
              <w:rPr>
                <w:sz w:val="24"/>
                <w:szCs w:val="32"/>
              </w:rPr>
            </w:pPr>
          </w:p>
        </w:tc>
        <w:tc>
          <w:tcPr>
            <w:tcW w:w="8229" w:type="dxa"/>
            <w:noWrap w:val="0"/>
            <w:vAlign w:val="center"/>
          </w:tcPr>
          <w:p>
            <w:pPr>
              <w:spacing w:line="360" w:lineRule="auto"/>
              <w:rPr>
                <w:sz w:val="24"/>
                <w:szCs w:val="32"/>
              </w:rPr>
            </w:pPr>
            <w:r>
              <w:rPr>
                <w:rFonts w:hint="eastAsia"/>
                <w:sz w:val="24"/>
                <w:szCs w:val="32"/>
              </w:rPr>
              <w:t>项目名称：</w:t>
            </w:r>
            <w:r>
              <w:rPr>
                <w:rFonts w:hint="eastAsia" w:ascii="宋体" w:hAnsi="宋体" w:cs="宋体"/>
                <w:sz w:val="24"/>
              </w:rPr>
              <w:t xml:space="preserve"> 南沙(黄阁)公交枢纽综合体项目方案设计国际竞赛、PPP全过程咨询招标代理</w:t>
            </w:r>
            <w:r>
              <w:rPr>
                <w:rFonts w:hint="eastAsia" w:ascii="宋体" w:hAnsi="宋体" w:cs="宋体"/>
                <w:sz w:val="24"/>
                <w:shd w:val="clear" w:color="auto" w:fill="FFFFFF"/>
              </w:rPr>
              <w:t>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4" w:hRule="atLeast"/>
        </w:trPr>
        <w:tc>
          <w:tcPr>
            <w:tcW w:w="1013" w:type="dxa"/>
            <w:noWrap w:val="0"/>
            <w:vAlign w:val="center"/>
          </w:tcPr>
          <w:p>
            <w:pPr>
              <w:numPr>
                <w:ilvl w:val="0"/>
                <w:numId w:val="2"/>
              </w:numPr>
              <w:jc w:val="center"/>
              <w:rPr>
                <w:sz w:val="24"/>
                <w:szCs w:val="32"/>
              </w:rPr>
            </w:pPr>
          </w:p>
        </w:tc>
        <w:tc>
          <w:tcPr>
            <w:tcW w:w="8229" w:type="dxa"/>
            <w:noWrap w:val="0"/>
            <w:vAlign w:val="center"/>
          </w:tcPr>
          <w:p>
            <w:pPr>
              <w:spacing w:line="360" w:lineRule="auto"/>
              <w:rPr>
                <w:sz w:val="24"/>
                <w:szCs w:val="32"/>
              </w:rPr>
            </w:pPr>
            <w:r>
              <w:rPr>
                <w:rFonts w:hint="eastAsia"/>
                <w:sz w:val="24"/>
                <w:szCs w:val="32"/>
              </w:rPr>
              <w:t>项目地点：广州市南沙区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1" w:hRule="atLeast"/>
        </w:trPr>
        <w:tc>
          <w:tcPr>
            <w:tcW w:w="1013" w:type="dxa"/>
            <w:noWrap w:val="0"/>
            <w:vAlign w:val="center"/>
          </w:tcPr>
          <w:p>
            <w:pPr>
              <w:numPr>
                <w:ilvl w:val="0"/>
                <w:numId w:val="2"/>
              </w:numPr>
              <w:jc w:val="center"/>
              <w:rPr>
                <w:sz w:val="24"/>
                <w:szCs w:val="32"/>
              </w:rPr>
            </w:pPr>
          </w:p>
        </w:tc>
        <w:tc>
          <w:tcPr>
            <w:tcW w:w="8229" w:type="dxa"/>
            <w:noWrap w:val="0"/>
            <w:vAlign w:val="center"/>
          </w:tcPr>
          <w:p>
            <w:pPr>
              <w:spacing w:line="360" w:lineRule="auto"/>
              <w:rPr>
                <w:u w:val="single"/>
              </w:rPr>
            </w:pPr>
            <w:r>
              <w:rPr>
                <w:rFonts w:hint="eastAsia"/>
                <w:sz w:val="24"/>
                <w:szCs w:val="32"/>
              </w:rPr>
              <w:t>项目招标控制价：24.35万元，其中方案设计国际竞赛策划与组织13.72万元（固定报价，不允许浮动）、方案设计国际竞赛代理服务7.05万元、PPP全过程咨询代理服务3.58万元。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1013" w:type="dxa"/>
            <w:noWrap w:val="0"/>
            <w:vAlign w:val="center"/>
          </w:tcPr>
          <w:p>
            <w:pPr>
              <w:numPr>
                <w:ilvl w:val="0"/>
                <w:numId w:val="2"/>
              </w:numPr>
              <w:jc w:val="center"/>
              <w:rPr>
                <w:sz w:val="24"/>
                <w:szCs w:val="32"/>
              </w:rPr>
            </w:pPr>
          </w:p>
        </w:tc>
        <w:tc>
          <w:tcPr>
            <w:tcW w:w="8229" w:type="dxa"/>
            <w:noWrap w:val="0"/>
            <w:vAlign w:val="center"/>
          </w:tcPr>
          <w:p>
            <w:pPr>
              <w:spacing w:line="360" w:lineRule="auto"/>
              <w:rPr>
                <w:rFonts w:hint="eastAsia" w:ascii="宋体" w:hAnsi="宋体"/>
                <w:bCs/>
                <w:sz w:val="24"/>
              </w:rPr>
            </w:pPr>
            <w:r>
              <w:rPr>
                <w:rFonts w:hint="eastAsia"/>
                <w:sz w:val="24"/>
                <w:szCs w:val="32"/>
              </w:rPr>
              <w:t>招标人：</w:t>
            </w:r>
            <w:r>
              <w:rPr>
                <w:rFonts w:hint="eastAsia" w:ascii="宋体" w:hAnsi="宋体"/>
                <w:bCs/>
                <w:sz w:val="24"/>
              </w:rPr>
              <w:t>广州南沙经济技术开发区建设和交通局（牵头单位）</w:t>
            </w:r>
          </w:p>
          <w:p>
            <w:pPr>
              <w:spacing w:line="360" w:lineRule="auto"/>
              <w:ind w:firstLine="960" w:firstLineChars="400"/>
              <w:rPr>
                <w:rFonts w:hint="eastAsia"/>
                <w:sz w:val="24"/>
                <w:szCs w:val="32"/>
              </w:rPr>
            </w:pPr>
            <w:r>
              <w:rPr>
                <w:rFonts w:hint="eastAsia" w:ascii="宋体" w:hAnsi="宋体" w:cs="宋体"/>
                <w:sz w:val="24"/>
              </w:rPr>
              <w:t>广州南沙科技投资有限公司（出资代表）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33" w:hRule="atLeast"/>
        </w:trPr>
        <w:tc>
          <w:tcPr>
            <w:tcW w:w="1013" w:type="dxa"/>
            <w:noWrap w:val="0"/>
            <w:vAlign w:val="center"/>
          </w:tcPr>
          <w:p>
            <w:pPr>
              <w:numPr>
                <w:ilvl w:val="0"/>
                <w:numId w:val="2"/>
              </w:numPr>
              <w:jc w:val="center"/>
              <w:rPr>
                <w:sz w:val="24"/>
                <w:szCs w:val="32"/>
              </w:rPr>
            </w:pPr>
          </w:p>
        </w:tc>
        <w:tc>
          <w:tcPr>
            <w:tcW w:w="8229" w:type="dxa"/>
            <w:noWrap w:val="0"/>
            <w:vAlign w:val="center"/>
          </w:tcPr>
          <w:p>
            <w:pPr>
              <w:spacing w:line="360" w:lineRule="auto"/>
              <w:rPr>
                <w:sz w:val="24"/>
                <w:szCs w:val="32"/>
              </w:rPr>
            </w:pPr>
            <w:r>
              <w:rPr>
                <w:rFonts w:hint="eastAsia"/>
                <w:sz w:val="24"/>
                <w:szCs w:val="32"/>
              </w:rPr>
              <w:t>合格投标人：</w:t>
            </w:r>
          </w:p>
          <w:p>
            <w:pPr>
              <w:spacing w:line="360" w:lineRule="auto"/>
              <w:rPr>
                <w:sz w:val="24"/>
                <w:szCs w:val="32"/>
              </w:rPr>
            </w:pPr>
            <w:r>
              <w:rPr>
                <w:rFonts w:hint="eastAsia"/>
                <w:sz w:val="24"/>
                <w:szCs w:val="32"/>
              </w:rPr>
              <w:t>（1）具有中华人民共和国独立法人资格，持有有效的企业法人营业执照；按国家法律经营，经营范围包括工程建设项目招标代理服务范围[以工商营业执照注明的经营范围或事业单位法人证书注明的业务范围为准，如营业执照中没有体现经营范围的，则须提供工商部门网站“商事主体信息公示平台”查询平台页面（含经营范围）打印件]。</w:t>
            </w:r>
          </w:p>
          <w:p>
            <w:pPr>
              <w:spacing w:line="360" w:lineRule="auto"/>
              <w:rPr>
                <w:sz w:val="24"/>
                <w:szCs w:val="32"/>
              </w:rPr>
            </w:pPr>
            <w:r>
              <w:rPr>
                <w:rFonts w:hint="eastAsia"/>
                <w:sz w:val="24"/>
                <w:szCs w:val="32"/>
              </w:rPr>
              <w:t>（2）拟委派的项目负责人须具有工程类或经济类中级或以上技术职称资格。项目负责人为投标单位正式员工，需提供能反映投标单位为其缴纳的社保证明（</w:t>
            </w:r>
            <w:r>
              <w:rPr>
                <w:rFonts w:hint="eastAsia" w:ascii="宋体" w:hAnsi="宋体" w:cs="宋体"/>
                <w:sz w:val="24"/>
              </w:rPr>
              <w:t>提供近半年内</w:t>
            </w:r>
            <w:r>
              <w:rPr>
                <w:rFonts w:hint="eastAsia"/>
                <w:sz w:val="24"/>
                <w:szCs w:val="32"/>
              </w:rPr>
              <w:t>社保证明）。</w:t>
            </w:r>
          </w:p>
          <w:p>
            <w:pPr>
              <w:spacing w:line="360" w:lineRule="auto"/>
              <w:rPr>
                <w:sz w:val="24"/>
                <w:szCs w:val="32"/>
              </w:rPr>
            </w:pPr>
            <w:r>
              <w:rPr>
                <w:rFonts w:hint="eastAsia"/>
                <w:sz w:val="24"/>
                <w:szCs w:val="32"/>
              </w:rPr>
              <w:t>（3）投标单位参加投标的意思表达清楚，投标单位代表被授权有效。</w:t>
            </w:r>
          </w:p>
          <w:p>
            <w:pPr>
              <w:spacing w:line="360" w:lineRule="auto"/>
              <w:rPr>
                <w:rFonts w:ascii="宋体" w:hAnsi="宋体"/>
                <w:sz w:val="24"/>
                <w:szCs w:val="32"/>
              </w:rPr>
            </w:pPr>
            <w:r>
              <w:rPr>
                <w:rFonts w:hint="eastAsia"/>
                <w:sz w:val="24"/>
                <w:szCs w:val="32"/>
              </w:rPr>
              <w:t>（4）本项目不接受联合体投标。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3" w:hRule="atLeast"/>
        </w:trPr>
        <w:tc>
          <w:tcPr>
            <w:tcW w:w="1013" w:type="dxa"/>
            <w:noWrap w:val="0"/>
            <w:vAlign w:val="center"/>
          </w:tcPr>
          <w:p>
            <w:pPr>
              <w:numPr>
                <w:ilvl w:val="0"/>
                <w:numId w:val="2"/>
              </w:numPr>
              <w:jc w:val="center"/>
              <w:rPr>
                <w:sz w:val="24"/>
                <w:szCs w:val="32"/>
              </w:rPr>
            </w:pPr>
          </w:p>
        </w:tc>
        <w:tc>
          <w:tcPr>
            <w:tcW w:w="8229" w:type="dxa"/>
            <w:noWrap w:val="0"/>
            <w:vAlign w:val="center"/>
          </w:tcPr>
          <w:p>
            <w:pPr>
              <w:spacing w:line="360" w:lineRule="auto"/>
              <w:rPr>
                <w:rFonts w:hint="eastAsia"/>
                <w:dstrike/>
                <w:sz w:val="24"/>
                <w:szCs w:val="32"/>
              </w:rPr>
            </w:pPr>
            <w:r>
              <w:rPr>
                <w:rFonts w:hint="eastAsia" w:ascii="宋体" w:hAnsi="宋体"/>
                <w:sz w:val="24"/>
                <w:szCs w:val="32"/>
              </w:rPr>
              <w:t>本项目不集中组织招标答疑会。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9" w:hRule="atLeast"/>
        </w:trPr>
        <w:tc>
          <w:tcPr>
            <w:tcW w:w="1013" w:type="dxa"/>
            <w:noWrap w:val="0"/>
            <w:vAlign w:val="center"/>
          </w:tcPr>
          <w:p>
            <w:pPr>
              <w:numPr>
                <w:ilvl w:val="0"/>
                <w:numId w:val="2"/>
              </w:numPr>
              <w:jc w:val="center"/>
              <w:rPr>
                <w:sz w:val="24"/>
                <w:szCs w:val="32"/>
              </w:rPr>
            </w:pPr>
          </w:p>
        </w:tc>
        <w:tc>
          <w:tcPr>
            <w:tcW w:w="8229" w:type="dxa"/>
            <w:noWrap w:val="0"/>
            <w:vAlign w:val="center"/>
          </w:tcPr>
          <w:p>
            <w:pPr>
              <w:tabs>
                <w:tab w:val="left" w:pos="8640"/>
              </w:tabs>
              <w:spacing w:line="360" w:lineRule="auto"/>
              <w:rPr>
                <w:sz w:val="24"/>
                <w:szCs w:val="32"/>
              </w:rPr>
            </w:pPr>
            <w:r>
              <w:rPr>
                <w:rFonts w:hint="eastAsia" w:ascii="宋体" w:hAnsi="宋体"/>
                <w:sz w:val="24"/>
                <w:szCs w:val="32"/>
              </w:rPr>
              <w:t>本项目无需提交保证金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4" w:hRule="atLeast"/>
        </w:trPr>
        <w:tc>
          <w:tcPr>
            <w:tcW w:w="1013" w:type="dxa"/>
            <w:noWrap w:val="0"/>
            <w:vAlign w:val="center"/>
          </w:tcPr>
          <w:p>
            <w:pPr>
              <w:numPr>
                <w:ilvl w:val="0"/>
                <w:numId w:val="2"/>
              </w:numPr>
              <w:jc w:val="center"/>
              <w:rPr>
                <w:sz w:val="24"/>
                <w:szCs w:val="32"/>
              </w:rPr>
            </w:pPr>
          </w:p>
        </w:tc>
        <w:tc>
          <w:tcPr>
            <w:tcW w:w="8229" w:type="dxa"/>
            <w:noWrap w:val="0"/>
            <w:vAlign w:val="center"/>
          </w:tcPr>
          <w:p>
            <w:pPr>
              <w:spacing w:line="360" w:lineRule="auto"/>
              <w:rPr>
                <w:sz w:val="24"/>
                <w:szCs w:val="32"/>
              </w:rPr>
            </w:pPr>
            <w:r>
              <w:rPr>
                <w:rFonts w:hint="eastAsia"/>
                <w:sz w:val="24"/>
                <w:szCs w:val="32"/>
              </w:rPr>
              <w:t>报价有效期：180天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2" w:hRule="atLeast"/>
        </w:trPr>
        <w:tc>
          <w:tcPr>
            <w:tcW w:w="1013" w:type="dxa"/>
            <w:noWrap w:val="0"/>
            <w:vAlign w:val="center"/>
          </w:tcPr>
          <w:p>
            <w:pPr>
              <w:numPr>
                <w:ilvl w:val="0"/>
                <w:numId w:val="2"/>
              </w:numPr>
              <w:jc w:val="center"/>
              <w:rPr>
                <w:sz w:val="24"/>
                <w:szCs w:val="32"/>
              </w:rPr>
            </w:pPr>
          </w:p>
        </w:tc>
        <w:tc>
          <w:tcPr>
            <w:tcW w:w="8229" w:type="dxa"/>
            <w:noWrap w:val="0"/>
            <w:vAlign w:val="center"/>
          </w:tcPr>
          <w:p>
            <w:pPr>
              <w:spacing w:line="360" w:lineRule="auto"/>
            </w:pPr>
            <w:r>
              <w:rPr>
                <w:rFonts w:hint="eastAsia"/>
                <w:sz w:val="24"/>
                <w:szCs w:val="32"/>
              </w:rPr>
              <w:t>正本的份数：1份，副本的份数：2份，电子文档份数：1份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60" w:hRule="atLeast"/>
        </w:trPr>
        <w:tc>
          <w:tcPr>
            <w:tcW w:w="1013" w:type="dxa"/>
            <w:noWrap w:val="0"/>
            <w:vAlign w:val="center"/>
          </w:tcPr>
          <w:p>
            <w:pPr>
              <w:numPr>
                <w:ilvl w:val="0"/>
                <w:numId w:val="2"/>
              </w:numPr>
              <w:jc w:val="center"/>
              <w:rPr>
                <w:sz w:val="24"/>
                <w:szCs w:val="32"/>
              </w:rPr>
            </w:pPr>
          </w:p>
        </w:tc>
        <w:tc>
          <w:tcPr>
            <w:tcW w:w="8229" w:type="dxa"/>
            <w:noWrap w:val="0"/>
            <w:vAlign w:val="center"/>
          </w:tcPr>
          <w:p>
            <w:pPr>
              <w:spacing w:line="360" w:lineRule="auto"/>
              <w:rPr>
                <w:b/>
                <w:sz w:val="24"/>
                <w:szCs w:val="32"/>
              </w:rPr>
            </w:pPr>
            <w:r>
              <w:rPr>
                <w:rFonts w:hint="eastAsia"/>
                <w:sz w:val="24"/>
                <w:szCs w:val="32"/>
              </w:rPr>
              <w:t>投标文件递交截止日期：</w:t>
            </w:r>
            <w:r>
              <w:rPr>
                <w:rFonts w:hint="eastAsia"/>
                <w:b/>
                <w:sz w:val="24"/>
                <w:szCs w:val="32"/>
              </w:rPr>
              <w:t>2021年</w:t>
            </w:r>
            <w:r>
              <w:rPr>
                <w:rFonts w:hint="eastAsia"/>
                <w:b/>
                <w:sz w:val="24"/>
                <w:szCs w:val="32"/>
                <w:u w:val="single"/>
              </w:rPr>
              <w:t xml:space="preserve"> </w:t>
            </w:r>
            <w:r>
              <w:rPr>
                <w:rFonts w:hint="eastAsia"/>
                <w:b/>
                <w:sz w:val="24"/>
                <w:szCs w:val="32"/>
                <w:u w:val="single"/>
                <w:lang w:val="en-US" w:eastAsia="zh-CN"/>
              </w:rPr>
              <w:t>6</w:t>
            </w:r>
            <w:r>
              <w:rPr>
                <w:rFonts w:hint="eastAsia"/>
                <w:b/>
                <w:sz w:val="24"/>
                <w:szCs w:val="32"/>
                <w:u w:val="single"/>
              </w:rPr>
              <w:t xml:space="preserve"> </w:t>
            </w:r>
            <w:r>
              <w:rPr>
                <w:rFonts w:hint="eastAsia"/>
                <w:b/>
                <w:sz w:val="24"/>
                <w:szCs w:val="32"/>
              </w:rPr>
              <w:t>月</w:t>
            </w:r>
            <w:r>
              <w:rPr>
                <w:rFonts w:hint="eastAsia"/>
                <w:b/>
                <w:sz w:val="24"/>
                <w:szCs w:val="32"/>
                <w:u w:val="single"/>
              </w:rPr>
              <w:t xml:space="preserve"> </w:t>
            </w:r>
            <w:r>
              <w:rPr>
                <w:rFonts w:hint="eastAsia"/>
                <w:b/>
                <w:sz w:val="24"/>
                <w:szCs w:val="32"/>
                <w:u w:val="single"/>
                <w:lang w:val="en-US" w:eastAsia="zh-CN"/>
              </w:rPr>
              <w:t>10</w:t>
            </w:r>
            <w:r>
              <w:rPr>
                <w:rFonts w:hint="eastAsia"/>
                <w:b/>
                <w:sz w:val="24"/>
                <w:szCs w:val="32"/>
              </w:rPr>
              <w:t>日上午</w:t>
            </w:r>
            <w:r>
              <w:rPr>
                <w:rFonts w:hint="eastAsia"/>
                <w:b/>
                <w:sz w:val="24"/>
                <w:szCs w:val="32"/>
                <w:lang w:val="en-US" w:eastAsia="zh-CN"/>
              </w:rPr>
              <w:t>9</w:t>
            </w:r>
            <w:r>
              <w:rPr>
                <w:rFonts w:hint="eastAsia"/>
                <w:b/>
                <w:sz w:val="24"/>
                <w:szCs w:val="32"/>
              </w:rPr>
              <w:t>点</w:t>
            </w:r>
            <w:r>
              <w:rPr>
                <w:rFonts w:hint="eastAsia"/>
                <w:b/>
                <w:sz w:val="24"/>
                <w:szCs w:val="32"/>
                <w:lang w:val="en-US" w:eastAsia="zh-CN"/>
              </w:rPr>
              <w:t>3</w:t>
            </w:r>
            <w:r>
              <w:rPr>
                <w:rFonts w:hint="eastAsia"/>
                <w:b/>
                <w:sz w:val="24"/>
                <w:szCs w:val="32"/>
              </w:rPr>
              <w:t>0分（北京时间）</w:t>
            </w:r>
          </w:p>
          <w:p>
            <w:pPr>
              <w:spacing w:line="360" w:lineRule="auto"/>
              <w:rPr>
                <w:sz w:val="24"/>
                <w:szCs w:val="32"/>
              </w:rPr>
            </w:pPr>
            <w:r>
              <w:rPr>
                <w:rFonts w:hint="eastAsia"/>
                <w:sz w:val="24"/>
                <w:szCs w:val="32"/>
              </w:rPr>
              <w:t>递交投标文件地点：</w:t>
            </w:r>
            <w:r>
              <w:rPr>
                <w:rFonts w:hint="eastAsia" w:ascii="宋体" w:hAnsi="宋体" w:cs="宋体"/>
                <w:sz w:val="24"/>
              </w:rPr>
              <w:t>广东省广州市南沙区海滨路171号南沙金融大厦17楼1703室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5" w:hRule="atLeast"/>
        </w:trPr>
        <w:tc>
          <w:tcPr>
            <w:tcW w:w="1013" w:type="dxa"/>
            <w:noWrap w:val="0"/>
            <w:vAlign w:val="center"/>
          </w:tcPr>
          <w:p>
            <w:pPr>
              <w:numPr>
                <w:ilvl w:val="0"/>
                <w:numId w:val="2"/>
              </w:numPr>
              <w:jc w:val="center"/>
              <w:rPr>
                <w:sz w:val="24"/>
                <w:szCs w:val="32"/>
              </w:rPr>
            </w:pPr>
          </w:p>
        </w:tc>
        <w:tc>
          <w:tcPr>
            <w:tcW w:w="8229" w:type="dxa"/>
            <w:noWrap w:val="0"/>
            <w:vAlign w:val="center"/>
          </w:tcPr>
          <w:p>
            <w:pPr>
              <w:spacing w:after="120" w:afterLines="50" w:line="360" w:lineRule="auto"/>
              <w:rPr>
                <w:sz w:val="24"/>
                <w:szCs w:val="32"/>
              </w:rPr>
            </w:pPr>
            <w:r>
              <w:rPr>
                <w:rFonts w:hint="eastAsia"/>
                <w:sz w:val="24"/>
                <w:szCs w:val="32"/>
              </w:rPr>
              <w:t>确定中标人的原则是：评标委员会将按照综合得分排名由高到低的顺序推荐前3名为中标候选人，其中得分最高的为第一中标候选人，以此类推。</w:t>
            </w:r>
          </w:p>
        </w:tc>
      </w:tr>
    </w:tbl>
    <w:p>
      <w:pPr>
        <w:adjustRightInd w:val="0"/>
        <w:snapToGrid w:val="0"/>
        <w:spacing w:line="360" w:lineRule="auto"/>
        <w:rPr>
          <w:sz w:val="28"/>
          <w:szCs w:val="28"/>
        </w:rPr>
      </w:pPr>
    </w:p>
    <w:p>
      <w:pPr>
        <w:widowControl/>
        <w:jc w:val="left"/>
        <w:rPr>
          <w:sz w:val="28"/>
          <w:szCs w:val="28"/>
        </w:rPr>
      </w:pPr>
      <w:r>
        <w:rPr>
          <w:sz w:val="28"/>
          <w:szCs w:val="28"/>
        </w:rPr>
        <w:br w:type="page"/>
      </w:r>
    </w:p>
    <w:p>
      <w:pPr>
        <w:adjustRightInd w:val="0"/>
        <w:snapToGrid w:val="0"/>
        <w:spacing w:line="360" w:lineRule="auto"/>
        <w:jc w:val="center"/>
        <w:rPr>
          <w:sz w:val="32"/>
          <w:szCs w:val="32"/>
        </w:rPr>
      </w:pPr>
      <w:r>
        <w:rPr>
          <w:rFonts w:hint="eastAsia" w:ascii="Cambria" w:hAnsi="Cambria"/>
          <w:b/>
          <w:bCs/>
          <w:sz w:val="36"/>
          <w:szCs w:val="36"/>
        </w:rPr>
        <w:t>投标人须知</w:t>
      </w:r>
    </w:p>
    <w:p>
      <w:pPr>
        <w:pStyle w:val="3"/>
        <w:rPr>
          <w:rFonts w:ascii="宋体" w:hAnsi="宋体" w:eastAsia="宋体"/>
        </w:rPr>
      </w:pPr>
      <w:bookmarkStart w:id="5" w:name="_Toc400911946"/>
      <w:r>
        <w:rPr>
          <w:rFonts w:hint="eastAsia" w:ascii="宋体" w:hAnsi="宋体" w:eastAsia="宋体"/>
        </w:rPr>
        <w:t>一、 说 明</w:t>
      </w:r>
      <w:bookmarkEnd w:id="5"/>
    </w:p>
    <w:p>
      <w:pPr>
        <w:pStyle w:val="4"/>
        <w:numPr>
          <w:ilvl w:val="2"/>
          <w:numId w:val="0"/>
        </w:numPr>
        <w:tabs>
          <w:tab w:val="left" w:pos="720"/>
        </w:tabs>
        <w:adjustRightInd w:val="0"/>
        <w:spacing w:before="240" w:after="120" w:line="300" w:lineRule="auto"/>
        <w:jc w:val="left"/>
        <w:textAlignment w:val="baseline"/>
        <w:rPr>
          <w:rFonts w:ascii="宋体" w:hAnsi="宋体"/>
        </w:rPr>
      </w:pPr>
      <w:bookmarkStart w:id="6" w:name="_Toc469850042"/>
      <w:bookmarkStart w:id="7" w:name="_Toc400911947"/>
      <w:r>
        <w:rPr>
          <w:rFonts w:ascii="宋体" w:hAnsi="宋体"/>
        </w:rPr>
        <w:t>1.</w:t>
      </w:r>
      <w:r>
        <w:rPr>
          <w:rFonts w:ascii="宋体" w:hAnsi="宋体"/>
        </w:rPr>
        <w:tab/>
      </w:r>
      <w:bookmarkEnd w:id="6"/>
      <w:r>
        <w:rPr>
          <w:rFonts w:hint="eastAsia" w:ascii="宋体" w:hAnsi="宋体"/>
        </w:rPr>
        <w:t>项目说明</w:t>
      </w:r>
      <w:bookmarkEnd w:id="7"/>
    </w:p>
    <w:p>
      <w:pPr>
        <w:numPr>
          <w:ilvl w:val="1"/>
          <w:numId w:val="3"/>
        </w:numPr>
        <w:tabs>
          <w:tab w:val="left" w:pos="709"/>
        </w:tabs>
        <w:spacing w:line="360" w:lineRule="auto"/>
        <w:ind w:left="652" w:hanging="652"/>
        <w:rPr>
          <w:rFonts w:ascii="宋体" w:hAnsi="宋体"/>
          <w:sz w:val="24"/>
          <w:szCs w:val="32"/>
        </w:rPr>
      </w:pPr>
      <w:r>
        <w:rPr>
          <w:rFonts w:hint="eastAsia" w:ascii="宋体" w:hAnsi="宋体"/>
          <w:sz w:val="24"/>
          <w:szCs w:val="32"/>
        </w:rPr>
        <w:t>项目名称、项目地点、项目招标控制价见《投标人须知前附表》相关内容。</w:t>
      </w:r>
    </w:p>
    <w:p>
      <w:pPr>
        <w:pStyle w:val="4"/>
        <w:numPr>
          <w:ilvl w:val="2"/>
          <w:numId w:val="0"/>
        </w:numPr>
        <w:tabs>
          <w:tab w:val="left" w:pos="720"/>
        </w:tabs>
        <w:adjustRightInd w:val="0"/>
        <w:spacing w:before="240" w:after="120" w:line="300" w:lineRule="auto"/>
        <w:jc w:val="left"/>
        <w:textAlignment w:val="baseline"/>
        <w:rPr>
          <w:rFonts w:ascii="宋体" w:hAnsi="宋体"/>
        </w:rPr>
      </w:pPr>
      <w:bookmarkStart w:id="8" w:name="_Toc469850043"/>
      <w:bookmarkStart w:id="9" w:name="_Toc400911948"/>
      <w:r>
        <w:t>2.</w:t>
      </w:r>
      <w:r>
        <w:tab/>
      </w:r>
      <w:r>
        <w:rPr>
          <w:rFonts w:hint="eastAsia"/>
        </w:rPr>
        <w:t>招标人及</w:t>
      </w:r>
      <w:bookmarkEnd w:id="8"/>
      <w:bookmarkEnd w:id="9"/>
      <w:r>
        <w:rPr>
          <w:rFonts w:hint="eastAsia"/>
        </w:rPr>
        <w:t>合格投标人</w:t>
      </w:r>
    </w:p>
    <w:p>
      <w:pPr>
        <w:numPr>
          <w:ilvl w:val="1"/>
          <w:numId w:val="4"/>
        </w:numPr>
        <w:tabs>
          <w:tab w:val="left" w:pos="8640"/>
        </w:tabs>
        <w:spacing w:line="360" w:lineRule="auto"/>
        <w:rPr>
          <w:rFonts w:ascii="宋体" w:hAnsi="宋体"/>
          <w:sz w:val="24"/>
          <w:szCs w:val="32"/>
        </w:rPr>
      </w:pPr>
      <w:r>
        <w:rPr>
          <w:rFonts w:hint="eastAsia" w:ascii="宋体" w:hAnsi="宋体"/>
          <w:sz w:val="24"/>
          <w:szCs w:val="32"/>
        </w:rPr>
        <w:t>招标人是指</w:t>
      </w:r>
      <w:r>
        <w:rPr>
          <w:rFonts w:hint="eastAsia" w:ascii="宋体" w:hAnsi="宋体"/>
          <w:sz w:val="24"/>
        </w:rPr>
        <w:t>提出国内招标采购服务的国家机关、企业、事业单位或其它组织。本项目招标人：</w:t>
      </w:r>
      <w:r>
        <w:rPr>
          <w:rFonts w:hint="eastAsia" w:ascii="宋体" w:hAnsi="宋体"/>
          <w:sz w:val="24"/>
          <w:szCs w:val="32"/>
        </w:rPr>
        <w:t>见《投标人须知前附表》的招标人</w:t>
      </w:r>
      <w:r>
        <w:rPr>
          <w:rFonts w:hint="eastAsia" w:ascii="宋体" w:hAnsi="宋体"/>
          <w:sz w:val="24"/>
        </w:rPr>
        <w:t>。</w:t>
      </w:r>
    </w:p>
    <w:p>
      <w:pPr>
        <w:numPr>
          <w:ilvl w:val="1"/>
          <w:numId w:val="4"/>
        </w:numPr>
        <w:tabs>
          <w:tab w:val="left" w:pos="8640"/>
        </w:tabs>
        <w:spacing w:line="360" w:lineRule="auto"/>
        <w:rPr>
          <w:rFonts w:ascii="宋体" w:hAnsi="宋体"/>
          <w:sz w:val="24"/>
          <w:szCs w:val="32"/>
        </w:rPr>
      </w:pPr>
      <w:r>
        <w:rPr>
          <w:rFonts w:hint="eastAsia" w:ascii="宋体" w:hAnsi="宋体"/>
          <w:sz w:val="24"/>
          <w:szCs w:val="32"/>
        </w:rPr>
        <w:t>合格投标人：见《投标人须知前附表》的合格投标人。</w:t>
      </w:r>
    </w:p>
    <w:p>
      <w:pPr>
        <w:pStyle w:val="4"/>
        <w:numPr>
          <w:ilvl w:val="2"/>
          <w:numId w:val="0"/>
        </w:numPr>
        <w:tabs>
          <w:tab w:val="left" w:pos="720"/>
        </w:tabs>
        <w:adjustRightInd w:val="0"/>
        <w:spacing w:before="240" w:after="120" w:line="300" w:lineRule="auto"/>
        <w:jc w:val="left"/>
        <w:textAlignment w:val="baseline"/>
        <w:rPr>
          <w:rFonts w:ascii="宋体" w:hAnsi="宋体"/>
        </w:rPr>
      </w:pPr>
      <w:bookmarkStart w:id="10" w:name="_Toc469850044"/>
      <w:bookmarkStart w:id="11" w:name="_Toc400911949"/>
      <w:r>
        <w:t>3.</w:t>
      </w:r>
      <w:r>
        <w:tab/>
      </w:r>
      <w:r>
        <w:rPr>
          <w:rFonts w:hint="eastAsia"/>
        </w:rPr>
        <w:t>合格的服务</w:t>
      </w:r>
      <w:bookmarkEnd w:id="10"/>
      <w:bookmarkEnd w:id="11"/>
    </w:p>
    <w:p>
      <w:pPr>
        <w:numPr>
          <w:ilvl w:val="1"/>
          <w:numId w:val="5"/>
        </w:numPr>
        <w:tabs>
          <w:tab w:val="left" w:pos="8640"/>
        </w:tabs>
        <w:spacing w:line="360" w:lineRule="auto"/>
        <w:rPr>
          <w:rFonts w:ascii="宋体" w:hAnsi="宋体"/>
          <w:sz w:val="24"/>
          <w:szCs w:val="32"/>
        </w:rPr>
      </w:pPr>
      <w:r>
        <w:rPr>
          <w:rFonts w:hint="eastAsia" w:ascii="宋体" w:hAnsi="宋体"/>
          <w:sz w:val="24"/>
          <w:szCs w:val="32"/>
        </w:rPr>
        <w:t>合同中提供的所有</w:t>
      </w:r>
      <w:r>
        <w:rPr>
          <w:rFonts w:hint="eastAsia"/>
          <w:sz w:val="24"/>
          <w:szCs w:val="32"/>
        </w:rPr>
        <w:t>服务</w:t>
      </w:r>
      <w:r>
        <w:rPr>
          <w:rFonts w:hint="eastAsia" w:ascii="宋体" w:hAnsi="宋体"/>
          <w:sz w:val="24"/>
          <w:szCs w:val="32"/>
        </w:rPr>
        <w:t>均应来自中华人民共和国境内，本合同的支付也仅限于这些</w:t>
      </w:r>
      <w:r>
        <w:rPr>
          <w:rFonts w:hint="eastAsia"/>
          <w:sz w:val="24"/>
          <w:szCs w:val="32"/>
        </w:rPr>
        <w:t>服务</w:t>
      </w:r>
      <w:r>
        <w:rPr>
          <w:rFonts w:hint="eastAsia" w:ascii="宋体" w:hAnsi="宋体"/>
          <w:sz w:val="24"/>
          <w:szCs w:val="32"/>
        </w:rPr>
        <w:t>。</w:t>
      </w:r>
    </w:p>
    <w:p>
      <w:pPr>
        <w:numPr>
          <w:ilvl w:val="1"/>
          <w:numId w:val="5"/>
        </w:numPr>
        <w:tabs>
          <w:tab w:val="left" w:pos="8640"/>
        </w:tabs>
        <w:spacing w:line="360" w:lineRule="auto"/>
        <w:rPr>
          <w:rFonts w:ascii="宋体" w:hAnsi="宋体"/>
          <w:sz w:val="24"/>
          <w:szCs w:val="32"/>
        </w:rPr>
      </w:pPr>
      <w:r>
        <w:rPr>
          <w:rFonts w:hint="eastAsia" w:ascii="宋体" w:hAnsi="宋体"/>
          <w:sz w:val="24"/>
          <w:szCs w:val="32"/>
        </w:rPr>
        <w:t>投标人应保证，招标人在其本国使用投标人提供的服务时</w:t>
      </w:r>
      <w:r>
        <w:rPr>
          <w:rFonts w:ascii="宋体" w:hAnsi="宋体"/>
          <w:sz w:val="24"/>
          <w:szCs w:val="32"/>
        </w:rPr>
        <w:t>，</w:t>
      </w:r>
      <w:r>
        <w:rPr>
          <w:rFonts w:hint="eastAsia" w:ascii="宋体" w:hAnsi="宋体"/>
          <w:sz w:val="24"/>
          <w:szCs w:val="32"/>
        </w:rPr>
        <w:t>不存在任何已知的不合法的情形，也不存在任何已知的与第三方专利权、著作权、商标权或工业设计权相关的任何争议。如果有任何因招标人使用投标人提供的服务而提起的侵权指控，投标人应依法承担责任。</w:t>
      </w:r>
    </w:p>
    <w:p>
      <w:pPr>
        <w:pStyle w:val="4"/>
        <w:numPr>
          <w:ilvl w:val="2"/>
          <w:numId w:val="0"/>
        </w:numPr>
        <w:tabs>
          <w:tab w:val="left" w:pos="720"/>
        </w:tabs>
        <w:adjustRightInd w:val="0"/>
        <w:spacing w:before="240" w:after="120" w:line="300" w:lineRule="auto"/>
        <w:jc w:val="left"/>
        <w:textAlignment w:val="baseline"/>
        <w:rPr>
          <w:rFonts w:ascii="宋体" w:hAnsi="宋体"/>
        </w:rPr>
      </w:pPr>
      <w:bookmarkStart w:id="12" w:name="_Toc400911950"/>
      <w:bookmarkStart w:id="13" w:name="_Toc469850045"/>
      <w:r>
        <w:rPr>
          <w:rFonts w:ascii="宋体" w:hAnsi="宋体"/>
        </w:rPr>
        <w:t>4.</w:t>
      </w:r>
      <w:r>
        <w:rPr>
          <w:rFonts w:ascii="宋体" w:hAnsi="宋体"/>
        </w:rPr>
        <w:tab/>
      </w:r>
      <w:r>
        <w:rPr>
          <w:rFonts w:hint="eastAsia" w:ascii="宋体" w:hAnsi="宋体"/>
        </w:rPr>
        <w:t>报价费用</w:t>
      </w:r>
      <w:bookmarkEnd w:id="12"/>
      <w:bookmarkEnd w:id="13"/>
    </w:p>
    <w:p>
      <w:pPr>
        <w:tabs>
          <w:tab w:val="left" w:pos="8640"/>
        </w:tabs>
        <w:spacing w:line="360" w:lineRule="auto"/>
        <w:ind w:left="720" w:hanging="720"/>
        <w:rPr>
          <w:rFonts w:ascii="宋体" w:hAnsi="宋体"/>
        </w:rPr>
      </w:pPr>
      <w:r>
        <w:rPr>
          <w:rFonts w:ascii="宋体" w:hAnsi="宋体"/>
        </w:rPr>
        <w:t xml:space="preserve">4.1  </w:t>
      </w:r>
      <w:r>
        <w:rPr>
          <w:rFonts w:ascii="宋体" w:hAnsi="宋体"/>
          <w:sz w:val="24"/>
          <w:szCs w:val="32"/>
        </w:rPr>
        <w:t xml:space="preserve">  </w:t>
      </w:r>
      <w:r>
        <w:rPr>
          <w:rFonts w:hint="eastAsia" w:ascii="宋体" w:hAnsi="宋体"/>
          <w:sz w:val="24"/>
          <w:szCs w:val="32"/>
        </w:rPr>
        <w:t>投标人应承担所有与准备和参加投标报价有关的费用。不论投标报价的结果如何，“投标人须知前附表”中所述的招标人在任何情况下均无义务和责任承担这些费用。</w:t>
      </w:r>
    </w:p>
    <w:p>
      <w:pPr>
        <w:pStyle w:val="3"/>
        <w:rPr>
          <w:rFonts w:ascii="宋体" w:hAnsi="宋体" w:eastAsia="宋体"/>
        </w:rPr>
      </w:pPr>
      <w:bookmarkStart w:id="14" w:name="_Toc469850046"/>
      <w:bookmarkStart w:id="15" w:name="_Toc400911951"/>
      <w:r>
        <w:rPr>
          <w:rFonts w:hint="eastAsia" w:ascii="宋体" w:hAnsi="宋体" w:eastAsia="宋体"/>
        </w:rPr>
        <w:t>二、 招标文件</w:t>
      </w:r>
      <w:bookmarkEnd w:id="14"/>
      <w:bookmarkEnd w:id="15"/>
    </w:p>
    <w:p>
      <w:pPr>
        <w:pStyle w:val="4"/>
        <w:numPr>
          <w:ilvl w:val="2"/>
          <w:numId w:val="0"/>
        </w:numPr>
        <w:tabs>
          <w:tab w:val="left" w:pos="720"/>
        </w:tabs>
        <w:adjustRightInd w:val="0"/>
        <w:spacing w:before="240" w:after="120" w:line="300" w:lineRule="auto"/>
        <w:jc w:val="left"/>
        <w:textAlignment w:val="baseline"/>
        <w:rPr>
          <w:rFonts w:ascii="宋体" w:hAnsi="宋体"/>
        </w:rPr>
      </w:pPr>
      <w:bookmarkStart w:id="16" w:name="_Toc400911952"/>
      <w:bookmarkStart w:id="17" w:name="_Toc469850047"/>
      <w:r>
        <w:rPr>
          <w:rFonts w:ascii="宋体" w:hAnsi="宋体"/>
        </w:rPr>
        <w:t>5.</w:t>
      </w:r>
      <w:r>
        <w:rPr>
          <w:rFonts w:ascii="宋体" w:hAnsi="宋体"/>
        </w:rPr>
        <w:tab/>
      </w:r>
      <w:r>
        <w:rPr>
          <w:rFonts w:hint="eastAsia" w:ascii="宋体" w:hAnsi="宋体"/>
        </w:rPr>
        <w:t>招标文件构成</w:t>
      </w:r>
      <w:bookmarkEnd w:id="16"/>
      <w:bookmarkEnd w:id="17"/>
    </w:p>
    <w:p>
      <w:pPr>
        <w:numPr>
          <w:ilvl w:val="1"/>
          <w:numId w:val="6"/>
        </w:numPr>
        <w:tabs>
          <w:tab w:val="left" w:pos="8640"/>
        </w:tabs>
        <w:spacing w:line="360" w:lineRule="auto"/>
        <w:rPr>
          <w:rFonts w:ascii="宋体" w:hAnsi="宋体"/>
          <w:sz w:val="24"/>
          <w:szCs w:val="32"/>
        </w:rPr>
      </w:pPr>
      <w:r>
        <w:rPr>
          <w:rFonts w:hint="eastAsia" w:ascii="宋体" w:hAnsi="宋体"/>
          <w:sz w:val="24"/>
          <w:szCs w:val="32"/>
        </w:rPr>
        <w:t>招标文件用以阐明所需服务、采购、报价程序和合同条款。招标文件包括：</w:t>
      </w:r>
    </w:p>
    <w:p>
      <w:pPr>
        <w:tabs>
          <w:tab w:val="left" w:pos="1155"/>
        </w:tabs>
        <w:spacing w:line="360" w:lineRule="auto"/>
        <w:ind w:left="735"/>
        <w:jc w:val="left"/>
        <w:rPr>
          <w:rFonts w:ascii="宋体" w:hAnsi="宋体"/>
          <w:sz w:val="24"/>
          <w:szCs w:val="32"/>
        </w:rPr>
      </w:pPr>
      <w:r>
        <w:rPr>
          <w:rFonts w:hint="eastAsia" w:ascii="宋体" w:hAnsi="宋体"/>
          <w:sz w:val="24"/>
          <w:szCs w:val="32"/>
        </w:rPr>
        <w:t>a．</w:t>
      </w:r>
      <w:r>
        <w:rPr>
          <w:rFonts w:ascii="宋体" w:hAnsi="宋体"/>
          <w:sz w:val="24"/>
          <w:szCs w:val="32"/>
        </w:rPr>
        <w:tab/>
      </w:r>
      <w:r>
        <w:rPr>
          <w:rFonts w:hint="eastAsia" w:ascii="宋体" w:hAnsi="宋体"/>
          <w:sz w:val="24"/>
          <w:szCs w:val="32"/>
        </w:rPr>
        <w:t>招标公告</w:t>
      </w:r>
    </w:p>
    <w:p>
      <w:pPr>
        <w:tabs>
          <w:tab w:val="left" w:pos="1155"/>
        </w:tabs>
        <w:spacing w:line="360" w:lineRule="auto"/>
        <w:ind w:left="735"/>
        <w:jc w:val="left"/>
        <w:rPr>
          <w:rFonts w:ascii="宋体" w:hAnsi="宋体"/>
          <w:sz w:val="24"/>
          <w:szCs w:val="32"/>
        </w:rPr>
      </w:pPr>
      <w:r>
        <w:rPr>
          <w:rFonts w:ascii="宋体" w:hAnsi="宋体"/>
          <w:sz w:val="24"/>
          <w:szCs w:val="32"/>
        </w:rPr>
        <w:t>b</w:t>
      </w:r>
      <w:r>
        <w:rPr>
          <w:rFonts w:hint="eastAsia" w:ascii="宋体" w:hAnsi="宋体"/>
          <w:sz w:val="24"/>
          <w:szCs w:val="32"/>
        </w:rPr>
        <w:t>．</w:t>
      </w:r>
      <w:r>
        <w:rPr>
          <w:rFonts w:hint="eastAsia" w:ascii="宋体" w:hAnsi="宋体"/>
          <w:sz w:val="24"/>
          <w:szCs w:val="32"/>
        </w:rPr>
        <w:tab/>
      </w:r>
      <w:r>
        <w:rPr>
          <w:rFonts w:hint="eastAsia" w:ascii="宋体" w:hAnsi="宋体"/>
          <w:sz w:val="24"/>
          <w:szCs w:val="32"/>
        </w:rPr>
        <w:t>投标人须知及投标人须知前附表</w:t>
      </w:r>
    </w:p>
    <w:p>
      <w:pPr>
        <w:tabs>
          <w:tab w:val="left" w:pos="1155"/>
        </w:tabs>
        <w:spacing w:line="360" w:lineRule="auto"/>
        <w:ind w:left="735"/>
        <w:jc w:val="left"/>
        <w:rPr>
          <w:rFonts w:ascii="宋体" w:hAnsi="宋体"/>
          <w:sz w:val="24"/>
          <w:szCs w:val="32"/>
        </w:rPr>
      </w:pPr>
      <w:r>
        <w:rPr>
          <w:rFonts w:ascii="宋体" w:hAnsi="宋体"/>
          <w:sz w:val="24"/>
          <w:szCs w:val="32"/>
        </w:rPr>
        <w:t>c</w:t>
      </w:r>
      <w:r>
        <w:rPr>
          <w:rFonts w:hint="eastAsia" w:ascii="宋体" w:hAnsi="宋体"/>
          <w:sz w:val="24"/>
          <w:szCs w:val="32"/>
        </w:rPr>
        <w:t>．</w:t>
      </w:r>
      <w:r>
        <w:rPr>
          <w:rFonts w:hint="eastAsia" w:ascii="宋体" w:hAnsi="宋体"/>
          <w:sz w:val="24"/>
          <w:szCs w:val="32"/>
        </w:rPr>
        <w:tab/>
      </w:r>
      <w:r>
        <w:rPr>
          <w:rFonts w:hint="eastAsia" w:ascii="宋体" w:hAnsi="宋体"/>
          <w:sz w:val="24"/>
          <w:szCs w:val="32"/>
        </w:rPr>
        <w:t>服务需求</w:t>
      </w:r>
    </w:p>
    <w:p>
      <w:pPr>
        <w:tabs>
          <w:tab w:val="left" w:pos="1155"/>
        </w:tabs>
        <w:spacing w:line="360" w:lineRule="auto"/>
        <w:ind w:left="735"/>
        <w:jc w:val="left"/>
        <w:rPr>
          <w:rFonts w:ascii="宋体" w:hAnsi="宋体"/>
          <w:sz w:val="24"/>
          <w:szCs w:val="32"/>
        </w:rPr>
      </w:pPr>
      <w:r>
        <w:rPr>
          <w:rFonts w:hint="eastAsia" w:ascii="宋体" w:hAnsi="宋体"/>
          <w:sz w:val="24"/>
          <w:szCs w:val="32"/>
        </w:rPr>
        <w:t>d．</w:t>
      </w:r>
      <w:r>
        <w:rPr>
          <w:rFonts w:hint="eastAsia" w:ascii="宋体" w:hAnsi="宋体"/>
          <w:sz w:val="24"/>
          <w:szCs w:val="32"/>
        </w:rPr>
        <w:tab/>
      </w:r>
      <w:r>
        <w:rPr>
          <w:rFonts w:hint="eastAsia" w:ascii="宋体" w:hAnsi="宋体"/>
          <w:sz w:val="24"/>
          <w:szCs w:val="32"/>
        </w:rPr>
        <w:t>投标文件格式</w:t>
      </w:r>
    </w:p>
    <w:p>
      <w:pPr>
        <w:tabs>
          <w:tab w:val="left" w:pos="8640"/>
        </w:tabs>
        <w:spacing w:line="360" w:lineRule="auto"/>
        <w:ind w:left="720" w:hanging="720"/>
        <w:rPr>
          <w:rFonts w:ascii="宋体" w:hAnsi="宋体"/>
          <w:sz w:val="24"/>
          <w:szCs w:val="32"/>
        </w:rPr>
      </w:pPr>
      <w:r>
        <w:rPr>
          <w:rFonts w:ascii="宋体" w:hAnsi="宋体"/>
          <w:sz w:val="24"/>
          <w:szCs w:val="32"/>
        </w:rPr>
        <w:t>5.2</w:t>
      </w:r>
      <w:r>
        <w:rPr>
          <w:rFonts w:ascii="宋体" w:hAnsi="宋体"/>
          <w:sz w:val="24"/>
          <w:szCs w:val="32"/>
        </w:rPr>
        <w:tab/>
      </w:r>
      <w:r>
        <w:rPr>
          <w:rFonts w:hint="eastAsia" w:ascii="宋体" w:hAnsi="宋体"/>
          <w:sz w:val="24"/>
          <w:szCs w:val="32"/>
        </w:rPr>
        <w:t>投标人应认真阅读招标文件中所有的事项、格式、条款等。投标人没有按照招标文件要求提交全部资料，或者报价没有对招标文件在各方面都作出实质性响应是投标人的风险，并可能导致其报价被拒绝。</w:t>
      </w:r>
    </w:p>
    <w:p>
      <w:pPr>
        <w:pStyle w:val="4"/>
        <w:numPr>
          <w:ilvl w:val="2"/>
          <w:numId w:val="0"/>
        </w:numPr>
        <w:tabs>
          <w:tab w:val="left" w:pos="720"/>
        </w:tabs>
        <w:adjustRightInd w:val="0"/>
        <w:spacing w:before="240" w:after="120" w:line="300" w:lineRule="auto"/>
        <w:jc w:val="left"/>
        <w:textAlignment w:val="baseline"/>
        <w:rPr>
          <w:rFonts w:ascii="宋体" w:hAnsi="宋体"/>
        </w:rPr>
      </w:pPr>
      <w:bookmarkStart w:id="18" w:name="_Toc469850048"/>
      <w:bookmarkStart w:id="19" w:name="_Toc400911953"/>
      <w:r>
        <w:rPr>
          <w:rFonts w:ascii="宋体" w:hAnsi="宋体"/>
        </w:rPr>
        <w:t>6.</w:t>
      </w:r>
      <w:r>
        <w:rPr>
          <w:rFonts w:ascii="宋体" w:hAnsi="宋体"/>
        </w:rPr>
        <w:tab/>
      </w:r>
      <w:r>
        <w:rPr>
          <w:rFonts w:hint="eastAsia" w:ascii="宋体" w:hAnsi="宋体"/>
        </w:rPr>
        <w:t>招标文件的</w:t>
      </w:r>
      <w:bookmarkEnd w:id="18"/>
      <w:bookmarkEnd w:id="19"/>
      <w:r>
        <w:rPr>
          <w:rFonts w:hint="eastAsia" w:ascii="宋体" w:hAnsi="宋体"/>
        </w:rPr>
        <w:t>答疑</w:t>
      </w:r>
    </w:p>
    <w:p>
      <w:pPr>
        <w:tabs>
          <w:tab w:val="left" w:pos="8640"/>
        </w:tabs>
        <w:spacing w:line="360" w:lineRule="auto"/>
        <w:ind w:left="720" w:hanging="720"/>
        <w:rPr>
          <w:rFonts w:ascii="宋体" w:hAnsi="宋体"/>
          <w:bCs/>
          <w:sz w:val="24"/>
          <w:szCs w:val="32"/>
        </w:rPr>
      </w:pPr>
      <w:r>
        <w:rPr>
          <w:rFonts w:ascii="宋体" w:hAnsi="宋体"/>
        </w:rPr>
        <w:t>6.1</w:t>
      </w:r>
      <w:r>
        <w:rPr>
          <w:rFonts w:ascii="宋体" w:hAnsi="宋体"/>
        </w:rPr>
        <w:tab/>
      </w:r>
      <w:r>
        <w:rPr>
          <w:rFonts w:hint="eastAsia" w:ascii="宋体" w:hAnsi="宋体"/>
          <w:sz w:val="24"/>
          <w:szCs w:val="32"/>
        </w:rPr>
        <w:t>本项目不集中组织招标答疑会。</w:t>
      </w:r>
    </w:p>
    <w:p>
      <w:pPr>
        <w:pStyle w:val="4"/>
        <w:numPr>
          <w:ilvl w:val="2"/>
          <w:numId w:val="0"/>
        </w:numPr>
        <w:tabs>
          <w:tab w:val="left" w:pos="720"/>
        </w:tabs>
        <w:adjustRightInd w:val="0"/>
        <w:spacing w:before="240" w:after="120" w:line="300" w:lineRule="auto"/>
        <w:jc w:val="left"/>
        <w:textAlignment w:val="baseline"/>
        <w:rPr>
          <w:rFonts w:ascii="宋体" w:hAnsi="宋体"/>
        </w:rPr>
      </w:pPr>
      <w:bookmarkStart w:id="20" w:name="_Toc400911954"/>
      <w:bookmarkStart w:id="21" w:name="_Toc469850049"/>
      <w:r>
        <w:rPr>
          <w:rFonts w:ascii="宋体" w:hAnsi="宋体"/>
        </w:rPr>
        <w:t>7.</w:t>
      </w:r>
      <w:r>
        <w:rPr>
          <w:rFonts w:ascii="宋体" w:hAnsi="宋体"/>
        </w:rPr>
        <w:tab/>
      </w:r>
      <w:r>
        <w:rPr>
          <w:rFonts w:hint="eastAsia" w:ascii="宋体" w:hAnsi="宋体"/>
        </w:rPr>
        <w:t>招标文件的澄清或修改</w:t>
      </w:r>
      <w:bookmarkEnd w:id="20"/>
      <w:bookmarkEnd w:id="21"/>
    </w:p>
    <w:p>
      <w:pPr>
        <w:tabs>
          <w:tab w:val="left" w:pos="8640"/>
        </w:tabs>
        <w:spacing w:line="360" w:lineRule="auto"/>
        <w:ind w:left="720" w:hanging="720"/>
        <w:rPr>
          <w:rFonts w:ascii="宋体" w:hAnsi="宋体"/>
          <w:sz w:val="24"/>
          <w:szCs w:val="32"/>
        </w:rPr>
      </w:pPr>
      <w:r>
        <w:rPr>
          <w:rFonts w:ascii="宋体" w:hAnsi="宋体"/>
        </w:rPr>
        <w:t xml:space="preserve">7.1 </w:t>
      </w:r>
      <w:r>
        <w:rPr>
          <w:rFonts w:ascii="宋体" w:hAnsi="宋体"/>
        </w:rPr>
        <w:tab/>
      </w:r>
      <w:r>
        <w:rPr>
          <w:rFonts w:hint="eastAsia" w:ascii="宋体" w:hAnsi="宋体"/>
          <w:sz w:val="24"/>
          <w:szCs w:val="32"/>
        </w:rPr>
        <w:t>在投标文件递交截止时间前，招标人基于招标文件内容的含义不明确或需要作出解释的，可主动地对招标文件进行澄清，答疑或澄清文件作为招标文件的组成部分，如与招标文件的内容不一致的，以答疑或澄清文件最后发出的书面文件为准。招标过程中的一切修改文件或补充文件一旦确认后与招标文件具有同等法律效力，投标人有责任履行相应的义务。</w:t>
      </w:r>
    </w:p>
    <w:p>
      <w:pPr>
        <w:tabs>
          <w:tab w:val="left" w:pos="8640"/>
        </w:tabs>
        <w:spacing w:line="360" w:lineRule="auto"/>
        <w:ind w:left="720" w:hanging="720"/>
        <w:rPr>
          <w:rFonts w:ascii="宋体" w:hAnsi="宋体"/>
          <w:sz w:val="24"/>
          <w:szCs w:val="32"/>
        </w:rPr>
      </w:pPr>
      <w:r>
        <w:rPr>
          <w:rFonts w:ascii="宋体" w:hAnsi="宋体"/>
          <w:sz w:val="24"/>
          <w:szCs w:val="32"/>
        </w:rPr>
        <w:t xml:space="preserve">7.2 </w:t>
      </w:r>
      <w:r>
        <w:rPr>
          <w:rFonts w:ascii="宋体" w:hAnsi="宋体"/>
          <w:sz w:val="24"/>
          <w:szCs w:val="32"/>
        </w:rPr>
        <w:tab/>
      </w:r>
      <w:r>
        <w:rPr>
          <w:rFonts w:hint="eastAsia" w:ascii="宋体" w:hAnsi="宋体"/>
          <w:sz w:val="24"/>
          <w:szCs w:val="32"/>
        </w:rPr>
        <w:t>招标文件的澄清将以书面形式通知所有购买招标文件的投标人，并对其具有约束力。投标人在收到上述通知后，应立即以传真形式向招标人予以确认。投标人如在24小时内无书面回复则被视为同意澄清、补充、修改文件内容。</w:t>
      </w:r>
    </w:p>
    <w:p>
      <w:pPr>
        <w:tabs>
          <w:tab w:val="left" w:pos="8640"/>
        </w:tabs>
        <w:spacing w:line="360" w:lineRule="auto"/>
        <w:ind w:left="720" w:hanging="720"/>
        <w:rPr>
          <w:rFonts w:ascii="宋体" w:hAnsi="宋体"/>
          <w:sz w:val="24"/>
          <w:szCs w:val="32"/>
        </w:rPr>
      </w:pPr>
      <w:r>
        <w:rPr>
          <w:rFonts w:hint="eastAsia" w:ascii="宋体" w:hAnsi="宋体"/>
          <w:sz w:val="24"/>
          <w:szCs w:val="32"/>
        </w:rPr>
        <w:t>7.3</w:t>
      </w:r>
      <w:r>
        <w:rPr>
          <w:rFonts w:ascii="宋体" w:hAnsi="宋体"/>
          <w:sz w:val="24"/>
          <w:szCs w:val="32"/>
        </w:rPr>
        <w:t xml:space="preserve">   </w:t>
      </w:r>
      <w:r>
        <w:rPr>
          <w:rFonts w:hint="eastAsia" w:ascii="宋体" w:hAnsi="宋体"/>
          <w:sz w:val="24"/>
          <w:szCs w:val="32"/>
        </w:rPr>
        <w:t>为使投标人准备报价时有充分时间对招标文件的澄清部分进行研究，招标人可自行决定是否延长投标文件递交截止日期，并将此变更修改通知上述每一投标人。</w:t>
      </w:r>
    </w:p>
    <w:p>
      <w:pPr>
        <w:tabs>
          <w:tab w:val="left" w:pos="8640"/>
        </w:tabs>
        <w:spacing w:line="360" w:lineRule="auto"/>
        <w:ind w:left="720" w:hanging="720"/>
        <w:rPr>
          <w:rFonts w:ascii="宋体" w:hAnsi="宋体"/>
          <w:sz w:val="24"/>
          <w:szCs w:val="32"/>
        </w:rPr>
      </w:pPr>
      <w:r>
        <w:rPr>
          <w:rFonts w:ascii="宋体" w:hAnsi="宋体"/>
          <w:sz w:val="24"/>
          <w:szCs w:val="32"/>
        </w:rPr>
        <w:t xml:space="preserve">7.4   </w:t>
      </w:r>
      <w:r>
        <w:rPr>
          <w:rFonts w:hint="eastAsia" w:ascii="宋体" w:hAnsi="宋体"/>
          <w:sz w:val="24"/>
          <w:szCs w:val="32"/>
        </w:rPr>
        <w:t>投标人在规定的时间内未对招标文件澄清或提出疑问的，招标人将视其为无异议。对招标文件中描述有歧意或前后不一致的地方，评标委员会有权进行评判，但对同一条款的评判应适用于每个投标人。</w:t>
      </w:r>
    </w:p>
    <w:p>
      <w:pPr>
        <w:pStyle w:val="3"/>
        <w:rPr>
          <w:rFonts w:ascii="宋体" w:hAnsi="宋体" w:eastAsia="宋体"/>
        </w:rPr>
      </w:pPr>
      <w:bookmarkStart w:id="22" w:name="_Toc400911955"/>
      <w:bookmarkStart w:id="23" w:name="_Toc469850050"/>
      <w:r>
        <w:rPr>
          <w:rFonts w:hint="eastAsia" w:ascii="宋体" w:hAnsi="宋体" w:eastAsia="宋体"/>
        </w:rPr>
        <w:t>三、</w:t>
      </w:r>
      <w:r>
        <w:rPr>
          <w:rFonts w:ascii="宋体" w:hAnsi="宋体" w:eastAsia="宋体"/>
        </w:rPr>
        <w:t xml:space="preserve"> </w:t>
      </w:r>
      <w:r>
        <w:rPr>
          <w:rFonts w:hint="eastAsia" w:ascii="宋体" w:hAnsi="宋体" w:eastAsia="宋体"/>
        </w:rPr>
        <w:t>投标文件的编制</w:t>
      </w:r>
      <w:bookmarkEnd w:id="22"/>
      <w:bookmarkEnd w:id="23"/>
    </w:p>
    <w:p>
      <w:pPr>
        <w:pStyle w:val="4"/>
        <w:numPr>
          <w:ilvl w:val="2"/>
          <w:numId w:val="0"/>
        </w:numPr>
        <w:tabs>
          <w:tab w:val="left" w:pos="720"/>
        </w:tabs>
        <w:adjustRightInd w:val="0"/>
        <w:spacing w:before="240" w:after="120" w:line="300" w:lineRule="auto"/>
        <w:jc w:val="left"/>
        <w:textAlignment w:val="baseline"/>
        <w:rPr>
          <w:rFonts w:ascii="宋体" w:hAnsi="宋体"/>
          <w:b w:val="0"/>
        </w:rPr>
      </w:pPr>
      <w:bookmarkStart w:id="24" w:name="_Toc469850051"/>
      <w:bookmarkStart w:id="25" w:name="_Toc400911956"/>
      <w:r>
        <w:rPr>
          <w:rFonts w:ascii="宋体" w:hAnsi="宋体"/>
        </w:rPr>
        <w:t>8.</w:t>
      </w:r>
      <w:r>
        <w:rPr>
          <w:rFonts w:ascii="宋体" w:hAnsi="宋体"/>
        </w:rPr>
        <w:tab/>
      </w:r>
      <w:r>
        <w:rPr>
          <w:rFonts w:hint="eastAsia" w:ascii="宋体" w:hAnsi="宋体"/>
        </w:rPr>
        <w:t>报价的语言</w:t>
      </w:r>
      <w:bookmarkEnd w:id="24"/>
      <w:bookmarkEnd w:id="25"/>
    </w:p>
    <w:p>
      <w:pPr>
        <w:tabs>
          <w:tab w:val="left" w:pos="8640"/>
        </w:tabs>
        <w:spacing w:line="360" w:lineRule="auto"/>
        <w:ind w:left="720" w:hanging="720"/>
        <w:rPr>
          <w:rFonts w:ascii="宋体" w:hAnsi="宋体"/>
          <w:sz w:val="24"/>
          <w:szCs w:val="32"/>
        </w:rPr>
      </w:pPr>
      <w:r>
        <w:rPr>
          <w:rFonts w:ascii="宋体" w:hAnsi="宋体"/>
          <w:sz w:val="24"/>
          <w:szCs w:val="32"/>
        </w:rPr>
        <w:t xml:space="preserve">8.1  </w:t>
      </w:r>
      <w:r>
        <w:rPr>
          <w:rFonts w:ascii="宋体" w:hAnsi="宋体"/>
          <w:sz w:val="24"/>
          <w:szCs w:val="32"/>
        </w:rPr>
        <w:tab/>
      </w:r>
      <w:r>
        <w:rPr>
          <w:rFonts w:hint="eastAsia" w:ascii="宋体" w:hAnsi="宋体"/>
          <w:sz w:val="24"/>
          <w:szCs w:val="32"/>
        </w:rPr>
        <w:t>投标人提交的投标文件以及投标人与招标人就有关报价的所有来往函电均应使用中文书写。投标人提交的支持文件和印制的文献可以用另一种语言，但相应内容应附有中文的翻译本，在解释投标文件时以中文为准。对中文翻译有异议的，以权威机构的译本为准。</w:t>
      </w:r>
    </w:p>
    <w:p>
      <w:pPr>
        <w:pStyle w:val="4"/>
        <w:numPr>
          <w:ilvl w:val="2"/>
          <w:numId w:val="0"/>
        </w:numPr>
        <w:tabs>
          <w:tab w:val="left" w:pos="720"/>
        </w:tabs>
        <w:adjustRightInd w:val="0"/>
        <w:spacing w:before="240" w:after="120" w:line="300" w:lineRule="auto"/>
        <w:jc w:val="left"/>
        <w:textAlignment w:val="baseline"/>
        <w:rPr>
          <w:rFonts w:ascii="宋体" w:hAnsi="宋体"/>
        </w:rPr>
      </w:pPr>
      <w:bookmarkStart w:id="26" w:name="_Toc469850052"/>
      <w:bookmarkStart w:id="27" w:name="_Toc400911957"/>
      <w:r>
        <w:rPr>
          <w:rFonts w:ascii="宋体" w:hAnsi="宋体"/>
        </w:rPr>
        <w:t>9.</w:t>
      </w:r>
      <w:r>
        <w:rPr>
          <w:rFonts w:ascii="宋体" w:hAnsi="宋体"/>
        </w:rPr>
        <w:tab/>
      </w:r>
      <w:r>
        <w:rPr>
          <w:rFonts w:hint="eastAsia" w:ascii="宋体" w:hAnsi="宋体"/>
        </w:rPr>
        <w:t>投标文件构成</w:t>
      </w:r>
      <w:bookmarkEnd w:id="26"/>
      <w:bookmarkEnd w:id="27"/>
    </w:p>
    <w:p>
      <w:pPr>
        <w:tabs>
          <w:tab w:val="left" w:pos="8640"/>
        </w:tabs>
        <w:spacing w:line="360" w:lineRule="auto"/>
        <w:ind w:left="720" w:hanging="720"/>
        <w:rPr>
          <w:rFonts w:ascii="宋体" w:hAnsi="宋体"/>
          <w:sz w:val="24"/>
          <w:szCs w:val="32"/>
        </w:rPr>
      </w:pPr>
      <w:r>
        <w:rPr>
          <w:rFonts w:ascii="宋体" w:hAnsi="宋体"/>
          <w:sz w:val="24"/>
          <w:szCs w:val="32"/>
        </w:rPr>
        <w:t xml:space="preserve">9.1   </w:t>
      </w:r>
      <w:r>
        <w:rPr>
          <w:rFonts w:hint="eastAsia" w:ascii="宋体" w:hAnsi="宋体"/>
          <w:sz w:val="24"/>
          <w:szCs w:val="32"/>
        </w:rPr>
        <w:t>投标人编写的投标文件应包括，但不限于下列部分：具体详见本文件第四章中所需提交的文件。</w:t>
      </w:r>
    </w:p>
    <w:p>
      <w:pPr>
        <w:pStyle w:val="4"/>
        <w:numPr>
          <w:ilvl w:val="2"/>
          <w:numId w:val="0"/>
        </w:numPr>
        <w:tabs>
          <w:tab w:val="left" w:pos="720"/>
        </w:tabs>
        <w:adjustRightInd w:val="0"/>
        <w:spacing w:before="240" w:after="120" w:line="300" w:lineRule="auto"/>
        <w:jc w:val="left"/>
        <w:textAlignment w:val="baseline"/>
        <w:rPr>
          <w:rFonts w:ascii="宋体" w:hAnsi="宋体"/>
        </w:rPr>
      </w:pPr>
      <w:bookmarkStart w:id="28" w:name="_Toc469850053"/>
      <w:bookmarkStart w:id="29" w:name="_Toc400911958"/>
      <w:r>
        <w:rPr>
          <w:rFonts w:ascii="宋体" w:hAnsi="宋体"/>
        </w:rPr>
        <w:t>10.</w:t>
      </w:r>
      <w:r>
        <w:rPr>
          <w:rFonts w:ascii="宋体" w:hAnsi="宋体"/>
        </w:rPr>
        <w:tab/>
      </w:r>
      <w:bookmarkEnd w:id="28"/>
      <w:r>
        <w:rPr>
          <w:rFonts w:hint="eastAsia" w:ascii="宋体" w:hAnsi="宋体"/>
        </w:rPr>
        <w:t>投标文件格式</w:t>
      </w:r>
      <w:bookmarkEnd w:id="29"/>
    </w:p>
    <w:p>
      <w:pPr>
        <w:numPr>
          <w:ilvl w:val="1"/>
          <w:numId w:val="7"/>
        </w:numPr>
        <w:tabs>
          <w:tab w:val="left" w:pos="8640"/>
        </w:tabs>
        <w:spacing w:line="360" w:lineRule="auto"/>
        <w:rPr>
          <w:rFonts w:ascii="宋体" w:hAnsi="宋体"/>
          <w:sz w:val="24"/>
          <w:szCs w:val="32"/>
        </w:rPr>
      </w:pPr>
      <w:r>
        <w:rPr>
          <w:rFonts w:hint="eastAsia" w:ascii="宋体" w:hAnsi="宋体"/>
          <w:sz w:val="24"/>
          <w:szCs w:val="32"/>
        </w:rPr>
        <w:t>投标人应完整地填写招标文件中提供的投标文件格式编制投标文件。</w:t>
      </w:r>
    </w:p>
    <w:p>
      <w:pPr>
        <w:pStyle w:val="4"/>
        <w:numPr>
          <w:ilvl w:val="2"/>
          <w:numId w:val="0"/>
        </w:numPr>
        <w:tabs>
          <w:tab w:val="left" w:pos="720"/>
        </w:tabs>
        <w:adjustRightInd w:val="0"/>
        <w:spacing w:before="240" w:after="120" w:line="300" w:lineRule="auto"/>
        <w:jc w:val="left"/>
        <w:textAlignment w:val="baseline"/>
        <w:rPr>
          <w:rFonts w:ascii="宋体" w:hAnsi="宋体"/>
        </w:rPr>
      </w:pPr>
      <w:bookmarkStart w:id="30" w:name="_Toc400911959"/>
      <w:bookmarkStart w:id="31" w:name="_Toc469850054"/>
      <w:r>
        <w:rPr>
          <w:rFonts w:ascii="宋体" w:hAnsi="宋体"/>
        </w:rPr>
        <w:t>11.</w:t>
      </w:r>
      <w:r>
        <w:rPr>
          <w:rFonts w:ascii="宋体" w:hAnsi="宋体"/>
        </w:rPr>
        <w:tab/>
      </w:r>
      <w:r>
        <w:rPr>
          <w:rFonts w:hint="eastAsia" w:ascii="宋体" w:hAnsi="宋体"/>
        </w:rPr>
        <w:t>投标报价</w:t>
      </w:r>
      <w:bookmarkEnd w:id="30"/>
      <w:bookmarkEnd w:id="31"/>
    </w:p>
    <w:p>
      <w:pPr>
        <w:numPr>
          <w:ilvl w:val="1"/>
          <w:numId w:val="8"/>
        </w:numPr>
        <w:tabs>
          <w:tab w:val="left" w:pos="8640"/>
        </w:tabs>
        <w:spacing w:line="360" w:lineRule="auto"/>
        <w:rPr>
          <w:rFonts w:ascii="宋体" w:hAnsi="宋体"/>
          <w:sz w:val="24"/>
          <w:szCs w:val="32"/>
        </w:rPr>
      </w:pPr>
      <w:r>
        <w:rPr>
          <w:rFonts w:hint="eastAsia" w:ascii="宋体" w:hAnsi="宋体"/>
          <w:sz w:val="24"/>
          <w:szCs w:val="32"/>
        </w:rPr>
        <w:t>投标人应在报价表上标明对本次招标拟提供的服务的价格。投标人对报价表中所列项的不同单项情况均只允许有一个报价，招标人不接受就同一单项情况有任何选择的报价，否则视为没有报价。</w:t>
      </w:r>
    </w:p>
    <w:p>
      <w:pPr>
        <w:numPr>
          <w:ilvl w:val="1"/>
          <w:numId w:val="8"/>
        </w:numPr>
        <w:tabs>
          <w:tab w:val="left" w:pos="8640"/>
        </w:tabs>
        <w:spacing w:line="360" w:lineRule="auto"/>
        <w:rPr>
          <w:rFonts w:ascii="宋体" w:hAnsi="宋体"/>
          <w:sz w:val="24"/>
          <w:szCs w:val="32"/>
        </w:rPr>
      </w:pPr>
      <w:r>
        <w:rPr>
          <w:rFonts w:hint="eastAsia" w:ascii="宋体" w:hAnsi="宋体"/>
          <w:sz w:val="24"/>
          <w:szCs w:val="32"/>
        </w:rPr>
        <w:t>投标人的报价应完成第三章《服务需求》中所有要求且已包括与所提供服务相关的所有税费。</w:t>
      </w:r>
    </w:p>
    <w:p>
      <w:pPr>
        <w:numPr>
          <w:ilvl w:val="1"/>
          <w:numId w:val="8"/>
        </w:numPr>
        <w:tabs>
          <w:tab w:val="left" w:pos="8640"/>
        </w:tabs>
        <w:spacing w:line="360" w:lineRule="auto"/>
        <w:rPr>
          <w:rFonts w:ascii="宋体" w:hAnsi="宋体"/>
          <w:sz w:val="24"/>
          <w:szCs w:val="32"/>
        </w:rPr>
      </w:pPr>
      <w:r>
        <w:rPr>
          <w:rFonts w:hint="eastAsia" w:ascii="宋体" w:hAnsi="宋体"/>
          <w:sz w:val="24"/>
          <w:szCs w:val="32"/>
        </w:rPr>
        <w:t>投标人若成为拟中标人，所报的报价在中标合同执行过程中是固定不变的，不得以任何理由予以变更。根据投标人须知第11.1条的规定，以可调整的价格提交的投标文件将作为非响应性报价而予以拒绝。</w:t>
      </w:r>
    </w:p>
    <w:p>
      <w:pPr>
        <w:numPr>
          <w:ilvl w:val="1"/>
          <w:numId w:val="8"/>
        </w:numPr>
        <w:tabs>
          <w:tab w:val="left" w:pos="8640"/>
        </w:tabs>
        <w:spacing w:line="360" w:lineRule="auto"/>
        <w:rPr>
          <w:rFonts w:ascii="宋体" w:hAnsi="宋体"/>
          <w:sz w:val="24"/>
          <w:szCs w:val="32"/>
        </w:rPr>
      </w:pPr>
      <w:r>
        <w:rPr>
          <w:rFonts w:hint="eastAsia" w:ascii="宋体" w:hAnsi="宋体"/>
          <w:sz w:val="24"/>
          <w:szCs w:val="32"/>
        </w:rPr>
        <w:t>本次投标人若成为拟中标人的，其报价将作为其签订合同时的最高限价，同时提供的服务不得低于本次采购的相关要求及承诺。</w:t>
      </w:r>
    </w:p>
    <w:p>
      <w:pPr>
        <w:numPr>
          <w:ilvl w:val="1"/>
          <w:numId w:val="8"/>
        </w:numPr>
        <w:tabs>
          <w:tab w:val="left" w:pos="8640"/>
        </w:tabs>
        <w:spacing w:line="360" w:lineRule="auto"/>
        <w:rPr>
          <w:rFonts w:ascii="宋体" w:hAnsi="宋体"/>
          <w:sz w:val="24"/>
          <w:szCs w:val="32"/>
        </w:rPr>
      </w:pPr>
      <w:r>
        <w:rPr>
          <w:rFonts w:hint="eastAsia" w:ascii="宋体" w:hAnsi="宋体"/>
          <w:sz w:val="24"/>
          <w:szCs w:val="32"/>
        </w:rPr>
        <w:t>招标文件所要求内容应视为服务所需最低要求，如有遗漏，投标人应予以补充，否则一旦中标将认为投标人认同遗漏部分并免费提供。</w:t>
      </w:r>
    </w:p>
    <w:p>
      <w:pPr>
        <w:pStyle w:val="4"/>
        <w:numPr>
          <w:ilvl w:val="2"/>
          <w:numId w:val="0"/>
        </w:numPr>
        <w:tabs>
          <w:tab w:val="left" w:pos="720"/>
        </w:tabs>
        <w:adjustRightInd w:val="0"/>
        <w:spacing w:before="240" w:after="120" w:line="300" w:lineRule="auto"/>
        <w:jc w:val="left"/>
        <w:textAlignment w:val="baseline"/>
        <w:rPr>
          <w:rFonts w:ascii="宋体" w:hAnsi="宋体"/>
        </w:rPr>
      </w:pPr>
      <w:bookmarkStart w:id="32" w:name="_Toc469850055"/>
      <w:bookmarkStart w:id="33" w:name="_Toc400911960"/>
      <w:r>
        <w:rPr>
          <w:rFonts w:ascii="宋体" w:hAnsi="宋体"/>
        </w:rPr>
        <w:t>12.</w:t>
      </w:r>
      <w:r>
        <w:rPr>
          <w:rFonts w:ascii="宋体" w:hAnsi="宋体"/>
        </w:rPr>
        <w:tab/>
      </w:r>
      <w:r>
        <w:rPr>
          <w:rFonts w:hint="eastAsia" w:ascii="宋体" w:hAnsi="宋体"/>
        </w:rPr>
        <w:t>投标货币</w:t>
      </w:r>
      <w:bookmarkEnd w:id="32"/>
      <w:bookmarkEnd w:id="33"/>
    </w:p>
    <w:p>
      <w:pPr>
        <w:tabs>
          <w:tab w:val="left" w:pos="8640"/>
        </w:tabs>
        <w:ind w:left="720" w:hanging="720"/>
        <w:rPr>
          <w:rFonts w:ascii="宋体" w:hAnsi="宋体"/>
          <w:sz w:val="24"/>
          <w:szCs w:val="32"/>
        </w:rPr>
      </w:pPr>
      <w:r>
        <w:rPr>
          <w:rFonts w:ascii="宋体" w:hAnsi="宋体"/>
        </w:rPr>
        <w:t>12.1</w:t>
      </w:r>
      <w:r>
        <w:rPr>
          <w:rFonts w:ascii="宋体" w:hAnsi="宋体"/>
        </w:rPr>
        <w:tab/>
      </w:r>
      <w:r>
        <w:rPr>
          <w:rFonts w:hint="eastAsia" w:ascii="宋体" w:hAnsi="宋体"/>
          <w:sz w:val="24"/>
          <w:szCs w:val="32"/>
        </w:rPr>
        <w:t>投标应以人民币报价。</w:t>
      </w:r>
    </w:p>
    <w:p>
      <w:pPr>
        <w:pStyle w:val="4"/>
        <w:numPr>
          <w:ilvl w:val="2"/>
          <w:numId w:val="0"/>
        </w:numPr>
        <w:tabs>
          <w:tab w:val="left" w:pos="720"/>
        </w:tabs>
        <w:adjustRightInd w:val="0"/>
        <w:spacing w:before="240" w:after="120" w:line="300" w:lineRule="auto"/>
        <w:jc w:val="left"/>
        <w:textAlignment w:val="baseline"/>
        <w:rPr>
          <w:rFonts w:ascii="宋体" w:hAnsi="宋体"/>
        </w:rPr>
      </w:pPr>
      <w:bookmarkStart w:id="34" w:name="_Toc469850056"/>
      <w:bookmarkStart w:id="35" w:name="_Toc400911961"/>
      <w:r>
        <w:rPr>
          <w:rFonts w:ascii="宋体" w:hAnsi="宋体"/>
        </w:rPr>
        <w:t>13.</w:t>
      </w:r>
      <w:r>
        <w:rPr>
          <w:rFonts w:ascii="宋体" w:hAnsi="宋体"/>
        </w:rPr>
        <w:tab/>
      </w:r>
      <w:r>
        <w:rPr>
          <w:rFonts w:hint="eastAsia" w:ascii="宋体" w:hAnsi="宋体"/>
        </w:rPr>
        <w:t>证明投标人合格和资格的文件</w:t>
      </w:r>
      <w:bookmarkEnd w:id="34"/>
      <w:bookmarkEnd w:id="35"/>
    </w:p>
    <w:p>
      <w:pPr>
        <w:spacing w:line="360" w:lineRule="auto"/>
        <w:ind w:left="735" w:hanging="735" w:hangingChars="350"/>
        <w:rPr>
          <w:rFonts w:ascii="宋体" w:hAnsi="宋体"/>
          <w:sz w:val="24"/>
          <w:szCs w:val="32"/>
        </w:rPr>
      </w:pPr>
      <w:r>
        <w:rPr>
          <w:rFonts w:ascii="宋体" w:hAnsi="宋体"/>
        </w:rPr>
        <w:t xml:space="preserve">13.1 </w:t>
      </w:r>
      <w:r>
        <w:rPr>
          <w:rFonts w:hint="eastAsia" w:ascii="宋体" w:hAnsi="宋体"/>
        </w:rPr>
        <w:t xml:space="preserve"> </w:t>
      </w:r>
      <w:r>
        <w:rPr>
          <w:rFonts w:hint="eastAsia" w:ascii="宋体" w:hAnsi="宋体"/>
          <w:sz w:val="24"/>
          <w:szCs w:val="32"/>
        </w:rPr>
        <w:t xml:space="preserve"> 投标人应提交证明其有资格参加报价和中标后有能力履行合同的文件，并作为其报价的一部分。</w:t>
      </w:r>
    </w:p>
    <w:p>
      <w:pPr>
        <w:tabs>
          <w:tab w:val="left" w:pos="8640"/>
        </w:tabs>
        <w:spacing w:line="360" w:lineRule="auto"/>
        <w:ind w:left="720" w:hanging="720"/>
        <w:rPr>
          <w:rFonts w:ascii="宋体" w:hAnsi="宋体"/>
          <w:sz w:val="24"/>
          <w:szCs w:val="32"/>
        </w:rPr>
      </w:pPr>
      <w:r>
        <w:rPr>
          <w:rFonts w:ascii="宋体" w:hAnsi="宋体"/>
          <w:sz w:val="24"/>
          <w:szCs w:val="32"/>
        </w:rPr>
        <w:t>13.2</w:t>
      </w:r>
      <w:r>
        <w:rPr>
          <w:rFonts w:ascii="宋体" w:hAnsi="宋体"/>
          <w:sz w:val="24"/>
          <w:szCs w:val="32"/>
        </w:rPr>
        <w:tab/>
      </w:r>
      <w:r>
        <w:rPr>
          <w:rFonts w:hint="eastAsia" w:ascii="宋体" w:hAnsi="宋体"/>
          <w:sz w:val="24"/>
          <w:szCs w:val="32"/>
        </w:rPr>
        <w:t>投标人提交的合格性的证明文件应使招标人满意，投标人在报价时应是来自投标人须知2.2定义的合格投标人。</w:t>
      </w:r>
    </w:p>
    <w:p>
      <w:pPr>
        <w:pStyle w:val="4"/>
        <w:numPr>
          <w:ilvl w:val="2"/>
          <w:numId w:val="0"/>
        </w:numPr>
        <w:tabs>
          <w:tab w:val="left" w:pos="720"/>
        </w:tabs>
        <w:adjustRightInd w:val="0"/>
        <w:spacing w:before="240" w:after="120" w:line="300" w:lineRule="auto"/>
        <w:jc w:val="left"/>
        <w:textAlignment w:val="baseline"/>
        <w:rPr>
          <w:rFonts w:ascii="宋体" w:hAnsi="宋体"/>
        </w:rPr>
      </w:pPr>
      <w:bookmarkStart w:id="36" w:name="_Toc400911962"/>
      <w:bookmarkStart w:id="37" w:name="_Toc469850057"/>
      <w:bookmarkStart w:id="38" w:name="_Toc469850058"/>
      <w:bookmarkStart w:id="39" w:name="_Toc400911963"/>
      <w:r>
        <w:rPr>
          <w:rFonts w:ascii="宋体" w:hAnsi="宋体"/>
        </w:rPr>
        <w:t>14.</w:t>
      </w:r>
      <w:r>
        <w:rPr>
          <w:rFonts w:ascii="宋体" w:hAnsi="宋体"/>
        </w:rPr>
        <w:tab/>
      </w:r>
      <w:r>
        <w:rPr>
          <w:rFonts w:hint="eastAsia" w:ascii="宋体" w:hAnsi="宋体"/>
        </w:rPr>
        <w:t>证明服务的合格性和符合招标文件规定的文件</w:t>
      </w:r>
      <w:bookmarkEnd w:id="36"/>
      <w:bookmarkEnd w:id="37"/>
    </w:p>
    <w:p>
      <w:pPr>
        <w:numPr>
          <w:ilvl w:val="1"/>
          <w:numId w:val="9"/>
        </w:numPr>
        <w:tabs>
          <w:tab w:val="left" w:pos="709"/>
          <w:tab w:val="clear" w:pos="720"/>
        </w:tabs>
        <w:spacing w:line="360" w:lineRule="auto"/>
        <w:rPr>
          <w:rFonts w:ascii="宋体" w:hAnsi="宋体"/>
          <w:sz w:val="24"/>
          <w:szCs w:val="32"/>
        </w:rPr>
      </w:pPr>
      <w:r>
        <w:rPr>
          <w:rFonts w:ascii="宋体" w:hAnsi="宋体"/>
        </w:rPr>
        <w:tab/>
      </w:r>
      <w:r>
        <w:rPr>
          <w:rFonts w:hint="eastAsia" w:ascii="宋体" w:hAnsi="宋体"/>
          <w:sz w:val="24"/>
          <w:szCs w:val="32"/>
        </w:rPr>
        <w:t>投标人应提交证明其拟供的合同项下的服务的合格性符合招标文件规定的文件，并作为其投标文件的一部分。</w:t>
      </w:r>
    </w:p>
    <w:p>
      <w:pPr>
        <w:pStyle w:val="4"/>
        <w:numPr>
          <w:ilvl w:val="2"/>
          <w:numId w:val="0"/>
        </w:numPr>
        <w:tabs>
          <w:tab w:val="left" w:pos="720"/>
        </w:tabs>
        <w:adjustRightInd w:val="0"/>
        <w:spacing w:before="240" w:after="120" w:line="300" w:lineRule="auto"/>
        <w:jc w:val="left"/>
        <w:textAlignment w:val="baseline"/>
        <w:rPr>
          <w:rFonts w:ascii="宋体" w:hAnsi="宋体"/>
        </w:rPr>
      </w:pPr>
      <w:r>
        <w:rPr>
          <w:rFonts w:ascii="宋体" w:hAnsi="宋体"/>
        </w:rPr>
        <w:t>1</w:t>
      </w:r>
      <w:r>
        <w:rPr>
          <w:rFonts w:hint="eastAsia" w:ascii="宋体" w:hAnsi="宋体"/>
        </w:rPr>
        <w:t>5</w:t>
      </w:r>
      <w:r>
        <w:rPr>
          <w:rFonts w:ascii="宋体" w:hAnsi="宋体"/>
        </w:rPr>
        <w:t>.</w:t>
      </w:r>
      <w:r>
        <w:rPr>
          <w:rFonts w:ascii="宋体" w:hAnsi="宋体"/>
        </w:rPr>
        <w:tab/>
      </w:r>
      <w:r>
        <w:rPr>
          <w:rFonts w:hint="eastAsia" w:ascii="宋体" w:hAnsi="宋体"/>
        </w:rPr>
        <w:t>保证金</w:t>
      </w:r>
      <w:bookmarkEnd w:id="38"/>
      <w:bookmarkEnd w:id="39"/>
    </w:p>
    <w:p>
      <w:pPr>
        <w:tabs>
          <w:tab w:val="left" w:pos="8640"/>
        </w:tabs>
        <w:ind w:left="720" w:hanging="720"/>
        <w:rPr>
          <w:rFonts w:ascii="宋体" w:hAnsi="宋体"/>
          <w:sz w:val="24"/>
          <w:szCs w:val="32"/>
        </w:rPr>
      </w:pPr>
      <w:bookmarkStart w:id="40" w:name="_Toc469850059"/>
      <w:r>
        <w:rPr>
          <w:rFonts w:hint="eastAsia" w:ascii="宋体" w:hAnsi="宋体"/>
        </w:rPr>
        <w:t xml:space="preserve">15.1   </w:t>
      </w:r>
      <w:r>
        <w:rPr>
          <w:rFonts w:hint="eastAsia" w:ascii="宋体" w:hAnsi="宋体"/>
          <w:sz w:val="24"/>
          <w:szCs w:val="32"/>
        </w:rPr>
        <w:t>本项目无需提交保证金。</w:t>
      </w:r>
    </w:p>
    <w:p>
      <w:pPr>
        <w:pStyle w:val="4"/>
        <w:numPr>
          <w:ilvl w:val="2"/>
          <w:numId w:val="0"/>
        </w:numPr>
        <w:tabs>
          <w:tab w:val="left" w:pos="720"/>
        </w:tabs>
        <w:adjustRightInd w:val="0"/>
        <w:spacing w:before="240" w:after="120" w:line="300" w:lineRule="auto"/>
        <w:jc w:val="left"/>
        <w:textAlignment w:val="baseline"/>
        <w:rPr>
          <w:rFonts w:ascii="宋体" w:hAnsi="宋体"/>
        </w:rPr>
      </w:pPr>
      <w:bookmarkStart w:id="41" w:name="_Toc400911964"/>
      <w:r>
        <w:rPr>
          <w:rFonts w:ascii="宋体" w:hAnsi="宋体"/>
        </w:rPr>
        <w:t>1</w:t>
      </w:r>
      <w:r>
        <w:rPr>
          <w:rFonts w:hint="eastAsia" w:ascii="宋体" w:hAnsi="宋体"/>
        </w:rPr>
        <w:t>6</w:t>
      </w:r>
      <w:r>
        <w:rPr>
          <w:rFonts w:ascii="宋体" w:hAnsi="宋体"/>
        </w:rPr>
        <w:t>.</w:t>
      </w:r>
      <w:r>
        <w:rPr>
          <w:rFonts w:ascii="宋体" w:hAnsi="宋体"/>
        </w:rPr>
        <w:tab/>
      </w:r>
      <w:r>
        <w:rPr>
          <w:rFonts w:hint="eastAsia" w:ascii="宋体" w:hAnsi="宋体"/>
        </w:rPr>
        <w:t>投标有效期</w:t>
      </w:r>
      <w:bookmarkEnd w:id="40"/>
      <w:bookmarkEnd w:id="41"/>
    </w:p>
    <w:p>
      <w:pPr>
        <w:tabs>
          <w:tab w:val="left" w:pos="8640"/>
        </w:tabs>
        <w:spacing w:line="360" w:lineRule="auto"/>
        <w:ind w:left="720" w:hanging="720"/>
        <w:rPr>
          <w:rFonts w:ascii="宋体" w:hAnsi="宋体"/>
          <w:sz w:val="24"/>
          <w:szCs w:val="32"/>
        </w:rPr>
      </w:pPr>
      <w:r>
        <w:rPr>
          <w:rFonts w:ascii="宋体" w:hAnsi="宋体"/>
          <w:sz w:val="24"/>
          <w:szCs w:val="32"/>
        </w:rPr>
        <w:t>1</w:t>
      </w:r>
      <w:r>
        <w:rPr>
          <w:rFonts w:hint="eastAsia" w:ascii="宋体" w:hAnsi="宋体"/>
          <w:sz w:val="24"/>
          <w:szCs w:val="32"/>
        </w:rPr>
        <w:t>6</w:t>
      </w:r>
      <w:r>
        <w:rPr>
          <w:rFonts w:ascii="宋体" w:hAnsi="宋体"/>
          <w:sz w:val="24"/>
          <w:szCs w:val="32"/>
        </w:rPr>
        <w:t>.1</w:t>
      </w:r>
      <w:r>
        <w:rPr>
          <w:rFonts w:ascii="宋体" w:hAnsi="宋体"/>
          <w:sz w:val="24"/>
          <w:szCs w:val="32"/>
        </w:rPr>
        <w:tab/>
      </w:r>
      <w:r>
        <w:rPr>
          <w:rFonts w:hint="eastAsia" w:ascii="宋体" w:hAnsi="宋体"/>
          <w:sz w:val="24"/>
          <w:szCs w:val="32"/>
        </w:rPr>
        <w:t>本项目投标有效期为180日历天</w:t>
      </w:r>
    </w:p>
    <w:p>
      <w:pPr>
        <w:tabs>
          <w:tab w:val="left" w:pos="8640"/>
        </w:tabs>
        <w:spacing w:line="360" w:lineRule="auto"/>
        <w:ind w:left="720" w:hanging="720"/>
        <w:rPr>
          <w:rFonts w:ascii="宋体" w:hAnsi="宋体"/>
        </w:rPr>
      </w:pPr>
      <w:r>
        <w:rPr>
          <w:rFonts w:ascii="宋体" w:hAnsi="宋体"/>
          <w:sz w:val="24"/>
          <w:szCs w:val="32"/>
        </w:rPr>
        <w:t>16.2</w:t>
      </w:r>
      <w:r>
        <w:rPr>
          <w:rFonts w:ascii="宋体" w:hAnsi="宋体"/>
          <w:sz w:val="24"/>
          <w:szCs w:val="32"/>
        </w:rPr>
        <w:tab/>
      </w:r>
      <w:r>
        <w:rPr>
          <w:rFonts w:hint="eastAsia" w:ascii="宋体" w:hAnsi="宋体"/>
          <w:sz w:val="24"/>
          <w:szCs w:val="32"/>
        </w:rPr>
        <w:t>特殊情况下，在原投标报价有效期截止之前，招标人可要求投标人同意延长报价有效期。这种要求与答复均应以书面形式提交。投标人可拒绝招标人的这种要求。接受报价有效期延长的投标人将不会被要求和允许修正其报价，而只会要求其相应地延长其投标文件的有效期。</w:t>
      </w:r>
    </w:p>
    <w:p>
      <w:pPr>
        <w:pStyle w:val="4"/>
        <w:numPr>
          <w:ilvl w:val="2"/>
          <w:numId w:val="0"/>
        </w:numPr>
        <w:tabs>
          <w:tab w:val="left" w:pos="720"/>
        </w:tabs>
        <w:adjustRightInd w:val="0"/>
        <w:spacing w:before="240" w:after="120" w:line="300" w:lineRule="auto"/>
        <w:jc w:val="left"/>
        <w:textAlignment w:val="baseline"/>
        <w:rPr>
          <w:rFonts w:ascii="宋体" w:hAnsi="宋体"/>
        </w:rPr>
      </w:pPr>
      <w:bookmarkStart w:id="42" w:name="_Toc400911965"/>
      <w:bookmarkStart w:id="43" w:name="_Toc469850060"/>
      <w:r>
        <w:rPr>
          <w:rFonts w:ascii="宋体" w:hAnsi="宋体"/>
        </w:rPr>
        <w:t>17.</w:t>
      </w:r>
      <w:r>
        <w:rPr>
          <w:rFonts w:ascii="宋体" w:hAnsi="宋体"/>
        </w:rPr>
        <w:tab/>
      </w:r>
      <w:r>
        <w:rPr>
          <w:rFonts w:hint="eastAsia" w:ascii="宋体" w:hAnsi="宋体"/>
        </w:rPr>
        <w:t>投标文件的式样和签署</w:t>
      </w:r>
      <w:bookmarkEnd w:id="42"/>
      <w:bookmarkEnd w:id="43"/>
    </w:p>
    <w:p>
      <w:pPr>
        <w:tabs>
          <w:tab w:val="left" w:pos="8640"/>
        </w:tabs>
        <w:spacing w:line="360" w:lineRule="auto"/>
        <w:ind w:left="720" w:hanging="720"/>
        <w:rPr>
          <w:rFonts w:ascii="宋体" w:hAnsi="宋体"/>
          <w:sz w:val="24"/>
          <w:szCs w:val="32"/>
        </w:rPr>
      </w:pPr>
      <w:r>
        <w:rPr>
          <w:rFonts w:ascii="宋体" w:hAnsi="宋体"/>
          <w:sz w:val="24"/>
          <w:szCs w:val="32"/>
        </w:rPr>
        <w:t>17.1</w:t>
      </w:r>
      <w:r>
        <w:rPr>
          <w:rFonts w:ascii="宋体" w:hAnsi="宋体"/>
          <w:sz w:val="24"/>
          <w:szCs w:val="32"/>
        </w:rPr>
        <w:tab/>
      </w:r>
      <w:r>
        <w:rPr>
          <w:rFonts w:hint="eastAsia" w:ascii="宋体" w:hAnsi="宋体"/>
          <w:sz w:val="24"/>
          <w:szCs w:val="32"/>
        </w:rPr>
        <w:t>投标人应按《投标人须知前附表》规定数量准备投标文件正本、副本以及</w:t>
      </w:r>
      <w:r>
        <w:rPr>
          <w:rFonts w:hint="eastAsia"/>
          <w:sz w:val="24"/>
          <w:szCs w:val="32"/>
        </w:rPr>
        <w:t>电子文档</w:t>
      </w:r>
      <w:r>
        <w:rPr>
          <w:sz w:val="24"/>
          <w:szCs w:val="32"/>
        </w:rPr>
        <w:t xml:space="preserve"> (word </w:t>
      </w:r>
      <w:r>
        <w:rPr>
          <w:rFonts w:hint="eastAsia"/>
          <w:sz w:val="24"/>
          <w:szCs w:val="32"/>
        </w:rPr>
        <w:t>或</w:t>
      </w:r>
      <w:r>
        <w:rPr>
          <w:sz w:val="24"/>
          <w:szCs w:val="32"/>
        </w:rPr>
        <w:t>excel</w:t>
      </w:r>
      <w:r>
        <w:rPr>
          <w:rFonts w:hint="eastAsia"/>
          <w:sz w:val="24"/>
          <w:szCs w:val="32"/>
        </w:rPr>
        <w:t>文件)。</w:t>
      </w:r>
      <w:r>
        <w:rPr>
          <w:rFonts w:hint="eastAsia" w:ascii="宋体" w:hAnsi="宋体"/>
          <w:sz w:val="24"/>
          <w:szCs w:val="32"/>
        </w:rPr>
        <w:t>纸质投标文件须清楚地标明“正本”或“副本”。若正本和副本不符，以正本为准。</w:t>
      </w:r>
    </w:p>
    <w:p>
      <w:pPr>
        <w:tabs>
          <w:tab w:val="left" w:pos="8640"/>
        </w:tabs>
        <w:spacing w:line="360" w:lineRule="auto"/>
        <w:ind w:left="720" w:hanging="720"/>
        <w:rPr>
          <w:rFonts w:ascii="宋体" w:hAnsi="宋体"/>
          <w:sz w:val="24"/>
          <w:szCs w:val="32"/>
        </w:rPr>
      </w:pPr>
      <w:r>
        <w:rPr>
          <w:rFonts w:ascii="宋体" w:hAnsi="宋体"/>
          <w:sz w:val="24"/>
          <w:szCs w:val="32"/>
        </w:rPr>
        <w:t>17.2</w:t>
      </w:r>
      <w:r>
        <w:rPr>
          <w:rFonts w:ascii="宋体" w:hAnsi="宋体"/>
          <w:sz w:val="24"/>
          <w:szCs w:val="32"/>
        </w:rPr>
        <w:tab/>
      </w:r>
      <w:r>
        <w:rPr>
          <w:rFonts w:hint="eastAsia" w:ascii="宋体" w:hAnsi="宋体"/>
          <w:sz w:val="24"/>
          <w:szCs w:val="32"/>
        </w:rPr>
        <w:t>投标文件的正本和所有的副本均需打印或用不褪色墨水书写，并由投标人或经正式授权并对投标人有约束力的代表签字。授权代表须将以书面形式出具的“授权委托证明书”附在投标文件中。除没有修改过的印刷文献外，投标文件规定需由投标人法定代表人或委托代理人签字或盖章的地方，应按要求签字或盖章；投标文件规定需加盖单位或公司章的地方，应按要求盖单位或公司章。</w:t>
      </w:r>
    </w:p>
    <w:p>
      <w:pPr>
        <w:numPr>
          <w:ilvl w:val="1"/>
          <w:numId w:val="10"/>
        </w:numPr>
        <w:tabs>
          <w:tab w:val="left" w:pos="8640"/>
        </w:tabs>
        <w:spacing w:line="360" w:lineRule="auto"/>
        <w:rPr>
          <w:rFonts w:ascii="宋体" w:hAnsi="宋体"/>
          <w:sz w:val="24"/>
          <w:szCs w:val="32"/>
        </w:rPr>
      </w:pPr>
      <w:r>
        <w:rPr>
          <w:rFonts w:hint="eastAsia" w:ascii="宋体" w:hAnsi="宋体"/>
          <w:sz w:val="24"/>
          <w:szCs w:val="32"/>
        </w:rPr>
        <w:t>任何行间插字、涂改和增删，必须由投标人法定代表人或委托代理人签字或盖章，并加盖单位或公司章。</w:t>
      </w:r>
    </w:p>
    <w:p>
      <w:pPr>
        <w:tabs>
          <w:tab w:val="left" w:pos="8640"/>
        </w:tabs>
        <w:spacing w:line="360" w:lineRule="auto"/>
        <w:rPr>
          <w:rFonts w:ascii="宋体" w:hAnsi="宋体"/>
          <w:sz w:val="24"/>
          <w:szCs w:val="32"/>
        </w:rPr>
      </w:pPr>
      <w:r>
        <w:rPr>
          <w:rFonts w:hint="eastAsia" w:ascii="宋体" w:hAnsi="宋体"/>
          <w:sz w:val="24"/>
          <w:szCs w:val="32"/>
        </w:rPr>
        <w:t>17</w:t>
      </w:r>
      <w:r>
        <w:rPr>
          <w:rFonts w:ascii="宋体" w:hAnsi="宋体"/>
          <w:sz w:val="24"/>
          <w:szCs w:val="32"/>
        </w:rPr>
        <w:t>.</w:t>
      </w:r>
      <w:r>
        <w:rPr>
          <w:rFonts w:hint="eastAsia" w:ascii="宋体" w:hAnsi="宋体"/>
          <w:sz w:val="24"/>
          <w:szCs w:val="32"/>
        </w:rPr>
        <w:t>4</w:t>
      </w:r>
      <w:r>
        <w:rPr>
          <w:rFonts w:ascii="宋体" w:hAnsi="宋体"/>
          <w:sz w:val="24"/>
          <w:szCs w:val="32"/>
        </w:rPr>
        <w:t xml:space="preserve">  </w:t>
      </w:r>
      <w:r>
        <w:rPr>
          <w:rFonts w:hint="eastAsia" w:ascii="宋体" w:hAnsi="宋体"/>
          <w:sz w:val="24"/>
          <w:szCs w:val="32"/>
        </w:rPr>
        <w:t>电报、电话、传真、电子邮件形式的报价概不接受。</w:t>
      </w:r>
    </w:p>
    <w:p>
      <w:pPr>
        <w:pStyle w:val="3"/>
        <w:rPr>
          <w:rFonts w:ascii="宋体" w:hAnsi="宋体" w:eastAsia="宋体"/>
        </w:rPr>
      </w:pPr>
      <w:bookmarkStart w:id="44" w:name="_Toc400911966"/>
      <w:bookmarkStart w:id="45" w:name="_Toc469850061"/>
      <w:r>
        <w:rPr>
          <w:rFonts w:hint="eastAsia" w:ascii="宋体" w:hAnsi="宋体" w:eastAsia="宋体"/>
        </w:rPr>
        <w:t>四、投标文件的递交</w:t>
      </w:r>
      <w:bookmarkEnd w:id="44"/>
      <w:bookmarkEnd w:id="45"/>
    </w:p>
    <w:p>
      <w:pPr>
        <w:pStyle w:val="4"/>
        <w:numPr>
          <w:ilvl w:val="2"/>
          <w:numId w:val="0"/>
        </w:numPr>
        <w:adjustRightInd w:val="0"/>
        <w:spacing w:before="240" w:after="120" w:line="300" w:lineRule="auto"/>
        <w:jc w:val="left"/>
        <w:textAlignment w:val="baseline"/>
        <w:rPr>
          <w:rFonts w:ascii="宋体" w:hAnsi="宋体"/>
        </w:rPr>
      </w:pPr>
      <w:bookmarkStart w:id="46" w:name="_Toc469850062"/>
      <w:bookmarkStart w:id="47" w:name="_Toc400911967"/>
      <w:r>
        <w:rPr>
          <w:rFonts w:ascii="宋体" w:hAnsi="宋体"/>
        </w:rPr>
        <w:t>18.</w:t>
      </w:r>
      <w:r>
        <w:rPr>
          <w:rFonts w:ascii="宋体" w:hAnsi="宋体"/>
        </w:rPr>
        <w:tab/>
      </w:r>
      <w:r>
        <w:rPr>
          <w:rFonts w:hint="eastAsia" w:ascii="宋体" w:hAnsi="宋体"/>
        </w:rPr>
        <w:t>投标文件的密封和标记</w:t>
      </w:r>
      <w:bookmarkEnd w:id="46"/>
      <w:bookmarkEnd w:id="47"/>
    </w:p>
    <w:p>
      <w:pPr>
        <w:numPr>
          <w:ilvl w:val="1"/>
          <w:numId w:val="11"/>
        </w:numPr>
        <w:tabs>
          <w:tab w:val="left" w:pos="8640"/>
        </w:tabs>
        <w:spacing w:line="360" w:lineRule="auto"/>
        <w:rPr>
          <w:rFonts w:ascii="宋体" w:hAnsi="宋体"/>
          <w:sz w:val="24"/>
          <w:szCs w:val="32"/>
        </w:rPr>
      </w:pPr>
      <w:r>
        <w:rPr>
          <w:rFonts w:hint="eastAsia" w:ascii="宋体" w:hAnsi="宋体"/>
          <w:sz w:val="24"/>
          <w:szCs w:val="32"/>
        </w:rPr>
        <w:t>投标人应将投标文件正本和所有的副本、电子文件全部封装一起。</w:t>
      </w:r>
    </w:p>
    <w:p>
      <w:pPr>
        <w:tabs>
          <w:tab w:val="left" w:pos="8640"/>
        </w:tabs>
        <w:spacing w:line="360" w:lineRule="auto"/>
        <w:ind w:left="720" w:hanging="720"/>
        <w:rPr>
          <w:rFonts w:ascii="宋体" w:hAnsi="宋体"/>
          <w:sz w:val="24"/>
          <w:szCs w:val="32"/>
        </w:rPr>
      </w:pPr>
      <w:r>
        <w:rPr>
          <w:rFonts w:ascii="宋体" w:hAnsi="宋体"/>
          <w:sz w:val="24"/>
          <w:szCs w:val="32"/>
        </w:rPr>
        <w:t>18.2</w:t>
      </w:r>
      <w:r>
        <w:rPr>
          <w:rFonts w:ascii="宋体" w:hAnsi="宋体"/>
          <w:sz w:val="24"/>
          <w:szCs w:val="32"/>
        </w:rPr>
        <w:tab/>
      </w:r>
      <w:r>
        <w:rPr>
          <w:rFonts w:hint="eastAsia" w:ascii="宋体" w:hAnsi="宋体"/>
          <w:sz w:val="24"/>
          <w:szCs w:val="32"/>
        </w:rPr>
        <w:t>包封应注明《投标人须知前附表》中指明的项目名称，注明“</w:t>
      </w:r>
      <w:r>
        <w:rPr>
          <w:rFonts w:hint="eastAsia" w:ascii="宋体" w:hAnsi="宋体"/>
          <w:sz w:val="24"/>
          <w:szCs w:val="32"/>
          <w:u w:val="single"/>
        </w:rPr>
        <w:t>在××××年××月××日（上/下）午×点×分前不得启封</w:t>
      </w:r>
      <w:r>
        <w:rPr>
          <w:rFonts w:hint="eastAsia" w:ascii="宋体" w:hAnsi="宋体"/>
          <w:sz w:val="24"/>
          <w:szCs w:val="32"/>
        </w:rPr>
        <w:t>”的字样。</w:t>
      </w:r>
    </w:p>
    <w:p>
      <w:pPr>
        <w:tabs>
          <w:tab w:val="left" w:pos="8640"/>
        </w:tabs>
        <w:spacing w:line="360" w:lineRule="auto"/>
        <w:ind w:left="720" w:hanging="720"/>
        <w:rPr>
          <w:rFonts w:ascii="宋体" w:hAnsi="宋体"/>
          <w:sz w:val="24"/>
          <w:szCs w:val="32"/>
        </w:rPr>
      </w:pPr>
      <w:r>
        <w:rPr>
          <w:rFonts w:ascii="宋体" w:hAnsi="宋体"/>
          <w:sz w:val="24"/>
          <w:szCs w:val="32"/>
        </w:rPr>
        <w:t>18.3</w:t>
      </w:r>
      <w:r>
        <w:rPr>
          <w:rFonts w:ascii="宋体" w:hAnsi="宋体"/>
          <w:sz w:val="24"/>
          <w:szCs w:val="32"/>
        </w:rPr>
        <w:tab/>
      </w:r>
      <w:r>
        <w:rPr>
          <w:rFonts w:hint="eastAsia" w:ascii="宋体" w:hAnsi="宋体"/>
          <w:sz w:val="24"/>
          <w:szCs w:val="32"/>
        </w:rPr>
        <w:t>包封应写明投标人名称和地址，以便如果其报价被宣布为“迟到”递交时予以退回。</w:t>
      </w:r>
    </w:p>
    <w:p>
      <w:pPr>
        <w:tabs>
          <w:tab w:val="left" w:pos="8640"/>
        </w:tabs>
        <w:spacing w:line="360" w:lineRule="auto"/>
        <w:ind w:left="720" w:hanging="720"/>
        <w:rPr>
          <w:rFonts w:ascii="宋体" w:hAnsi="宋体"/>
          <w:sz w:val="24"/>
          <w:szCs w:val="32"/>
        </w:rPr>
      </w:pPr>
      <w:r>
        <w:rPr>
          <w:rFonts w:ascii="宋体" w:hAnsi="宋体"/>
          <w:sz w:val="24"/>
          <w:szCs w:val="32"/>
        </w:rPr>
        <w:t>18.4</w:t>
      </w:r>
      <w:r>
        <w:rPr>
          <w:rFonts w:ascii="宋体" w:hAnsi="宋体"/>
          <w:sz w:val="24"/>
          <w:szCs w:val="32"/>
        </w:rPr>
        <w:tab/>
      </w:r>
      <w:r>
        <w:rPr>
          <w:rFonts w:hint="eastAsia" w:ascii="宋体" w:hAnsi="宋体"/>
          <w:sz w:val="24"/>
          <w:szCs w:val="32"/>
        </w:rPr>
        <w:t>如果包封未按投标人须知第</w:t>
      </w:r>
      <w:r>
        <w:rPr>
          <w:rFonts w:ascii="宋体" w:hAnsi="宋体"/>
          <w:sz w:val="24"/>
          <w:szCs w:val="32"/>
        </w:rPr>
        <w:t>18.2</w:t>
      </w:r>
      <w:r>
        <w:rPr>
          <w:rFonts w:hint="eastAsia" w:ascii="宋体" w:hAnsi="宋体"/>
          <w:sz w:val="24"/>
          <w:szCs w:val="32"/>
        </w:rPr>
        <w:t>条要求密封和加写标记，招标人对误投或过早启封概不负责。</w:t>
      </w:r>
    </w:p>
    <w:p>
      <w:pPr>
        <w:pStyle w:val="4"/>
        <w:numPr>
          <w:ilvl w:val="2"/>
          <w:numId w:val="0"/>
        </w:numPr>
        <w:tabs>
          <w:tab w:val="left" w:pos="720"/>
        </w:tabs>
        <w:adjustRightInd w:val="0"/>
        <w:spacing w:before="240" w:after="120" w:line="300" w:lineRule="auto"/>
        <w:jc w:val="left"/>
        <w:textAlignment w:val="baseline"/>
        <w:rPr>
          <w:rFonts w:ascii="宋体" w:hAnsi="宋体"/>
        </w:rPr>
      </w:pPr>
      <w:bookmarkStart w:id="48" w:name="_Toc469850063"/>
      <w:bookmarkStart w:id="49" w:name="_Toc400911968"/>
      <w:r>
        <w:rPr>
          <w:rFonts w:ascii="宋体" w:hAnsi="宋体"/>
        </w:rPr>
        <w:t>19.</w:t>
      </w:r>
      <w:r>
        <w:rPr>
          <w:rFonts w:ascii="宋体" w:hAnsi="宋体"/>
        </w:rPr>
        <w:tab/>
      </w:r>
      <w:r>
        <w:rPr>
          <w:rFonts w:hint="eastAsia" w:ascii="宋体" w:hAnsi="宋体"/>
        </w:rPr>
        <w:t>投标文件提交截止日期</w:t>
      </w:r>
      <w:bookmarkEnd w:id="48"/>
      <w:bookmarkEnd w:id="49"/>
    </w:p>
    <w:p>
      <w:pPr>
        <w:tabs>
          <w:tab w:val="left" w:pos="8640"/>
        </w:tabs>
        <w:spacing w:line="360" w:lineRule="auto"/>
        <w:ind w:left="720" w:hanging="720"/>
        <w:rPr>
          <w:rFonts w:ascii="宋体" w:hAnsi="宋体"/>
          <w:sz w:val="24"/>
          <w:szCs w:val="32"/>
        </w:rPr>
      </w:pPr>
      <w:r>
        <w:rPr>
          <w:rFonts w:ascii="宋体" w:hAnsi="宋体"/>
          <w:sz w:val="24"/>
          <w:szCs w:val="32"/>
        </w:rPr>
        <w:t>19.1</w:t>
      </w:r>
      <w:r>
        <w:rPr>
          <w:rFonts w:ascii="宋体" w:hAnsi="宋体"/>
          <w:sz w:val="24"/>
          <w:szCs w:val="32"/>
        </w:rPr>
        <w:tab/>
      </w:r>
      <w:r>
        <w:rPr>
          <w:rFonts w:hint="eastAsia" w:ascii="宋体" w:hAnsi="宋体"/>
          <w:sz w:val="24"/>
          <w:szCs w:val="32"/>
        </w:rPr>
        <w:t>招标人在规定的地址收到投标文件的时间不迟于“投标人须知前附表”中规定的截止日期和时间。</w:t>
      </w:r>
    </w:p>
    <w:p>
      <w:pPr>
        <w:tabs>
          <w:tab w:val="left" w:pos="8640"/>
        </w:tabs>
        <w:spacing w:line="360" w:lineRule="auto"/>
        <w:ind w:left="720" w:hanging="720"/>
        <w:rPr>
          <w:rFonts w:ascii="宋体" w:hAnsi="宋体"/>
          <w:sz w:val="24"/>
          <w:szCs w:val="32"/>
        </w:rPr>
      </w:pPr>
      <w:r>
        <w:rPr>
          <w:rFonts w:ascii="宋体" w:hAnsi="宋体"/>
          <w:sz w:val="24"/>
          <w:szCs w:val="32"/>
        </w:rPr>
        <w:t>19.2</w:t>
      </w:r>
      <w:r>
        <w:rPr>
          <w:rFonts w:ascii="宋体" w:hAnsi="宋体"/>
          <w:sz w:val="24"/>
          <w:szCs w:val="32"/>
        </w:rPr>
        <w:tab/>
      </w:r>
      <w:r>
        <w:rPr>
          <w:rFonts w:hint="eastAsia" w:ascii="宋体" w:hAnsi="宋体"/>
          <w:sz w:val="24"/>
          <w:szCs w:val="32"/>
        </w:rPr>
        <w:t>招标人可以按投标人须知第</w:t>
      </w:r>
      <w:r>
        <w:rPr>
          <w:rFonts w:ascii="宋体" w:hAnsi="宋体"/>
          <w:sz w:val="24"/>
          <w:szCs w:val="32"/>
        </w:rPr>
        <w:t>7</w:t>
      </w:r>
      <w:r>
        <w:rPr>
          <w:rFonts w:hint="eastAsia" w:ascii="宋体" w:hAnsi="宋体"/>
          <w:sz w:val="24"/>
          <w:szCs w:val="32"/>
        </w:rPr>
        <w:t>条规定，通过修改招标文件自行决定酌情延长投标文件提交截止时间。在此情况下，招标人和投标人受投标文件提交截止时间制约的所有权利和义务均应延长至新的截止日期。投标人按招标人修改通知规定的时间递交投标文件。</w:t>
      </w:r>
    </w:p>
    <w:p>
      <w:pPr>
        <w:pStyle w:val="4"/>
        <w:numPr>
          <w:ilvl w:val="2"/>
          <w:numId w:val="0"/>
        </w:numPr>
        <w:tabs>
          <w:tab w:val="left" w:pos="720"/>
        </w:tabs>
        <w:adjustRightInd w:val="0"/>
        <w:spacing w:before="240" w:after="120" w:line="300" w:lineRule="auto"/>
        <w:jc w:val="left"/>
        <w:textAlignment w:val="baseline"/>
        <w:rPr>
          <w:rFonts w:ascii="宋体" w:hAnsi="宋体"/>
        </w:rPr>
      </w:pPr>
      <w:bookmarkStart w:id="50" w:name="_Toc400911969"/>
      <w:bookmarkStart w:id="51" w:name="_Toc469850064"/>
      <w:r>
        <w:rPr>
          <w:rFonts w:ascii="宋体" w:hAnsi="宋体"/>
        </w:rPr>
        <w:t>20.</w:t>
      </w:r>
      <w:r>
        <w:rPr>
          <w:rFonts w:ascii="宋体" w:hAnsi="宋体"/>
        </w:rPr>
        <w:tab/>
      </w:r>
      <w:r>
        <w:rPr>
          <w:rFonts w:hint="eastAsia" w:ascii="宋体" w:hAnsi="宋体"/>
        </w:rPr>
        <w:t>迟交的投标文件</w:t>
      </w:r>
      <w:bookmarkEnd w:id="50"/>
      <w:bookmarkEnd w:id="51"/>
    </w:p>
    <w:p>
      <w:pPr>
        <w:numPr>
          <w:ilvl w:val="1"/>
          <w:numId w:val="12"/>
        </w:numPr>
        <w:tabs>
          <w:tab w:val="left" w:pos="8640"/>
        </w:tabs>
        <w:spacing w:line="360" w:lineRule="auto"/>
        <w:rPr>
          <w:rFonts w:ascii="宋体" w:hAnsi="宋体"/>
          <w:sz w:val="24"/>
          <w:szCs w:val="32"/>
        </w:rPr>
      </w:pPr>
      <w:r>
        <w:rPr>
          <w:rFonts w:hint="eastAsia" w:ascii="宋体" w:hAnsi="宋体"/>
          <w:sz w:val="24"/>
          <w:szCs w:val="32"/>
        </w:rPr>
        <w:t>按照投标人须知第</w:t>
      </w:r>
      <w:r>
        <w:rPr>
          <w:rFonts w:ascii="宋体" w:hAnsi="宋体"/>
          <w:sz w:val="24"/>
          <w:szCs w:val="32"/>
        </w:rPr>
        <w:t>19</w:t>
      </w:r>
      <w:r>
        <w:rPr>
          <w:rFonts w:hint="eastAsia" w:ascii="宋体" w:hAnsi="宋体"/>
          <w:sz w:val="24"/>
          <w:szCs w:val="32"/>
        </w:rPr>
        <w:t>条规定，招标人将拒绝并退回在其规定的截止时间后收到的任何投标文件。</w:t>
      </w:r>
    </w:p>
    <w:p>
      <w:pPr>
        <w:pStyle w:val="4"/>
        <w:numPr>
          <w:ilvl w:val="2"/>
          <w:numId w:val="0"/>
        </w:numPr>
        <w:tabs>
          <w:tab w:val="left" w:pos="720"/>
        </w:tabs>
        <w:adjustRightInd w:val="0"/>
        <w:spacing w:before="240" w:after="120" w:line="300" w:lineRule="auto"/>
        <w:jc w:val="left"/>
        <w:textAlignment w:val="baseline"/>
        <w:rPr>
          <w:rFonts w:ascii="宋体" w:hAnsi="宋体"/>
        </w:rPr>
      </w:pPr>
      <w:bookmarkStart w:id="52" w:name="_Toc400911970"/>
      <w:bookmarkStart w:id="53" w:name="_Toc469850065"/>
      <w:r>
        <w:rPr>
          <w:rFonts w:ascii="宋体" w:hAnsi="宋体"/>
        </w:rPr>
        <w:t>21.</w:t>
      </w:r>
      <w:r>
        <w:rPr>
          <w:rFonts w:ascii="宋体" w:hAnsi="宋体"/>
        </w:rPr>
        <w:tab/>
      </w:r>
      <w:r>
        <w:rPr>
          <w:rFonts w:hint="eastAsia" w:ascii="宋体" w:hAnsi="宋体"/>
        </w:rPr>
        <w:t>投标文件的修改与撤回</w:t>
      </w:r>
      <w:bookmarkEnd w:id="52"/>
      <w:bookmarkEnd w:id="53"/>
    </w:p>
    <w:p>
      <w:pPr>
        <w:numPr>
          <w:ilvl w:val="1"/>
          <w:numId w:val="13"/>
        </w:numPr>
        <w:tabs>
          <w:tab w:val="left" w:pos="8640"/>
        </w:tabs>
        <w:spacing w:line="360" w:lineRule="auto"/>
        <w:jc w:val="left"/>
        <w:rPr>
          <w:rFonts w:ascii="宋体" w:hAnsi="宋体"/>
          <w:sz w:val="24"/>
          <w:szCs w:val="32"/>
        </w:rPr>
      </w:pPr>
      <w:r>
        <w:rPr>
          <w:rFonts w:hint="eastAsia" w:ascii="宋体" w:hAnsi="宋体"/>
          <w:sz w:val="24"/>
          <w:szCs w:val="32"/>
        </w:rPr>
        <w:t>投标人在递交投标文件后，可以修改或撤回其报价，但招标人必须在规定的投标文件递交截止时间之前，收到修改或撤回报价的书面通知。</w:t>
      </w:r>
    </w:p>
    <w:p>
      <w:pPr>
        <w:tabs>
          <w:tab w:val="left" w:pos="8640"/>
        </w:tabs>
        <w:spacing w:line="360" w:lineRule="auto"/>
        <w:ind w:left="735" w:hanging="735"/>
        <w:rPr>
          <w:rFonts w:ascii="宋体" w:hAnsi="宋体"/>
          <w:sz w:val="24"/>
          <w:szCs w:val="32"/>
        </w:rPr>
      </w:pPr>
      <w:r>
        <w:rPr>
          <w:rFonts w:ascii="宋体" w:hAnsi="宋体"/>
          <w:sz w:val="24"/>
          <w:szCs w:val="32"/>
        </w:rPr>
        <w:t xml:space="preserve">21.2  </w:t>
      </w:r>
      <w:r>
        <w:rPr>
          <w:rFonts w:hint="eastAsia" w:ascii="宋体" w:hAnsi="宋体"/>
          <w:sz w:val="24"/>
          <w:szCs w:val="32"/>
        </w:rPr>
        <w:t>投标人的修改或撤回通知应按第</w:t>
      </w:r>
      <w:r>
        <w:rPr>
          <w:rFonts w:ascii="宋体" w:hAnsi="宋体"/>
          <w:sz w:val="24"/>
          <w:szCs w:val="32"/>
        </w:rPr>
        <w:t>18</w:t>
      </w:r>
      <w:r>
        <w:rPr>
          <w:rFonts w:hint="eastAsia" w:ascii="宋体" w:hAnsi="宋体"/>
          <w:sz w:val="24"/>
          <w:szCs w:val="32"/>
        </w:rPr>
        <w:t>条规定编制、密封、标记和发送。撤回通知书也可以用传真/电报传递，但随后要用经过签字的信件确认，该确认信件送达时间不得迟于投标文件递交截止时间。</w:t>
      </w:r>
    </w:p>
    <w:p>
      <w:pPr>
        <w:tabs>
          <w:tab w:val="left" w:pos="8640"/>
        </w:tabs>
        <w:spacing w:line="360" w:lineRule="auto"/>
        <w:rPr>
          <w:rFonts w:ascii="宋体" w:hAnsi="宋体"/>
          <w:sz w:val="24"/>
          <w:szCs w:val="32"/>
        </w:rPr>
      </w:pPr>
      <w:r>
        <w:rPr>
          <w:rFonts w:ascii="宋体" w:hAnsi="宋体"/>
          <w:sz w:val="24"/>
          <w:szCs w:val="32"/>
        </w:rPr>
        <w:t xml:space="preserve">21.3  </w:t>
      </w:r>
      <w:r>
        <w:rPr>
          <w:rFonts w:hint="eastAsia" w:ascii="宋体" w:hAnsi="宋体"/>
          <w:sz w:val="24"/>
          <w:szCs w:val="32"/>
        </w:rPr>
        <w:t>在投标文件递交截止时间之后，投标人不得对其报价做任何修改。</w:t>
      </w:r>
    </w:p>
    <w:p>
      <w:pPr>
        <w:numPr>
          <w:ilvl w:val="1"/>
          <w:numId w:val="14"/>
        </w:numPr>
        <w:tabs>
          <w:tab w:val="left" w:pos="8640"/>
        </w:tabs>
        <w:spacing w:line="360" w:lineRule="auto"/>
        <w:rPr>
          <w:rFonts w:ascii="宋体" w:hAnsi="宋体"/>
          <w:sz w:val="24"/>
          <w:szCs w:val="32"/>
        </w:rPr>
      </w:pPr>
      <w:r>
        <w:rPr>
          <w:rFonts w:hint="eastAsia" w:ascii="宋体" w:hAnsi="宋体"/>
          <w:sz w:val="24"/>
          <w:szCs w:val="32"/>
        </w:rPr>
        <w:t>自投标文件递交截止后次日至投标人在投标函格式中确定的报价有效期满日的期间内，投标人不得撤回其报价。</w:t>
      </w:r>
    </w:p>
    <w:p>
      <w:pPr>
        <w:pStyle w:val="3"/>
        <w:rPr>
          <w:rFonts w:ascii="宋体" w:hAnsi="宋体" w:eastAsia="宋体"/>
        </w:rPr>
      </w:pPr>
      <w:bookmarkStart w:id="54" w:name="_Toc469850066"/>
      <w:bookmarkStart w:id="55" w:name="_Toc400911971"/>
      <w:r>
        <w:rPr>
          <w:rFonts w:hint="eastAsia" w:ascii="宋体" w:hAnsi="宋体" w:eastAsia="宋体"/>
        </w:rPr>
        <w:t>五、</w:t>
      </w:r>
      <w:bookmarkEnd w:id="54"/>
      <w:bookmarkEnd w:id="55"/>
      <w:r>
        <w:rPr>
          <w:rFonts w:hint="eastAsia" w:ascii="宋体" w:hAnsi="宋体" w:eastAsia="宋体"/>
        </w:rPr>
        <w:t>开标评标定标</w:t>
      </w:r>
    </w:p>
    <w:p>
      <w:pPr>
        <w:pStyle w:val="4"/>
        <w:numPr>
          <w:ilvl w:val="2"/>
          <w:numId w:val="0"/>
        </w:numPr>
        <w:tabs>
          <w:tab w:val="left" w:pos="720"/>
        </w:tabs>
        <w:adjustRightInd w:val="0"/>
        <w:spacing w:before="240" w:after="120" w:line="300" w:lineRule="auto"/>
        <w:jc w:val="left"/>
        <w:textAlignment w:val="baseline"/>
        <w:rPr>
          <w:rFonts w:ascii="宋体" w:hAnsi="宋体"/>
        </w:rPr>
      </w:pPr>
      <w:r>
        <w:rPr>
          <w:rFonts w:ascii="宋体" w:hAnsi="宋体"/>
        </w:rPr>
        <w:t>2</w:t>
      </w:r>
      <w:r>
        <w:rPr>
          <w:rFonts w:hint="eastAsia" w:ascii="宋体" w:hAnsi="宋体"/>
        </w:rPr>
        <w:t>2</w:t>
      </w:r>
      <w:r>
        <w:rPr>
          <w:rFonts w:ascii="宋体" w:hAnsi="宋体"/>
        </w:rPr>
        <w:t>.</w:t>
      </w:r>
      <w:r>
        <w:rPr>
          <w:rFonts w:ascii="宋体" w:hAnsi="宋体"/>
        </w:rPr>
        <w:tab/>
      </w:r>
      <w:r>
        <w:rPr>
          <w:rFonts w:hint="eastAsia" w:ascii="宋体" w:hAnsi="宋体"/>
        </w:rPr>
        <w:t>评审原则</w:t>
      </w:r>
    </w:p>
    <w:p>
      <w:pPr>
        <w:spacing w:line="360" w:lineRule="auto"/>
        <w:rPr>
          <w:sz w:val="24"/>
          <w:szCs w:val="32"/>
        </w:rPr>
      </w:pPr>
      <w:r>
        <w:rPr>
          <w:rFonts w:hint="eastAsia" w:ascii="宋体" w:hAnsi="宋体"/>
          <w:sz w:val="24"/>
          <w:szCs w:val="32"/>
        </w:rPr>
        <w:t>22.1</w:t>
      </w:r>
      <w:r>
        <w:rPr>
          <w:rFonts w:hint="eastAsia" w:ascii="宋体" w:hAnsi="宋体"/>
          <w:sz w:val="24"/>
          <w:szCs w:val="32"/>
        </w:rPr>
        <w:tab/>
      </w:r>
      <w:r>
        <w:rPr>
          <w:rFonts w:hint="eastAsia" w:ascii="宋体" w:hAnsi="宋体"/>
          <w:sz w:val="24"/>
          <w:szCs w:val="32"/>
        </w:rPr>
        <w:t>坚持“公开、公正、公平、诚信、择优”的原则，选择业绩好、信誉好，组织机构完善，参加人员素质能胜任本</w:t>
      </w:r>
      <w:r>
        <w:rPr>
          <w:rFonts w:hint="eastAsia"/>
          <w:sz w:val="24"/>
          <w:szCs w:val="32"/>
        </w:rPr>
        <w:t>招标代理服务要求的投标人。</w:t>
      </w:r>
    </w:p>
    <w:p>
      <w:pPr>
        <w:pStyle w:val="4"/>
        <w:numPr>
          <w:ilvl w:val="2"/>
          <w:numId w:val="0"/>
        </w:numPr>
        <w:tabs>
          <w:tab w:val="left" w:pos="720"/>
        </w:tabs>
        <w:adjustRightInd w:val="0"/>
        <w:spacing w:before="240" w:after="120" w:line="300" w:lineRule="auto"/>
        <w:jc w:val="left"/>
        <w:textAlignment w:val="baseline"/>
        <w:rPr>
          <w:rFonts w:ascii="宋体" w:hAnsi="宋体"/>
          <w:b w:val="0"/>
          <w:bCs w:val="0"/>
        </w:rPr>
      </w:pPr>
      <w:r>
        <w:rPr>
          <w:rFonts w:ascii="宋体" w:hAnsi="宋体"/>
        </w:rPr>
        <w:t>2</w:t>
      </w:r>
      <w:r>
        <w:rPr>
          <w:rFonts w:hint="eastAsia" w:ascii="宋体" w:hAnsi="宋体"/>
        </w:rPr>
        <w:t>3</w:t>
      </w:r>
      <w:r>
        <w:rPr>
          <w:rFonts w:ascii="宋体" w:hAnsi="宋体"/>
        </w:rPr>
        <w:t>.</w:t>
      </w:r>
      <w:r>
        <w:rPr>
          <w:rFonts w:ascii="宋体" w:hAnsi="宋体"/>
        </w:rPr>
        <w:tab/>
      </w:r>
      <w:r>
        <w:rPr>
          <w:rFonts w:hint="eastAsia" w:ascii="宋体" w:hAnsi="宋体"/>
        </w:rPr>
        <w:t>评标委员会</w:t>
      </w:r>
    </w:p>
    <w:p>
      <w:pPr>
        <w:tabs>
          <w:tab w:val="left" w:pos="8535"/>
        </w:tabs>
        <w:spacing w:line="360" w:lineRule="auto"/>
        <w:ind w:left="735" w:hanging="735"/>
        <w:rPr>
          <w:rFonts w:ascii="宋体" w:hAnsi="宋体"/>
          <w:sz w:val="24"/>
          <w:szCs w:val="32"/>
        </w:rPr>
      </w:pPr>
      <w:r>
        <w:rPr>
          <w:rFonts w:hint="eastAsia" w:ascii="宋体" w:hAnsi="宋体"/>
          <w:sz w:val="24"/>
          <w:szCs w:val="32"/>
        </w:rPr>
        <w:t>23.1</w:t>
      </w:r>
      <w:r>
        <w:rPr>
          <w:rFonts w:hint="eastAsia" w:ascii="宋体" w:hAnsi="宋体"/>
          <w:sz w:val="24"/>
          <w:szCs w:val="32"/>
        </w:rPr>
        <w:tab/>
      </w:r>
      <w:r>
        <w:rPr>
          <w:rFonts w:hint="eastAsia" w:ascii="宋体" w:hAnsi="宋体"/>
          <w:sz w:val="24"/>
          <w:szCs w:val="32"/>
        </w:rPr>
        <w:t>评标委员会的组成</w:t>
      </w:r>
    </w:p>
    <w:p>
      <w:pPr>
        <w:tabs>
          <w:tab w:val="left" w:pos="8535"/>
        </w:tabs>
        <w:spacing w:line="360" w:lineRule="auto"/>
        <w:ind w:left="735" w:hanging="735"/>
        <w:rPr>
          <w:rFonts w:ascii="宋体" w:hAnsi="宋体"/>
          <w:sz w:val="24"/>
          <w:szCs w:val="32"/>
        </w:rPr>
      </w:pPr>
      <w:r>
        <w:rPr>
          <w:rFonts w:hint="eastAsia" w:ascii="宋体" w:hAnsi="宋体"/>
          <w:sz w:val="24"/>
          <w:szCs w:val="32"/>
        </w:rPr>
        <w:t>23.1.1</w:t>
      </w:r>
      <w:r>
        <w:rPr>
          <w:rFonts w:hint="eastAsia" w:ascii="宋体" w:hAnsi="宋体"/>
          <w:sz w:val="24"/>
          <w:szCs w:val="32"/>
        </w:rPr>
        <w:tab/>
      </w:r>
      <w:r>
        <w:rPr>
          <w:rFonts w:hint="eastAsia" w:ascii="宋体" w:hAnsi="宋体"/>
          <w:sz w:val="24"/>
          <w:szCs w:val="32"/>
        </w:rPr>
        <w:t>评标委员会由招标人依法组建。</w:t>
      </w:r>
    </w:p>
    <w:p>
      <w:pPr>
        <w:adjustRightInd w:val="0"/>
        <w:snapToGrid w:val="0"/>
        <w:spacing w:line="360" w:lineRule="auto"/>
        <w:rPr>
          <w:rFonts w:ascii="宋体" w:hAnsi="宋体"/>
          <w:sz w:val="24"/>
        </w:rPr>
      </w:pPr>
      <w:r>
        <w:rPr>
          <w:rFonts w:hint="eastAsia" w:ascii="宋体" w:hAnsi="宋体"/>
          <w:sz w:val="24"/>
        </w:rPr>
        <w:t>23.2</w:t>
      </w:r>
      <w:r>
        <w:rPr>
          <w:rFonts w:hint="eastAsia" w:ascii="宋体" w:hAnsi="宋体"/>
          <w:sz w:val="24"/>
        </w:rPr>
        <w:tab/>
      </w:r>
      <w:r>
        <w:rPr>
          <w:rFonts w:hint="eastAsia" w:ascii="宋体" w:hAnsi="宋体"/>
          <w:sz w:val="24"/>
        </w:rPr>
        <w:t>评标委员会的职责</w:t>
      </w:r>
    </w:p>
    <w:p>
      <w:pPr>
        <w:adjustRightInd w:val="0"/>
        <w:snapToGrid w:val="0"/>
        <w:spacing w:line="360" w:lineRule="auto"/>
        <w:rPr>
          <w:rFonts w:ascii="宋体" w:hAnsi="宋体"/>
          <w:sz w:val="24"/>
        </w:rPr>
      </w:pPr>
      <w:r>
        <w:rPr>
          <w:rFonts w:hint="eastAsia" w:ascii="宋体" w:hAnsi="宋体"/>
          <w:sz w:val="24"/>
        </w:rPr>
        <w:t>23.2.1</w:t>
      </w:r>
      <w:r>
        <w:rPr>
          <w:rFonts w:hint="eastAsia" w:ascii="宋体" w:hAnsi="宋体"/>
          <w:sz w:val="24"/>
        </w:rPr>
        <w:tab/>
      </w:r>
      <w:r>
        <w:rPr>
          <w:rFonts w:hint="eastAsia" w:ascii="宋体" w:hAnsi="宋体"/>
          <w:sz w:val="24"/>
        </w:rPr>
        <w:t>投标文件的有效性检查；</w:t>
      </w:r>
    </w:p>
    <w:p>
      <w:pPr>
        <w:adjustRightInd w:val="0"/>
        <w:snapToGrid w:val="0"/>
        <w:spacing w:line="360" w:lineRule="auto"/>
        <w:rPr>
          <w:rFonts w:ascii="宋体" w:hAnsi="宋体"/>
          <w:sz w:val="24"/>
        </w:rPr>
      </w:pPr>
      <w:r>
        <w:rPr>
          <w:rFonts w:hint="eastAsia" w:ascii="宋体" w:hAnsi="宋体"/>
          <w:sz w:val="24"/>
        </w:rPr>
        <w:t>23.2.2</w:t>
      </w:r>
      <w:r>
        <w:rPr>
          <w:rFonts w:hint="eastAsia" w:ascii="宋体" w:hAnsi="宋体"/>
          <w:sz w:val="24"/>
        </w:rPr>
        <w:tab/>
      </w:r>
      <w:r>
        <w:rPr>
          <w:rFonts w:hint="eastAsia" w:ascii="宋体" w:hAnsi="宋体"/>
          <w:sz w:val="24"/>
        </w:rPr>
        <w:t>投标文件综合评审；</w:t>
      </w:r>
    </w:p>
    <w:p>
      <w:pPr>
        <w:adjustRightInd w:val="0"/>
        <w:snapToGrid w:val="0"/>
        <w:spacing w:line="360" w:lineRule="auto"/>
        <w:rPr>
          <w:rFonts w:ascii="宋体" w:hAnsi="宋体"/>
          <w:sz w:val="24"/>
        </w:rPr>
      </w:pPr>
      <w:r>
        <w:rPr>
          <w:rFonts w:hint="eastAsia" w:ascii="宋体" w:hAnsi="宋体"/>
          <w:sz w:val="24"/>
        </w:rPr>
        <w:t>23.2.3</w:t>
      </w:r>
      <w:r>
        <w:rPr>
          <w:rFonts w:hint="eastAsia" w:ascii="宋体" w:hAnsi="宋体"/>
          <w:sz w:val="24"/>
        </w:rPr>
        <w:tab/>
      </w:r>
      <w:r>
        <w:rPr>
          <w:rFonts w:hint="eastAsia" w:ascii="宋体" w:hAnsi="宋体"/>
          <w:sz w:val="24"/>
        </w:rPr>
        <w:t>进行必要澄清、核查；</w:t>
      </w:r>
    </w:p>
    <w:p>
      <w:pPr>
        <w:adjustRightInd w:val="0"/>
        <w:snapToGrid w:val="0"/>
        <w:spacing w:line="360" w:lineRule="auto"/>
        <w:rPr>
          <w:rFonts w:ascii="宋体" w:hAnsi="宋体"/>
          <w:sz w:val="24"/>
        </w:rPr>
      </w:pPr>
      <w:r>
        <w:rPr>
          <w:rFonts w:hint="eastAsia" w:ascii="宋体" w:hAnsi="宋体"/>
          <w:sz w:val="24"/>
        </w:rPr>
        <w:t>23.2.4</w:t>
      </w:r>
      <w:r>
        <w:rPr>
          <w:rFonts w:hint="eastAsia" w:ascii="宋体" w:hAnsi="宋体"/>
          <w:sz w:val="24"/>
        </w:rPr>
        <w:tab/>
      </w:r>
      <w:r>
        <w:rPr>
          <w:rFonts w:hint="eastAsia" w:ascii="宋体" w:hAnsi="宋体"/>
          <w:sz w:val="24"/>
        </w:rPr>
        <w:t>统计综合得分，推荐中标候选人；</w:t>
      </w:r>
    </w:p>
    <w:p>
      <w:pPr>
        <w:adjustRightInd w:val="0"/>
        <w:snapToGrid w:val="0"/>
        <w:spacing w:line="360" w:lineRule="auto"/>
        <w:rPr>
          <w:rFonts w:ascii="宋体" w:hAnsi="宋体"/>
          <w:sz w:val="24"/>
        </w:rPr>
      </w:pPr>
      <w:r>
        <w:rPr>
          <w:rFonts w:hint="eastAsia" w:ascii="宋体" w:hAnsi="宋体"/>
          <w:sz w:val="24"/>
        </w:rPr>
        <w:t>23.2.5</w:t>
      </w:r>
      <w:r>
        <w:rPr>
          <w:rFonts w:hint="eastAsia" w:ascii="宋体" w:hAnsi="宋体"/>
          <w:sz w:val="24"/>
        </w:rPr>
        <w:tab/>
      </w:r>
      <w:r>
        <w:rPr>
          <w:rFonts w:hint="eastAsia" w:ascii="宋体" w:hAnsi="宋体"/>
          <w:sz w:val="24"/>
        </w:rPr>
        <w:t>与评审有关的事务。</w:t>
      </w:r>
    </w:p>
    <w:p>
      <w:pPr>
        <w:pStyle w:val="4"/>
        <w:numPr>
          <w:ilvl w:val="2"/>
          <w:numId w:val="0"/>
        </w:numPr>
        <w:tabs>
          <w:tab w:val="left" w:pos="720"/>
        </w:tabs>
        <w:adjustRightInd w:val="0"/>
        <w:spacing w:before="240" w:after="120" w:line="300" w:lineRule="auto"/>
        <w:jc w:val="left"/>
        <w:textAlignment w:val="baseline"/>
        <w:rPr>
          <w:rFonts w:ascii="宋体" w:hAnsi="宋体"/>
          <w:b w:val="0"/>
        </w:rPr>
      </w:pPr>
      <w:r>
        <w:rPr>
          <w:rFonts w:hint="eastAsia" w:ascii="宋体" w:hAnsi="宋体"/>
        </w:rPr>
        <w:t>24.</w:t>
      </w:r>
      <w:r>
        <w:rPr>
          <w:rFonts w:hint="eastAsia" w:ascii="宋体" w:hAnsi="宋体"/>
        </w:rPr>
        <w:tab/>
      </w:r>
      <w:r>
        <w:rPr>
          <w:rFonts w:hint="eastAsia" w:ascii="宋体" w:hAnsi="宋体"/>
        </w:rPr>
        <w:t>评审程序</w:t>
      </w:r>
    </w:p>
    <w:p>
      <w:pPr>
        <w:adjustRightInd w:val="0"/>
        <w:snapToGrid w:val="0"/>
        <w:spacing w:line="360" w:lineRule="auto"/>
        <w:rPr>
          <w:rFonts w:ascii="宋体" w:hAnsi="宋体"/>
          <w:sz w:val="24"/>
        </w:rPr>
      </w:pPr>
      <w:r>
        <w:rPr>
          <w:rFonts w:hint="eastAsia" w:ascii="宋体" w:hAnsi="宋体"/>
          <w:sz w:val="24"/>
        </w:rPr>
        <w:t>24.1投标文件的有效性检查；</w:t>
      </w:r>
    </w:p>
    <w:p>
      <w:pPr>
        <w:adjustRightInd w:val="0"/>
        <w:snapToGrid w:val="0"/>
        <w:spacing w:line="360" w:lineRule="auto"/>
        <w:rPr>
          <w:rFonts w:ascii="宋体" w:hAnsi="宋体"/>
          <w:sz w:val="24"/>
        </w:rPr>
      </w:pPr>
      <w:r>
        <w:rPr>
          <w:rFonts w:hint="eastAsia" w:ascii="宋体" w:hAnsi="宋体"/>
          <w:sz w:val="24"/>
        </w:rPr>
        <w:t>24.2投标文件综合评审；</w:t>
      </w:r>
    </w:p>
    <w:p>
      <w:pPr>
        <w:adjustRightInd w:val="0"/>
        <w:snapToGrid w:val="0"/>
        <w:spacing w:line="360" w:lineRule="auto"/>
        <w:rPr>
          <w:rFonts w:ascii="宋体" w:hAnsi="宋体"/>
          <w:sz w:val="24"/>
        </w:rPr>
      </w:pPr>
      <w:r>
        <w:rPr>
          <w:rFonts w:hint="eastAsia" w:ascii="宋体" w:hAnsi="宋体"/>
          <w:sz w:val="24"/>
        </w:rPr>
        <w:t>24.3进行必要澄清、核查；</w:t>
      </w:r>
    </w:p>
    <w:p>
      <w:pPr>
        <w:adjustRightInd w:val="0"/>
        <w:snapToGrid w:val="0"/>
        <w:spacing w:line="360" w:lineRule="auto"/>
        <w:rPr>
          <w:rFonts w:ascii="宋体" w:hAnsi="宋体"/>
          <w:sz w:val="24"/>
        </w:rPr>
      </w:pPr>
      <w:r>
        <w:rPr>
          <w:rFonts w:hint="eastAsia" w:ascii="宋体" w:hAnsi="宋体"/>
          <w:sz w:val="24"/>
        </w:rPr>
        <w:t>24.4统计综合得分；</w:t>
      </w:r>
    </w:p>
    <w:p>
      <w:pPr>
        <w:adjustRightInd w:val="0"/>
        <w:snapToGrid w:val="0"/>
        <w:spacing w:line="360" w:lineRule="auto"/>
        <w:rPr>
          <w:rFonts w:ascii="宋体" w:hAnsi="宋体"/>
          <w:sz w:val="24"/>
        </w:rPr>
      </w:pPr>
      <w:r>
        <w:rPr>
          <w:rFonts w:hint="eastAsia" w:ascii="宋体" w:hAnsi="宋体"/>
          <w:sz w:val="24"/>
        </w:rPr>
        <w:t>24.5推荐中标候选人。</w:t>
      </w:r>
    </w:p>
    <w:p>
      <w:pPr>
        <w:pStyle w:val="4"/>
        <w:numPr>
          <w:ilvl w:val="2"/>
          <w:numId w:val="0"/>
        </w:numPr>
        <w:tabs>
          <w:tab w:val="left" w:pos="720"/>
        </w:tabs>
        <w:adjustRightInd w:val="0"/>
        <w:spacing w:before="240" w:after="120" w:line="300" w:lineRule="auto"/>
        <w:jc w:val="left"/>
        <w:textAlignment w:val="baseline"/>
        <w:rPr>
          <w:rFonts w:ascii="宋体" w:hAnsi="宋体"/>
          <w:sz w:val="21"/>
          <w:szCs w:val="21"/>
        </w:rPr>
      </w:pPr>
      <w:r>
        <w:rPr>
          <w:rFonts w:hint="eastAsia" w:ascii="宋体" w:hAnsi="宋体"/>
        </w:rPr>
        <w:t>25.评审细则</w:t>
      </w:r>
    </w:p>
    <w:p>
      <w:pPr>
        <w:adjustRightInd w:val="0"/>
        <w:snapToGrid w:val="0"/>
        <w:spacing w:line="360" w:lineRule="auto"/>
        <w:rPr>
          <w:rFonts w:ascii="宋体" w:hAnsi="宋体"/>
          <w:sz w:val="24"/>
        </w:rPr>
      </w:pPr>
      <w:r>
        <w:rPr>
          <w:rFonts w:hint="eastAsia" w:ascii="宋体" w:hAnsi="宋体"/>
          <w:sz w:val="24"/>
        </w:rPr>
        <w:t>25.1</w:t>
      </w:r>
      <w:r>
        <w:rPr>
          <w:rFonts w:hint="eastAsia" w:ascii="宋体" w:hAnsi="宋体"/>
          <w:sz w:val="24"/>
        </w:rPr>
        <w:tab/>
      </w:r>
      <w:r>
        <w:rPr>
          <w:rFonts w:hint="eastAsia" w:ascii="宋体" w:hAnsi="宋体"/>
          <w:sz w:val="24"/>
        </w:rPr>
        <w:t>投标文件的有效性审查细则</w:t>
      </w:r>
    </w:p>
    <w:p>
      <w:pPr>
        <w:adjustRightInd w:val="0"/>
        <w:snapToGrid w:val="0"/>
        <w:spacing w:line="360" w:lineRule="auto"/>
        <w:ind w:firstLine="480" w:firstLineChars="200"/>
        <w:rPr>
          <w:rFonts w:ascii="宋体" w:hAnsi="宋体"/>
          <w:sz w:val="24"/>
        </w:rPr>
      </w:pPr>
      <w:r>
        <w:rPr>
          <w:rFonts w:hint="eastAsia" w:ascii="宋体" w:hAnsi="宋体"/>
          <w:sz w:val="24"/>
        </w:rPr>
        <w:t>投标文件中必须评标委员会全体人员共同确认的事项，若各评审人员意见不一致时，必须经评标委员会的全体评审人员以少数服从多数的形式表决通过并形成书面决议，书面决议须经全体评审人员签名确认。投标文件综合评审按以下程序进行：</w:t>
      </w:r>
    </w:p>
    <w:p>
      <w:pPr>
        <w:adjustRightInd w:val="0"/>
        <w:snapToGrid w:val="0"/>
        <w:spacing w:line="360" w:lineRule="auto"/>
        <w:ind w:firstLine="480" w:firstLineChars="200"/>
        <w:rPr>
          <w:rFonts w:hint="eastAsia" w:ascii="宋体" w:hAnsi="宋体"/>
          <w:sz w:val="24"/>
        </w:rPr>
      </w:pPr>
      <w:r>
        <w:rPr>
          <w:rFonts w:hint="eastAsia" w:ascii="宋体" w:hAnsi="宋体"/>
          <w:sz w:val="24"/>
        </w:rPr>
        <w:t>资格性审查具体详见本章附件1《资格性审查表》，符合性审查具体详见本章附件2《符合性审查表》。投标文件通过资格性、符合性审查后，进入综合评审，具体详见本章附件3《</w:t>
      </w:r>
      <w:r>
        <w:rPr>
          <w:rFonts w:hint="eastAsia" w:ascii="宋体" w:hAnsi="宋体"/>
          <w:bCs/>
          <w:sz w:val="24"/>
        </w:rPr>
        <w:t>综合评分表</w:t>
      </w:r>
      <w:r>
        <w:rPr>
          <w:rFonts w:hint="eastAsia" w:ascii="宋体" w:hAnsi="宋体"/>
          <w:sz w:val="24"/>
        </w:rPr>
        <w:t>》。</w:t>
      </w:r>
    </w:p>
    <w:p>
      <w:pPr>
        <w:adjustRightInd w:val="0"/>
        <w:snapToGrid w:val="0"/>
        <w:spacing w:line="360" w:lineRule="auto"/>
        <w:ind w:firstLine="480" w:firstLineChars="200"/>
        <w:rPr>
          <w:rFonts w:ascii="宋体" w:hAnsi="宋体"/>
          <w:color w:val="FF0000"/>
          <w:sz w:val="24"/>
        </w:rPr>
      </w:pPr>
      <w:r>
        <w:rPr>
          <w:rFonts w:hint="eastAsia" w:ascii="宋体" w:hAnsi="宋体"/>
          <w:sz w:val="24"/>
        </w:rPr>
        <w:t>当通过符合性审查的投标人不足三家时，则本次招标失败，招标人将依法重新组织招标。</w:t>
      </w:r>
    </w:p>
    <w:p>
      <w:pPr>
        <w:spacing w:line="360" w:lineRule="auto"/>
        <w:rPr>
          <w:rFonts w:ascii="宋体" w:hAnsi="宋体"/>
          <w:sz w:val="24"/>
        </w:rPr>
      </w:pPr>
      <w:r>
        <w:rPr>
          <w:rFonts w:hint="eastAsia" w:ascii="宋体" w:hAnsi="宋体"/>
          <w:sz w:val="24"/>
        </w:rPr>
        <w:t>25.2</w:t>
      </w:r>
      <w:r>
        <w:rPr>
          <w:rFonts w:hint="eastAsia" w:ascii="宋体" w:hAnsi="宋体"/>
          <w:sz w:val="24"/>
        </w:rPr>
        <w:tab/>
      </w:r>
      <w:r>
        <w:rPr>
          <w:rFonts w:hint="eastAsia" w:ascii="宋体" w:hAnsi="宋体"/>
          <w:sz w:val="24"/>
        </w:rPr>
        <w:t>投标文件综合评审程序</w:t>
      </w:r>
    </w:p>
    <w:p>
      <w:pPr>
        <w:adjustRightInd w:val="0"/>
        <w:snapToGrid w:val="0"/>
        <w:spacing w:line="360" w:lineRule="auto"/>
        <w:ind w:firstLine="480" w:firstLineChars="200"/>
        <w:rPr>
          <w:rFonts w:ascii="宋体" w:hAnsi="宋体"/>
          <w:sz w:val="24"/>
        </w:rPr>
      </w:pPr>
      <w:r>
        <w:rPr>
          <w:rFonts w:hint="eastAsia" w:ascii="宋体" w:hAnsi="宋体"/>
          <w:sz w:val="24"/>
        </w:rPr>
        <w:t>评标委员会对通过资格性、符合性审查的投标文件按评分标准独立进行评审，评审采用百分制表示。</w:t>
      </w:r>
    </w:p>
    <w:p>
      <w:pPr>
        <w:adjustRightInd w:val="0"/>
        <w:snapToGrid w:val="0"/>
        <w:spacing w:line="360" w:lineRule="auto"/>
        <w:ind w:firstLine="480" w:firstLineChars="200"/>
        <w:rPr>
          <w:rFonts w:ascii="宋体" w:hAnsi="宋体"/>
          <w:sz w:val="24"/>
        </w:rPr>
      </w:pPr>
      <w:r>
        <w:rPr>
          <w:rFonts w:hint="eastAsia" w:ascii="宋体" w:hAnsi="宋体"/>
          <w:sz w:val="24"/>
        </w:rPr>
        <w:t>评标委员会根据投标文件及有关资料、评分标准，对投标文件的质量和水平进行独立评审，并在评审表格上进行记名评分。</w:t>
      </w:r>
    </w:p>
    <w:p>
      <w:pPr>
        <w:spacing w:line="360" w:lineRule="auto"/>
        <w:rPr>
          <w:rFonts w:ascii="宋体" w:hAnsi="宋体"/>
          <w:sz w:val="24"/>
        </w:rPr>
      </w:pPr>
      <w:r>
        <w:rPr>
          <w:rFonts w:hint="eastAsia" w:ascii="宋体" w:hAnsi="宋体"/>
          <w:sz w:val="24"/>
        </w:rPr>
        <w:t>25.3</w:t>
      </w:r>
      <w:r>
        <w:rPr>
          <w:rFonts w:hint="eastAsia" w:ascii="宋体" w:hAnsi="宋体"/>
          <w:sz w:val="24"/>
        </w:rPr>
        <w:tab/>
      </w:r>
      <w:r>
        <w:rPr>
          <w:rFonts w:hint="eastAsia" w:ascii="宋体" w:hAnsi="宋体"/>
          <w:sz w:val="24"/>
        </w:rPr>
        <w:t>评标委员会评审原则</w:t>
      </w:r>
    </w:p>
    <w:p>
      <w:pPr>
        <w:adjustRightInd w:val="0"/>
        <w:snapToGrid w:val="0"/>
        <w:spacing w:line="360" w:lineRule="auto"/>
        <w:rPr>
          <w:rFonts w:ascii="宋体" w:hAnsi="宋体"/>
          <w:sz w:val="24"/>
        </w:rPr>
      </w:pPr>
      <w:r>
        <w:rPr>
          <w:rFonts w:hint="eastAsia" w:ascii="宋体" w:hAnsi="宋体"/>
          <w:sz w:val="24"/>
        </w:rPr>
        <w:t>25.3.1</w:t>
      </w:r>
      <w:r>
        <w:rPr>
          <w:rFonts w:hint="eastAsia" w:ascii="宋体" w:hAnsi="宋体"/>
          <w:sz w:val="24"/>
        </w:rPr>
        <w:tab/>
      </w:r>
      <w:r>
        <w:rPr>
          <w:rFonts w:hint="eastAsia" w:ascii="宋体" w:hAnsi="宋体"/>
          <w:sz w:val="24"/>
        </w:rPr>
        <w:t>评标委员会成员应严格按招标文件规定的评分标准、程序独立地对招标作出正确评价；</w:t>
      </w:r>
    </w:p>
    <w:p>
      <w:pPr>
        <w:adjustRightInd w:val="0"/>
        <w:snapToGrid w:val="0"/>
        <w:spacing w:line="360" w:lineRule="auto"/>
        <w:rPr>
          <w:rFonts w:ascii="宋体" w:hAnsi="宋体"/>
          <w:sz w:val="24"/>
        </w:rPr>
      </w:pPr>
      <w:r>
        <w:rPr>
          <w:rFonts w:hint="eastAsia" w:ascii="宋体" w:hAnsi="宋体"/>
          <w:sz w:val="24"/>
        </w:rPr>
        <w:t>25.3.2</w:t>
      </w:r>
      <w:r>
        <w:rPr>
          <w:rFonts w:hint="eastAsia" w:ascii="宋体" w:hAnsi="宋体"/>
          <w:sz w:val="24"/>
        </w:rPr>
        <w:tab/>
      </w:r>
      <w:r>
        <w:rPr>
          <w:rFonts w:hint="eastAsia" w:ascii="宋体" w:hAnsi="宋体"/>
          <w:sz w:val="24"/>
        </w:rPr>
        <w:t>评标委员会成员出现争议时，按以下原则处理：采用记名投票表决方式，并以少数服从多数的原则处理。</w:t>
      </w:r>
    </w:p>
    <w:p>
      <w:pPr>
        <w:spacing w:line="360" w:lineRule="auto"/>
        <w:rPr>
          <w:rFonts w:ascii="宋体" w:hAnsi="宋体"/>
          <w:sz w:val="24"/>
        </w:rPr>
      </w:pPr>
      <w:r>
        <w:rPr>
          <w:rFonts w:hint="eastAsia" w:ascii="宋体" w:hAnsi="宋体"/>
          <w:sz w:val="24"/>
        </w:rPr>
        <w:t>25.4</w:t>
      </w:r>
      <w:r>
        <w:rPr>
          <w:rFonts w:hint="eastAsia" w:ascii="宋体" w:hAnsi="宋体"/>
          <w:sz w:val="24"/>
        </w:rPr>
        <w:tab/>
      </w:r>
      <w:r>
        <w:rPr>
          <w:rFonts w:hint="eastAsia" w:ascii="宋体" w:hAnsi="宋体"/>
          <w:sz w:val="24"/>
        </w:rPr>
        <w:t>最终综合得分统计原则</w:t>
      </w:r>
    </w:p>
    <w:p>
      <w:pPr>
        <w:adjustRightInd w:val="0"/>
        <w:snapToGrid w:val="0"/>
        <w:spacing w:line="360" w:lineRule="auto"/>
        <w:ind w:firstLine="480" w:firstLineChars="200"/>
        <w:rPr>
          <w:rFonts w:ascii="宋体" w:hAnsi="宋体"/>
          <w:sz w:val="24"/>
        </w:rPr>
      </w:pPr>
      <w:r>
        <w:rPr>
          <w:rFonts w:hint="eastAsia" w:ascii="宋体" w:hAnsi="宋体"/>
          <w:sz w:val="24"/>
        </w:rPr>
        <w:t>最终综合得分的确定是按各评委的评分后的算术平均值计取。</w:t>
      </w:r>
    </w:p>
    <w:p>
      <w:pPr>
        <w:pStyle w:val="4"/>
        <w:numPr>
          <w:ilvl w:val="2"/>
          <w:numId w:val="0"/>
        </w:numPr>
        <w:tabs>
          <w:tab w:val="left" w:pos="720"/>
        </w:tabs>
        <w:adjustRightInd w:val="0"/>
        <w:spacing w:before="240" w:after="120" w:line="300" w:lineRule="auto"/>
        <w:jc w:val="left"/>
        <w:textAlignment w:val="baseline"/>
        <w:rPr>
          <w:rFonts w:ascii="宋体" w:hAnsi="宋体"/>
          <w:sz w:val="21"/>
          <w:szCs w:val="21"/>
        </w:rPr>
      </w:pPr>
      <w:r>
        <w:rPr>
          <w:rFonts w:hint="eastAsia" w:ascii="宋体" w:hAnsi="宋体"/>
        </w:rPr>
        <w:t>26.</w:t>
      </w:r>
      <w:r>
        <w:rPr>
          <w:rFonts w:hint="eastAsia" w:ascii="宋体" w:hAnsi="宋体"/>
        </w:rPr>
        <w:tab/>
      </w:r>
      <w:r>
        <w:rPr>
          <w:rFonts w:hint="eastAsia" w:ascii="宋体" w:hAnsi="宋体"/>
        </w:rPr>
        <w:t>推荐中标候选人</w:t>
      </w:r>
    </w:p>
    <w:p>
      <w:pPr>
        <w:spacing w:after="120" w:afterLines="50" w:line="360" w:lineRule="auto"/>
        <w:ind w:firstLine="480" w:firstLineChars="200"/>
        <w:rPr>
          <w:rFonts w:ascii="宋体" w:hAnsi="宋体"/>
          <w:bCs/>
          <w:sz w:val="24"/>
          <w:szCs w:val="32"/>
        </w:rPr>
      </w:pPr>
      <w:r>
        <w:rPr>
          <w:rFonts w:hint="eastAsia" w:ascii="宋体" w:hAnsi="宋体"/>
          <w:bCs/>
          <w:sz w:val="24"/>
          <w:szCs w:val="32"/>
        </w:rPr>
        <w:t>(1)评标委员会将按照综合得分排名由高到低的顺序推荐前3名为中标候选人，其中得分最高的为第一中标候选人，以此类推。</w:t>
      </w:r>
    </w:p>
    <w:p>
      <w:pPr>
        <w:pStyle w:val="12"/>
        <w:spacing w:line="360" w:lineRule="auto"/>
        <w:ind w:firstLine="480" w:firstLineChars="200"/>
        <w:rPr>
          <w:rFonts w:ascii="宋体" w:hAnsi="宋体"/>
          <w:bCs/>
          <w:szCs w:val="32"/>
        </w:rPr>
      </w:pPr>
      <w:r>
        <w:rPr>
          <w:rFonts w:hint="eastAsia" w:ascii="宋体" w:hAnsi="宋体"/>
          <w:bCs/>
          <w:szCs w:val="32"/>
        </w:rPr>
        <w:t>（2）综合得分相同的，按报价下浮率由高到低顺序排列，综合得分且报价下浮率相同的，按技术部分得分由高到低顺序排列。</w:t>
      </w:r>
    </w:p>
    <w:p>
      <w:pPr>
        <w:spacing w:before="72" w:beforeLines="30" w:after="72" w:afterLines="30" w:line="360" w:lineRule="auto"/>
        <w:ind w:firstLine="480" w:firstLineChars="200"/>
        <w:rPr>
          <w:rFonts w:ascii="宋体" w:hAnsi="宋体" w:cs="宋体"/>
          <w:sz w:val="24"/>
        </w:rPr>
      </w:pPr>
      <w:r>
        <w:rPr>
          <w:rFonts w:hint="eastAsia"/>
          <w:sz w:val="24"/>
          <w:szCs w:val="32"/>
        </w:rPr>
        <w:t>（3）</w:t>
      </w:r>
      <w:r>
        <w:rPr>
          <w:rFonts w:hint="eastAsia" w:ascii="宋体" w:hAnsi="宋体" w:cs="宋体"/>
          <w:sz w:val="24"/>
        </w:rPr>
        <w:t>中标候选人放弃中标、因不可抗力不能履行合同，或者被查实存在影响中标结果的违法行为等情形，不符合中标条件的，采购人可以按照评标委员会提出的中标候选人名单排序依次确定其他中标候选人为中标人，也可以重新采购。</w:t>
      </w:r>
    </w:p>
    <w:p>
      <w:pPr>
        <w:pStyle w:val="4"/>
        <w:numPr>
          <w:ilvl w:val="2"/>
          <w:numId w:val="0"/>
        </w:numPr>
        <w:tabs>
          <w:tab w:val="left" w:pos="720"/>
        </w:tabs>
        <w:adjustRightInd w:val="0"/>
        <w:spacing w:before="240" w:after="120" w:line="300" w:lineRule="auto"/>
        <w:jc w:val="left"/>
        <w:textAlignment w:val="baseline"/>
        <w:rPr>
          <w:rFonts w:ascii="宋体" w:hAnsi="宋体"/>
          <w:sz w:val="21"/>
          <w:szCs w:val="21"/>
        </w:rPr>
      </w:pPr>
      <w:r>
        <w:rPr>
          <w:rFonts w:hint="eastAsia" w:ascii="宋体" w:hAnsi="宋体"/>
        </w:rPr>
        <w:t>27.</w:t>
      </w:r>
      <w:r>
        <w:rPr>
          <w:rFonts w:hint="eastAsia" w:ascii="宋体" w:hAnsi="宋体"/>
        </w:rPr>
        <w:tab/>
      </w:r>
      <w:r>
        <w:rPr>
          <w:rFonts w:hint="eastAsia" w:ascii="宋体" w:hAnsi="宋体"/>
        </w:rPr>
        <w:t>中标人的确定原则</w:t>
      </w:r>
    </w:p>
    <w:p>
      <w:pPr>
        <w:adjustRightInd w:val="0"/>
        <w:snapToGrid w:val="0"/>
        <w:spacing w:line="360" w:lineRule="auto"/>
        <w:ind w:firstLine="480" w:firstLineChars="200"/>
        <w:rPr>
          <w:rFonts w:ascii="宋体" w:hAnsi="宋体"/>
          <w:sz w:val="24"/>
        </w:rPr>
      </w:pPr>
      <w:r>
        <w:rPr>
          <w:rFonts w:hint="eastAsia" w:ascii="宋体" w:hAnsi="宋体"/>
          <w:sz w:val="24"/>
        </w:rPr>
        <w:t>招标人一般情况下，应以评标委员会推荐的第一中标候选人为中标人，第一中标候选人放弃中标资格的或未按规定签订合同的，其中标资格由第二中标候选人补上，以此类推。第一中标候选人在确认有效后作为“</w:t>
      </w:r>
      <w:r>
        <w:rPr>
          <w:rFonts w:hint="eastAsia" w:ascii="宋体" w:hAnsi="宋体" w:cs="宋体"/>
          <w:sz w:val="24"/>
        </w:rPr>
        <w:t>南沙(黄阁)公交枢纽综合体项目方案设计国际竞赛、PPP全过程咨询招标代理</w:t>
      </w:r>
      <w:r>
        <w:rPr>
          <w:rFonts w:hint="eastAsia" w:ascii="宋体" w:hAnsi="宋体" w:cs="宋体"/>
          <w:sz w:val="24"/>
          <w:shd w:val="clear" w:color="auto" w:fill="FFFFFF"/>
        </w:rPr>
        <w:t>服务</w:t>
      </w:r>
      <w:r>
        <w:rPr>
          <w:rFonts w:hint="eastAsia" w:ascii="宋体" w:hAnsi="宋体"/>
          <w:sz w:val="24"/>
        </w:rPr>
        <w:t>”项目中标人。但依法确认符合投标资格的投标人不够三人的，则应当予以重新招标。</w:t>
      </w:r>
    </w:p>
    <w:p>
      <w:pPr>
        <w:pStyle w:val="3"/>
        <w:rPr>
          <w:rFonts w:ascii="宋体" w:hAnsi="宋体" w:eastAsia="宋体"/>
        </w:rPr>
      </w:pPr>
      <w:bookmarkStart w:id="56" w:name="_Toc469850073"/>
      <w:bookmarkStart w:id="57" w:name="_Toc400911980"/>
      <w:r>
        <w:rPr>
          <w:rFonts w:hint="eastAsia" w:ascii="宋体" w:hAnsi="宋体" w:eastAsia="宋体"/>
        </w:rPr>
        <w:t>六、授予合同</w:t>
      </w:r>
      <w:bookmarkEnd w:id="56"/>
      <w:bookmarkEnd w:id="57"/>
    </w:p>
    <w:p>
      <w:pPr>
        <w:pStyle w:val="4"/>
        <w:numPr>
          <w:ilvl w:val="2"/>
          <w:numId w:val="0"/>
        </w:numPr>
        <w:tabs>
          <w:tab w:val="left" w:pos="720"/>
        </w:tabs>
        <w:adjustRightInd w:val="0"/>
        <w:spacing w:before="240" w:after="120" w:line="300" w:lineRule="auto"/>
        <w:jc w:val="left"/>
        <w:textAlignment w:val="baseline"/>
        <w:rPr>
          <w:rFonts w:ascii="宋体" w:hAnsi="宋体"/>
          <w:b w:val="0"/>
        </w:rPr>
      </w:pPr>
      <w:bookmarkStart w:id="58" w:name="_Toc400911981"/>
      <w:bookmarkStart w:id="59" w:name="_Toc469850075"/>
      <w:r>
        <w:rPr>
          <w:rFonts w:hint="eastAsia" w:ascii="宋体" w:hAnsi="宋体"/>
        </w:rPr>
        <w:t>28</w:t>
      </w:r>
      <w:r>
        <w:rPr>
          <w:rFonts w:ascii="宋体" w:hAnsi="宋体"/>
        </w:rPr>
        <w:t>.</w:t>
      </w:r>
      <w:r>
        <w:rPr>
          <w:rFonts w:ascii="宋体" w:hAnsi="宋体"/>
        </w:rPr>
        <w:tab/>
      </w:r>
      <w:r>
        <w:rPr>
          <w:rFonts w:hint="eastAsia" w:ascii="宋体" w:hAnsi="宋体"/>
        </w:rPr>
        <w:t>合同授予标准</w:t>
      </w:r>
      <w:bookmarkEnd w:id="58"/>
      <w:bookmarkEnd w:id="59"/>
    </w:p>
    <w:p>
      <w:pPr>
        <w:tabs>
          <w:tab w:val="left" w:pos="735"/>
        </w:tabs>
        <w:spacing w:line="360" w:lineRule="auto"/>
        <w:ind w:left="720" w:hanging="720" w:hangingChars="300"/>
        <w:rPr>
          <w:rFonts w:ascii="宋体" w:hAnsi="宋体"/>
          <w:sz w:val="24"/>
          <w:szCs w:val="32"/>
        </w:rPr>
      </w:pPr>
      <w:r>
        <w:rPr>
          <w:rFonts w:hint="eastAsia" w:ascii="宋体" w:hAnsi="宋体"/>
          <w:sz w:val="24"/>
          <w:szCs w:val="32"/>
        </w:rPr>
        <w:t>28.1</w:t>
      </w:r>
      <w:r>
        <w:rPr>
          <w:rFonts w:hint="eastAsia" w:ascii="宋体" w:hAnsi="宋体"/>
          <w:sz w:val="24"/>
          <w:szCs w:val="32"/>
        </w:rPr>
        <w:tab/>
      </w:r>
      <w:r>
        <w:rPr>
          <w:rFonts w:hint="eastAsia" w:ascii="宋体" w:hAnsi="宋体"/>
          <w:sz w:val="24"/>
          <w:szCs w:val="32"/>
        </w:rPr>
        <w:t>除第</w:t>
      </w:r>
      <w:r>
        <w:rPr>
          <w:rFonts w:ascii="宋体" w:hAnsi="宋体"/>
          <w:sz w:val="24"/>
          <w:szCs w:val="32"/>
        </w:rPr>
        <w:t>3</w:t>
      </w:r>
      <w:r>
        <w:rPr>
          <w:rFonts w:hint="eastAsia" w:ascii="宋体" w:hAnsi="宋体"/>
          <w:sz w:val="24"/>
          <w:szCs w:val="32"/>
        </w:rPr>
        <w:t>0条的规定之外，招标人将把合同授予被确定为实质上响应招标文件的要求且总得分排序第一的中标候选人，确定中标人的原则是：详见《投标人须知前附表》。</w:t>
      </w:r>
    </w:p>
    <w:p>
      <w:pPr>
        <w:tabs>
          <w:tab w:val="left" w:pos="735"/>
        </w:tabs>
        <w:spacing w:line="360" w:lineRule="auto"/>
        <w:ind w:left="720" w:hanging="720" w:hangingChars="300"/>
        <w:rPr>
          <w:rFonts w:ascii="宋体" w:hAnsi="宋体"/>
          <w:sz w:val="24"/>
          <w:szCs w:val="32"/>
        </w:rPr>
      </w:pPr>
      <w:r>
        <w:rPr>
          <w:rFonts w:hint="eastAsia" w:ascii="宋体" w:hAnsi="宋体"/>
          <w:sz w:val="24"/>
          <w:szCs w:val="32"/>
        </w:rPr>
        <w:t>28.2</w:t>
      </w:r>
      <w:r>
        <w:rPr>
          <w:rFonts w:hint="eastAsia" w:ascii="宋体" w:hAnsi="宋体"/>
          <w:sz w:val="24"/>
          <w:szCs w:val="32"/>
        </w:rPr>
        <w:tab/>
      </w:r>
      <w:r>
        <w:rPr>
          <w:rFonts w:hint="eastAsia" w:ascii="宋体" w:hAnsi="宋体"/>
          <w:sz w:val="24"/>
          <w:szCs w:val="32"/>
        </w:rPr>
        <w:t>中标人将获得“</w:t>
      </w:r>
      <w:r>
        <w:rPr>
          <w:rFonts w:hint="eastAsia" w:ascii="宋体" w:hAnsi="宋体" w:cs="宋体"/>
          <w:sz w:val="24"/>
        </w:rPr>
        <w:t>南沙(黄阁)公交枢纽综合体项目方案设计国际竞赛、PPP全过程咨询招标代理</w:t>
      </w:r>
      <w:r>
        <w:rPr>
          <w:rFonts w:hint="eastAsia" w:ascii="宋体" w:hAnsi="宋体" w:cs="宋体"/>
          <w:sz w:val="24"/>
          <w:shd w:val="clear" w:color="auto" w:fill="FFFFFF"/>
        </w:rPr>
        <w:t>服务</w:t>
      </w:r>
      <w:r>
        <w:rPr>
          <w:rFonts w:hint="eastAsia" w:ascii="宋体" w:hAnsi="宋体"/>
          <w:sz w:val="24"/>
          <w:szCs w:val="32"/>
        </w:rPr>
        <w:t>”成交资格，招标人优先选择与中标人签订合同。</w:t>
      </w:r>
    </w:p>
    <w:p>
      <w:pPr>
        <w:tabs>
          <w:tab w:val="left" w:pos="735"/>
        </w:tabs>
        <w:spacing w:line="360" w:lineRule="auto"/>
        <w:ind w:left="720" w:hanging="720" w:hangingChars="300"/>
        <w:rPr>
          <w:rFonts w:ascii="宋体" w:hAnsi="宋体"/>
          <w:sz w:val="24"/>
          <w:szCs w:val="32"/>
        </w:rPr>
      </w:pPr>
      <w:r>
        <w:rPr>
          <w:rFonts w:hint="eastAsia" w:ascii="宋体" w:hAnsi="宋体"/>
          <w:sz w:val="24"/>
          <w:szCs w:val="32"/>
        </w:rPr>
        <w:t>28.3</w:t>
      </w:r>
      <w:r>
        <w:rPr>
          <w:rFonts w:hint="eastAsia" w:ascii="宋体" w:hAnsi="宋体"/>
          <w:sz w:val="24"/>
          <w:szCs w:val="32"/>
        </w:rPr>
        <w:tab/>
      </w:r>
      <w:r>
        <w:rPr>
          <w:rFonts w:hint="eastAsia" w:ascii="宋体" w:hAnsi="宋体"/>
          <w:sz w:val="24"/>
          <w:szCs w:val="32"/>
        </w:rPr>
        <w:t>中标人须承诺在服务期限内随时满足并保证招标人的采购要求，在服务期内,中标人不得无故不响应招标人的招标邀请，并承诺可以随时满足并保证招标人的服务需求。如因招标人今后政策发生变化的需要或客观实际情况发生变化，招标人有权利单方面中止中标人的成交服务。</w:t>
      </w:r>
    </w:p>
    <w:p>
      <w:pPr>
        <w:tabs>
          <w:tab w:val="left" w:pos="735"/>
        </w:tabs>
        <w:spacing w:line="360" w:lineRule="auto"/>
        <w:ind w:left="720" w:hanging="720" w:hangingChars="300"/>
        <w:rPr>
          <w:rFonts w:ascii="宋体" w:hAnsi="宋体"/>
          <w:sz w:val="24"/>
          <w:szCs w:val="32"/>
        </w:rPr>
      </w:pPr>
      <w:r>
        <w:rPr>
          <w:rFonts w:hint="eastAsia" w:ascii="宋体" w:hAnsi="宋体"/>
          <w:sz w:val="24"/>
          <w:szCs w:val="32"/>
        </w:rPr>
        <w:t>28.4</w:t>
      </w:r>
      <w:r>
        <w:rPr>
          <w:rFonts w:hint="eastAsia" w:ascii="宋体" w:hAnsi="宋体"/>
          <w:sz w:val="24"/>
          <w:szCs w:val="32"/>
        </w:rPr>
        <w:tab/>
      </w:r>
      <w:r>
        <w:rPr>
          <w:rFonts w:hint="eastAsia" w:ascii="宋体" w:hAnsi="宋体"/>
          <w:sz w:val="24"/>
          <w:szCs w:val="32"/>
        </w:rPr>
        <w:t>报价时，投标人按招标文件的规定进行报价。投标人的成交价格在协议执行过程中，作为采购限价，并按照不高于采购限价的价格水平提供符合要求的服务，未经招标人许可不得以任何理由予以变更。以可调整或可选择的价格提交的投标文件将作为非响应性报价而予以拒绝。</w:t>
      </w:r>
    </w:p>
    <w:p>
      <w:pPr>
        <w:pStyle w:val="4"/>
        <w:numPr>
          <w:ilvl w:val="2"/>
          <w:numId w:val="0"/>
        </w:numPr>
        <w:tabs>
          <w:tab w:val="left" w:pos="720"/>
        </w:tabs>
        <w:adjustRightInd w:val="0"/>
        <w:spacing w:before="240" w:after="120" w:line="300" w:lineRule="auto"/>
        <w:jc w:val="left"/>
        <w:textAlignment w:val="baseline"/>
        <w:rPr>
          <w:rFonts w:ascii="宋体" w:hAnsi="宋体"/>
        </w:rPr>
      </w:pPr>
      <w:bookmarkStart w:id="60" w:name="_Toc400911982"/>
      <w:bookmarkStart w:id="61" w:name="_Toc469850076"/>
      <w:r>
        <w:rPr>
          <w:rFonts w:hint="eastAsia" w:ascii="宋体" w:hAnsi="宋体"/>
        </w:rPr>
        <w:t>29</w:t>
      </w:r>
      <w:r>
        <w:rPr>
          <w:rFonts w:ascii="宋体" w:hAnsi="宋体"/>
        </w:rPr>
        <w:t>.</w:t>
      </w:r>
      <w:r>
        <w:rPr>
          <w:rFonts w:ascii="宋体" w:hAnsi="宋体"/>
        </w:rPr>
        <w:tab/>
      </w:r>
      <w:r>
        <w:rPr>
          <w:rFonts w:hint="eastAsia" w:ascii="宋体" w:hAnsi="宋体"/>
        </w:rPr>
        <w:t>授标时更改采购服务数量的权力</w:t>
      </w:r>
      <w:bookmarkEnd w:id="60"/>
      <w:bookmarkEnd w:id="61"/>
    </w:p>
    <w:p>
      <w:pPr>
        <w:tabs>
          <w:tab w:val="left" w:pos="8640"/>
        </w:tabs>
        <w:spacing w:line="360" w:lineRule="auto"/>
        <w:ind w:left="720" w:hanging="720"/>
        <w:rPr>
          <w:rFonts w:ascii="宋体" w:hAnsi="宋体"/>
          <w:sz w:val="24"/>
          <w:szCs w:val="32"/>
        </w:rPr>
      </w:pPr>
      <w:r>
        <w:rPr>
          <w:rFonts w:hint="eastAsia" w:ascii="宋体" w:hAnsi="宋体"/>
          <w:sz w:val="24"/>
          <w:szCs w:val="32"/>
        </w:rPr>
        <w:t>29</w:t>
      </w:r>
      <w:r>
        <w:rPr>
          <w:rFonts w:ascii="宋体" w:hAnsi="宋体"/>
          <w:sz w:val="24"/>
          <w:szCs w:val="32"/>
        </w:rPr>
        <w:t>.1</w:t>
      </w:r>
      <w:r>
        <w:rPr>
          <w:rFonts w:ascii="宋体" w:hAnsi="宋体"/>
          <w:sz w:val="24"/>
          <w:szCs w:val="32"/>
        </w:rPr>
        <w:tab/>
      </w:r>
      <w:r>
        <w:rPr>
          <w:rFonts w:hint="eastAsia" w:ascii="宋体" w:hAnsi="宋体"/>
          <w:sz w:val="24"/>
          <w:szCs w:val="32"/>
        </w:rPr>
        <w:t>招标人在授予合同时有权对“服务需求”中规定的服务数量予以增加或减少，但不得对单价或其它的条款和条件做任何改变。</w:t>
      </w:r>
    </w:p>
    <w:p>
      <w:pPr>
        <w:pStyle w:val="4"/>
        <w:numPr>
          <w:ilvl w:val="2"/>
          <w:numId w:val="0"/>
        </w:numPr>
        <w:tabs>
          <w:tab w:val="left" w:pos="720"/>
        </w:tabs>
        <w:adjustRightInd w:val="0"/>
        <w:spacing w:before="240" w:after="120" w:line="300" w:lineRule="auto"/>
        <w:jc w:val="left"/>
        <w:textAlignment w:val="baseline"/>
        <w:rPr>
          <w:rFonts w:ascii="宋体" w:hAnsi="宋体"/>
        </w:rPr>
      </w:pPr>
      <w:bookmarkStart w:id="62" w:name="_Toc400911983"/>
      <w:bookmarkStart w:id="63" w:name="_Toc469850077"/>
      <w:r>
        <w:rPr>
          <w:rFonts w:hint="eastAsia" w:ascii="宋体" w:hAnsi="宋体"/>
        </w:rPr>
        <w:t>30</w:t>
      </w:r>
      <w:r>
        <w:rPr>
          <w:rFonts w:ascii="宋体" w:hAnsi="宋体"/>
        </w:rPr>
        <w:tab/>
      </w:r>
      <w:r>
        <w:rPr>
          <w:rFonts w:hint="eastAsia" w:ascii="宋体" w:hAnsi="宋体"/>
        </w:rPr>
        <w:t>接受和拒绝任何或所有报价的权力</w:t>
      </w:r>
      <w:bookmarkEnd w:id="62"/>
      <w:bookmarkEnd w:id="63"/>
    </w:p>
    <w:p>
      <w:pPr>
        <w:tabs>
          <w:tab w:val="left" w:pos="8640"/>
        </w:tabs>
        <w:spacing w:line="360" w:lineRule="auto"/>
        <w:ind w:left="720" w:hanging="720"/>
        <w:rPr>
          <w:rFonts w:ascii="宋体" w:hAnsi="宋体"/>
          <w:sz w:val="24"/>
          <w:szCs w:val="32"/>
        </w:rPr>
      </w:pPr>
      <w:r>
        <w:rPr>
          <w:rFonts w:ascii="宋体" w:hAnsi="宋体"/>
          <w:sz w:val="24"/>
          <w:szCs w:val="32"/>
        </w:rPr>
        <w:t>3</w:t>
      </w:r>
      <w:r>
        <w:rPr>
          <w:rFonts w:hint="eastAsia" w:ascii="宋体" w:hAnsi="宋体"/>
          <w:sz w:val="24"/>
          <w:szCs w:val="32"/>
        </w:rPr>
        <w:t>0</w:t>
      </w:r>
      <w:r>
        <w:rPr>
          <w:rFonts w:ascii="宋体" w:hAnsi="宋体"/>
          <w:sz w:val="24"/>
          <w:szCs w:val="32"/>
        </w:rPr>
        <w:t>.1</w:t>
      </w:r>
      <w:r>
        <w:rPr>
          <w:rFonts w:ascii="宋体" w:hAnsi="宋体"/>
          <w:sz w:val="24"/>
          <w:szCs w:val="32"/>
        </w:rPr>
        <w:tab/>
      </w:r>
      <w:r>
        <w:rPr>
          <w:rFonts w:hint="eastAsia" w:ascii="宋体" w:hAnsi="宋体"/>
          <w:sz w:val="24"/>
          <w:szCs w:val="32"/>
        </w:rPr>
        <w:t>招标人保留在授标之前任何时候接受或拒绝任何投标，以及宣布招标程序无效或拒绝所有投标的权力，对受影响的投标人不承担任何责任，也无义务向受影响的投标人解释采取这一行动的理由。</w:t>
      </w:r>
    </w:p>
    <w:p>
      <w:pPr>
        <w:pStyle w:val="4"/>
        <w:numPr>
          <w:ilvl w:val="2"/>
          <w:numId w:val="0"/>
        </w:numPr>
        <w:tabs>
          <w:tab w:val="left" w:pos="720"/>
        </w:tabs>
        <w:adjustRightInd w:val="0"/>
        <w:spacing w:before="240" w:after="120" w:line="300" w:lineRule="auto"/>
        <w:jc w:val="left"/>
        <w:textAlignment w:val="baseline"/>
        <w:rPr>
          <w:rFonts w:ascii="宋体" w:hAnsi="宋体"/>
        </w:rPr>
      </w:pPr>
      <w:bookmarkStart w:id="64" w:name="_Toc400911984"/>
      <w:bookmarkStart w:id="65" w:name="_Toc469850078"/>
      <w:r>
        <w:rPr>
          <w:rFonts w:ascii="宋体" w:hAnsi="宋体"/>
        </w:rPr>
        <w:t>3</w:t>
      </w:r>
      <w:r>
        <w:rPr>
          <w:rFonts w:hint="eastAsia" w:ascii="宋体" w:hAnsi="宋体"/>
        </w:rPr>
        <w:t>1</w:t>
      </w:r>
      <w:r>
        <w:rPr>
          <w:rFonts w:ascii="宋体" w:hAnsi="宋体"/>
        </w:rPr>
        <w:t>.</w:t>
      </w:r>
      <w:r>
        <w:rPr>
          <w:rFonts w:ascii="宋体" w:hAnsi="宋体"/>
        </w:rPr>
        <w:tab/>
      </w:r>
      <w:r>
        <w:rPr>
          <w:rFonts w:hint="eastAsia" w:ascii="宋体" w:hAnsi="宋体"/>
        </w:rPr>
        <w:t>中标通知书</w:t>
      </w:r>
      <w:bookmarkEnd w:id="64"/>
      <w:bookmarkEnd w:id="65"/>
    </w:p>
    <w:p>
      <w:pPr>
        <w:tabs>
          <w:tab w:val="left" w:pos="8640"/>
        </w:tabs>
        <w:ind w:left="720" w:hanging="720"/>
        <w:rPr>
          <w:rFonts w:ascii="宋体" w:hAnsi="宋体"/>
          <w:sz w:val="24"/>
          <w:szCs w:val="32"/>
        </w:rPr>
      </w:pPr>
      <w:r>
        <w:rPr>
          <w:rFonts w:ascii="宋体" w:hAnsi="宋体"/>
          <w:sz w:val="24"/>
          <w:szCs w:val="32"/>
        </w:rPr>
        <w:t>3</w:t>
      </w:r>
      <w:r>
        <w:rPr>
          <w:rFonts w:hint="eastAsia" w:ascii="宋体" w:hAnsi="宋体"/>
          <w:sz w:val="24"/>
          <w:szCs w:val="32"/>
        </w:rPr>
        <w:t>1</w:t>
      </w:r>
      <w:r>
        <w:rPr>
          <w:rFonts w:ascii="宋体" w:hAnsi="宋体"/>
          <w:sz w:val="24"/>
          <w:szCs w:val="32"/>
        </w:rPr>
        <w:t>.1</w:t>
      </w:r>
      <w:r>
        <w:rPr>
          <w:rFonts w:ascii="宋体" w:hAnsi="宋体"/>
          <w:sz w:val="24"/>
          <w:szCs w:val="32"/>
        </w:rPr>
        <w:tab/>
      </w:r>
      <w:r>
        <w:rPr>
          <w:rFonts w:hint="eastAsia" w:ascii="宋体" w:hAnsi="宋体"/>
          <w:sz w:val="24"/>
          <w:szCs w:val="32"/>
        </w:rPr>
        <w:t>招标人确认中标人后并在报价有效期截止前，向中标人发出中标通知书。</w:t>
      </w:r>
    </w:p>
    <w:p>
      <w:pPr>
        <w:pStyle w:val="4"/>
        <w:numPr>
          <w:ilvl w:val="2"/>
          <w:numId w:val="0"/>
        </w:numPr>
        <w:tabs>
          <w:tab w:val="left" w:pos="720"/>
        </w:tabs>
        <w:adjustRightInd w:val="0"/>
        <w:spacing w:before="240" w:after="120" w:line="300" w:lineRule="auto"/>
        <w:jc w:val="left"/>
        <w:textAlignment w:val="baseline"/>
        <w:rPr>
          <w:rFonts w:ascii="宋体" w:hAnsi="宋体"/>
        </w:rPr>
      </w:pPr>
      <w:bookmarkStart w:id="66" w:name="_Toc400911985"/>
      <w:bookmarkStart w:id="67" w:name="_Toc469850079"/>
      <w:r>
        <w:rPr>
          <w:rFonts w:ascii="宋体" w:hAnsi="宋体"/>
        </w:rPr>
        <w:t>3</w:t>
      </w:r>
      <w:r>
        <w:rPr>
          <w:rFonts w:hint="eastAsia" w:ascii="宋体" w:hAnsi="宋体"/>
        </w:rPr>
        <w:t>2</w:t>
      </w:r>
      <w:r>
        <w:rPr>
          <w:rFonts w:ascii="宋体" w:hAnsi="宋体"/>
        </w:rPr>
        <w:t>.</w:t>
      </w:r>
      <w:r>
        <w:rPr>
          <w:rFonts w:ascii="宋体" w:hAnsi="宋体"/>
        </w:rPr>
        <w:tab/>
      </w:r>
      <w:r>
        <w:rPr>
          <w:rFonts w:hint="eastAsia" w:ascii="宋体" w:hAnsi="宋体"/>
        </w:rPr>
        <w:t>签订合同</w:t>
      </w:r>
      <w:bookmarkEnd w:id="66"/>
      <w:bookmarkEnd w:id="67"/>
    </w:p>
    <w:p>
      <w:pPr>
        <w:tabs>
          <w:tab w:val="left" w:pos="8430"/>
        </w:tabs>
        <w:spacing w:line="360" w:lineRule="auto"/>
        <w:ind w:left="720" w:hanging="720"/>
        <w:rPr>
          <w:rFonts w:ascii="宋体" w:hAnsi="宋体"/>
          <w:sz w:val="24"/>
          <w:szCs w:val="32"/>
        </w:rPr>
      </w:pPr>
      <w:r>
        <w:rPr>
          <w:rFonts w:hint="eastAsia" w:ascii="宋体" w:hAnsi="宋体"/>
          <w:sz w:val="24"/>
          <w:szCs w:val="32"/>
        </w:rPr>
        <w:t>32.1</w:t>
      </w:r>
      <w:r>
        <w:rPr>
          <w:rFonts w:hint="eastAsia" w:ascii="宋体" w:hAnsi="宋体"/>
          <w:sz w:val="24"/>
          <w:szCs w:val="32"/>
        </w:rPr>
        <w:tab/>
      </w:r>
      <w:r>
        <w:rPr>
          <w:rFonts w:hint="eastAsia" w:ascii="宋体" w:hAnsi="宋体"/>
          <w:sz w:val="24"/>
          <w:szCs w:val="32"/>
        </w:rPr>
        <w:t>中标人应在中标通知书发出之日起</w:t>
      </w:r>
      <w:r>
        <w:rPr>
          <w:rFonts w:ascii="宋体" w:hAnsi="宋体"/>
          <w:sz w:val="24"/>
          <w:szCs w:val="32"/>
        </w:rPr>
        <w:t>30日历</w:t>
      </w:r>
      <w:r>
        <w:rPr>
          <w:rFonts w:hint="eastAsia" w:ascii="宋体" w:hAnsi="宋体"/>
          <w:sz w:val="24"/>
          <w:szCs w:val="32"/>
        </w:rPr>
        <w:t>天内与招标人签订合同，</w:t>
      </w:r>
      <w:bookmarkStart w:id="68" w:name="_Hlk41694254"/>
      <w:r>
        <w:rPr>
          <w:rFonts w:hint="eastAsia" w:ascii="宋体" w:hAnsi="宋体"/>
          <w:sz w:val="24"/>
          <w:szCs w:val="32"/>
        </w:rPr>
        <w:t>中标合同不得超出招标文件和中标投标人投标文件的范围，中标人和招标人不得再行订立背离合同实质性内容的其他协议。逾期签订合同的，视为中标人放弃投标。</w:t>
      </w:r>
      <w:bookmarkEnd w:id="68"/>
    </w:p>
    <w:p>
      <w:pPr>
        <w:pStyle w:val="4"/>
        <w:numPr>
          <w:ilvl w:val="2"/>
          <w:numId w:val="0"/>
        </w:numPr>
        <w:tabs>
          <w:tab w:val="left" w:pos="720"/>
        </w:tabs>
        <w:adjustRightInd w:val="0"/>
        <w:spacing w:before="240" w:after="120" w:line="300" w:lineRule="auto"/>
        <w:jc w:val="left"/>
        <w:textAlignment w:val="baseline"/>
        <w:rPr>
          <w:rFonts w:ascii="宋体" w:hAnsi="宋体"/>
        </w:rPr>
      </w:pPr>
      <w:bookmarkStart w:id="69" w:name="_Toc400911986"/>
      <w:r>
        <w:rPr>
          <w:rFonts w:ascii="宋体" w:hAnsi="宋体"/>
        </w:rPr>
        <w:t>3</w:t>
      </w:r>
      <w:r>
        <w:rPr>
          <w:rFonts w:hint="eastAsia" w:ascii="宋体" w:hAnsi="宋体"/>
        </w:rPr>
        <w:t>3. 履约保证金（不适用）</w:t>
      </w:r>
      <w:bookmarkEnd w:id="69"/>
    </w:p>
    <w:p>
      <w:pPr>
        <w:pStyle w:val="4"/>
        <w:numPr>
          <w:ilvl w:val="2"/>
          <w:numId w:val="0"/>
        </w:numPr>
        <w:tabs>
          <w:tab w:val="left" w:pos="720"/>
        </w:tabs>
        <w:adjustRightInd w:val="0"/>
        <w:spacing w:before="240" w:after="120" w:line="300" w:lineRule="auto"/>
        <w:jc w:val="left"/>
        <w:textAlignment w:val="baseline"/>
        <w:rPr>
          <w:rFonts w:ascii="宋体" w:hAnsi="宋体"/>
          <w:sz w:val="21"/>
        </w:rPr>
      </w:pPr>
      <w:bookmarkStart w:id="70" w:name="_Toc400911987"/>
      <w:r>
        <w:rPr>
          <w:rFonts w:hint="eastAsia" w:ascii="宋体" w:hAnsi="宋体"/>
        </w:rPr>
        <w:t>34. 腐败和欺诈行为</w:t>
      </w:r>
      <w:bookmarkEnd w:id="70"/>
    </w:p>
    <w:p>
      <w:pPr>
        <w:spacing w:line="360" w:lineRule="auto"/>
        <w:rPr>
          <w:rFonts w:ascii="宋体" w:hAnsi="宋体"/>
          <w:sz w:val="24"/>
        </w:rPr>
      </w:pPr>
      <w:r>
        <w:rPr>
          <w:rFonts w:hint="eastAsia" w:ascii="宋体" w:hAnsi="宋体"/>
          <w:sz w:val="24"/>
        </w:rPr>
        <w:t>34</w:t>
      </w:r>
      <w:r>
        <w:rPr>
          <w:rFonts w:ascii="宋体" w:hAnsi="宋体"/>
          <w:sz w:val="24"/>
        </w:rPr>
        <w:t>.</w:t>
      </w:r>
      <w:r>
        <w:rPr>
          <w:rFonts w:hint="eastAsia" w:ascii="宋体" w:hAnsi="宋体"/>
          <w:sz w:val="24"/>
        </w:rPr>
        <w:t>1   定义</w:t>
      </w:r>
    </w:p>
    <w:p>
      <w:pPr>
        <w:spacing w:line="360" w:lineRule="auto"/>
        <w:ind w:left="735" w:leftChars="350"/>
        <w:rPr>
          <w:rFonts w:ascii="宋体" w:hAnsi="宋体"/>
          <w:sz w:val="24"/>
        </w:rPr>
      </w:pPr>
      <w:r>
        <w:rPr>
          <w:rFonts w:hint="eastAsia" w:ascii="宋体" w:hAnsi="宋体"/>
          <w:sz w:val="24"/>
        </w:rPr>
        <w:t>(</w:t>
      </w:r>
      <w:r>
        <w:rPr>
          <w:rFonts w:ascii="宋体" w:hAnsi="宋体"/>
          <w:sz w:val="24"/>
        </w:rPr>
        <w:t>a</w:t>
      </w:r>
      <w:r>
        <w:rPr>
          <w:rFonts w:hint="eastAsia" w:ascii="宋体" w:hAnsi="宋体"/>
          <w:sz w:val="24"/>
        </w:rPr>
        <w:t>)“腐败行为”是指提供给予接受或索取任何有价值的东西来影响招标人在采购过程或合同实施过程中的行为；</w:t>
      </w:r>
    </w:p>
    <w:p>
      <w:pPr>
        <w:spacing w:line="360" w:lineRule="auto"/>
        <w:ind w:left="735" w:leftChars="350"/>
        <w:rPr>
          <w:rFonts w:ascii="宋体" w:hAnsi="宋体"/>
          <w:sz w:val="24"/>
        </w:rPr>
      </w:pPr>
      <w:r>
        <w:rPr>
          <w:rFonts w:ascii="宋体" w:hAnsi="宋体"/>
          <w:sz w:val="24"/>
        </w:rPr>
        <w:t>(b)</w:t>
      </w:r>
      <w:r>
        <w:rPr>
          <w:rFonts w:hint="eastAsia" w:ascii="宋体" w:hAnsi="宋体"/>
          <w:sz w:val="24"/>
        </w:rPr>
        <w:t>“欺诈行为”是指为了影响采购过程或合同实施过程而谎报事实，损害招标人的利益，包括投标人之间串通报价（递交投标文件之前和之后），人为地使报价丧失竞争性，剥夺买方从自由公开竞争所能获得的权益。</w:t>
      </w:r>
    </w:p>
    <w:p>
      <w:pPr>
        <w:adjustRightInd w:val="0"/>
        <w:snapToGrid w:val="0"/>
        <w:spacing w:line="360" w:lineRule="auto"/>
        <w:ind w:left="720" w:hanging="720" w:hangingChars="300"/>
        <w:rPr>
          <w:rFonts w:ascii="宋体" w:hAnsi="宋体"/>
          <w:bCs/>
          <w:sz w:val="24"/>
        </w:rPr>
      </w:pPr>
      <w:r>
        <w:rPr>
          <w:rFonts w:hint="eastAsia" w:ascii="宋体" w:hAnsi="宋体"/>
          <w:sz w:val="24"/>
        </w:rPr>
        <w:t>34</w:t>
      </w:r>
      <w:r>
        <w:rPr>
          <w:rFonts w:ascii="宋体" w:hAnsi="宋体"/>
          <w:sz w:val="24"/>
        </w:rPr>
        <w:t>.2</w:t>
      </w:r>
      <w:r>
        <w:rPr>
          <w:rFonts w:hint="eastAsia" w:ascii="宋体" w:hAnsi="宋体"/>
          <w:sz w:val="24"/>
        </w:rPr>
        <w:t xml:space="preserve">  如果招标人有证据证明投标人在本项目的竞争中有腐败或欺诈行为，其报价将被拒绝。</w:t>
      </w:r>
    </w:p>
    <w:p>
      <w:pPr>
        <w:rPr>
          <w:rFonts w:hint="eastAsia" w:ascii="宋体" w:hAnsi="宋体"/>
          <w:b/>
          <w:bCs/>
          <w:sz w:val="24"/>
        </w:rPr>
      </w:pPr>
    </w:p>
    <w:p>
      <w:pPr>
        <w:rPr>
          <w:rFonts w:ascii="宋体" w:hAnsi="宋体"/>
          <w:b/>
          <w:bCs/>
          <w:sz w:val="24"/>
        </w:rPr>
      </w:pPr>
      <w:r>
        <w:rPr>
          <w:rFonts w:hint="eastAsia" w:ascii="宋体" w:hAnsi="宋体"/>
          <w:b/>
          <w:bCs/>
          <w:sz w:val="24"/>
        </w:rPr>
        <w:t>附件</w:t>
      </w:r>
      <w:r>
        <w:rPr>
          <w:rFonts w:ascii="宋体" w:hAnsi="宋体"/>
          <w:b/>
          <w:bCs/>
          <w:sz w:val="24"/>
        </w:rPr>
        <w:t>1资格性审查表</w:t>
      </w:r>
    </w:p>
    <w:p>
      <w:pPr>
        <w:spacing w:line="360" w:lineRule="auto"/>
        <w:jc w:val="center"/>
        <w:rPr>
          <w:rFonts w:ascii="宋体" w:hAnsi="宋体"/>
          <w:b/>
          <w:sz w:val="36"/>
          <w:szCs w:val="36"/>
        </w:rPr>
      </w:pPr>
      <w:r>
        <w:rPr>
          <w:rFonts w:hint="eastAsia" w:ascii="宋体" w:hAnsi="宋体"/>
          <w:b/>
          <w:sz w:val="36"/>
          <w:szCs w:val="36"/>
        </w:rPr>
        <w:t>资格性审查表</w:t>
      </w:r>
    </w:p>
    <w:p>
      <w:pPr>
        <w:spacing w:line="360" w:lineRule="auto"/>
        <w:ind w:firstLine="240" w:firstLineChars="100"/>
        <w:rPr>
          <w:rFonts w:ascii="宋体" w:hAnsi="宋体"/>
          <w:sz w:val="24"/>
          <w:u w:val="single"/>
        </w:rPr>
      </w:pPr>
      <w:r>
        <w:rPr>
          <w:rFonts w:hint="eastAsia" w:ascii="宋体" w:hAnsi="宋体"/>
          <w:sz w:val="24"/>
        </w:rPr>
        <w:t>项目名称：</w:t>
      </w:r>
      <w:r>
        <w:rPr>
          <w:rFonts w:hint="eastAsia" w:ascii="宋体" w:hAnsi="宋体" w:cs="宋体"/>
          <w:sz w:val="24"/>
        </w:rPr>
        <w:t>南沙(黄阁)公交枢纽综合体项目方案设计国际竞赛、PPP全过程咨询招标代理</w:t>
      </w:r>
      <w:r>
        <w:rPr>
          <w:rFonts w:hint="eastAsia" w:ascii="宋体" w:hAnsi="宋体" w:cs="宋体"/>
          <w:sz w:val="24"/>
          <w:shd w:val="clear" w:color="auto" w:fill="FFFFFF"/>
        </w:rPr>
        <w:t>服务</w:t>
      </w:r>
    </w:p>
    <w:tbl>
      <w:tblPr>
        <w:tblStyle w:val="30"/>
        <w:tblpPr w:leftFromText="180" w:rightFromText="180" w:vertAnchor="text" w:horzAnchor="page" w:tblpX="1657" w:tblpY="1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4702"/>
        <w:gridCol w:w="1350"/>
        <w:gridCol w:w="126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33" w:type="dxa"/>
            <w:noWrap w:val="0"/>
            <w:vAlign w:val="center"/>
          </w:tcPr>
          <w:p>
            <w:pPr>
              <w:tabs>
                <w:tab w:val="left" w:pos="720"/>
              </w:tabs>
              <w:snapToGrid w:val="0"/>
              <w:jc w:val="center"/>
              <w:rPr>
                <w:rFonts w:ascii="宋体" w:hAnsi="宋体"/>
                <w:szCs w:val="21"/>
              </w:rPr>
            </w:pPr>
            <w:r>
              <w:rPr>
                <w:rFonts w:hint="eastAsia" w:ascii="宋体" w:hAnsi="宋体"/>
                <w:szCs w:val="21"/>
              </w:rPr>
              <w:t>编号</w:t>
            </w:r>
          </w:p>
        </w:tc>
        <w:tc>
          <w:tcPr>
            <w:tcW w:w="4702" w:type="dxa"/>
            <w:tcBorders>
              <w:tl2br w:val="single" w:color="auto" w:sz="4" w:space="0"/>
            </w:tcBorders>
            <w:noWrap w:val="0"/>
            <w:vAlign w:val="center"/>
          </w:tcPr>
          <w:p>
            <w:pPr>
              <w:tabs>
                <w:tab w:val="left" w:pos="720"/>
              </w:tabs>
              <w:snapToGrid w:val="0"/>
              <w:ind w:firstLine="2730" w:firstLineChars="1300"/>
              <w:rPr>
                <w:rFonts w:ascii="宋体" w:hAnsi="宋体"/>
                <w:szCs w:val="21"/>
              </w:rPr>
            </w:pPr>
            <w:r>
              <w:rPr>
                <w:rFonts w:hint="eastAsia" w:ascii="宋体" w:hAnsi="宋体"/>
                <w:szCs w:val="21"/>
              </w:rPr>
              <w:t>投标单位名称</w:t>
            </w:r>
          </w:p>
          <w:p>
            <w:pPr>
              <w:tabs>
                <w:tab w:val="left" w:pos="720"/>
              </w:tabs>
              <w:snapToGrid w:val="0"/>
              <w:rPr>
                <w:rFonts w:ascii="宋体" w:hAnsi="宋体"/>
                <w:szCs w:val="21"/>
              </w:rPr>
            </w:pPr>
            <w:r>
              <w:rPr>
                <w:rFonts w:hint="eastAsia" w:ascii="宋体" w:hAnsi="宋体"/>
                <w:szCs w:val="21"/>
              </w:rPr>
              <w:t>审查项目</w:t>
            </w:r>
          </w:p>
        </w:tc>
        <w:tc>
          <w:tcPr>
            <w:tcW w:w="1350" w:type="dxa"/>
            <w:noWrap w:val="0"/>
            <w:vAlign w:val="center"/>
          </w:tcPr>
          <w:p>
            <w:pPr>
              <w:tabs>
                <w:tab w:val="left" w:pos="720"/>
              </w:tabs>
              <w:snapToGrid w:val="0"/>
              <w:rPr>
                <w:rFonts w:ascii="宋体" w:hAnsi="宋体"/>
                <w:szCs w:val="21"/>
              </w:rPr>
            </w:pPr>
            <w:r>
              <w:rPr>
                <w:rFonts w:hint="eastAsia" w:ascii="宋体" w:hAnsi="宋体"/>
                <w:szCs w:val="21"/>
              </w:rPr>
              <w:t>投标单位</w:t>
            </w:r>
            <w:r>
              <w:rPr>
                <w:rFonts w:ascii="宋体" w:hAnsi="宋体"/>
                <w:szCs w:val="21"/>
              </w:rPr>
              <w:t>1</w:t>
            </w:r>
          </w:p>
        </w:tc>
        <w:tc>
          <w:tcPr>
            <w:tcW w:w="1260" w:type="dxa"/>
            <w:noWrap w:val="0"/>
            <w:vAlign w:val="center"/>
          </w:tcPr>
          <w:p>
            <w:pPr>
              <w:tabs>
                <w:tab w:val="left" w:pos="720"/>
              </w:tabs>
              <w:snapToGrid w:val="0"/>
              <w:rPr>
                <w:rFonts w:ascii="宋体" w:hAnsi="宋体"/>
                <w:szCs w:val="21"/>
              </w:rPr>
            </w:pPr>
            <w:r>
              <w:rPr>
                <w:rFonts w:hint="eastAsia" w:ascii="宋体" w:hAnsi="宋体"/>
                <w:szCs w:val="21"/>
              </w:rPr>
              <w:t>投标单位</w:t>
            </w:r>
            <w:r>
              <w:rPr>
                <w:rFonts w:ascii="宋体" w:hAnsi="宋体"/>
                <w:szCs w:val="21"/>
              </w:rPr>
              <w:t>2</w:t>
            </w:r>
          </w:p>
        </w:tc>
        <w:tc>
          <w:tcPr>
            <w:tcW w:w="944" w:type="dxa"/>
            <w:noWrap w:val="0"/>
            <w:vAlign w:val="center"/>
          </w:tcPr>
          <w:p>
            <w:pPr>
              <w:tabs>
                <w:tab w:val="left" w:pos="720"/>
              </w:tabs>
              <w:snapToGrid w:val="0"/>
              <w:jc w:val="center"/>
              <w:rPr>
                <w:rFonts w:ascii="宋体" w:hAnsi="宋体"/>
                <w:sz w:val="20"/>
              </w:rPr>
            </w:pPr>
            <w:r>
              <w:rPr>
                <w:rFonts w:hint="eastAsia" w:ascii="宋体" w:hAnsi="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3" w:type="dxa"/>
            <w:noWrap w:val="0"/>
            <w:vAlign w:val="center"/>
          </w:tcPr>
          <w:p>
            <w:pPr>
              <w:tabs>
                <w:tab w:val="left" w:pos="720"/>
              </w:tabs>
              <w:snapToGrid w:val="0"/>
              <w:jc w:val="center"/>
              <w:rPr>
                <w:rFonts w:ascii="宋体" w:hAnsi="宋体"/>
                <w:szCs w:val="21"/>
              </w:rPr>
            </w:pPr>
            <w:r>
              <w:rPr>
                <w:rFonts w:ascii="宋体" w:hAnsi="宋体"/>
                <w:szCs w:val="21"/>
              </w:rPr>
              <w:t>1</w:t>
            </w:r>
          </w:p>
        </w:tc>
        <w:tc>
          <w:tcPr>
            <w:tcW w:w="4702" w:type="dxa"/>
            <w:noWrap w:val="0"/>
            <w:vAlign w:val="center"/>
          </w:tcPr>
          <w:p>
            <w:pPr>
              <w:snapToGrid w:val="0"/>
              <w:spacing w:before="72" w:beforeLines="30" w:after="72" w:afterLines="30" w:line="360" w:lineRule="auto"/>
              <w:rPr>
                <w:rFonts w:ascii="宋体" w:hAnsi="宋体"/>
                <w:szCs w:val="21"/>
              </w:rPr>
            </w:pPr>
            <w:r>
              <w:rPr>
                <w:rFonts w:hint="eastAsia" w:ascii="宋体" w:hAnsi="宋体" w:cs="宋体"/>
                <w:szCs w:val="21"/>
              </w:rPr>
              <w:t>具有中华人民共和国独立法人资格，持有有效的企业法人营业执照；按国家法律经营，经营范围包括工程建设项目招标代理服务范围[以工商营业执照注明的经营范围或事业单位法人证书注明的业务范围为准，如营业执照中没有体现经营范围的，则须提供工商部门网站“商事主体信息公示平台”查询平台页面（含经营范围）打印件]。</w:t>
            </w:r>
          </w:p>
        </w:tc>
        <w:tc>
          <w:tcPr>
            <w:tcW w:w="1350" w:type="dxa"/>
            <w:noWrap w:val="0"/>
            <w:vAlign w:val="center"/>
          </w:tcPr>
          <w:p>
            <w:pPr>
              <w:tabs>
                <w:tab w:val="left" w:pos="720"/>
              </w:tabs>
              <w:snapToGrid w:val="0"/>
              <w:jc w:val="center"/>
              <w:rPr>
                <w:rFonts w:ascii="宋体" w:hAnsi="宋体"/>
                <w:szCs w:val="21"/>
              </w:rPr>
            </w:pPr>
          </w:p>
        </w:tc>
        <w:tc>
          <w:tcPr>
            <w:tcW w:w="1260" w:type="dxa"/>
            <w:noWrap w:val="0"/>
            <w:vAlign w:val="center"/>
          </w:tcPr>
          <w:p>
            <w:pPr>
              <w:tabs>
                <w:tab w:val="left" w:pos="720"/>
              </w:tabs>
              <w:snapToGrid w:val="0"/>
              <w:jc w:val="center"/>
              <w:rPr>
                <w:rFonts w:ascii="宋体" w:hAnsi="宋体"/>
                <w:szCs w:val="21"/>
              </w:rPr>
            </w:pPr>
          </w:p>
        </w:tc>
        <w:tc>
          <w:tcPr>
            <w:tcW w:w="944" w:type="dxa"/>
            <w:noWrap w:val="0"/>
            <w:vAlign w:val="center"/>
          </w:tcPr>
          <w:p>
            <w:pPr>
              <w:tabs>
                <w:tab w:val="left" w:pos="720"/>
              </w:tabs>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33" w:type="dxa"/>
            <w:noWrap w:val="0"/>
            <w:vAlign w:val="center"/>
          </w:tcPr>
          <w:p>
            <w:pPr>
              <w:tabs>
                <w:tab w:val="left" w:pos="720"/>
              </w:tabs>
              <w:snapToGrid w:val="0"/>
              <w:jc w:val="center"/>
              <w:rPr>
                <w:rFonts w:ascii="宋体" w:hAnsi="宋体"/>
                <w:szCs w:val="21"/>
              </w:rPr>
            </w:pPr>
            <w:r>
              <w:rPr>
                <w:rFonts w:hint="eastAsia" w:ascii="宋体" w:hAnsi="宋体"/>
                <w:szCs w:val="21"/>
              </w:rPr>
              <w:t>2</w:t>
            </w:r>
          </w:p>
        </w:tc>
        <w:tc>
          <w:tcPr>
            <w:tcW w:w="4702" w:type="dxa"/>
            <w:noWrap w:val="0"/>
            <w:vAlign w:val="center"/>
          </w:tcPr>
          <w:p>
            <w:pPr>
              <w:snapToGrid w:val="0"/>
              <w:spacing w:before="72" w:beforeLines="30" w:after="72" w:afterLines="30" w:line="360" w:lineRule="auto"/>
              <w:rPr>
                <w:rFonts w:ascii="宋体" w:hAnsi="宋体"/>
                <w:szCs w:val="21"/>
              </w:rPr>
            </w:pPr>
            <w:r>
              <w:rPr>
                <w:rFonts w:hint="eastAsia" w:ascii="宋体" w:hAnsi="宋体" w:cs="宋体"/>
                <w:szCs w:val="21"/>
              </w:rPr>
              <w:t>拟委派的项目负责人须具有工程类或经济类中级或以上技术职称资格。项目负责人为投标单位正式员工，需提供能反映投标单位为其缴纳的社保证明（提供近半年内社保证明）。</w:t>
            </w:r>
          </w:p>
        </w:tc>
        <w:tc>
          <w:tcPr>
            <w:tcW w:w="1350" w:type="dxa"/>
            <w:noWrap w:val="0"/>
            <w:vAlign w:val="center"/>
          </w:tcPr>
          <w:p>
            <w:pPr>
              <w:tabs>
                <w:tab w:val="left" w:pos="720"/>
              </w:tabs>
              <w:snapToGrid w:val="0"/>
              <w:jc w:val="center"/>
              <w:rPr>
                <w:rFonts w:ascii="宋体" w:hAnsi="宋体"/>
                <w:szCs w:val="21"/>
              </w:rPr>
            </w:pPr>
          </w:p>
        </w:tc>
        <w:tc>
          <w:tcPr>
            <w:tcW w:w="1260" w:type="dxa"/>
            <w:noWrap w:val="0"/>
            <w:vAlign w:val="center"/>
          </w:tcPr>
          <w:p>
            <w:pPr>
              <w:tabs>
                <w:tab w:val="left" w:pos="720"/>
              </w:tabs>
              <w:snapToGrid w:val="0"/>
              <w:jc w:val="center"/>
              <w:rPr>
                <w:rFonts w:ascii="宋体" w:hAnsi="宋体"/>
                <w:szCs w:val="21"/>
              </w:rPr>
            </w:pPr>
          </w:p>
        </w:tc>
        <w:tc>
          <w:tcPr>
            <w:tcW w:w="944" w:type="dxa"/>
            <w:noWrap w:val="0"/>
            <w:vAlign w:val="center"/>
          </w:tcPr>
          <w:p>
            <w:pPr>
              <w:tabs>
                <w:tab w:val="left" w:pos="720"/>
              </w:tabs>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33" w:type="dxa"/>
            <w:noWrap w:val="0"/>
            <w:vAlign w:val="center"/>
          </w:tcPr>
          <w:p>
            <w:pPr>
              <w:tabs>
                <w:tab w:val="left" w:pos="720"/>
              </w:tabs>
              <w:snapToGrid w:val="0"/>
              <w:jc w:val="center"/>
              <w:rPr>
                <w:rFonts w:ascii="宋体" w:hAnsi="宋体"/>
                <w:szCs w:val="21"/>
              </w:rPr>
            </w:pPr>
            <w:r>
              <w:rPr>
                <w:rFonts w:ascii="宋体" w:hAnsi="宋体"/>
                <w:szCs w:val="21"/>
              </w:rPr>
              <w:t>3</w:t>
            </w:r>
          </w:p>
        </w:tc>
        <w:tc>
          <w:tcPr>
            <w:tcW w:w="4702" w:type="dxa"/>
            <w:noWrap w:val="0"/>
            <w:vAlign w:val="center"/>
          </w:tcPr>
          <w:p>
            <w:pPr>
              <w:snapToGrid w:val="0"/>
              <w:spacing w:before="72" w:beforeLines="30" w:after="72" w:afterLines="30" w:line="360" w:lineRule="auto"/>
              <w:rPr>
                <w:rFonts w:ascii="宋体" w:hAnsi="宋体"/>
                <w:szCs w:val="21"/>
              </w:rPr>
            </w:pPr>
            <w:r>
              <w:rPr>
                <w:rFonts w:hint="eastAsia" w:ascii="宋体" w:hAnsi="宋体" w:cs="宋体"/>
                <w:szCs w:val="21"/>
              </w:rPr>
              <w:t>投标单位参加投标的意思表达清楚，投标单位代表被授权有效。</w:t>
            </w:r>
          </w:p>
        </w:tc>
        <w:tc>
          <w:tcPr>
            <w:tcW w:w="1350" w:type="dxa"/>
            <w:noWrap w:val="0"/>
            <w:vAlign w:val="center"/>
          </w:tcPr>
          <w:p>
            <w:pPr>
              <w:tabs>
                <w:tab w:val="left" w:pos="720"/>
              </w:tabs>
              <w:snapToGrid w:val="0"/>
              <w:jc w:val="center"/>
              <w:rPr>
                <w:rFonts w:ascii="宋体" w:hAnsi="宋体"/>
                <w:szCs w:val="21"/>
              </w:rPr>
            </w:pPr>
          </w:p>
        </w:tc>
        <w:tc>
          <w:tcPr>
            <w:tcW w:w="1260" w:type="dxa"/>
            <w:noWrap w:val="0"/>
            <w:vAlign w:val="center"/>
          </w:tcPr>
          <w:p>
            <w:pPr>
              <w:tabs>
                <w:tab w:val="left" w:pos="720"/>
              </w:tabs>
              <w:snapToGrid w:val="0"/>
              <w:jc w:val="center"/>
              <w:rPr>
                <w:rFonts w:ascii="宋体" w:hAnsi="宋体"/>
                <w:szCs w:val="21"/>
              </w:rPr>
            </w:pPr>
          </w:p>
        </w:tc>
        <w:tc>
          <w:tcPr>
            <w:tcW w:w="944" w:type="dxa"/>
            <w:noWrap w:val="0"/>
            <w:vAlign w:val="center"/>
          </w:tcPr>
          <w:p>
            <w:pPr>
              <w:tabs>
                <w:tab w:val="left" w:pos="720"/>
              </w:tabs>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33" w:type="dxa"/>
            <w:noWrap w:val="0"/>
            <w:vAlign w:val="center"/>
          </w:tcPr>
          <w:p>
            <w:pPr>
              <w:tabs>
                <w:tab w:val="left" w:pos="720"/>
              </w:tabs>
              <w:snapToGrid w:val="0"/>
              <w:jc w:val="center"/>
              <w:rPr>
                <w:rFonts w:ascii="宋体" w:hAnsi="宋体"/>
                <w:szCs w:val="21"/>
              </w:rPr>
            </w:pPr>
            <w:r>
              <w:rPr>
                <w:rFonts w:ascii="宋体" w:hAnsi="宋体"/>
                <w:szCs w:val="21"/>
              </w:rPr>
              <w:t>4</w:t>
            </w:r>
          </w:p>
        </w:tc>
        <w:tc>
          <w:tcPr>
            <w:tcW w:w="4702" w:type="dxa"/>
            <w:noWrap w:val="0"/>
            <w:vAlign w:val="center"/>
          </w:tcPr>
          <w:p>
            <w:pPr>
              <w:snapToGrid w:val="0"/>
              <w:spacing w:before="72" w:beforeLines="30" w:after="72" w:afterLines="30" w:line="360" w:lineRule="auto"/>
              <w:rPr>
                <w:rFonts w:ascii="宋体" w:hAnsi="宋体"/>
                <w:szCs w:val="21"/>
              </w:rPr>
            </w:pPr>
            <w:r>
              <w:rPr>
                <w:rFonts w:hint="eastAsia" w:ascii="宋体" w:hAnsi="宋体" w:cs="宋体"/>
                <w:szCs w:val="21"/>
              </w:rPr>
              <w:t>本项目不接受联合体投标。</w:t>
            </w:r>
          </w:p>
        </w:tc>
        <w:tc>
          <w:tcPr>
            <w:tcW w:w="1350" w:type="dxa"/>
            <w:noWrap w:val="0"/>
            <w:vAlign w:val="center"/>
          </w:tcPr>
          <w:p>
            <w:pPr>
              <w:tabs>
                <w:tab w:val="left" w:pos="720"/>
              </w:tabs>
              <w:snapToGrid w:val="0"/>
              <w:jc w:val="center"/>
              <w:rPr>
                <w:rFonts w:ascii="宋体" w:hAnsi="宋体"/>
                <w:szCs w:val="21"/>
              </w:rPr>
            </w:pPr>
          </w:p>
        </w:tc>
        <w:tc>
          <w:tcPr>
            <w:tcW w:w="1260" w:type="dxa"/>
            <w:noWrap w:val="0"/>
            <w:vAlign w:val="center"/>
          </w:tcPr>
          <w:p>
            <w:pPr>
              <w:tabs>
                <w:tab w:val="left" w:pos="720"/>
              </w:tabs>
              <w:snapToGrid w:val="0"/>
              <w:jc w:val="center"/>
              <w:rPr>
                <w:rFonts w:ascii="宋体" w:hAnsi="宋体"/>
                <w:szCs w:val="21"/>
              </w:rPr>
            </w:pPr>
          </w:p>
        </w:tc>
        <w:tc>
          <w:tcPr>
            <w:tcW w:w="944" w:type="dxa"/>
            <w:noWrap w:val="0"/>
            <w:vAlign w:val="center"/>
          </w:tcPr>
          <w:p>
            <w:pPr>
              <w:tabs>
                <w:tab w:val="left" w:pos="720"/>
              </w:tabs>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3" w:type="dxa"/>
            <w:noWrap w:val="0"/>
            <w:vAlign w:val="center"/>
          </w:tcPr>
          <w:p>
            <w:pPr>
              <w:tabs>
                <w:tab w:val="left" w:pos="720"/>
              </w:tabs>
              <w:snapToGrid w:val="0"/>
              <w:jc w:val="center"/>
              <w:rPr>
                <w:rFonts w:ascii="宋体" w:hAnsi="宋体"/>
                <w:szCs w:val="21"/>
              </w:rPr>
            </w:pPr>
            <w:r>
              <w:rPr>
                <w:rFonts w:hint="eastAsia" w:ascii="宋体" w:hAnsi="宋体"/>
                <w:szCs w:val="21"/>
              </w:rPr>
              <w:t>结论</w:t>
            </w:r>
          </w:p>
        </w:tc>
        <w:tc>
          <w:tcPr>
            <w:tcW w:w="4702" w:type="dxa"/>
            <w:noWrap w:val="0"/>
            <w:vAlign w:val="center"/>
          </w:tcPr>
          <w:p>
            <w:pPr>
              <w:tabs>
                <w:tab w:val="left" w:pos="720"/>
              </w:tabs>
              <w:snapToGrid w:val="0"/>
              <w:spacing w:line="300" w:lineRule="exact"/>
              <w:rPr>
                <w:rFonts w:ascii="宋体" w:hAnsi="宋体"/>
                <w:szCs w:val="21"/>
              </w:rPr>
            </w:pPr>
            <w:r>
              <w:rPr>
                <w:rFonts w:hint="eastAsia" w:ascii="宋体" w:hAnsi="宋体"/>
                <w:szCs w:val="21"/>
              </w:rPr>
              <w:t>是否通过并进入下一阶段评审</w:t>
            </w:r>
          </w:p>
          <w:p>
            <w:pPr>
              <w:tabs>
                <w:tab w:val="left" w:pos="720"/>
              </w:tabs>
              <w:snapToGrid w:val="0"/>
              <w:spacing w:line="300" w:lineRule="exact"/>
              <w:rPr>
                <w:rFonts w:ascii="宋体" w:hAnsi="宋体"/>
                <w:szCs w:val="21"/>
              </w:rPr>
            </w:pPr>
            <w:r>
              <w:rPr>
                <w:rFonts w:hint="eastAsia" w:ascii="宋体" w:hAnsi="宋体"/>
                <w:szCs w:val="21"/>
              </w:rPr>
              <w:t>（通过</w:t>
            </w:r>
            <w:r>
              <w:rPr>
                <w:rFonts w:ascii="宋体" w:hAnsi="宋体"/>
                <w:szCs w:val="21"/>
              </w:rPr>
              <w:t>/不通过）</w:t>
            </w:r>
          </w:p>
        </w:tc>
        <w:tc>
          <w:tcPr>
            <w:tcW w:w="1350" w:type="dxa"/>
            <w:noWrap w:val="0"/>
            <w:vAlign w:val="center"/>
          </w:tcPr>
          <w:p>
            <w:pPr>
              <w:tabs>
                <w:tab w:val="left" w:pos="720"/>
              </w:tabs>
              <w:snapToGrid w:val="0"/>
              <w:jc w:val="center"/>
              <w:rPr>
                <w:rFonts w:ascii="宋体" w:hAnsi="宋体"/>
                <w:szCs w:val="21"/>
              </w:rPr>
            </w:pPr>
          </w:p>
        </w:tc>
        <w:tc>
          <w:tcPr>
            <w:tcW w:w="1260" w:type="dxa"/>
            <w:noWrap w:val="0"/>
            <w:vAlign w:val="center"/>
          </w:tcPr>
          <w:p>
            <w:pPr>
              <w:tabs>
                <w:tab w:val="left" w:pos="720"/>
              </w:tabs>
              <w:snapToGrid w:val="0"/>
              <w:jc w:val="center"/>
              <w:rPr>
                <w:rFonts w:ascii="宋体" w:hAnsi="宋体"/>
                <w:szCs w:val="21"/>
              </w:rPr>
            </w:pPr>
          </w:p>
        </w:tc>
        <w:tc>
          <w:tcPr>
            <w:tcW w:w="944" w:type="dxa"/>
            <w:noWrap w:val="0"/>
            <w:vAlign w:val="center"/>
          </w:tcPr>
          <w:p>
            <w:pPr>
              <w:tabs>
                <w:tab w:val="left" w:pos="720"/>
              </w:tabs>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33" w:type="dxa"/>
            <w:noWrap w:val="0"/>
            <w:vAlign w:val="center"/>
          </w:tcPr>
          <w:p>
            <w:pPr>
              <w:tabs>
                <w:tab w:val="left" w:pos="720"/>
              </w:tabs>
              <w:snapToGrid w:val="0"/>
              <w:jc w:val="center"/>
              <w:rPr>
                <w:rFonts w:ascii="宋体" w:hAnsi="宋体"/>
                <w:szCs w:val="21"/>
              </w:rPr>
            </w:pPr>
          </w:p>
        </w:tc>
        <w:tc>
          <w:tcPr>
            <w:tcW w:w="4702" w:type="dxa"/>
            <w:noWrap w:val="0"/>
            <w:vAlign w:val="center"/>
          </w:tcPr>
          <w:p>
            <w:pPr>
              <w:tabs>
                <w:tab w:val="left" w:pos="720"/>
              </w:tabs>
              <w:snapToGrid w:val="0"/>
              <w:spacing w:line="300" w:lineRule="exact"/>
              <w:rPr>
                <w:rFonts w:ascii="宋体" w:hAnsi="宋体"/>
                <w:szCs w:val="21"/>
              </w:rPr>
            </w:pPr>
            <w:r>
              <w:rPr>
                <w:rFonts w:hint="eastAsia" w:ascii="宋体" w:hAnsi="宋体"/>
                <w:szCs w:val="21"/>
              </w:rPr>
              <w:t>不通过原因说明</w:t>
            </w:r>
          </w:p>
        </w:tc>
        <w:tc>
          <w:tcPr>
            <w:tcW w:w="1350" w:type="dxa"/>
            <w:noWrap w:val="0"/>
            <w:vAlign w:val="center"/>
          </w:tcPr>
          <w:p>
            <w:pPr>
              <w:tabs>
                <w:tab w:val="left" w:pos="720"/>
              </w:tabs>
              <w:snapToGrid w:val="0"/>
              <w:jc w:val="center"/>
              <w:rPr>
                <w:rFonts w:ascii="宋体" w:hAnsi="宋体"/>
                <w:szCs w:val="21"/>
              </w:rPr>
            </w:pPr>
          </w:p>
        </w:tc>
        <w:tc>
          <w:tcPr>
            <w:tcW w:w="1260" w:type="dxa"/>
            <w:noWrap w:val="0"/>
            <w:vAlign w:val="center"/>
          </w:tcPr>
          <w:p>
            <w:pPr>
              <w:tabs>
                <w:tab w:val="left" w:pos="720"/>
              </w:tabs>
              <w:snapToGrid w:val="0"/>
              <w:jc w:val="center"/>
              <w:rPr>
                <w:rFonts w:ascii="宋体" w:hAnsi="宋体"/>
                <w:szCs w:val="21"/>
              </w:rPr>
            </w:pPr>
          </w:p>
        </w:tc>
        <w:tc>
          <w:tcPr>
            <w:tcW w:w="944" w:type="dxa"/>
            <w:noWrap w:val="0"/>
            <w:vAlign w:val="center"/>
          </w:tcPr>
          <w:p>
            <w:pPr>
              <w:tabs>
                <w:tab w:val="left" w:pos="720"/>
              </w:tabs>
              <w:snapToGrid w:val="0"/>
              <w:jc w:val="center"/>
              <w:rPr>
                <w:rFonts w:ascii="宋体" w:hAnsi="宋体"/>
                <w:szCs w:val="21"/>
              </w:rPr>
            </w:pPr>
          </w:p>
        </w:tc>
      </w:tr>
    </w:tbl>
    <w:p>
      <w:pPr>
        <w:tabs>
          <w:tab w:val="left" w:pos="720"/>
        </w:tabs>
        <w:snapToGrid w:val="0"/>
        <w:spacing w:before="156" w:line="300" w:lineRule="exact"/>
        <w:rPr>
          <w:rFonts w:ascii="宋体" w:hAnsi="宋体"/>
          <w:szCs w:val="21"/>
        </w:rPr>
      </w:pPr>
      <w:r>
        <w:rPr>
          <w:rFonts w:hint="eastAsia" w:ascii="宋体" w:hAnsi="宋体"/>
          <w:szCs w:val="21"/>
        </w:rPr>
        <w:t>备注：</w:t>
      </w:r>
      <w:r>
        <w:rPr>
          <w:rFonts w:ascii="宋体" w:hAnsi="宋体"/>
          <w:szCs w:val="21"/>
        </w:rPr>
        <w:t>1、“是否通过并进入下一阶段评审”一栏应写“通过”“不通过”。</w:t>
      </w:r>
    </w:p>
    <w:p>
      <w:pPr>
        <w:tabs>
          <w:tab w:val="left" w:pos="720"/>
        </w:tabs>
        <w:snapToGrid w:val="0"/>
        <w:spacing w:before="156" w:line="300" w:lineRule="exact"/>
        <w:ind w:firstLine="630" w:firstLineChars="300"/>
        <w:rPr>
          <w:rFonts w:ascii="宋体" w:hAnsi="宋体"/>
          <w:szCs w:val="21"/>
        </w:rPr>
      </w:pPr>
      <w:r>
        <w:rPr>
          <w:rFonts w:ascii="宋体" w:hAnsi="宋体"/>
          <w:szCs w:val="21"/>
        </w:rPr>
        <w:t>2、符合上述情况的打“○”，不符合的打“×”。</w:t>
      </w:r>
    </w:p>
    <w:p>
      <w:pPr>
        <w:tabs>
          <w:tab w:val="left" w:pos="720"/>
        </w:tabs>
        <w:snapToGrid w:val="0"/>
        <w:spacing w:before="156" w:line="300" w:lineRule="exact"/>
        <w:ind w:firstLine="630" w:firstLineChars="300"/>
        <w:rPr>
          <w:rFonts w:ascii="宋体" w:hAnsi="宋体"/>
          <w:szCs w:val="21"/>
        </w:rPr>
      </w:pPr>
      <w:r>
        <w:rPr>
          <w:rFonts w:ascii="宋体" w:hAnsi="宋体"/>
          <w:szCs w:val="21"/>
        </w:rPr>
        <w:t>3、出现一个“×”的结论为“不通过”，该投标人即按废标处理。</w:t>
      </w:r>
    </w:p>
    <w:p>
      <w:pPr>
        <w:tabs>
          <w:tab w:val="left" w:pos="720"/>
        </w:tabs>
        <w:snapToGrid w:val="0"/>
        <w:spacing w:before="156" w:line="300" w:lineRule="exact"/>
        <w:rPr>
          <w:rFonts w:ascii="宋体" w:hAnsi="宋体"/>
          <w:szCs w:val="21"/>
        </w:rPr>
      </w:pPr>
      <w:r>
        <w:rPr>
          <w:rFonts w:ascii="宋体" w:hAnsi="宋体"/>
          <w:szCs w:val="21"/>
        </w:rPr>
        <w:t xml:space="preserve">      4、表中全部条件满足为“通过”，同意进入下一阶段评审。</w:t>
      </w:r>
    </w:p>
    <w:p>
      <w:pPr>
        <w:tabs>
          <w:tab w:val="left" w:pos="720"/>
        </w:tabs>
        <w:snapToGrid w:val="0"/>
        <w:spacing w:before="156" w:line="300" w:lineRule="exact"/>
        <w:ind w:firstLine="630" w:firstLineChars="300"/>
        <w:rPr>
          <w:rFonts w:ascii="宋体" w:hAnsi="宋体"/>
          <w:szCs w:val="21"/>
        </w:rPr>
      </w:pPr>
      <w:r>
        <w:rPr>
          <w:rFonts w:ascii="宋体" w:hAnsi="宋体"/>
          <w:szCs w:val="21"/>
        </w:rPr>
        <w:t>5、对结论为“不通过”的投标，要说明原因。</w:t>
      </w:r>
    </w:p>
    <w:p>
      <w:pPr>
        <w:tabs>
          <w:tab w:val="left" w:pos="720"/>
        </w:tabs>
        <w:snapToGrid w:val="0"/>
        <w:spacing w:before="120" w:beforeLines="50"/>
        <w:ind w:left="945" w:leftChars="300" w:hanging="315" w:hangingChars="150"/>
        <w:rPr>
          <w:rFonts w:ascii="宋体" w:hAnsi="宋体" w:cs="宋体"/>
          <w:kern w:val="0"/>
          <w:szCs w:val="21"/>
        </w:rPr>
      </w:pPr>
    </w:p>
    <w:p>
      <w:pPr>
        <w:tabs>
          <w:tab w:val="left" w:pos="720"/>
        </w:tabs>
        <w:snapToGrid w:val="0"/>
        <w:spacing w:before="120" w:beforeLines="50"/>
        <w:ind w:left="945" w:leftChars="300" w:hanging="315" w:hangingChars="150"/>
        <w:rPr>
          <w:rFonts w:ascii="宋体" w:hAnsi="宋体" w:cs="宋体"/>
          <w:kern w:val="0"/>
          <w:szCs w:val="21"/>
        </w:rPr>
      </w:pPr>
      <w:r>
        <w:rPr>
          <w:rFonts w:hint="eastAsia" w:ascii="宋体" w:hAnsi="宋体"/>
          <w:szCs w:val="21"/>
        </w:rPr>
        <w:t xml:space="preserve">评委签名：                           </w:t>
      </w:r>
      <w:r>
        <w:rPr>
          <w:rFonts w:hint="eastAsia" w:ascii="宋体" w:hAnsi="宋体" w:cs="宋体"/>
          <w:kern w:val="0"/>
          <w:szCs w:val="21"/>
        </w:rPr>
        <w:t>日期</w:t>
      </w:r>
      <w:r>
        <w:rPr>
          <w:rFonts w:hint="eastAsia" w:ascii="宋体" w:hAnsi="宋体"/>
          <w:szCs w:val="21"/>
        </w:rPr>
        <w:t>：    年  月  日</w:t>
      </w:r>
    </w:p>
    <w:p>
      <w:pPr>
        <w:widowControl/>
        <w:jc w:val="left"/>
        <w:rPr>
          <w:rFonts w:ascii="宋体" w:hAnsi="宋体"/>
          <w:b/>
          <w:bCs/>
          <w:sz w:val="24"/>
        </w:rPr>
      </w:pPr>
      <w:r>
        <w:rPr>
          <w:rFonts w:ascii="宋体" w:hAnsi="宋体"/>
          <w:b/>
          <w:bCs/>
          <w:sz w:val="24"/>
        </w:rPr>
        <w:br w:type="page"/>
      </w:r>
    </w:p>
    <w:p>
      <w:pPr>
        <w:tabs>
          <w:tab w:val="left" w:pos="720"/>
        </w:tabs>
        <w:snapToGrid w:val="0"/>
        <w:spacing w:before="120" w:beforeLines="50"/>
        <w:rPr>
          <w:rFonts w:ascii="宋体" w:hAnsi="宋体"/>
          <w:b/>
          <w:bCs/>
          <w:sz w:val="24"/>
        </w:rPr>
      </w:pPr>
      <w:r>
        <w:rPr>
          <w:rFonts w:hint="eastAsia" w:ascii="宋体" w:hAnsi="宋体"/>
          <w:b/>
          <w:bCs/>
          <w:sz w:val="24"/>
        </w:rPr>
        <w:t>附件</w:t>
      </w:r>
      <w:r>
        <w:rPr>
          <w:rFonts w:ascii="宋体" w:hAnsi="宋体"/>
          <w:b/>
          <w:bCs/>
          <w:sz w:val="24"/>
        </w:rPr>
        <w:t>2符合性审查表</w:t>
      </w:r>
    </w:p>
    <w:p>
      <w:pPr>
        <w:rPr>
          <w:rFonts w:ascii="宋体" w:hAnsi="宋体"/>
          <w:b/>
          <w:bCs/>
          <w:sz w:val="24"/>
        </w:rPr>
      </w:pPr>
    </w:p>
    <w:p>
      <w:pPr>
        <w:spacing w:line="360" w:lineRule="auto"/>
        <w:jc w:val="center"/>
        <w:rPr>
          <w:rFonts w:ascii="宋体" w:hAnsi="宋体"/>
          <w:b/>
          <w:sz w:val="36"/>
          <w:szCs w:val="36"/>
        </w:rPr>
      </w:pPr>
      <w:r>
        <w:rPr>
          <w:rFonts w:hint="eastAsia" w:ascii="宋体" w:hAnsi="宋体"/>
          <w:b/>
          <w:sz w:val="36"/>
          <w:szCs w:val="36"/>
        </w:rPr>
        <w:t>符合性审查表</w:t>
      </w:r>
    </w:p>
    <w:p>
      <w:pPr>
        <w:spacing w:line="360" w:lineRule="auto"/>
        <w:ind w:firstLine="240" w:firstLineChars="100"/>
        <w:rPr>
          <w:rFonts w:ascii="宋体" w:hAnsi="宋体"/>
          <w:sz w:val="24"/>
          <w:u w:val="single"/>
        </w:rPr>
      </w:pPr>
      <w:r>
        <w:rPr>
          <w:rFonts w:hint="eastAsia" w:ascii="宋体" w:hAnsi="宋体"/>
          <w:sz w:val="24"/>
        </w:rPr>
        <w:t>项目名称：</w:t>
      </w:r>
      <w:r>
        <w:rPr>
          <w:rFonts w:hint="eastAsia" w:ascii="宋体" w:hAnsi="宋体" w:cs="宋体"/>
          <w:sz w:val="24"/>
        </w:rPr>
        <w:t>南沙(黄阁)公交枢纽综合体项目方案设计国际竞赛、PPP全过程咨询招标代理</w:t>
      </w:r>
      <w:r>
        <w:rPr>
          <w:rFonts w:hint="eastAsia" w:ascii="宋体" w:hAnsi="宋体" w:cs="宋体"/>
          <w:sz w:val="24"/>
          <w:shd w:val="clear" w:color="auto" w:fill="FFFFFF"/>
        </w:rPr>
        <w:t>服务</w:t>
      </w:r>
    </w:p>
    <w:tbl>
      <w:tblPr>
        <w:tblStyle w:val="30"/>
        <w:tblpPr w:leftFromText="180" w:rightFromText="180" w:vertAnchor="text" w:horzAnchor="page" w:tblpX="1657" w:tblpY="1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4512"/>
        <w:gridCol w:w="1248"/>
        <w:gridCol w:w="1248"/>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33" w:type="dxa"/>
            <w:noWrap w:val="0"/>
            <w:vAlign w:val="center"/>
          </w:tcPr>
          <w:p>
            <w:pPr>
              <w:tabs>
                <w:tab w:val="left" w:pos="720"/>
              </w:tabs>
              <w:snapToGrid w:val="0"/>
              <w:jc w:val="center"/>
              <w:rPr>
                <w:rFonts w:ascii="宋体" w:hAnsi="宋体"/>
                <w:szCs w:val="21"/>
              </w:rPr>
            </w:pPr>
            <w:r>
              <w:rPr>
                <w:rFonts w:hint="eastAsia" w:ascii="宋体" w:hAnsi="宋体"/>
                <w:szCs w:val="21"/>
              </w:rPr>
              <w:t>编号</w:t>
            </w:r>
          </w:p>
        </w:tc>
        <w:tc>
          <w:tcPr>
            <w:tcW w:w="4512" w:type="dxa"/>
            <w:tcBorders>
              <w:tl2br w:val="single" w:color="auto" w:sz="4" w:space="0"/>
            </w:tcBorders>
            <w:noWrap w:val="0"/>
            <w:vAlign w:val="center"/>
          </w:tcPr>
          <w:p>
            <w:pPr>
              <w:tabs>
                <w:tab w:val="left" w:pos="720"/>
              </w:tabs>
              <w:snapToGrid w:val="0"/>
              <w:ind w:firstLine="2730" w:firstLineChars="1300"/>
              <w:rPr>
                <w:rFonts w:ascii="宋体" w:hAnsi="宋体"/>
                <w:szCs w:val="21"/>
              </w:rPr>
            </w:pPr>
            <w:r>
              <w:rPr>
                <w:rFonts w:hint="eastAsia" w:ascii="宋体" w:hAnsi="宋体"/>
                <w:szCs w:val="21"/>
              </w:rPr>
              <w:t>投标单位名称</w:t>
            </w:r>
          </w:p>
          <w:p>
            <w:pPr>
              <w:tabs>
                <w:tab w:val="left" w:pos="720"/>
              </w:tabs>
              <w:snapToGrid w:val="0"/>
              <w:rPr>
                <w:rFonts w:ascii="宋体" w:hAnsi="宋体"/>
                <w:szCs w:val="21"/>
              </w:rPr>
            </w:pPr>
            <w:r>
              <w:rPr>
                <w:rFonts w:hint="eastAsia" w:ascii="宋体" w:hAnsi="宋体"/>
                <w:szCs w:val="21"/>
              </w:rPr>
              <w:t>审查项目</w:t>
            </w:r>
          </w:p>
        </w:tc>
        <w:tc>
          <w:tcPr>
            <w:tcW w:w="1248" w:type="dxa"/>
            <w:noWrap w:val="0"/>
            <w:vAlign w:val="center"/>
          </w:tcPr>
          <w:p>
            <w:pPr>
              <w:tabs>
                <w:tab w:val="left" w:pos="720"/>
              </w:tabs>
              <w:snapToGrid w:val="0"/>
              <w:rPr>
                <w:rFonts w:ascii="宋体" w:hAnsi="宋体"/>
                <w:szCs w:val="21"/>
              </w:rPr>
            </w:pPr>
            <w:r>
              <w:rPr>
                <w:rFonts w:hint="eastAsia" w:ascii="宋体" w:hAnsi="宋体"/>
                <w:szCs w:val="21"/>
              </w:rPr>
              <w:t>投标单位</w:t>
            </w:r>
            <w:r>
              <w:rPr>
                <w:rFonts w:ascii="宋体" w:hAnsi="宋体"/>
                <w:szCs w:val="21"/>
              </w:rPr>
              <w:t>1</w:t>
            </w:r>
          </w:p>
        </w:tc>
        <w:tc>
          <w:tcPr>
            <w:tcW w:w="1248" w:type="dxa"/>
            <w:noWrap w:val="0"/>
            <w:vAlign w:val="center"/>
          </w:tcPr>
          <w:p>
            <w:pPr>
              <w:tabs>
                <w:tab w:val="left" w:pos="720"/>
              </w:tabs>
              <w:snapToGrid w:val="0"/>
              <w:rPr>
                <w:rFonts w:ascii="宋体" w:hAnsi="宋体"/>
                <w:szCs w:val="21"/>
              </w:rPr>
            </w:pPr>
            <w:r>
              <w:rPr>
                <w:rFonts w:hint="eastAsia" w:ascii="宋体" w:hAnsi="宋体"/>
                <w:szCs w:val="21"/>
              </w:rPr>
              <w:t>投标单位</w:t>
            </w:r>
            <w:r>
              <w:rPr>
                <w:rFonts w:ascii="宋体" w:hAnsi="宋体"/>
                <w:szCs w:val="21"/>
              </w:rPr>
              <w:t>2</w:t>
            </w:r>
          </w:p>
        </w:tc>
        <w:tc>
          <w:tcPr>
            <w:tcW w:w="1248" w:type="dxa"/>
            <w:noWrap w:val="0"/>
            <w:vAlign w:val="center"/>
          </w:tcPr>
          <w:p>
            <w:pPr>
              <w:tabs>
                <w:tab w:val="left" w:pos="720"/>
              </w:tabs>
              <w:snapToGrid w:val="0"/>
              <w:jc w:val="center"/>
              <w:rPr>
                <w:rFonts w:ascii="宋体" w:hAnsi="宋体"/>
                <w:sz w:val="20"/>
              </w:rPr>
            </w:pPr>
            <w:r>
              <w:rPr>
                <w:rFonts w:hint="eastAsia" w:ascii="宋体" w:hAnsi="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3" w:type="dxa"/>
            <w:noWrap w:val="0"/>
            <w:vAlign w:val="center"/>
          </w:tcPr>
          <w:p>
            <w:pPr>
              <w:tabs>
                <w:tab w:val="left" w:pos="720"/>
              </w:tabs>
              <w:snapToGrid w:val="0"/>
              <w:jc w:val="center"/>
              <w:rPr>
                <w:rFonts w:ascii="宋体" w:hAnsi="宋体"/>
                <w:szCs w:val="21"/>
              </w:rPr>
            </w:pPr>
            <w:r>
              <w:rPr>
                <w:rFonts w:ascii="宋体" w:hAnsi="宋体"/>
                <w:szCs w:val="21"/>
              </w:rPr>
              <w:t>1</w:t>
            </w:r>
          </w:p>
        </w:tc>
        <w:tc>
          <w:tcPr>
            <w:tcW w:w="4512" w:type="dxa"/>
            <w:noWrap w:val="0"/>
            <w:vAlign w:val="center"/>
          </w:tcPr>
          <w:p>
            <w:pPr>
              <w:tabs>
                <w:tab w:val="left" w:pos="720"/>
              </w:tabs>
              <w:snapToGrid w:val="0"/>
              <w:spacing w:line="300" w:lineRule="exact"/>
              <w:rPr>
                <w:rFonts w:ascii="宋体" w:hAnsi="宋体"/>
                <w:szCs w:val="21"/>
              </w:rPr>
            </w:pPr>
            <w:r>
              <w:rPr>
                <w:rFonts w:hint="eastAsia" w:ascii="宋体" w:hAnsi="宋体"/>
                <w:szCs w:val="21"/>
              </w:rPr>
              <w:t>投标单位在投标文件封面加盖公章的；</w:t>
            </w:r>
          </w:p>
        </w:tc>
        <w:tc>
          <w:tcPr>
            <w:tcW w:w="1248" w:type="dxa"/>
            <w:noWrap w:val="0"/>
            <w:vAlign w:val="center"/>
          </w:tcPr>
          <w:p>
            <w:pPr>
              <w:tabs>
                <w:tab w:val="left" w:pos="720"/>
              </w:tabs>
              <w:snapToGrid w:val="0"/>
              <w:jc w:val="center"/>
              <w:rPr>
                <w:rFonts w:ascii="宋体" w:hAnsi="宋体"/>
                <w:szCs w:val="21"/>
              </w:rPr>
            </w:pPr>
          </w:p>
        </w:tc>
        <w:tc>
          <w:tcPr>
            <w:tcW w:w="1248" w:type="dxa"/>
            <w:noWrap w:val="0"/>
            <w:vAlign w:val="center"/>
          </w:tcPr>
          <w:p>
            <w:pPr>
              <w:tabs>
                <w:tab w:val="left" w:pos="720"/>
              </w:tabs>
              <w:snapToGrid w:val="0"/>
              <w:jc w:val="center"/>
              <w:rPr>
                <w:rFonts w:ascii="宋体" w:hAnsi="宋体"/>
                <w:szCs w:val="21"/>
              </w:rPr>
            </w:pPr>
          </w:p>
        </w:tc>
        <w:tc>
          <w:tcPr>
            <w:tcW w:w="1248" w:type="dxa"/>
            <w:noWrap w:val="0"/>
            <w:vAlign w:val="center"/>
          </w:tcPr>
          <w:p>
            <w:pPr>
              <w:tabs>
                <w:tab w:val="left" w:pos="720"/>
              </w:tabs>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3" w:type="dxa"/>
            <w:noWrap w:val="0"/>
            <w:vAlign w:val="center"/>
          </w:tcPr>
          <w:p>
            <w:pPr>
              <w:tabs>
                <w:tab w:val="left" w:pos="720"/>
              </w:tabs>
              <w:snapToGrid w:val="0"/>
              <w:jc w:val="center"/>
              <w:rPr>
                <w:rFonts w:ascii="宋体" w:hAnsi="宋体"/>
                <w:szCs w:val="21"/>
              </w:rPr>
            </w:pPr>
            <w:r>
              <w:rPr>
                <w:rFonts w:ascii="宋体" w:hAnsi="宋体"/>
                <w:szCs w:val="21"/>
              </w:rPr>
              <w:t>2</w:t>
            </w:r>
          </w:p>
        </w:tc>
        <w:tc>
          <w:tcPr>
            <w:tcW w:w="4512" w:type="dxa"/>
            <w:noWrap w:val="0"/>
            <w:vAlign w:val="center"/>
          </w:tcPr>
          <w:p>
            <w:pPr>
              <w:tabs>
                <w:tab w:val="left" w:pos="720"/>
              </w:tabs>
              <w:snapToGrid w:val="0"/>
              <w:spacing w:line="300" w:lineRule="exact"/>
              <w:rPr>
                <w:rFonts w:ascii="宋体" w:hAnsi="宋体"/>
                <w:szCs w:val="21"/>
              </w:rPr>
            </w:pPr>
            <w:r>
              <w:rPr>
                <w:rFonts w:hint="eastAsia" w:ascii="宋体" w:hAnsi="宋体"/>
                <w:szCs w:val="21"/>
              </w:rPr>
              <w:t>投标文件按照招标文件规定要求签署；或无有效的法定代表人证明书、法定代表人授权委托证明书（当签署人为非法定代表人时）的；</w:t>
            </w:r>
          </w:p>
        </w:tc>
        <w:tc>
          <w:tcPr>
            <w:tcW w:w="1248" w:type="dxa"/>
            <w:noWrap w:val="0"/>
            <w:vAlign w:val="center"/>
          </w:tcPr>
          <w:p>
            <w:pPr>
              <w:tabs>
                <w:tab w:val="left" w:pos="720"/>
              </w:tabs>
              <w:snapToGrid w:val="0"/>
              <w:jc w:val="center"/>
              <w:rPr>
                <w:rFonts w:ascii="宋体" w:hAnsi="宋体"/>
                <w:szCs w:val="21"/>
              </w:rPr>
            </w:pPr>
          </w:p>
        </w:tc>
        <w:tc>
          <w:tcPr>
            <w:tcW w:w="1248" w:type="dxa"/>
            <w:noWrap w:val="0"/>
            <w:vAlign w:val="center"/>
          </w:tcPr>
          <w:p>
            <w:pPr>
              <w:tabs>
                <w:tab w:val="left" w:pos="720"/>
              </w:tabs>
              <w:snapToGrid w:val="0"/>
              <w:jc w:val="center"/>
              <w:rPr>
                <w:rFonts w:ascii="宋体" w:hAnsi="宋体"/>
                <w:szCs w:val="21"/>
              </w:rPr>
            </w:pPr>
          </w:p>
        </w:tc>
        <w:tc>
          <w:tcPr>
            <w:tcW w:w="1248" w:type="dxa"/>
            <w:noWrap w:val="0"/>
            <w:vAlign w:val="center"/>
          </w:tcPr>
          <w:p>
            <w:pPr>
              <w:tabs>
                <w:tab w:val="left" w:pos="720"/>
              </w:tabs>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33" w:type="dxa"/>
            <w:noWrap w:val="0"/>
            <w:vAlign w:val="center"/>
          </w:tcPr>
          <w:p>
            <w:pPr>
              <w:tabs>
                <w:tab w:val="left" w:pos="720"/>
              </w:tabs>
              <w:snapToGrid w:val="0"/>
              <w:jc w:val="center"/>
              <w:rPr>
                <w:rFonts w:ascii="宋体" w:hAnsi="宋体"/>
                <w:szCs w:val="21"/>
              </w:rPr>
            </w:pPr>
            <w:r>
              <w:rPr>
                <w:rFonts w:ascii="宋体" w:hAnsi="宋体"/>
                <w:szCs w:val="21"/>
              </w:rPr>
              <w:t>4</w:t>
            </w:r>
          </w:p>
        </w:tc>
        <w:tc>
          <w:tcPr>
            <w:tcW w:w="4512" w:type="dxa"/>
            <w:noWrap w:val="0"/>
            <w:vAlign w:val="center"/>
          </w:tcPr>
          <w:p>
            <w:pPr>
              <w:tabs>
                <w:tab w:val="left" w:pos="720"/>
              </w:tabs>
              <w:snapToGrid w:val="0"/>
              <w:spacing w:line="300" w:lineRule="exact"/>
              <w:rPr>
                <w:rFonts w:ascii="宋体" w:hAnsi="宋体"/>
                <w:szCs w:val="21"/>
              </w:rPr>
            </w:pPr>
            <w:r>
              <w:rPr>
                <w:rFonts w:hint="eastAsia" w:ascii="宋体" w:hAnsi="宋体"/>
                <w:szCs w:val="21"/>
              </w:rPr>
              <w:t>服务期限响应招标文件要求的；</w:t>
            </w:r>
          </w:p>
        </w:tc>
        <w:tc>
          <w:tcPr>
            <w:tcW w:w="1248" w:type="dxa"/>
            <w:noWrap w:val="0"/>
            <w:vAlign w:val="center"/>
          </w:tcPr>
          <w:p>
            <w:pPr>
              <w:tabs>
                <w:tab w:val="left" w:pos="720"/>
              </w:tabs>
              <w:snapToGrid w:val="0"/>
              <w:jc w:val="center"/>
              <w:rPr>
                <w:rFonts w:ascii="宋体" w:hAnsi="宋体"/>
                <w:szCs w:val="21"/>
              </w:rPr>
            </w:pPr>
          </w:p>
        </w:tc>
        <w:tc>
          <w:tcPr>
            <w:tcW w:w="1248" w:type="dxa"/>
            <w:noWrap w:val="0"/>
            <w:vAlign w:val="center"/>
          </w:tcPr>
          <w:p>
            <w:pPr>
              <w:tabs>
                <w:tab w:val="left" w:pos="720"/>
              </w:tabs>
              <w:snapToGrid w:val="0"/>
              <w:jc w:val="center"/>
              <w:rPr>
                <w:rFonts w:ascii="宋体" w:hAnsi="宋体"/>
                <w:szCs w:val="21"/>
              </w:rPr>
            </w:pPr>
          </w:p>
        </w:tc>
        <w:tc>
          <w:tcPr>
            <w:tcW w:w="1248" w:type="dxa"/>
            <w:noWrap w:val="0"/>
            <w:vAlign w:val="center"/>
          </w:tcPr>
          <w:p>
            <w:pPr>
              <w:tabs>
                <w:tab w:val="left" w:pos="720"/>
              </w:tabs>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33" w:type="dxa"/>
            <w:noWrap w:val="0"/>
            <w:vAlign w:val="center"/>
          </w:tcPr>
          <w:p>
            <w:pPr>
              <w:tabs>
                <w:tab w:val="left" w:pos="720"/>
              </w:tabs>
              <w:snapToGrid w:val="0"/>
              <w:jc w:val="center"/>
              <w:rPr>
                <w:rFonts w:ascii="宋体" w:hAnsi="宋体"/>
                <w:szCs w:val="21"/>
              </w:rPr>
            </w:pPr>
            <w:r>
              <w:rPr>
                <w:rFonts w:ascii="宋体" w:hAnsi="宋体"/>
                <w:szCs w:val="21"/>
              </w:rPr>
              <w:t>5</w:t>
            </w:r>
          </w:p>
        </w:tc>
        <w:tc>
          <w:tcPr>
            <w:tcW w:w="4512" w:type="dxa"/>
            <w:noWrap w:val="0"/>
            <w:vAlign w:val="center"/>
          </w:tcPr>
          <w:p>
            <w:pPr>
              <w:tabs>
                <w:tab w:val="left" w:pos="720"/>
              </w:tabs>
              <w:snapToGrid w:val="0"/>
              <w:spacing w:line="300" w:lineRule="exact"/>
              <w:rPr>
                <w:rFonts w:ascii="宋体" w:hAnsi="宋体"/>
                <w:szCs w:val="21"/>
              </w:rPr>
            </w:pPr>
            <w:r>
              <w:rPr>
                <w:rFonts w:hint="eastAsia" w:ascii="宋体" w:hAnsi="宋体"/>
                <w:szCs w:val="21"/>
              </w:rPr>
              <w:t>投标报价未高于招标控制价的；</w:t>
            </w:r>
          </w:p>
        </w:tc>
        <w:tc>
          <w:tcPr>
            <w:tcW w:w="1248" w:type="dxa"/>
            <w:noWrap w:val="0"/>
            <w:vAlign w:val="center"/>
          </w:tcPr>
          <w:p>
            <w:pPr>
              <w:tabs>
                <w:tab w:val="left" w:pos="720"/>
              </w:tabs>
              <w:snapToGrid w:val="0"/>
              <w:jc w:val="center"/>
              <w:rPr>
                <w:rFonts w:ascii="宋体" w:hAnsi="宋体"/>
                <w:szCs w:val="21"/>
              </w:rPr>
            </w:pPr>
          </w:p>
        </w:tc>
        <w:tc>
          <w:tcPr>
            <w:tcW w:w="1248" w:type="dxa"/>
            <w:noWrap w:val="0"/>
            <w:vAlign w:val="center"/>
          </w:tcPr>
          <w:p>
            <w:pPr>
              <w:tabs>
                <w:tab w:val="left" w:pos="720"/>
              </w:tabs>
              <w:snapToGrid w:val="0"/>
              <w:jc w:val="center"/>
              <w:rPr>
                <w:rFonts w:ascii="宋体" w:hAnsi="宋体"/>
                <w:szCs w:val="21"/>
              </w:rPr>
            </w:pPr>
          </w:p>
        </w:tc>
        <w:tc>
          <w:tcPr>
            <w:tcW w:w="1248" w:type="dxa"/>
            <w:noWrap w:val="0"/>
            <w:vAlign w:val="center"/>
          </w:tcPr>
          <w:p>
            <w:pPr>
              <w:tabs>
                <w:tab w:val="left" w:pos="720"/>
              </w:tabs>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3" w:type="dxa"/>
            <w:noWrap w:val="0"/>
            <w:vAlign w:val="center"/>
          </w:tcPr>
          <w:p>
            <w:pPr>
              <w:tabs>
                <w:tab w:val="left" w:pos="720"/>
              </w:tabs>
              <w:snapToGrid w:val="0"/>
              <w:jc w:val="center"/>
              <w:rPr>
                <w:rFonts w:ascii="宋体" w:hAnsi="宋体"/>
                <w:szCs w:val="21"/>
              </w:rPr>
            </w:pPr>
            <w:r>
              <w:rPr>
                <w:rFonts w:hint="eastAsia" w:ascii="宋体" w:hAnsi="宋体"/>
                <w:szCs w:val="21"/>
              </w:rPr>
              <w:t>6</w:t>
            </w:r>
          </w:p>
        </w:tc>
        <w:tc>
          <w:tcPr>
            <w:tcW w:w="4512" w:type="dxa"/>
            <w:noWrap w:val="0"/>
            <w:vAlign w:val="center"/>
          </w:tcPr>
          <w:p>
            <w:pPr>
              <w:tabs>
                <w:tab w:val="left" w:pos="720"/>
              </w:tabs>
              <w:snapToGrid w:val="0"/>
              <w:spacing w:line="300" w:lineRule="exact"/>
              <w:rPr>
                <w:rFonts w:ascii="宋体" w:hAnsi="宋体"/>
                <w:szCs w:val="21"/>
              </w:rPr>
            </w:pPr>
            <w:r>
              <w:rPr>
                <w:rFonts w:hint="eastAsia" w:ascii="宋体" w:hAnsi="宋体"/>
                <w:szCs w:val="21"/>
              </w:rPr>
              <w:t>投标文件按规定的格式填写、主要内容齐全、关键字迹清晰的</w:t>
            </w:r>
          </w:p>
        </w:tc>
        <w:tc>
          <w:tcPr>
            <w:tcW w:w="1248" w:type="dxa"/>
            <w:noWrap w:val="0"/>
            <w:vAlign w:val="center"/>
          </w:tcPr>
          <w:p>
            <w:pPr>
              <w:tabs>
                <w:tab w:val="left" w:pos="720"/>
              </w:tabs>
              <w:snapToGrid w:val="0"/>
              <w:jc w:val="center"/>
              <w:rPr>
                <w:rFonts w:ascii="宋体" w:hAnsi="宋体"/>
                <w:szCs w:val="21"/>
              </w:rPr>
            </w:pPr>
          </w:p>
        </w:tc>
        <w:tc>
          <w:tcPr>
            <w:tcW w:w="1248" w:type="dxa"/>
            <w:noWrap w:val="0"/>
            <w:vAlign w:val="center"/>
          </w:tcPr>
          <w:p>
            <w:pPr>
              <w:tabs>
                <w:tab w:val="left" w:pos="720"/>
              </w:tabs>
              <w:snapToGrid w:val="0"/>
              <w:jc w:val="center"/>
              <w:rPr>
                <w:rFonts w:ascii="宋体" w:hAnsi="宋体"/>
                <w:szCs w:val="21"/>
              </w:rPr>
            </w:pPr>
          </w:p>
        </w:tc>
        <w:tc>
          <w:tcPr>
            <w:tcW w:w="1248" w:type="dxa"/>
            <w:noWrap w:val="0"/>
            <w:vAlign w:val="center"/>
          </w:tcPr>
          <w:p>
            <w:pPr>
              <w:tabs>
                <w:tab w:val="left" w:pos="720"/>
              </w:tabs>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3" w:type="dxa"/>
            <w:noWrap w:val="0"/>
            <w:vAlign w:val="center"/>
          </w:tcPr>
          <w:p>
            <w:pPr>
              <w:tabs>
                <w:tab w:val="left" w:pos="720"/>
              </w:tabs>
              <w:snapToGrid w:val="0"/>
              <w:jc w:val="center"/>
              <w:rPr>
                <w:rFonts w:ascii="宋体" w:hAnsi="宋体"/>
                <w:szCs w:val="21"/>
              </w:rPr>
            </w:pPr>
            <w:r>
              <w:rPr>
                <w:rFonts w:hint="eastAsia" w:ascii="宋体" w:hAnsi="宋体"/>
                <w:szCs w:val="21"/>
              </w:rPr>
              <w:t>7</w:t>
            </w:r>
          </w:p>
        </w:tc>
        <w:tc>
          <w:tcPr>
            <w:tcW w:w="4512" w:type="dxa"/>
            <w:noWrap w:val="0"/>
            <w:vAlign w:val="center"/>
          </w:tcPr>
          <w:p>
            <w:pPr>
              <w:tabs>
                <w:tab w:val="left" w:pos="720"/>
              </w:tabs>
              <w:snapToGrid w:val="0"/>
              <w:spacing w:line="300" w:lineRule="exact"/>
              <w:rPr>
                <w:rFonts w:ascii="宋体" w:hAnsi="宋体"/>
                <w:szCs w:val="21"/>
              </w:rPr>
            </w:pPr>
            <w:r>
              <w:rPr>
                <w:rFonts w:hint="eastAsia" w:ascii="宋体" w:hAnsi="宋体"/>
                <w:szCs w:val="21"/>
              </w:rPr>
              <w:t>不存在串通投标情形（串通投标情形以《中华人民共和国招标投标法实施条例》的规定为准）。</w:t>
            </w:r>
          </w:p>
        </w:tc>
        <w:tc>
          <w:tcPr>
            <w:tcW w:w="1248" w:type="dxa"/>
            <w:noWrap w:val="0"/>
            <w:vAlign w:val="center"/>
          </w:tcPr>
          <w:p>
            <w:pPr>
              <w:tabs>
                <w:tab w:val="left" w:pos="720"/>
              </w:tabs>
              <w:snapToGrid w:val="0"/>
              <w:jc w:val="center"/>
              <w:rPr>
                <w:rFonts w:ascii="宋体" w:hAnsi="宋体"/>
                <w:szCs w:val="21"/>
              </w:rPr>
            </w:pPr>
          </w:p>
        </w:tc>
        <w:tc>
          <w:tcPr>
            <w:tcW w:w="1248" w:type="dxa"/>
            <w:noWrap w:val="0"/>
            <w:vAlign w:val="center"/>
          </w:tcPr>
          <w:p>
            <w:pPr>
              <w:tabs>
                <w:tab w:val="left" w:pos="720"/>
              </w:tabs>
              <w:snapToGrid w:val="0"/>
              <w:jc w:val="center"/>
              <w:rPr>
                <w:rFonts w:ascii="宋体" w:hAnsi="宋体"/>
                <w:szCs w:val="21"/>
              </w:rPr>
            </w:pPr>
          </w:p>
        </w:tc>
        <w:tc>
          <w:tcPr>
            <w:tcW w:w="1248" w:type="dxa"/>
            <w:noWrap w:val="0"/>
            <w:vAlign w:val="center"/>
          </w:tcPr>
          <w:p>
            <w:pPr>
              <w:tabs>
                <w:tab w:val="left" w:pos="720"/>
              </w:tabs>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3" w:type="dxa"/>
            <w:noWrap w:val="0"/>
            <w:vAlign w:val="center"/>
          </w:tcPr>
          <w:p>
            <w:pPr>
              <w:tabs>
                <w:tab w:val="left" w:pos="720"/>
              </w:tabs>
              <w:snapToGrid w:val="0"/>
              <w:jc w:val="center"/>
              <w:rPr>
                <w:rFonts w:ascii="宋体" w:hAnsi="宋体"/>
                <w:szCs w:val="21"/>
              </w:rPr>
            </w:pPr>
            <w:r>
              <w:rPr>
                <w:rFonts w:hint="eastAsia" w:ascii="宋体" w:hAnsi="宋体"/>
                <w:szCs w:val="21"/>
              </w:rPr>
              <w:t>结论</w:t>
            </w:r>
          </w:p>
        </w:tc>
        <w:tc>
          <w:tcPr>
            <w:tcW w:w="4512" w:type="dxa"/>
            <w:noWrap w:val="0"/>
            <w:vAlign w:val="center"/>
          </w:tcPr>
          <w:p>
            <w:pPr>
              <w:tabs>
                <w:tab w:val="left" w:pos="720"/>
              </w:tabs>
              <w:snapToGrid w:val="0"/>
              <w:spacing w:line="300" w:lineRule="exact"/>
              <w:rPr>
                <w:rFonts w:ascii="宋体" w:hAnsi="宋体"/>
                <w:szCs w:val="21"/>
              </w:rPr>
            </w:pPr>
            <w:r>
              <w:rPr>
                <w:rFonts w:hint="eastAsia" w:ascii="宋体" w:hAnsi="宋体"/>
                <w:szCs w:val="21"/>
              </w:rPr>
              <w:t>是否通过并进入下一阶段评审</w:t>
            </w:r>
          </w:p>
          <w:p>
            <w:pPr>
              <w:tabs>
                <w:tab w:val="left" w:pos="720"/>
              </w:tabs>
              <w:snapToGrid w:val="0"/>
              <w:spacing w:line="300" w:lineRule="exact"/>
              <w:rPr>
                <w:rFonts w:ascii="宋体" w:hAnsi="宋体"/>
                <w:szCs w:val="21"/>
              </w:rPr>
            </w:pPr>
            <w:r>
              <w:rPr>
                <w:rFonts w:hint="eastAsia" w:ascii="宋体" w:hAnsi="宋体"/>
                <w:szCs w:val="21"/>
              </w:rPr>
              <w:t>（通过</w:t>
            </w:r>
            <w:r>
              <w:rPr>
                <w:rFonts w:ascii="宋体" w:hAnsi="宋体"/>
                <w:szCs w:val="21"/>
              </w:rPr>
              <w:t>/不通过）</w:t>
            </w:r>
          </w:p>
        </w:tc>
        <w:tc>
          <w:tcPr>
            <w:tcW w:w="1248" w:type="dxa"/>
            <w:noWrap w:val="0"/>
            <w:vAlign w:val="center"/>
          </w:tcPr>
          <w:p>
            <w:pPr>
              <w:tabs>
                <w:tab w:val="left" w:pos="720"/>
              </w:tabs>
              <w:snapToGrid w:val="0"/>
              <w:jc w:val="center"/>
              <w:rPr>
                <w:rFonts w:ascii="宋体" w:hAnsi="宋体"/>
                <w:szCs w:val="21"/>
              </w:rPr>
            </w:pPr>
          </w:p>
        </w:tc>
        <w:tc>
          <w:tcPr>
            <w:tcW w:w="1248" w:type="dxa"/>
            <w:noWrap w:val="0"/>
            <w:vAlign w:val="center"/>
          </w:tcPr>
          <w:p>
            <w:pPr>
              <w:tabs>
                <w:tab w:val="left" w:pos="720"/>
              </w:tabs>
              <w:snapToGrid w:val="0"/>
              <w:jc w:val="center"/>
              <w:rPr>
                <w:rFonts w:ascii="宋体" w:hAnsi="宋体"/>
                <w:szCs w:val="21"/>
              </w:rPr>
            </w:pPr>
          </w:p>
        </w:tc>
        <w:tc>
          <w:tcPr>
            <w:tcW w:w="1248" w:type="dxa"/>
            <w:noWrap w:val="0"/>
            <w:vAlign w:val="center"/>
          </w:tcPr>
          <w:p>
            <w:pPr>
              <w:tabs>
                <w:tab w:val="left" w:pos="720"/>
              </w:tabs>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3" w:type="dxa"/>
            <w:noWrap w:val="0"/>
            <w:vAlign w:val="center"/>
          </w:tcPr>
          <w:p>
            <w:pPr>
              <w:tabs>
                <w:tab w:val="left" w:pos="720"/>
              </w:tabs>
              <w:snapToGrid w:val="0"/>
              <w:jc w:val="center"/>
              <w:rPr>
                <w:rFonts w:ascii="宋体" w:hAnsi="宋体"/>
                <w:szCs w:val="21"/>
              </w:rPr>
            </w:pPr>
          </w:p>
        </w:tc>
        <w:tc>
          <w:tcPr>
            <w:tcW w:w="4512" w:type="dxa"/>
            <w:noWrap w:val="0"/>
            <w:vAlign w:val="center"/>
          </w:tcPr>
          <w:p>
            <w:pPr>
              <w:tabs>
                <w:tab w:val="left" w:pos="720"/>
              </w:tabs>
              <w:snapToGrid w:val="0"/>
              <w:spacing w:line="300" w:lineRule="exact"/>
              <w:rPr>
                <w:rFonts w:ascii="宋体" w:hAnsi="宋体"/>
                <w:szCs w:val="21"/>
              </w:rPr>
            </w:pPr>
            <w:r>
              <w:rPr>
                <w:rFonts w:hint="eastAsia" w:ascii="宋体" w:hAnsi="宋体"/>
                <w:szCs w:val="21"/>
              </w:rPr>
              <w:t>不通过原因说明</w:t>
            </w:r>
          </w:p>
        </w:tc>
        <w:tc>
          <w:tcPr>
            <w:tcW w:w="1248" w:type="dxa"/>
            <w:noWrap w:val="0"/>
            <w:vAlign w:val="center"/>
          </w:tcPr>
          <w:p>
            <w:pPr>
              <w:tabs>
                <w:tab w:val="left" w:pos="720"/>
              </w:tabs>
              <w:snapToGrid w:val="0"/>
              <w:jc w:val="center"/>
              <w:rPr>
                <w:rFonts w:ascii="宋体" w:hAnsi="宋体"/>
                <w:szCs w:val="21"/>
              </w:rPr>
            </w:pPr>
          </w:p>
        </w:tc>
        <w:tc>
          <w:tcPr>
            <w:tcW w:w="1248" w:type="dxa"/>
            <w:noWrap w:val="0"/>
            <w:vAlign w:val="center"/>
          </w:tcPr>
          <w:p>
            <w:pPr>
              <w:tabs>
                <w:tab w:val="left" w:pos="720"/>
              </w:tabs>
              <w:snapToGrid w:val="0"/>
              <w:jc w:val="center"/>
              <w:rPr>
                <w:rFonts w:ascii="宋体" w:hAnsi="宋体"/>
                <w:szCs w:val="21"/>
              </w:rPr>
            </w:pPr>
          </w:p>
        </w:tc>
        <w:tc>
          <w:tcPr>
            <w:tcW w:w="1248" w:type="dxa"/>
            <w:noWrap w:val="0"/>
            <w:vAlign w:val="center"/>
          </w:tcPr>
          <w:p>
            <w:pPr>
              <w:tabs>
                <w:tab w:val="left" w:pos="720"/>
              </w:tabs>
              <w:snapToGrid w:val="0"/>
              <w:jc w:val="center"/>
              <w:rPr>
                <w:rFonts w:ascii="宋体" w:hAnsi="宋体"/>
                <w:szCs w:val="21"/>
              </w:rPr>
            </w:pPr>
          </w:p>
        </w:tc>
      </w:tr>
    </w:tbl>
    <w:p>
      <w:pPr>
        <w:tabs>
          <w:tab w:val="left" w:pos="720"/>
        </w:tabs>
        <w:snapToGrid w:val="0"/>
        <w:spacing w:before="156" w:line="300" w:lineRule="exact"/>
        <w:rPr>
          <w:rFonts w:ascii="宋体" w:hAnsi="宋体"/>
          <w:szCs w:val="21"/>
        </w:rPr>
      </w:pPr>
      <w:r>
        <w:rPr>
          <w:rFonts w:hint="eastAsia" w:ascii="宋体" w:hAnsi="宋体"/>
          <w:szCs w:val="21"/>
        </w:rPr>
        <w:t>备注：</w:t>
      </w:r>
      <w:r>
        <w:rPr>
          <w:rFonts w:ascii="宋体" w:hAnsi="宋体"/>
          <w:szCs w:val="21"/>
        </w:rPr>
        <w:t>1、“是否通过并进入下一阶段评审”一栏应写“通过”“不通过”。</w:t>
      </w:r>
    </w:p>
    <w:p>
      <w:pPr>
        <w:tabs>
          <w:tab w:val="left" w:pos="720"/>
        </w:tabs>
        <w:snapToGrid w:val="0"/>
        <w:spacing w:before="156" w:line="300" w:lineRule="exact"/>
        <w:ind w:firstLine="630" w:firstLineChars="300"/>
        <w:rPr>
          <w:rFonts w:ascii="宋体" w:hAnsi="宋体"/>
          <w:szCs w:val="21"/>
        </w:rPr>
      </w:pPr>
      <w:r>
        <w:rPr>
          <w:rFonts w:ascii="宋体" w:hAnsi="宋体"/>
          <w:szCs w:val="21"/>
        </w:rPr>
        <w:t>2、未出现上述情况的打“○”，出现的打“×”。</w:t>
      </w:r>
    </w:p>
    <w:p>
      <w:pPr>
        <w:tabs>
          <w:tab w:val="left" w:pos="720"/>
        </w:tabs>
        <w:snapToGrid w:val="0"/>
        <w:spacing w:before="156" w:line="300" w:lineRule="exact"/>
        <w:ind w:firstLine="630" w:firstLineChars="300"/>
        <w:rPr>
          <w:rFonts w:ascii="宋体" w:hAnsi="宋体"/>
          <w:szCs w:val="21"/>
        </w:rPr>
      </w:pPr>
      <w:r>
        <w:rPr>
          <w:rFonts w:ascii="宋体" w:hAnsi="宋体"/>
          <w:szCs w:val="21"/>
        </w:rPr>
        <w:t>3、经评标委员会审核后，出现一个“×”的结论为“不通过”，即按废标处理。</w:t>
      </w:r>
    </w:p>
    <w:p>
      <w:pPr>
        <w:tabs>
          <w:tab w:val="left" w:pos="720"/>
        </w:tabs>
        <w:snapToGrid w:val="0"/>
        <w:spacing w:before="156" w:line="300" w:lineRule="exact"/>
        <w:rPr>
          <w:rFonts w:ascii="宋体" w:hAnsi="宋体"/>
          <w:szCs w:val="21"/>
        </w:rPr>
      </w:pPr>
      <w:r>
        <w:rPr>
          <w:rFonts w:ascii="宋体" w:hAnsi="宋体"/>
          <w:szCs w:val="21"/>
        </w:rPr>
        <w:t xml:space="preserve">      4、表中全部条件满足为“通过”，同意进入下一阶段评审。</w:t>
      </w:r>
    </w:p>
    <w:p>
      <w:pPr>
        <w:tabs>
          <w:tab w:val="left" w:pos="720"/>
        </w:tabs>
        <w:snapToGrid w:val="0"/>
        <w:spacing w:before="156" w:line="300" w:lineRule="exact"/>
        <w:ind w:firstLine="630" w:firstLineChars="300"/>
        <w:rPr>
          <w:rFonts w:ascii="宋体" w:hAnsi="宋体"/>
          <w:szCs w:val="21"/>
        </w:rPr>
      </w:pPr>
      <w:r>
        <w:rPr>
          <w:rFonts w:ascii="宋体" w:hAnsi="宋体"/>
          <w:szCs w:val="21"/>
        </w:rPr>
        <w:t>5、若评委意见不一致时，则按少数服从多数的原则，决定该供应商是否通过符合性审查，进入下一阶段评审。</w:t>
      </w:r>
    </w:p>
    <w:p>
      <w:pPr>
        <w:tabs>
          <w:tab w:val="left" w:pos="720"/>
        </w:tabs>
        <w:snapToGrid w:val="0"/>
        <w:ind w:firstLine="630" w:firstLineChars="300"/>
        <w:jc w:val="left"/>
        <w:rPr>
          <w:rFonts w:ascii="宋体" w:hAnsi="宋体"/>
          <w:szCs w:val="21"/>
        </w:rPr>
      </w:pPr>
    </w:p>
    <w:p>
      <w:pPr>
        <w:rPr>
          <w:rFonts w:ascii="宋体" w:hAnsi="宋体"/>
          <w:szCs w:val="21"/>
        </w:rPr>
      </w:pPr>
      <w:r>
        <w:rPr>
          <w:rFonts w:hint="eastAsia" w:ascii="宋体" w:hAnsi="宋体"/>
          <w:szCs w:val="21"/>
        </w:rPr>
        <w:t>评委签名：                                           日期：     年  月  日</w:t>
      </w:r>
    </w:p>
    <w:p>
      <w:pPr>
        <w:widowControl/>
        <w:adjustRightInd w:val="0"/>
        <w:snapToGrid w:val="0"/>
        <w:rPr>
          <w:rFonts w:ascii="宋体" w:hAnsi="宋体"/>
          <w:b/>
          <w:sz w:val="24"/>
        </w:rPr>
        <w:sectPr>
          <w:footerReference r:id="rId8" w:type="first"/>
          <w:footnotePr>
            <w:numFmt w:val="decimalEnclosedCircleChinese"/>
            <w:numRestart w:val="eachPage"/>
          </w:footnotePr>
          <w:pgSz w:w="11906" w:h="16838"/>
          <w:pgMar w:top="1588" w:right="1644" w:bottom="1474" w:left="1701" w:header="851" w:footer="1214" w:gutter="0"/>
          <w:pgNumType w:fmt="decimal"/>
          <w:cols w:space="720" w:num="1"/>
          <w:titlePg/>
          <w:docGrid w:linePitch="312" w:charSpace="0"/>
        </w:sectPr>
      </w:pPr>
    </w:p>
    <w:p>
      <w:pPr>
        <w:tabs>
          <w:tab w:val="left" w:pos="720"/>
        </w:tabs>
        <w:snapToGrid w:val="0"/>
        <w:spacing w:before="120" w:beforeLines="50"/>
        <w:rPr>
          <w:rFonts w:ascii="宋体" w:hAnsi="宋体"/>
          <w:b/>
          <w:bCs/>
          <w:sz w:val="24"/>
        </w:rPr>
      </w:pPr>
      <w:r>
        <w:rPr>
          <w:rFonts w:hint="eastAsia" w:ascii="宋体" w:hAnsi="宋体"/>
          <w:b/>
          <w:bCs/>
          <w:sz w:val="24"/>
        </w:rPr>
        <w:t>附件3 综合评分表</w:t>
      </w:r>
    </w:p>
    <w:p>
      <w:pPr>
        <w:pStyle w:val="29"/>
        <w:ind w:firstLine="0" w:firstLineChars="0"/>
        <w:rPr>
          <w:rFonts w:ascii="宋体" w:hAnsi="宋体"/>
          <w:b/>
          <w:bCs/>
          <w:sz w:val="24"/>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388"/>
        <w:gridCol w:w="843"/>
        <w:gridCol w:w="5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04" w:type="dxa"/>
            <w:noWrap w:val="0"/>
            <w:vAlign w:val="center"/>
          </w:tcPr>
          <w:p>
            <w:pPr>
              <w:jc w:val="center"/>
              <w:rPr>
                <w:rFonts w:ascii="宋体" w:hAnsi="宋体"/>
                <w:sz w:val="28"/>
                <w:szCs w:val="36"/>
              </w:rPr>
            </w:pPr>
            <w:r>
              <w:rPr>
                <w:rFonts w:hint="eastAsia" w:ascii="宋体" w:hAnsi="宋体"/>
                <w:sz w:val="28"/>
                <w:szCs w:val="36"/>
              </w:rPr>
              <w:t>序号</w:t>
            </w:r>
          </w:p>
        </w:tc>
        <w:tc>
          <w:tcPr>
            <w:tcW w:w="1388" w:type="dxa"/>
            <w:noWrap w:val="0"/>
            <w:vAlign w:val="center"/>
          </w:tcPr>
          <w:p>
            <w:pPr>
              <w:jc w:val="center"/>
              <w:rPr>
                <w:rFonts w:ascii="宋体" w:hAnsi="宋体"/>
                <w:sz w:val="28"/>
                <w:szCs w:val="36"/>
              </w:rPr>
            </w:pPr>
            <w:r>
              <w:rPr>
                <w:rFonts w:hint="eastAsia" w:ascii="宋体" w:hAnsi="宋体"/>
                <w:sz w:val="28"/>
                <w:szCs w:val="36"/>
              </w:rPr>
              <w:t>评分内容</w:t>
            </w:r>
          </w:p>
        </w:tc>
        <w:tc>
          <w:tcPr>
            <w:tcW w:w="843" w:type="dxa"/>
            <w:noWrap w:val="0"/>
            <w:vAlign w:val="center"/>
          </w:tcPr>
          <w:p>
            <w:pPr>
              <w:jc w:val="center"/>
              <w:rPr>
                <w:rFonts w:ascii="宋体" w:hAnsi="宋体"/>
                <w:sz w:val="28"/>
                <w:szCs w:val="36"/>
              </w:rPr>
            </w:pPr>
            <w:r>
              <w:rPr>
                <w:rFonts w:hint="eastAsia" w:ascii="宋体" w:hAnsi="宋体"/>
                <w:sz w:val="28"/>
                <w:szCs w:val="36"/>
              </w:rPr>
              <w:t>满分</w:t>
            </w:r>
          </w:p>
        </w:tc>
        <w:tc>
          <w:tcPr>
            <w:tcW w:w="5542" w:type="dxa"/>
            <w:noWrap w:val="0"/>
            <w:vAlign w:val="center"/>
          </w:tcPr>
          <w:p>
            <w:pPr>
              <w:jc w:val="center"/>
              <w:rPr>
                <w:rFonts w:ascii="宋体" w:hAnsi="宋体"/>
                <w:sz w:val="28"/>
                <w:szCs w:val="36"/>
              </w:rPr>
            </w:pPr>
            <w:r>
              <w:rPr>
                <w:rFonts w:hint="eastAsia" w:ascii="宋体" w:hAnsi="宋体"/>
                <w:sz w:val="28"/>
                <w:szCs w:val="36"/>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004" w:type="dxa"/>
            <w:noWrap w:val="0"/>
            <w:vAlign w:val="center"/>
          </w:tcPr>
          <w:p>
            <w:pPr>
              <w:jc w:val="center"/>
              <w:rPr>
                <w:rFonts w:ascii="宋体" w:hAnsi="宋体"/>
                <w:szCs w:val="21"/>
              </w:rPr>
            </w:pPr>
            <w:r>
              <w:rPr>
                <w:rFonts w:hint="eastAsia" w:ascii="宋体" w:hAnsi="宋体"/>
                <w:szCs w:val="21"/>
              </w:rPr>
              <w:t>1</w:t>
            </w:r>
          </w:p>
        </w:tc>
        <w:tc>
          <w:tcPr>
            <w:tcW w:w="1388" w:type="dxa"/>
            <w:noWrap w:val="0"/>
            <w:vAlign w:val="center"/>
          </w:tcPr>
          <w:p>
            <w:pPr>
              <w:spacing w:line="240" w:lineRule="atLeast"/>
              <w:jc w:val="center"/>
              <w:rPr>
                <w:rFonts w:ascii="宋体" w:hAnsi="宋体"/>
                <w:szCs w:val="21"/>
                <w:lang w:val="zh-CN"/>
              </w:rPr>
            </w:pPr>
            <w:r>
              <w:rPr>
                <w:rFonts w:hint="eastAsia" w:ascii="宋体" w:hAnsi="宋体" w:cs="宋体"/>
                <w:szCs w:val="21"/>
                <w:lang w:val="zh-CN"/>
              </w:rPr>
              <w:t>企业</w:t>
            </w:r>
            <w:r>
              <w:rPr>
                <w:rFonts w:hint="eastAsia" w:ascii="宋体" w:hAnsi="宋体" w:cs="宋体"/>
                <w:szCs w:val="21"/>
              </w:rPr>
              <w:t>荣誉</w:t>
            </w:r>
          </w:p>
        </w:tc>
        <w:tc>
          <w:tcPr>
            <w:tcW w:w="843" w:type="dxa"/>
            <w:noWrap w:val="0"/>
            <w:vAlign w:val="center"/>
          </w:tcPr>
          <w:p>
            <w:pPr>
              <w:jc w:val="center"/>
              <w:rPr>
                <w:rFonts w:hint="eastAsia" w:ascii="宋体" w:hAnsi="宋体"/>
                <w:szCs w:val="21"/>
              </w:rPr>
            </w:pPr>
            <w:r>
              <w:rPr>
                <w:rFonts w:hint="eastAsia" w:ascii="宋体" w:hAnsi="宋体"/>
                <w:szCs w:val="21"/>
              </w:rPr>
              <w:t>5</w:t>
            </w:r>
          </w:p>
        </w:tc>
        <w:tc>
          <w:tcPr>
            <w:tcW w:w="5542" w:type="dxa"/>
            <w:noWrap w:val="0"/>
            <w:vAlign w:val="top"/>
          </w:tcPr>
          <w:p>
            <w:pPr>
              <w:rPr>
                <w:rFonts w:ascii="宋体" w:hAnsi="宋体" w:cs="宋体"/>
                <w:szCs w:val="21"/>
              </w:rPr>
            </w:pPr>
            <w:r>
              <w:rPr>
                <w:rFonts w:hint="eastAsia" w:ascii="宋体" w:hAnsi="宋体" w:cs="宋体"/>
                <w:szCs w:val="21"/>
                <w:lang w:val="zh-CN"/>
              </w:rPr>
              <w:t>具备</w:t>
            </w:r>
            <w:r>
              <w:rPr>
                <w:rFonts w:hint="eastAsia" w:ascii="宋体" w:hAnsi="宋体" w:cs="宋体"/>
                <w:szCs w:val="21"/>
              </w:rPr>
              <w:t>有效期内的</w:t>
            </w:r>
            <w:r>
              <w:rPr>
                <w:rFonts w:hint="eastAsia" w:ascii="宋体" w:hAnsi="宋体" w:cs="宋体"/>
                <w:szCs w:val="21"/>
                <w:lang w:val="zh-CN"/>
              </w:rPr>
              <w:t>ISO9001质量管理体系、环境管理体系、职业健康安全管理体系认证、</w:t>
            </w:r>
            <w:r>
              <w:rPr>
                <w:rFonts w:hint="eastAsia" w:ascii="宋体" w:hAnsi="宋体" w:cs="宋体"/>
                <w:szCs w:val="21"/>
              </w:rPr>
              <w:t>信息安全管理体系认证、知识产权管理体系认证书，每个证书1分，最高得5分。</w:t>
            </w:r>
          </w:p>
          <w:p>
            <w:pPr>
              <w:rPr>
                <w:rFonts w:ascii="宋体" w:hAnsi="宋体"/>
                <w:szCs w:val="21"/>
              </w:rPr>
            </w:pPr>
            <w:r>
              <w:rPr>
                <w:rFonts w:hint="eastAsia" w:ascii="宋体" w:hAnsi="宋体" w:cs="宋体"/>
                <w:szCs w:val="21"/>
                <w:lang w:val="zh-CN"/>
              </w:rPr>
              <w:t>注：提供证书复印件并加盖公章作证明材料。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004" w:type="dxa"/>
            <w:noWrap w:val="0"/>
            <w:vAlign w:val="center"/>
          </w:tcPr>
          <w:p>
            <w:pPr>
              <w:jc w:val="center"/>
              <w:rPr>
                <w:rFonts w:ascii="宋体" w:hAnsi="宋体"/>
                <w:szCs w:val="21"/>
              </w:rPr>
            </w:pPr>
            <w:r>
              <w:rPr>
                <w:rFonts w:hint="eastAsia" w:ascii="宋体" w:hAnsi="宋体"/>
                <w:szCs w:val="21"/>
              </w:rPr>
              <w:t>2</w:t>
            </w:r>
          </w:p>
        </w:tc>
        <w:tc>
          <w:tcPr>
            <w:tcW w:w="1388" w:type="dxa"/>
            <w:noWrap w:val="0"/>
            <w:vAlign w:val="center"/>
          </w:tcPr>
          <w:p>
            <w:pPr>
              <w:jc w:val="center"/>
              <w:rPr>
                <w:rFonts w:ascii="宋体" w:hAnsi="宋体"/>
                <w:szCs w:val="21"/>
              </w:rPr>
            </w:pPr>
            <w:r>
              <w:rPr>
                <w:rFonts w:hint="eastAsia" w:ascii="宋体" w:hAnsi="宋体" w:cs="宋体"/>
                <w:szCs w:val="21"/>
                <w:lang w:val="zh-CN"/>
              </w:rPr>
              <w:t>诚信经营情况</w:t>
            </w:r>
          </w:p>
        </w:tc>
        <w:tc>
          <w:tcPr>
            <w:tcW w:w="843" w:type="dxa"/>
            <w:noWrap w:val="0"/>
            <w:vAlign w:val="center"/>
          </w:tcPr>
          <w:p>
            <w:pPr>
              <w:jc w:val="center"/>
              <w:rPr>
                <w:rFonts w:ascii="宋体" w:hAnsi="宋体"/>
                <w:szCs w:val="21"/>
              </w:rPr>
            </w:pPr>
            <w:r>
              <w:rPr>
                <w:rFonts w:hint="eastAsia" w:ascii="宋体" w:hAnsi="宋体"/>
                <w:szCs w:val="21"/>
              </w:rPr>
              <w:t>15</w:t>
            </w:r>
          </w:p>
        </w:tc>
        <w:tc>
          <w:tcPr>
            <w:tcW w:w="5542" w:type="dxa"/>
            <w:noWrap w:val="0"/>
            <w:vAlign w:val="center"/>
          </w:tcPr>
          <w:p>
            <w:pPr>
              <w:numPr>
                <w:ilvl w:val="0"/>
                <w:numId w:val="15"/>
              </w:numPr>
              <w:rPr>
                <w:rFonts w:hint="eastAsia" w:ascii="宋体" w:hAnsi="宋体"/>
                <w:szCs w:val="21"/>
              </w:rPr>
            </w:pPr>
            <w:r>
              <w:rPr>
                <w:rFonts w:hint="eastAsia" w:ascii="宋体" w:hAnsi="宋体"/>
                <w:szCs w:val="21"/>
              </w:rPr>
              <w:t>近十年（截止2020年度），投标人被评为市级或以上“守合同、重信用企业”称号按累计获得年数长短排名，排名第一得10分，第二名得9分，第三名得8分，以此类推，最低得0分。</w:t>
            </w:r>
          </w:p>
          <w:p>
            <w:pPr>
              <w:numPr>
                <w:ilvl w:val="0"/>
                <w:numId w:val="15"/>
              </w:numPr>
            </w:pPr>
            <w:r>
              <w:rPr>
                <w:rFonts w:hint="eastAsia"/>
              </w:rPr>
              <w:t>投标人获得过国家级“守合同重信用”证书的，得5分。</w:t>
            </w:r>
          </w:p>
          <w:p>
            <w:pPr>
              <w:rPr>
                <w:rFonts w:hint="eastAsia" w:ascii="宋体" w:hAnsi="宋体"/>
                <w:szCs w:val="21"/>
              </w:rPr>
            </w:pPr>
            <w:r>
              <w:rPr>
                <w:rFonts w:hint="eastAsia" w:ascii="宋体" w:hAnsi="宋体"/>
                <w:szCs w:val="21"/>
              </w:rPr>
              <w:t>注：</w:t>
            </w:r>
          </w:p>
          <w:p>
            <w:pPr>
              <w:rPr>
                <w:rFonts w:hint="eastAsia" w:ascii="宋体" w:hAnsi="宋体" w:cs="宋体"/>
                <w:szCs w:val="21"/>
                <w:lang w:val="zh-CN"/>
              </w:rPr>
            </w:pPr>
            <w:r>
              <w:rPr>
                <w:rFonts w:hint="eastAsia" w:ascii="宋体" w:hAnsi="宋体"/>
                <w:szCs w:val="21"/>
              </w:rPr>
              <w:t>1）提供证书</w:t>
            </w:r>
            <w:r>
              <w:rPr>
                <w:rFonts w:hint="eastAsia" w:ascii="宋体" w:hAnsi="宋体" w:cs="宋体"/>
                <w:szCs w:val="21"/>
                <w:lang w:val="zh-CN"/>
              </w:rPr>
              <w:t>复印件并加盖公章作证明材料；</w:t>
            </w:r>
          </w:p>
          <w:p>
            <w:pPr>
              <w:rPr>
                <w:rFonts w:ascii="宋体" w:hAnsi="宋体"/>
                <w:szCs w:val="21"/>
              </w:rPr>
            </w:pPr>
            <w:r>
              <w:rPr>
                <w:rFonts w:hint="eastAsia" w:ascii="宋体" w:hAnsi="宋体" w:cs="宋体"/>
                <w:szCs w:val="21"/>
              </w:rPr>
              <w:t>2）</w:t>
            </w:r>
            <w:r>
              <w:rPr>
                <w:rFonts w:hint="eastAsia" w:ascii="宋体" w:hAnsi="宋体"/>
                <w:szCs w:val="21"/>
              </w:rPr>
              <w:t>守合同、重信用企业以工商（市场）监督部门或由工商（市场）监督部门主管的行业协会颁发的为准。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004" w:type="dxa"/>
            <w:noWrap w:val="0"/>
            <w:vAlign w:val="center"/>
          </w:tcPr>
          <w:p>
            <w:pPr>
              <w:jc w:val="center"/>
              <w:rPr>
                <w:rFonts w:ascii="宋体" w:hAnsi="宋体"/>
                <w:szCs w:val="21"/>
              </w:rPr>
            </w:pPr>
            <w:r>
              <w:rPr>
                <w:rFonts w:hint="eastAsia" w:ascii="宋体" w:hAnsi="宋体"/>
                <w:szCs w:val="21"/>
              </w:rPr>
              <w:t>3</w:t>
            </w:r>
          </w:p>
        </w:tc>
        <w:tc>
          <w:tcPr>
            <w:tcW w:w="1388" w:type="dxa"/>
            <w:noWrap w:val="0"/>
            <w:vAlign w:val="center"/>
          </w:tcPr>
          <w:p>
            <w:pPr>
              <w:jc w:val="center"/>
              <w:rPr>
                <w:rFonts w:ascii="宋体" w:hAnsi="宋体"/>
                <w:szCs w:val="21"/>
              </w:rPr>
            </w:pPr>
            <w:r>
              <w:rPr>
                <w:rFonts w:hint="eastAsia" w:ascii="宋体" w:hAnsi="宋体"/>
                <w:szCs w:val="21"/>
              </w:rPr>
              <w:t>招标代理业绩</w:t>
            </w:r>
          </w:p>
        </w:tc>
        <w:tc>
          <w:tcPr>
            <w:tcW w:w="843" w:type="dxa"/>
            <w:noWrap w:val="0"/>
            <w:vAlign w:val="center"/>
          </w:tcPr>
          <w:p>
            <w:pPr>
              <w:jc w:val="center"/>
              <w:rPr>
                <w:rFonts w:ascii="宋体" w:hAnsi="宋体"/>
                <w:szCs w:val="21"/>
              </w:rPr>
            </w:pPr>
            <w:r>
              <w:rPr>
                <w:rFonts w:hint="eastAsia" w:ascii="宋体" w:hAnsi="宋体"/>
                <w:szCs w:val="21"/>
              </w:rPr>
              <w:t>20</w:t>
            </w:r>
          </w:p>
        </w:tc>
        <w:tc>
          <w:tcPr>
            <w:tcW w:w="5542" w:type="dxa"/>
            <w:noWrap w:val="0"/>
            <w:vAlign w:val="top"/>
          </w:tcPr>
          <w:p>
            <w:pPr>
              <w:widowControl/>
              <w:jc w:val="left"/>
              <w:textAlignment w:val="center"/>
              <w:rPr>
                <w:rFonts w:ascii="宋体" w:hAnsi="宋体"/>
                <w:szCs w:val="21"/>
              </w:rPr>
            </w:pPr>
            <w:r>
              <w:rPr>
                <w:rFonts w:hint="eastAsia" w:ascii="宋体" w:hAnsi="宋体"/>
                <w:szCs w:val="21"/>
              </w:rPr>
              <w:t>近五年（截止2021年5月31日）具有国际方案竞赛设计类招标代理项目招标代理业绩经验的，每个项目5分，最高20分。</w:t>
            </w:r>
          </w:p>
          <w:p>
            <w:pPr>
              <w:rPr>
                <w:rFonts w:hint="eastAsia" w:ascii="宋体" w:hAnsi="宋体"/>
                <w:szCs w:val="21"/>
              </w:rPr>
            </w:pPr>
            <w:r>
              <w:rPr>
                <w:rFonts w:hint="eastAsia" w:ascii="宋体" w:hAnsi="宋体"/>
                <w:szCs w:val="21"/>
              </w:rPr>
              <w:t>注：</w:t>
            </w:r>
          </w:p>
          <w:p>
            <w:pPr>
              <w:rPr>
                <w:rFonts w:ascii="宋体" w:hAnsi="宋体"/>
                <w:szCs w:val="21"/>
              </w:rPr>
            </w:pPr>
            <w:r>
              <w:rPr>
                <w:rFonts w:hint="eastAsia" w:ascii="宋体" w:hAnsi="宋体"/>
                <w:szCs w:val="21"/>
              </w:rPr>
              <w:t>1）时间按代理合同或中标通知书为准；</w:t>
            </w:r>
          </w:p>
          <w:p>
            <w:pPr>
              <w:rPr>
                <w:rFonts w:ascii="宋体" w:hAnsi="宋体"/>
                <w:szCs w:val="21"/>
              </w:rPr>
            </w:pPr>
            <w:r>
              <w:rPr>
                <w:rFonts w:hint="eastAsia" w:ascii="宋体" w:hAnsi="宋体"/>
                <w:szCs w:val="21"/>
              </w:rPr>
              <w:t>2）证明资料提供代理合同或中标通知书。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004" w:type="dxa"/>
            <w:noWrap w:val="0"/>
            <w:vAlign w:val="center"/>
          </w:tcPr>
          <w:p>
            <w:pPr>
              <w:jc w:val="center"/>
              <w:rPr>
                <w:rFonts w:ascii="宋体" w:hAnsi="宋体"/>
                <w:szCs w:val="21"/>
              </w:rPr>
            </w:pPr>
            <w:r>
              <w:rPr>
                <w:rFonts w:hint="eastAsia" w:ascii="宋体" w:hAnsi="宋体"/>
                <w:szCs w:val="21"/>
              </w:rPr>
              <w:t>4</w:t>
            </w:r>
          </w:p>
        </w:tc>
        <w:tc>
          <w:tcPr>
            <w:tcW w:w="1388" w:type="dxa"/>
            <w:noWrap w:val="0"/>
            <w:vAlign w:val="center"/>
          </w:tcPr>
          <w:p>
            <w:pPr>
              <w:jc w:val="center"/>
              <w:rPr>
                <w:rFonts w:ascii="宋体" w:hAnsi="宋体"/>
                <w:szCs w:val="21"/>
              </w:rPr>
            </w:pPr>
            <w:r>
              <w:rPr>
                <w:rFonts w:hint="eastAsia" w:ascii="宋体" w:hAnsi="宋体"/>
                <w:szCs w:val="21"/>
              </w:rPr>
              <w:t>诚信排名</w:t>
            </w:r>
          </w:p>
        </w:tc>
        <w:tc>
          <w:tcPr>
            <w:tcW w:w="843" w:type="dxa"/>
            <w:noWrap w:val="0"/>
            <w:vAlign w:val="center"/>
          </w:tcPr>
          <w:p>
            <w:pPr>
              <w:jc w:val="center"/>
              <w:rPr>
                <w:rFonts w:ascii="宋体" w:hAnsi="宋体"/>
                <w:szCs w:val="21"/>
              </w:rPr>
            </w:pPr>
            <w:r>
              <w:rPr>
                <w:rFonts w:hint="eastAsia" w:ascii="宋体" w:hAnsi="宋体"/>
                <w:szCs w:val="21"/>
              </w:rPr>
              <w:t>15</w:t>
            </w:r>
          </w:p>
        </w:tc>
        <w:tc>
          <w:tcPr>
            <w:tcW w:w="5542" w:type="dxa"/>
            <w:noWrap w:val="0"/>
            <w:vAlign w:val="top"/>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按投标截止前一日在广州公共资源交易中心 http://113.108.173.5:8082/admin/est/toatal发布的招标代理企业 60日诚信分从高到低进行排名，排名第一得15分，第二名得10分，第三名得5分。其余不得分。</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注：需提供诚信排名截图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04" w:type="dxa"/>
            <w:noWrap w:val="0"/>
            <w:vAlign w:val="center"/>
          </w:tcPr>
          <w:p>
            <w:pPr>
              <w:jc w:val="center"/>
              <w:rPr>
                <w:rFonts w:ascii="宋体" w:hAnsi="宋体"/>
                <w:szCs w:val="21"/>
              </w:rPr>
            </w:pPr>
            <w:r>
              <w:rPr>
                <w:rFonts w:hint="eastAsia" w:ascii="宋体" w:hAnsi="宋体"/>
                <w:szCs w:val="21"/>
              </w:rPr>
              <w:t>5</w:t>
            </w:r>
          </w:p>
        </w:tc>
        <w:tc>
          <w:tcPr>
            <w:tcW w:w="1388" w:type="dxa"/>
            <w:noWrap w:val="0"/>
            <w:vAlign w:val="center"/>
          </w:tcPr>
          <w:p>
            <w:pPr>
              <w:jc w:val="center"/>
              <w:rPr>
                <w:rFonts w:ascii="宋体" w:hAnsi="宋体"/>
                <w:szCs w:val="21"/>
              </w:rPr>
            </w:pPr>
            <w:r>
              <w:rPr>
                <w:rFonts w:hint="eastAsia" w:ascii="宋体" w:hAnsi="宋体"/>
                <w:szCs w:val="21"/>
              </w:rPr>
              <w:t>招标代理方案</w:t>
            </w:r>
          </w:p>
        </w:tc>
        <w:tc>
          <w:tcPr>
            <w:tcW w:w="843" w:type="dxa"/>
            <w:noWrap w:val="0"/>
            <w:vAlign w:val="center"/>
          </w:tcPr>
          <w:p>
            <w:pPr>
              <w:jc w:val="center"/>
              <w:rPr>
                <w:rFonts w:ascii="宋体" w:hAnsi="宋体"/>
                <w:szCs w:val="21"/>
              </w:rPr>
            </w:pPr>
            <w:r>
              <w:rPr>
                <w:rFonts w:hint="eastAsia" w:ascii="宋体" w:hAnsi="宋体"/>
                <w:szCs w:val="21"/>
              </w:rPr>
              <w:t>15</w:t>
            </w:r>
          </w:p>
        </w:tc>
        <w:tc>
          <w:tcPr>
            <w:tcW w:w="5542" w:type="dxa"/>
            <w:noWrap w:val="0"/>
            <w:vAlign w:val="top"/>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策划方案全面、合理，措施具体操作性强的得11-15分；</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策划方案比较全面、合理，措施具体操作性较强的得6-10分；</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策划方案一般，措施不具体操作性不强的得1-5分。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1004" w:type="dxa"/>
            <w:noWrap w:val="0"/>
            <w:vAlign w:val="center"/>
          </w:tcPr>
          <w:p>
            <w:pPr>
              <w:jc w:val="center"/>
              <w:rPr>
                <w:rFonts w:ascii="宋体" w:hAnsi="宋体"/>
                <w:szCs w:val="21"/>
              </w:rPr>
            </w:pPr>
            <w:r>
              <w:rPr>
                <w:rFonts w:hint="eastAsia" w:ascii="宋体" w:hAnsi="宋体"/>
                <w:szCs w:val="21"/>
              </w:rPr>
              <w:t>6</w:t>
            </w:r>
          </w:p>
        </w:tc>
        <w:tc>
          <w:tcPr>
            <w:tcW w:w="1388" w:type="dxa"/>
            <w:noWrap w:val="0"/>
            <w:vAlign w:val="center"/>
          </w:tcPr>
          <w:p>
            <w:pPr>
              <w:jc w:val="center"/>
              <w:rPr>
                <w:rFonts w:ascii="宋体" w:hAnsi="宋体"/>
                <w:szCs w:val="21"/>
              </w:rPr>
            </w:pPr>
            <w:r>
              <w:rPr>
                <w:rFonts w:hint="eastAsia" w:ascii="宋体" w:hAnsi="宋体"/>
                <w:szCs w:val="21"/>
              </w:rPr>
              <w:t>招标代理报价</w:t>
            </w:r>
          </w:p>
        </w:tc>
        <w:tc>
          <w:tcPr>
            <w:tcW w:w="843" w:type="dxa"/>
            <w:noWrap w:val="0"/>
            <w:vAlign w:val="center"/>
          </w:tcPr>
          <w:p>
            <w:pPr>
              <w:jc w:val="center"/>
              <w:rPr>
                <w:rFonts w:ascii="宋体" w:hAnsi="宋体"/>
                <w:szCs w:val="21"/>
              </w:rPr>
            </w:pPr>
            <w:r>
              <w:rPr>
                <w:rFonts w:hint="eastAsia" w:ascii="宋体" w:hAnsi="宋体"/>
                <w:szCs w:val="21"/>
              </w:rPr>
              <w:t>30</w:t>
            </w:r>
          </w:p>
        </w:tc>
        <w:tc>
          <w:tcPr>
            <w:tcW w:w="5542" w:type="dxa"/>
            <w:noWrap w:val="0"/>
            <w:vAlign w:val="top"/>
          </w:tcPr>
          <w:p>
            <w:pPr>
              <w:widowControl/>
              <w:jc w:val="left"/>
              <w:textAlignment w:val="center"/>
              <w:rPr>
                <w:rFonts w:ascii="宋体" w:hAnsi="宋体" w:cs="宋体"/>
                <w:kern w:val="0"/>
                <w:szCs w:val="21"/>
              </w:rPr>
            </w:pPr>
            <w:r>
              <w:rPr>
                <w:rFonts w:hint="eastAsia" w:ascii="宋体" w:hAnsi="宋体" w:cs="宋体"/>
                <w:kern w:val="0"/>
                <w:szCs w:val="21"/>
              </w:rPr>
              <w:t>当有效报价等于报价基准价时，报价得分为30分，报价每高于报价基准价1%的，扣0.5分，每低于1%的，扣0.3分，扣至0分为止。报价得分，精确到小数点后两位。</w:t>
            </w:r>
          </w:p>
          <w:p>
            <w:pPr>
              <w:widowControl/>
              <w:jc w:val="left"/>
              <w:textAlignment w:val="center"/>
              <w:rPr>
                <w:rFonts w:ascii="宋体" w:hAnsi="宋体"/>
              </w:rPr>
            </w:pPr>
          </w:p>
          <w:p>
            <w:pPr>
              <w:widowControl/>
              <w:jc w:val="left"/>
              <w:textAlignment w:val="center"/>
              <w:rPr>
                <w:rFonts w:ascii="宋体" w:hAnsi="宋体"/>
              </w:rPr>
            </w:pPr>
            <w:r>
              <w:rPr>
                <w:rFonts w:hint="eastAsia" w:ascii="宋体" w:hAnsi="宋体"/>
              </w:rPr>
              <w:t>注：1.评标基准价的计算：有效报价家数≥5家时，去掉一个最高价和一个最低价，取余下有效投标价的算术平均值作为评标基准价。有效报价家数＜5家时，取所有有效投标价的算术平均值作为评标基准价。2.当评标基准价低于最高限价的70%时，以最高限价的70%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392" w:type="dxa"/>
            <w:gridSpan w:val="2"/>
            <w:noWrap w:val="0"/>
            <w:vAlign w:val="center"/>
          </w:tcPr>
          <w:p>
            <w:pPr>
              <w:jc w:val="center"/>
              <w:rPr>
                <w:rFonts w:ascii="宋体" w:hAnsi="宋体"/>
                <w:szCs w:val="21"/>
              </w:rPr>
            </w:pPr>
            <w:r>
              <w:rPr>
                <w:rFonts w:hint="eastAsia" w:ascii="宋体" w:hAnsi="宋体"/>
                <w:szCs w:val="21"/>
              </w:rPr>
              <w:t>合计</w:t>
            </w:r>
          </w:p>
        </w:tc>
        <w:tc>
          <w:tcPr>
            <w:tcW w:w="843" w:type="dxa"/>
            <w:noWrap w:val="0"/>
            <w:vAlign w:val="center"/>
          </w:tcPr>
          <w:p>
            <w:pPr>
              <w:jc w:val="center"/>
              <w:rPr>
                <w:rFonts w:ascii="宋体" w:hAnsi="宋体"/>
                <w:szCs w:val="21"/>
              </w:rPr>
            </w:pPr>
            <w:r>
              <w:rPr>
                <w:rFonts w:hint="eastAsia" w:ascii="宋体" w:hAnsi="宋体"/>
                <w:szCs w:val="21"/>
              </w:rPr>
              <w:t>100</w:t>
            </w:r>
          </w:p>
        </w:tc>
        <w:tc>
          <w:tcPr>
            <w:tcW w:w="5542" w:type="dxa"/>
            <w:noWrap w:val="0"/>
            <w:vAlign w:val="top"/>
          </w:tcPr>
          <w:p>
            <w:pPr>
              <w:rPr>
                <w:rFonts w:ascii="宋体" w:hAnsi="宋体"/>
                <w:sz w:val="24"/>
                <w:szCs w:val="32"/>
              </w:rPr>
            </w:pPr>
          </w:p>
        </w:tc>
      </w:tr>
    </w:tbl>
    <w:p>
      <w:pPr>
        <w:sectPr>
          <w:pgSz w:w="11906" w:h="16838"/>
          <w:pgMar w:top="1588" w:right="1644" w:bottom="1474" w:left="1701" w:header="567" w:footer="567" w:gutter="0"/>
          <w:pgNumType w:fmt="decimal"/>
          <w:cols w:space="720" w:num="1"/>
          <w:docGrid w:linePitch="286" w:charSpace="0"/>
        </w:sectPr>
      </w:pPr>
    </w:p>
    <w:p>
      <w:pPr>
        <w:pStyle w:val="2"/>
      </w:pPr>
      <w:bookmarkStart w:id="71" w:name="_Toc17020"/>
      <w:bookmarkStart w:id="72" w:name="_Toc25377"/>
      <w:r>
        <w:rPr>
          <w:rFonts w:hint="eastAsia"/>
        </w:rPr>
        <w:t>第三章</w:t>
      </w:r>
      <w:r>
        <w:rPr>
          <w:rFonts w:hint="eastAsia"/>
        </w:rPr>
        <w:tab/>
      </w:r>
      <w:r>
        <w:rPr>
          <w:rFonts w:hint="eastAsia"/>
        </w:rPr>
        <w:t>服务需求</w:t>
      </w:r>
      <w:bookmarkEnd w:id="71"/>
      <w:bookmarkEnd w:id="72"/>
    </w:p>
    <w:p>
      <w:pPr>
        <w:spacing w:before="240" w:beforeLines="100" w:line="360" w:lineRule="auto"/>
        <w:jc w:val="left"/>
        <w:rPr>
          <w:rFonts w:ascii="宋体" w:hAnsi="宋体"/>
          <w:b/>
          <w:sz w:val="28"/>
          <w:szCs w:val="28"/>
        </w:rPr>
      </w:pPr>
      <w:r>
        <w:rPr>
          <w:rFonts w:hint="eastAsia" w:ascii="宋体" w:hAnsi="宋体"/>
          <w:b/>
          <w:sz w:val="28"/>
          <w:szCs w:val="28"/>
        </w:rPr>
        <w:t>一、招标内容</w:t>
      </w:r>
    </w:p>
    <w:p>
      <w:pPr>
        <w:spacing w:line="360" w:lineRule="auto"/>
        <w:ind w:firstLine="480" w:firstLineChars="200"/>
        <w:jc w:val="left"/>
        <w:rPr>
          <w:rFonts w:ascii="宋体" w:hAnsi="宋体" w:cs="宋体"/>
          <w:sz w:val="24"/>
          <w:shd w:val="clear" w:color="auto" w:fill="FFFFFF"/>
        </w:rPr>
      </w:pPr>
      <w:r>
        <w:rPr>
          <w:rFonts w:hint="eastAsia" w:ascii="宋体" w:hAnsi="宋体"/>
          <w:sz w:val="24"/>
        </w:rPr>
        <w:t>1、项目名称：</w:t>
      </w:r>
      <w:r>
        <w:rPr>
          <w:rFonts w:hint="eastAsia" w:ascii="宋体" w:hAnsi="宋体" w:cs="宋体"/>
          <w:sz w:val="24"/>
        </w:rPr>
        <w:t>南沙(黄阁)公交枢纽综合体项目方案设计国际竞赛、PPP全过程咨询招标代理</w:t>
      </w:r>
      <w:r>
        <w:rPr>
          <w:rFonts w:hint="eastAsia" w:ascii="宋体" w:hAnsi="宋体" w:cs="宋体"/>
          <w:sz w:val="24"/>
          <w:shd w:val="clear" w:color="auto" w:fill="FFFFFF"/>
        </w:rPr>
        <w:t>服务</w:t>
      </w:r>
    </w:p>
    <w:p>
      <w:pPr>
        <w:pStyle w:val="29"/>
        <w:spacing w:line="360" w:lineRule="auto"/>
        <w:ind w:firstLine="480" w:firstLineChars="200"/>
        <w:rPr>
          <w:rFonts w:ascii="宋体" w:hAnsi="宋体"/>
          <w:sz w:val="24"/>
          <w:highlight w:val="yellow"/>
        </w:rPr>
      </w:pPr>
      <w:r>
        <w:rPr>
          <w:rFonts w:hint="eastAsia" w:ascii="宋体" w:hAnsi="宋体"/>
          <w:sz w:val="24"/>
        </w:rPr>
        <w:t>2、项目概况：</w:t>
      </w:r>
      <w:r>
        <w:rPr>
          <w:rFonts w:hint="eastAsia" w:ascii="宋体" w:hAnsi="宋体" w:cs="宋体"/>
          <w:color w:val="000000"/>
          <w:sz w:val="24"/>
        </w:rPr>
        <w:t>南沙（黄阁）公交枢纽综合体项目位于广州市南沙区黄阁镇地铁4号线黄阁汽车城站旁。项目规划用地面积7.36万㎡，项目建设内容包括南沙公交总站建筑面积约10.5万㎡，公安局车管所建筑面积约4.5万㎡。项目拟采用PPP模式进行投资开发建设，在满足上述政府公共功能基础上，复合一定规模的配套商业、产业商务办公、酒店公寓等功能业态。</w:t>
      </w:r>
    </w:p>
    <w:p>
      <w:pPr>
        <w:spacing w:line="360" w:lineRule="auto"/>
        <w:ind w:firstLine="480" w:firstLineChars="200"/>
        <w:jc w:val="left"/>
        <w:rPr>
          <w:rFonts w:ascii="宋体" w:hAnsi="宋体"/>
          <w:sz w:val="24"/>
        </w:rPr>
      </w:pPr>
      <w:r>
        <w:rPr>
          <w:rFonts w:hint="eastAsia" w:ascii="宋体" w:hAnsi="宋体"/>
          <w:sz w:val="24"/>
        </w:rPr>
        <w:t>3、采购范围：</w:t>
      </w:r>
      <w:r>
        <w:rPr>
          <w:rFonts w:hint="eastAsia" w:ascii="宋体" w:hAnsi="宋体" w:cs="宋体"/>
          <w:color w:val="000000"/>
          <w:sz w:val="24"/>
        </w:rPr>
        <w:t>本项目的方案设计国际竞赛、</w:t>
      </w:r>
      <w:r>
        <w:rPr>
          <w:rFonts w:hint="eastAsia" w:ascii="宋体" w:hAnsi="宋体" w:cs="宋体"/>
          <w:sz w:val="24"/>
        </w:rPr>
        <w:t>PPP全过程咨询</w:t>
      </w:r>
      <w:r>
        <w:rPr>
          <w:rFonts w:hint="eastAsia" w:ascii="宋体" w:hAnsi="宋体" w:cs="宋体"/>
          <w:color w:val="000000"/>
          <w:sz w:val="24"/>
        </w:rPr>
        <w:t>招标代理服务（方案设计国际竞赛、PPP</w:t>
      </w:r>
      <w:r>
        <w:rPr>
          <w:rFonts w:hint="eastAsia" w:ascii="宋体" w:hAnsi="宋体" w:cs="宋体"/>
          <w:sz w:val="24"/>
        </w:rPr>
        <w:t>全过程咨询须</w:t>
      </w:r>
      <w:r>
        <w:rPr>
          <w:rFonts w:hint="eastAsia" w:ascii="宋体" w:hAnsi="宋体" w:cs="宋体"/>
          <w:color w:val="000000"/>
          <w:sz w:val="24"/>
        </w:rPr>
        <w:t>分开招标）</w:t>
      </w:r>
    </w:p>
    <w:p>
      <w:pPr>
        <w:spacing w:line="360" w:lineRule="auto"/>
        <w:jc w:val="left"/>
        <w:rPr>
          <w:rFonts w:ascii="宋体" w:hAnsi="宋体"/>
          <w:b/>
          <w:sz w:val="28"/>
          <w:szCs w:val="28"/>
        </w:rPr>
      </w:pPr>
      <w:r>
        <w:rPr>
          <w:rFonts w:hint="eastAsia" w:ascii="宋体" w:hAnsi="宋体"/>
          <w:b/>
          <w:sz w:val="28"/>
          <w:szCs w:val="28"/>
        </w:rPr>
        <w:t>二、潜在投标人入围资质要求</w:t>
      </w:r>
    </w:p>
    <w:p>
      <w:pPr>
        <w:spacing w:before="72" w:beforeLines="30" w:after="72" w:afterLines="30" w:line="360" w:lineRule="auto"/>
        <w:ind w:firstLine="480" w:firstLineChars="200"/>
        <w:rPr>
          <w:rFonts w:ascii="宋体" w:hAnsi="宋体" w:cs="宋体"/>
          <w:sz w:val="24"/>
        </w:rPr>
      </w:pPr>
      <w:r>
        <w:rPr>
          <w:rFonts w:hint="eastAsia" w:ascii="宋体" w:hAnsi="宋体" w:cs="宋体"/>
          <w:sz w:val="24"/>
        </w:rPr>
        <w:t>1、具有中华人民共和国独立法人资格，持有有效的企业法人营业执照；按国家法律经营，经营范围包括工程建设项目招标代理服务范围[以工商营业执照注明的经营范围或事业单位法人证书注明的业务范围为准，如营业执照中没有体现经营范围的，则须提供工商部门网站“商事主体信息公示平台”查询平台页面（含经营范围）打印件]。</w:t>
      </w:r>
    </w:p>
    <w:p>
      <w:pPr>
        <w:spacing w:before="72" w:beforeLines="30" w:after="72" w:afterLines="30" w:line="360" w:lineRule="auto"/>
        <w:ind w:firstLine="480" w:firstLineChars="200"/>
        <w:rPr>
          <w:rFonts w:ascii="宋体" w:hAnsi="宋体" w:cs="宋体"/>
          <w:sz w:val="24"/>
        </w:rPr>
      </w:pPr>
      <w:r>
        <w:rPr>
          <w:rFonts w:hint="eastAsia" w:ascii="宋体" w:hAnsi="宋体" w:cs="宋体"/>
          <w:sz w:val="24"/>
        </w:rPr>
        <w:t>2、拟委派的项目负责人须具有工程类或经济类中级或以上技术职称资格。项目负责人为投标单位正式员工，需提供能反映投标单位为其缴纳的社保证明（提供近半年内社保证明）。</w:t>
      </w:r>
    </w:p>
    <w:p>
      <w:pPr>
        <w:spacing w:before="72" w:beforeLines="30" w:after="72" w:afterLines="30" w:line="360" w:lineRule="auto"/>
        <w:ind w:firstLine="480" w:firstLineChars="200"/>
        <w:rPr>
          <w:rFonts w:ascii="宋体" w:hAnsi="宋体" w:cs="宋体"/>
          <w:sz w:val="24"/>
        </w:rPr>
      </w:pPr>
      <w:r>
        <w:rPr>
          <w:rFonts w:hint="eastAsia" w:ascii="宋体" w:hAnsi="宋体" w:cs="宋体"/>
          <w:sz w:val="24"/>
        </w:rPr>
        <w:t>3、投标单位参加投标的意思表达清楚，投标单位代表被授权有效。</w:t>
      </w:r>
    </w:p>
    <w:p>
      <w:pPr>
        <w:spacing w:before="72" w:beforeLines="30" w:after="72" w:afterLines="30" w:line="360" w:lineRule="auto"/>
        <w:ind w:firstLine="480" w:firstLineChars="200"/>
        <w:rPr>
          <w:rFonts w:ascii="宋体" w:hAnsi="宋体" w:cs="宋体"/>
          <w:sz w:val="24"/>
        </w:rPr>
      </w:pPr>
      <w:r>
        <w:rPr>
          <w:rFonts w:hint="eastAsia" w:ascii="宋体" w:hAnsi="宋体" w:cs="宋体"/>
          <w:sz w:val="24"/>
        </w:rPr>
        <w:t>4、本项目不接受联合体投标。</w:t>
      </w:r>
    </w:p>
    <w:p>
      <w:pPr>
        <w:spacing w:line="360" w:lineRule="auto"/>
        <w:jc w:val="left"/>
        <w:rPr>
          <w:rFonts w:ascii="宋体" w:hAnsi="宋体"/>
          <w:b/>
          <w:sz w:val="28"/>
          <w:szCs w:val="28"/>
        </w:rPr>
      </w:pPr>
      <w:r>
        <w:rPr>
          <w:rFonts w:hint="eastAsia" w:ascii="宋体" w:hAnsi="宋体"/>
          <w:b/>
          <w:sz w:val="28"/>
          <w:szCs w:val="28"/>
        </w:rPr>
        <w:t>三、服务需求</w:t>
      </w:r>
    </w:p>
    <w:p>
      <w:pPr>
        <w:pStyle w:val="29"/>
        <w:spacing w:line="360" w:lineRule="auto"/>
        <w:ind w:firstLine="480" w:firstLineChars="200"/>
        <w:rPr>
          <w:rFonts w:ascii="宋体" w:hAnsi="宋体" w:cs="宋体"/>
          <w:color w:val="000000"/>
          <w:sz w:val="24"/>
        </w:rPr>
      </w:pPr>
      <w:r>
        <w:rPr>
          <w:rFonts w:hint="eastAsia" w:ascii="宋体" w:hAnsi="宋体" w:cs="宋体"/>
          <w:color w:val="000000"/>
          <w:sz w:val="24"/>
        </w:rPr>
        <w:t>依法组织本项目，自确定招标代理机构之日起，完成本项目的方案设计国际竞赛、</w:t>
      </w:r>
      <w:r>
        <w:rPr>
          <w:rFonts w:hint="eastAsia" w:ascii="宋体" w:hAnsi="宋体" w:cs="宋体"/>
          <w:sz w:val="24"/>
        </w:rPr>
        <w:t>、PPP全过程咨询</w:t>
      </w:r>
      <w:r>
        <w:rPr>
          <w:rFonts w:hint="eastAsia" w:ascii="宋体" w:hAnsi="宋体" w:cs="宋体"/>
          <w:color w:val="000000"/>
          <w:sz w:val="24"/>
        </w:rPr>
        <w:t>招标代理服务（方案设计国际竞赛、PPP</w:t>
      </w:r>
      <w:r>
        <w:rPr>
          <w:rFonts w:hint="eastAsia" w:ascii="宋体" w:hAnsi="宋体" w:cs="宋体"/>
          <w:sz w:val="24"/>
        </w:rPr>
        <w:t>全过程咨询须</w:t>
      </w:r>
      <w:r>
        <w:rPr>
          <w:rFonts w:hint="eastAsia" w:ascii="宋体" w:hAnsi="宋体" w:cs="宋体"/>
          <w:color w:val="000000"/>
          <w:sz w:val="24"/>
        </w:rPr>
        <w:t xml:space="preserve">分开招标）。    </w:t>
      </w:r>
    </w:p>
    <w:p>
      <w:pPr>
        <w:pStyle w:val="29"/>
        <w:spacing w:line="360" w:lineRule="auto"/>
        <w:ind w:firstLine="480" w:firstLineChars="200"/>
        <w:rPr>
          <w:rFonts w:hint="eastAsia" w:ascii="宋体" w:hAnsi="宋体" w:cs="宋体"/>
          <w:color w:val="000000"/>
          <w:sz w:val="24"/>
        </w:rPr>
      </w:pPr>
      <w:r>
        <w:rPr>
          <w:rFonts w:hint="eastAsia" w:ascii="宋体" w:hAnsi="宋体" w:cs="宋体"/>
          <w:color w:val="000000"/>
          <w:sz w:val="24"/>
        </w:rPr>
        <w:t>包括但不限于依法办理招标申请手续，依法办理招标备案工作及编制招标工作方案、招标公告、招标文件；协助招标控制价的编制、招标控制价备案；依法完成招标公告上网及登报，依法组织接受报名及接收申请资料，组织招标文件（含技术资料、图纸、答疑文件等）的发放、踏勘现场、组织答疑会及整理答疑纪要文件，依法组织抽取专家评委和开标、评标工作、草拟评标报告，发出中标通知书，编制、整理招标全过程资料，装订成册移交招标单位归档等招标相关系列工作及其它与招标有关的过程文件。</w:t>
      </w:r>
    </w:p>
    <w:p>
      <w:pPr>
        <w:spacing w:line="360" w:lineRule="auto"/>
        <w:jc w:val="left"/>
        <w:rPr>
          <w:rFonts w:hint="eastAsia" w:ascii="宋体" w:hAnsi="宋体"/>
          <w:b/>
          <w:sz w:val="28"/>
          <w:szCs w:val="28"/>
        </w:rPr>
      </w:pPr>
      <w:r>
        <w:rPr>
          <w:rFonts w:hint="eastAsia" w:ascii="宋体" w:hAnsi="宋体"/>
          <w:b/>
          <w:sz w:val="28"/>
          <w:szCs w:val="28"/>
        </w:rPr>
        <w:t>四、服务费用支付</w:t>
      </w:r>
    </w:p>
    <w:p>
      <w:pPr>
        <w:pStyle w:val="29"/>
        <w:spacing w:after="0" w:line="360" w:lineRule="auto"/>
        <w:ind w:firstLine="480" w:firstLineChars="200"/>
        <w:rPr>
          <w:rFonts w:hint="eastAsia" w:ascii="宋体" w:hAnsi="宋体" w:cs="宋体"/>
          <w:color w:val="000000"/>
          <w:sz w:val="24"/>
        </w:rPr>
      </w:pPr>
      <w:r>
        <w:rPr>
          <w:rFonts w:hint="eastAsia" w:ascii="宋体" w:hAnsi="宋体" w:cs="宋体"/>
          <w:color w:val="000000"/>
          <w:sz w:val="24"/>
        </w:rPr>
        <w:t>1、合同签订后招标人向中标服务方预付方案设计国际竞赛策划及组织服务相关费用金额的50%，中标服务方向招标人开具符合要求发票后1周内支付；</w:t>
      </w:r>
    </w:p>
    <w:p>
      <w:pPr>
        <w:pStyle w:val="29"/>
        <w:spacing w:after="0" w:line="360" w:lineRule="auto"/>
        <w:ind w:firstLine="480" w:firstLineChars="200"/>
        <w:rPr>
          <w:rFonts w:ascii="宋体" w:hAnsi="宋体" w:cs="宋体"/>
          <w:color w:val="000000"/>
          <w:sz w:val="24"/>
        </w:rPr>
      </w:pPr>
      <w:r>
        <w:rPr>
          <w:rFonts w:hint="eastAsia" w:ascii="宋体" w:hAnsi="宋体" w:cs="宋体"/>
          <w:color w:val="000000"/>
          <w:sz w:val="24"/>
        </w:rPr>
        <w:t>2、剩余的方案设计国际竞赛策划及组织服务相关费用在设计竞赛活动结束后据实结算并与代理费用一次性支付，中标服务方向招标人开具符合要求发票后1周内支付；</w:t>
      </w:r>
    </w:p>
    <w:p>
      <w:pPr>
        <w:pStyle w:val="29"/>
        <w:spacing w:after="0" w:line="360" w:lineRule="auto"/>
        <w:ind w:firstLine="480" w:firstLineChars="200"/>
        <w:rPr>
          <w:rFonts w:hint="eastAsia" w:ascii="宋体" w:hAnsi="宋体" w:cs="宋体"/>
          <w:color w:val="000000"/>
          <w:sz w:val="24"/>
        </w:rPr>
      </w:pPr>
      <w:r>
        <w:rPr>
          <w:rFonts w:hint="eastAsia" w:ascii="宋体" w:hAnsi="宋体" w:cs="宋体"/>
          <w:color w:val="000000"/>
          <w:sz w:val="24"/>
        </w:rPr>
        <w:t>3、PPP全过程咨询服务招标完成后一次性支付，中标服务方向招标人开具符合要求发票后1周内支付。</w:t>
      </w:r>
    </w:p>
    <w:p>
      <w:pPr>
        <w:pStyle w:val="2"/>
        <w:sectPr>
          <w:pgSz w:w="11906" w:h="16838"/>
          <w:pgMar w:top="1588" w:right="1644" w:bottom="1474" w:left="1701" w:header="567" w:footer="567" w:gutter="0"/>
          <w:pgNumType w:fmt="decimal"/>
          <w:cols w:space="720" w:num="1"/>
          <w:docGrid w:linePitch="286" w:charSpace="0"/>
        </w:sectPr>
      </w:pPr>
    </w:p>
    <w:p>
      <w:pPr>
        <w:pStyle w:val="2"/>
        <w:spacing w:line="360" w:lineRule="auto"/>
      </w:pPr>
      <w:bookmarkStart w:id="73" w:name="_Toc26118"/>
      <w:bookmarkStart w:id="74" w:name="_Toc186"/>
      <w:r>
        <w:rPr>
          <w:rFonts w:hint="eastAsia"/>
        </w:rPr>
        <w:t>第四章</w:t>
      </w:r>
      <w:r>
        <w:rPr>
          <w:rFonts w:hint="eastAsia"/>
        </w:rPr>
        <w:tab/>
      </w:r>
      <w:r>
        <w:rPr>
          <w:rFonts w:hint="eastAsia"/>
        </w:rPr>
        <w:t>投标文件格式</w:t>
      </w:r>
      <w:bookmarkEnd w:id="73"/>
      <w:bookmarkEnd w:id="74"/>
    </w:p>
    <w:p>
      <w:pPr>
        <w:pStyle w:val="4"/>
        <w:rPr>
          <w:rFonts w:hAnsi="宋体"/>
          <w:bCs w:val="0"/>
          <w:sz w:val="24"/>
          <w:szCs w:val="24"/>
          <w:u w:val="single"/>
        </w:rPr>
      </w:pPr>
      <w:bookmarkStart w:id="75" w:name="_Toc29825"/>
      <w:bookmarkStart w:id="76" w:name="_Toc495502348"/>
      <w:bookmarkStart w:id="77" w:name="_Toc495507026"/>
      <w:r>
        <w:rPr>
          <w:rFonts w:hint="eastAsia" w:hAnsi="宋体"/>
          <w:bCs w:val="0"/>
          <w:sz w:val="24"/>
          <w:szCs w:val="24"/>
          <w:u w:val="single"/>
        </w:rPr>
        <w:t>格式1 封面</w:t>
      </w:r>
    </w:p>
    <w:p>
      <w:pPr>
        <w:jc w:val="center"/>
        <w:rPr>
          <w:rFonts w:ascii="宋体" w:hAnsi="宋体" w:cs="宋体"/>
          <w:b/>
          <w:bCs/>
          <w:kern w:val="44"/>
          <w:sz w:val="48"/>
          <w:szCs w:val="52"/>
        </w:rPr>
      </w:pPr>
      <w:r>
        <w:rPr>
          <w:rFonts w:hint="eastAsia" w:ascii="宋体" w:hAnsi="宋体" w:cs="宋体"/>
          <w:b/>
          <w:bCs/>
          <w:kern w:val="44"/>
          <w:sz w:val="48"/>
          <w:szCs w:val="52"/>
        </w:rPr>
        <w:t>正/副本</w:t>
      </w:r>
    </w:p>
    <w:p>
      <w:pPr>
        <w:jc w:val="center"/>
        <w:rPr>
          <w:rFonts w:ascii="宋体" w:hAnsi="宋体" w:cs="宋体"/>
          <w:b/>
          <w:bCs/>
          <w:kern w:val="44"/>
          <w:sz w:val="48"/>
          <w:szCs w:val="52"/>
        </w:rPr>
      </w:pPr>
    </w:p>
    <w:p>
      <w:pPr>
        <w:jc w:val="center"/>
        <w:rPr>
          <w:rFonts w:ascii="宋体" w:hAnsi="宋体" w:cs="宋体"/>
          <w:b/>
          <w:bCs/>
          <w:kern w:val="44"/>
          <w:sz w:val="48"/>
          <w:szCs w:val="52"/>
        </w:rPr>
      </w:pPr>
    </w:p>
    <w:p>
      <w:pPr>
        <w:jc w:val="center"/>
        <w:rPr>
          <w:rFonts w:hint="eastAsia" w:ascii="宋体" w:hAnsi="宋体" w:cs="宋体"/>
          <w:b/>
          <w:bCs/>
          <w:kern w:val="44"/>
          <w:sz w:val="48"/>
          <w:szCs w:val="52"/>
        </w:rPr>
      </w:pPr>
      <w:r>
        <w:rPr>
          <w:rFonts w:hint="eastAsia" w:ascii="宋体" w:hAnsi="宋体" w:cs="宋体"/>
          <w:b/>
          <w:bCs/>
          <w:kern w:val="44"/>
          <w:sz w:val="48"/>
          <w:szCs w:val="52"/>
        </w:rPr>
        <w:t>南沙(黄阁)公交枢纽综合体项目方案设计国际竞赛、PPP全过程咨询</w:t>
      </w:r>
    </w:p>
    <w:p>
      <w:pPr>
        <w:jc w:val="center"/>
        <w:rPr>
          <w:rFonts w:ascii="宋体" w:hAnsi="宋体" w:cs="宋体"/>
          <w:b/>
          <w:spacing w:val="6"/>
          <w:sz w:val="36"/>
          <w:szCs w:val="36"/>
        </w:rPr>
      </w:pPr>
      <w:r>
        <w:rPr>
          <w:rFonts w:hint="eastAsia" w:ascii="宋体" w:hAnsi="宋体" w:cs="宋体"/>
          <w:b/>
          <w:bCs/>
          <w:kern w:val="44"/>
          <w:sz w:val="48"/>
          <w:szCs w:val="52"/>
        </w:rPr>
        <w:t>招标代理服务</w:t>
      </w:r>
    </w:p>
    <w:p>
      <w:pPr>
        <w:jc w:val="center"/>
        <w:rPr>
          <w:rFonts w:ascii="宋体" w:hAnsi="宋体" w:cs="宋体"/>
          <w:b/>
          <w:sz w:val="96"/>
        </w:rPr>
      </w:pPr>
    </w:p>
    <w:p>
      <w:pPr>
        <w:jc w:val="center"/>
        <w:rPr>
          <w:rFonts w:ascii="宋体" w:hAnsi="宋体" w:cs="宋体"/>
          <w:b/>
          <w:bCs/>
          <w:kern w:val="44"/>
          <w:sz w:val="48"/>
          <w:szCs w:val="52"/>
        </w:rPr>
      </w:pPr>
      <w:bookmarkStart w:id="78" w:name="_Toc2091"/>
      <w:r>
        <w:rPr>
          <w:rFonts w:hint="eastAsia" w:ascii="宋体" w:hAnsi="宋体" w:cs="宋体"/>
          <w:b/>
          <w:bCs/>
          <w:kern w:val="44"/>
          <w:sz w:val="72"/>
          <w:szCs w:val="96"/>
        </w:rPr>
        <w:t>投标文件</w:t>
      </w:r>
      <w:bookmarkEnd w:id="78"/>
    </w:p>
    <w:p>
      <w:pPr>
        <w:jc w:val="center"/>
        <w:rPr>
          <w:rFonts w:ascii="宋体" w:hAnsi="宋体" w:cs="宋体"/>
          <w:bCs/>
          <w:sz w:val="48"/>
        </w:rPr>
      </w:pPr>
      <w:r>
        <w:rPr>
          <w:rFonts w:hint="eastAsia" w:ascii="宋体" w:hAnsi="宋体" w:cs="宋体"/>
          <w:bCs/>
          <w:sz w:val="32"/>
        </w:rPr>
        <w:t xml:space="preserve"> </w:t>
      </w:r>
    </w:p>
    <w:p>
      <w:pPr>
        <w:jc w:val="center"/>
        <w:rPr>
          <w:rFonts w:ascii="宋体" w:hAnsi="宋体" w:cs="宋体"/>
          <w:sz w:val="48"/>
        </w:rPr>
      </w:pPr>
    </w:p>
    <w:p>
      <w:pPr>
        <w:jc w:val="center"/>
        <w:rPr>
          <w:rFonts w:ascii="宋体" w:hAnsi="宋体" w:cs="宋体"/>
          <w:sz w:val="48"/>
        </w:rPr>
      </w:pPr>
    </w:p>
    <w:p>
      <w:pPr>
        <w:jc w:val="center"/>
        <w:rPr>
          <w:rFonts w:ascii="宋体" w:hAnsi="宋体" w:cs="宋体"/>
          <w:sz w:val="48"/>
        </w:rPr>
      </w:pPr>
    </w:p>
    <w:p/>
    <w:p>
      <w:pPr>
        <w:rPr>
          <w:rFonts w:ascii="宋体" w:hAnsi="宋体" w:cs="宋体"/>
          <w:sz w:val="48"/>
        </w:rPr>
      </w:pPr>
    </w:p>
    <w:p>
      <w:pPr>
        <w:ind w:firstLine="560" w:firstLineChars="200"/>
        <w:rPr>
          <w:rFonts w:ascii="宋体" w:hAnsi="宋体" w:cs="宋体"/>
          <w:sz w:val="28"/>
          <w:u w:val="single"/>
        </w:rPr>
      </w:pPr>
      <w:r>
        <w:rPr>
          <w:rFonts w:hint="eastAsia" w:ascii="宋体" w:hAnsi="宋体" w:cs="宋体"/>
          <w:sz w:val="28"/>
        </w:rPr>
        <w:t>投  标  人：</w:t>
      </w:r>
      <w:r>
        <w:rPr>
          <w:rFonts w:hint="eastAsia" w:ascii="宋体" w:hAnsi="宋体" w:cs="宋体"/>
          <w:sz w:val="28"/>
          <w:u w:val="single"/>
        </w:rPr>
        <w:t xml:space="preserve">                           （公章） </w:t>
      </w:r>
    </w:p>
    <w:p>
      <w:pPr>
        <w:ind w:firstLine="560" w:firstLineChars="200"/>
        <w:rPr>
          <w:rFonts w:ascii="宋体" w:hAnsi="宋体" w:cs="宋体"/>
          <w:sz w:val="28"/>
          <w:u w:val="single"/>
        </w:rPr>
      </w:pPr>
      <w:r>
        <w:rPr>
          <w:rFonts w:hint="eastAsia" w:ascii="宋体" w:hAnsi="宋体" w:cs="宋体"/>
          <w:sz w:val="28"/>
        </w:rPr>
        <w:t>法定代表人或授权委托人：</w:t>
      </w:r>
      <w:r>
        <w:rPr>
          <w:rFonts w:hint="eastAsia" w:ascii="宋体" w:hAnsi="宋体" w:cs="宋体"/>
          <w:sz w:val="28"/>
          <w:u w:val="single"/>
        </w:rPr>
        <w:t xml:space="preserve">             （签字或盖章）</w:t>
      </w:r>
    </w:p>
    <w:p/>
    <w:p>
      <w:pPr>
        <w:rPr>
          <w:rFonts w:hAnsi="宋体"/>
          <w:sz w:val="24"/>
          <w:u w:val="single"/>
        </w:rPr>
      </w:pPr>
    </w:p>
    <w:p>
      <w:pPr>
        <w:pStyle w:val="4"/>
        <w:rPr>
          <w:rFonts w:hAnsi="宋体"/>
          <w:bCs w:val="0"/>
          <w:sz w:val="24"/>
          <w:szCs w:val="24"/>
          <w:u w:val="single"/>
        </w:rPr>
      </w:pPr>
      <w:r>
        <w:rPr>
          <w:rFonts w:hint="eastAsia" w:hAnsi="宋体"/>
          <w:bCs w:val="0"/>
          <w:sz w:val="24"/>
          <w:szCs w:val="24"/>
          <w:u w:val="single"/>
        </w:rPr>
        <w:t>格式2 自查表</w:t>
      </w:r>
      <w:bookmarkEnd w:id="75"/>
      <w:bookmarkEnd w:id="76"/>
      <w:bookmarkEnd w:id="77"/>
    </w:p>
    <w:p>
      <w:pPr>
        <w:pStyle w:val="15"/>
        <w:spacing w:line="360" w:lineRule="auto"/>
        <w:rPr>
          <w:rFonts w:ascii="宋体" w:hAnsi="宋体"/>
          <w:b/>
          <w:snapToGrid w:val="0"/>
          <w:kern w:val="0"/>
          <w:szCs w:val="21"/>
        </w:rPr>
      </w:pPr>
      <w:r>
        <w:rPr>
          <w:rFonts w:hint="eastAsia" w:ascii="宋体" w:hAnsi="宋体"/>
          <w:b/>
          <w:snapToGrid w:val="0"/>
          <w:kern w:val="0"/>
          <w:szCs w:val="21"/>
        </w:rPr>
        <w:t>2.1资格性/符合性自查表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746"/>
        <w:gridCol w:w="5148"/>
        <w:gridCol w:w="1417"/>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jc w:val="center"/>
        </w:trPr>
        <w:tc>
          <w:tcPr>
            <w:tcW w:w="746" w:type="dxa"/>
            <w:noWrap w:val="0"/>
            <w:vAlign w:val="center"/>
          </w:tcPr>
          <w:p>
            <w:pPr>
              <w:jc w:val="center"/>
              <w:rPr>
                <w:rFonts w:ascii="宋体" w:hAnsi="宋体" w:cs="宋体"/>
                <w:sz w:val="24"/>
              </w:rPr>
            </w:pPr>
            <w:r>
              <w:rPr>
                <w:rStyle w:val="33"/>
                <w:rFonts w:hint="eastAsia" w:ascii="宋体" w:hAnsi="宋体"/>
              </w:rPr>
              <w:t>评审内容</w:t>
            </w:r>
          </w:p>
        </w:tc>
        <w:tc>
          <w:tcPr>
            <w:tcW w:w="5148" w:type="dxa"/>
            <w:noWrap w:val="0"/>
            <w:vAlign w:val="center"/>
          </w:tcPr>
          <w:p>
            <w:pPr>
              <w:jc w:val="center"/>
              <w:rPr>
                <w:rFonts w:ascii="宋体" w:hAnsi="宋体" w:cs="宋体"/>
                <w:sz w:val="24"/>
              </w:rPr>
            </w:pPr>
            <w:r>
              <w:rPr>
                <w:rStyle w:val="33"/>
                <w:rFonts w:hint="eastAsia" w:ascii="宋体" w:hAnsi="宋体"/>
              </w:rPr>
              <w:t>招标文件要求</w:t>
            </w:r>
            <w:r>
              <w:rPr>
                <w:rFonts w:ascii="宋体" w:hAnsi="宋体"/>
              </w:rPr>
              <w:br w:type="textWrapping"/>
            </w:r>
            <w:r>
              <w:rPr>
                <w:rFonts w:hint="eastAsia" w:ascii="宋体" w:hAnsi="宋体"/>
              </w:rPr>
              <w:t>（按《资格性审查表》和《符合性审查表》对应填写）</w:t>
            </w:r>
          </w:p>
        </w:tc>
        <w:tc>
          <w:tcPr>
            <w:tcW w:w="1417" w:type="dxa"/>
            <w:noWrap w:val="0"/>
            <w:vAlign w:val="center"/>
          </w:tcPr>
          <w:p>
            <w:pPr>
              <w:jc w:val="center"/>
              <w:rPr>
                <w:rFonts w:ascii="宋体" w:hAnsi="宋体" w:cs="宋体"/>
                <w:sz w:val="24"/>
              </w:rPr>
            </w:pPr>
            <w:r>
              <w:rPr>
                <w:rStyle w:val="33"/>
                <w:rFonts w:hint="eastAsia" w:ascii="宋体" w:hAnsi="宋体"/>
              </w:rPr>
              <w:t>自查结论</w:t>
            </w:r>
          </w:p>
        </w:tc>
        <w:tc>
          <w:tcPr>
            <w:tcW w:w="2264" w:type="dxa"/>
            <w:noWrap w:val="0"/>
            <w:vAlign w:val="center"/>
          </w:tcPr>
          <w:p>
            <w:pPr>
              <w:jc w:val="center"/>
              <w:rPr>
                <w:rFonts w:ascii="宋体" w:hAnsi="宋体" w:cs="宋体"/>
                <w:sz w:val="24"/>
              </w:rPr>
            </w:pPr>
            <w:r>
              <w:rPr>
                <w:rStyle w:val="33"/>
                <w:rFonts w:hint="eastAsia" w:ascii="宋体" w:hAnsi="宋体"/>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802" w:hRule="exact"/>
          <w:jc w:val="center"/>
        </w:trPr>
        <w:tc>
          <w:tcPr>
            <w:tcW w:w="746" w:type="dxa"/>
            <w:vMerge w:val="restart"/>
            <w:noWrap w:val="0"/>
            <w:vAlign w:val="center"/>
          </w:tcPr>
          <w:p>
            <w:pPr>
              <w:pStyle w:val="26"/>
              <w:spacing w:before="0" w:beforeAutospacing="0" w:after="0" w:afterAutospacing="0"/>
              <w:jc w:val="center"/>
            </w:pPr>
            <w:r>
              <w:t>资格性审查</w:t>
            </w:r>
          </w:p>
        </w:tc>
        <w:tc>
          <w:tcPr>
            <w:tcW w:w="5148" w:type="dxa"/>
            <w:noWrap w:val="0"/>
            <w:vAlign w:val="center"/>
          </w:tcPr>
          <w:p>
            <w:pPr>
              <w:rPr>
                <w:rFonts w:ascii="宋体" w:hAnsi="宋体" w:cs="宋体"/>
                <w:sz w:val="24"/>
              </w:rPr>
            </w:pPr>
          </w:p>
        </w:tc>
        <w:tc>
          <w:tcPr>
            <w:tcW w:w="1417" w:type="dxa"/>
            <w:noWrap w:val="0"/>
            <w:vAlign w:val="center"/>
          </w:tcPr>
          <w:p>
            <w:pPr>
              <w:jc w:val="center"/>
              <w:rPr>
                <w:rFonts w:ascii="宋体" w:hAnsi="宋体"/>
              </w:rPr>
            </w:pPr>
            <w:r>
              <w:rPr>
                <w:rFonts w:ascii="宋体" w:hAnsi="宋体"/>
              </w:rPr>
              <w:t>□通过</w:t>
            </w:r>
          </w:p>
          <w:p>
            <w:pPr>
              <w:jc w:val="center"/>
              <w:rPr>
                <w:rFonts w:ascii="宋体" w:hAnsi="宋体" w:cs="宋体"/>
                <w:sz w:val="24"/>
              </w:rPr>
            </w:pPr>
            <w:r>
              <w:rPr>
                <w:rFonts w:ascii="宋体" w:hAnsi="宋体"/>
              </w:rPr>
              <w:t>□不通过</w:t>
            </w:r>
          </w:p>
        </w:tc>
        <w:tc>
          <w:tcPr>
            <w:tcW w:w="2264" w:type="dxa"/>
            <w:noWrap w:val="0"/>
            <w:vAlign w:val="center"/>
          </w:tcPr>
          <w:p>
            <w:pPr>
              <w:rPr>
                <w:rFonts w:ascii="宋体" w:hAnsi="宋体" w:cs="宋体"/>
                <w:sz w:val="24"/>
              </w:rPr>
            </w:pPr>
            <w:r>
              <w:rPr>
                <w:rFonts w:hint="eastAsia" w:ascii="宋体" w:hAnsi="宋体"/>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819" w:hRule="exact"/>
          <w:jc w:val="center"/>
        </w:trPr>
        <w:tc>
          <w:tcPr>
            <w:tcW w:w="746" w:type="dxa"/>
            <w:vMerge w:val="continue"/>
            <w:noWrap w:val="0"/>
            <w:vAlign w:val="center"/>
          </w:tcPr>
          <w:p>
            <w:pPr>
              <w:rPr>
                <w:rFonts w:ascii="宋体" w:hAnsi="宋体" w:cs="宋体"/>
                <w:sz w:val="24"/>
              </w:rPr>
            </w:pPr>
          </w:p>
        </w:tc>
        <w:tc>
          <w:tcPr>
            <w:tcW w:w="5148" w:type="dxa"/>
            <w:noWrap w:val="0"/>
            <w:vAlign w:val="center"/>
          </w:tcPr>
          <w:p>
            <w:pPr>
              <w:pStyle w:val="15"/>
              <w:snapToGrid w:val="0"/>
              <w:spacing w:line="360" w:lineRule="auto"/>
              <w:rPr>
                <w:rFonts w:ascii="宋体" w:hAnsi="宋体"/>
                <w:bCs/>
              </w:rPr>
            </w:pPr>
          </w:p>
        </w:tc>
        <w:tc>
          <w:tcPr>
            <w:tcW w:w="1417" w:type="dxa"/>
            <w:noWrap w:val="0"/>
            <w:vAlign w:val="center"/>
          </w:tcPr>
          <w:p>
            <w:pPr>
              <w:jc w:val="center"/>
              <w:rPr>
                <w:rFonts w:ascii="宋体" w:hAnsi="宋体"/>
              </w:rPr>
            </w:pPr>
            <w:r>
              <w:rPr>
                <w:rFonts w:ascii="宋体" w:hAnsi="宋体"/>
              </w:rPr>
              <w:t>□通过</w:t>
            </w:r>
          </w:p>
          <w:p>
            <w:pPr>
              <w:jc w:val="center"/>
              <w:rPr>
                <w:rFonts w:ascii="宋体" w:hAnsi="宋体" w:cs="宋体"/>
                <w:sz w:val="24"/>
              </w:rPr>
            </w:pPr>
            <w:r>
              <w:rPr>
                <w:rFonts w:ascii="宋体" w:hAnsi="宋体"/>
              </w:rPr>
              <w:t>□不通过</w:t>
            </w:r>
          </w:p>
        </w:tc>
        <w:tc>
          <w:tcPr>
            <w:tcW w:w="2264" w:type="dxa"/>
            <w:noWrap w:val="0"/>
            <w:vAlign w:val="center"/>
          </w:tcPr>
          <w:p>
            <w:pPr>
              <w:rPr>
                <w:rFonts w:ascii="宋体" w:hAnsi="宋体" w:cs="宋体"/>
                <w:sz w:val="24"/>
              </w:rPr>
            </w:pPr>
            <w:r>
              <w:rPr>
                <w:rFonts w:hint="eastAsia" w:ascii="宋体" w:hAnsi="宋体"/>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746" w:hRule="exact"/>
          <w:jc w:val="center"/>
        </w:trPr>
        <w:tc>
          <w:tcPr>
            <w:tcW w:w="746" w:type="dxa"/>
            <w:vMerge w:val="continue"/>
            <w:noWrap w:val="0"/>
            <w:vAlign w:val="center"/>
          </w:tcPr>
          <w:p>
            <w:pPr>
              <w:rPr>
                <w:rFonts w:ascii="宋体" w:hAnsi="宋体" w:cs="宋体"/>
                <w:sz w:val="24"/>
              </w:rPr>
            </w:pPr>
          </w:p>
        </w:tc>
        <w:tc>
          <w:tcPr>
            <w:tcW w:w="5148" w:type="dxa"/>
            <w:noWrap w:val="0"/>
            <w:vAlign w:val="center"/>
          </w:tcPr>
          <w:p>
            <w:pPr>
              <w:rPr>
                <w:rFonts w:ascii="宋体" w:hAnsi="宋体"/>
              </w:rPr>
            </w:pPr>
          </w:p>
        </w:tc>
        <w:tc>
          <w:tcPr>
            <w:tcW w:w="1417" w:type="dxa"/>
            <w:noWrap w:val="0"/>
            <w:vAlign w:val="center"/>
          </w:tcPr>
          <w:p>
            <w:pPr>
              <w:jc w:val="center"/>
              <w:rPr>
                <w:rFonts w:ascii="宋体" w:hAnsi="宋体"/>
              </w:rPr>
            </w:pPr>
            <w:r>
              <w:rPr>
                <w:rFonts w:ascii="宋体" w:hAnsi="宋体"/>
              </w:rPr>
              <w:t>□通过</w:t>
            </w:r>
          </w:p>
          <w:p>
            <w:pPr>
              <w:jc w:val="center"/>
              <w:rPr>
                <w:rFonts w:ascii="宋体" w:hAnsi="宋体"/>
              </w:rPr>
            </w:pPr>
            <w:r>
              <w:rPr>
                <w:rFonts w:ascii="宋体" w:hAnsi="宋体"/>
              </w:rPr>
              <w:t>□不通过</w:t>
            </w:r>
          </w:p>
        </w:tc>
        <w:tc>
          <w:tcPr>
            <w:tcW w:w="2264" w:type="dxa"/>
            <w:noWrap w:val="0"/>
            <w:vAlign w:val="center"/>
          </w:tcPr>
          <w:p>
            <w:pPr>
              <w:rPr>
                <w:rFonts w:ascii="宋体" w:hAnsi="宋体"/>
              </w:rPr>
            </w:pPr>
            <w:r>
              <w:rPr>
                <w:rFonts w:hint="eastAsia" w:ascii="宋体" w:hAnsi="宋体"/>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746" w:hRule="exact"/>
          <w:jc w:val="center"/>
        </w:trPr>
        <w:tc>
          <w:tcPr>
            <w:tcW w:w="746" w:type="dxa"/>
            <w:vMerge w:val="continue"/>
            <w:noWrap w:val="0"/>
            <w:vAlign w:val="center"/>
          </w:tcPr>
          <w:p>
            <w:pPr>
              <w:rPr>
                <w:rFonts w:ascii="宋体" w:hAnsi="宋体" w:cs="宋体"/>
                <w:sz w:val="24"/>
              </w:rPr>
            </w:pPr>
          </w:p>
        </w:tc>
        <w:tc>
          <w:tcPr>
            <w:tcW w:w="5148" w:type="dxa"/>
            <w:noWrap w:val="0"/>
            <w:vAlign w:val="center"/>
          </w:tcPr>
          <w:p>
            <w:pPr>
              <w:rPr>
                <w:rFonts w:ascii="宋体" w:hAnsi="宋体"/>
              </w:rPr>
            </w:pPr>
          </w:p>
        </w:tc>
        <w:tc>
          <w:tcPr>
            <w:tcW w:w="1417" w:type="dxa"/>
            <w:noWrap w:val="0"/>
            <w:vAlign w:val="center"/>
          </w:tcPr>
          <w:p>
            <w:pPr>
              <w:jc w:val="center"/>
              <w:rPr>
                <w:rFonts w:ascii="宋体" w:hAnsi="宋体"/>
              </w:rPr>
            </w:pPr>
            <w:r>
              <w:rPr>
                <w:rFonts w:ascii="宋体" w:hAnsi="宋体"/>
              </w:rPr>
              <w:t>□通过</w:t>
            </w:r>
          </w:p>
          <w:p>
            <w:pPr>
              <w:jc w:val="center"/>
              <w:rPr>
                <w:rFonts w:ascii="宋体" w:hAnsi="宋体"/>
              </w:rPr>
            </w:pPr>
            <w:r>
              <w:rPr>
                <w:rFonts w:ascii="宋体" w:hAnsi="宋体"/>
              </w:rPr>
              <w:t>□不通过</w:t>
            </w:r>
          </w:p>
        </w:tc>
        <w:tc>
          <w:tcPr>
            <w:tcW w:w="2264" w:type="dxa"/>
            <w:noWrap w:val="0"/>
            <w:vAlign w:val="center"/>
          </w:tcPr>
          <w:p>
            <w:pPr>
              <w:rPr>
                <w:rFonts w:ascii="宋体" w:hAnsi="宋体"/>
              </w:rPr>
            </w:pPr>
            <w:r>
              <w:rPr>
                <w:rFonts w:hint="eastAsia" w:ascii="宋体" w:hAnsi="宋体"/>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84" w:hRule="atLeast"/>
          <w:jc w:val="center"/>
        </w:trPr>
        <w:tc>
          <w:tcPr>
            <w:tcW w:w="746" w:type="dxa"/>
            <w:vMerge w:val="restart"/>
            <w:noWrap w:val="0"/>
            <w:vAlign w:val="center"/>
          </w:tcPr>
          <w:p>
            <w:pPr>
              <w:pStyle w:val="26"/>
              <w:spacing w:before="0" w:beforeAutospacing="0" w:after="0" w:afterAutospacing="0"/>
              <w:jc w:val="center"/>
            </w:pPr>
            <w:r>
              <w:t>符合性审查</w:t>
            </w:r>
          </w:p>
        </w:tc>
        <w:tc>
          <w:tcPr>
            <w:tcW w:w="5148" w:type="dxa"/>
            <w:noWrap w:val="0"/>
            <w:vAlign w:val="center"/>
          </w:tcPr>
          <w:p>
            <w:pPr>
              <w:rPr>
                <w:rFonts w:ascii="宋体" w:hAnsi="宋体"/>
                <w:szCs w:val="21"/>
              </w:rPr>
            </w:pPr>
          </w:p>
        </w:tc>
        <w:tc>
          <w:tcPr>
            <w:tcW w:w="1417" w:type="dxa"/>
            <w:noWrap w:val="0"/>
            <w:vAlign w:val="center"/>
          </w:tcPr>
          <w:p>
            <w:pPr>
              <w:jc w:val="center"/>
              <w:rPr>
                <w:rFonts w:ascii="宋体" w:hAnsi="宋体"/>
              </w:rPr>
            </w:pPr>
            <w:r>
              <w:rPr>
                <w:rFonts w:ascii="宋体" w:hAnsi="宋体"/>
              </w:rPr>
              <w:t>□通过</w:t>
            </w:r>
          </w:p>
          <w:p>
            <w:pPr>
              <w:jc w:val="center"/>
              <w:rPr>
                <w:rFonts w:ascii="宋体" w:hAnsi="宋体" w:cs="宋体"/>
                <w:sz w:val="24"/>
              </w:rPr>
            </w:pPr>
            <w:r>
              <w:rPr>
                <w:rFonts w:ascii="宋体" w:hAnsi="宋体"/>
              </w:rPr>
              <w:t>□不通过</w:t>
            </w:r>
          </w:p>
        </w:tc>
        <w:tc>
          <w:tcPr>
            <w:tcW w:w="2264" w:type="dxa"/>
            <w:noWrap w:val="0"/>
            <w:vAlign w:val="center"/>
          </w:tcPr>
          <w:p>
            <w:pPr>
              <w:rPr>
                <w:rFonts w:ascii="宋体" w:hAnsi="宋体" w:cs="宋体"/>
                <w:sz w:val="24"/>
              </w:rPr>
            </w:pPr>
            <w:r>
              <w:rPr>
                <w:rFonts w:hint="eastAsia" w:ascii="宋体" w:hAnsi="宋体"/>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37" w:hRule="atLeast"/>
          <w:jc w:val="center"/>
        </w:trPr>
        <w:tc>
          <w:tcPr>
            <w:tcW w:w="746" w:type="dxa"/>
            <w:vMerge w:val="continue"/>
            <w:noWrap w:val="0"/>
            <w:vAlign w:val="center"/>
          </w:tcPr>
          <w:p>
            <w:pPr>
              <w:rPr>
                <w:rFonts w:ascii="宋体" w:hAnsi="宋体" w:cs="宋体"/>
                <w:sz w:val="24"/>
              </w:rPr>
            </w:pPr>
          </w:p>
        </w:tc>
        <w:tc>
          <w:tcPr>
            <w:tcW w:w="5148" w:type="dxa"/>
            <w:noWrap w:val="0"/>
            <w:vAlign w:val="center"/>
          </w:tcPr>
          <w:p>
            <w:pPr>
              <w:rPr>
                <w:rFonts w:ascii="宋体" w:hAnsi="宋体"/>
                <w:szCs w:val="21"/>
              </w:rPr>
            </w:pPr>
          </w:p>
        </w:tc>
        <w:tc>
          <w:tcPr>
            <w:tcW w:w="1417" w:type="dxa"/>
            <w:noWrap w:val="0"/>
            <w:vAlign w:val="center"/>
          </w:tcPr>
          <w:p>
            <w:pPr>
              <w:jc w:val="center"/>
              <w:rPr>
                <w:rFonts w:ascii="宋体" w:hAnsi="宋体"/>
              </w:rPr>
            </w:pPr>
            <w:r>
              <w:rPr>
                <w:rFonts w:ascii="宋体" w:hAnsi="宋体"/>
              </w:rPr>
              <w:t>□通过</w:t>
            </w:r>
          </w:p>
          <w:p>
            <w:pPr>
              <w:jc w:val="center"/>
              <w:rPr>
                <w:rFonts w:ascii="宋体" w:hAnsi="宋体" w:cs="宋体"/>
                <w:sz w:val="24"/>
              </w:rPr>
            </w:pPr>
            <w:r>
              <w:rPr>
                <w:rFonts w:ascii="宋体" w:hAnsi="宋体"/>
              </w:rPr>
              <w:t>□不通过</w:t>
            </w:r>
          </w:p>
        </w:tc>
        <w:tc>
          <w:tcPr>
            <w:tcW w:w="2264" w:type="dxa"/>
            <w:noWrap w:val="0"/>
            <w:vAlign w:val="center"/>
          </w:tcPr>
          <w:p>
            <w:pPr>
              <w:rPr>
                <w:rFonts w:ascii="宋体" w:hAnsi="宋体" w:cs="宋体"/>
                <w:sz w:val="24"/>
              </w:rPr>
            </w:pPr>
            <w:r>
              <w:rPr>
                <w:rFonts w:hint="eastAsia" w:ascii="宋体" w:hAnsi="宋体"/>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808" w:hRule="atLeast"/>
          <w:jc w:val="center"/>
        </w:trPr>
        <w:tc>
          <w:tcPr>
            <w:tcW w:w="746" w:type="dxa"/>
            <w:vMerge w:val="continue"/>
            <w:noWrap w:val="0"/>
            <w:vAlign w:val="center"/>
          </w:tcPr>
          <w:p>
            <w:pPr>
              <w:rPr>
                <w:rFonts w:ascii="宋体" w:hAnsi="宋体" w:cs="宋体"/>
                <w:sz w:val="24"/>
              </w:rPr>
            </w:pPr>
          </w:p>
        </w:tc>
        <w:tc>
          <w:tcPr>
            <w:tcW w:w="5148" w:type="dxa"/>
            <w:noWrap w:val="0"/>
            <w:vAlign w:val="center"/>
          </w:tcPr>
          <w:p>
            <w:pPr>
              <w:rPr>
                <w:rFonts w:ascii="宋体" w:hAnsi="宋体"/>
                <w:szCs w:val="21"/>
              </w:rPr>
            </w:pPr>
          </w:p>
        </w:tc>
        <w:tc>
          <w:tcPr>
            <w:tcW w:w="1417" w:type="dxa"/>
            <w:noWrap w:val="0"/>
            <w:vAlign w:val="center"/>
          </w:tcPr>
          <w:p>
            <w:pPr>
              <w:jc w:val="center"/>
              <w:rPr>
                <w:rFonts w:ascii="宋体" w:hAnsi="宋体"/>
              </w:rPr>
            </w:pPr>
            <w:r>
              <w:rPr>
                <w:rFonts w:ascii="宋体" w:hAnsi="宋体"/>
              </w:rPr>
              <w:t>□通过</w:t>
            </w:r>
          </w:p>
          <w:p>
            <w:pPr>
              <w:spacing w:before="152" w:after="160"/>
              <w:jc w:val="center"/>
              <w:rPr>
                <w:rFonts w:ascii="宋体" w:hAnsi="宋体" w:cs="宋体"/>
                <w:sz w:val="24"/>
              </w:rPr>
            </w:pPr>
            <w:r>
              <w:rPr>
                <w:rFonts w:ascii="宋体" w:hAnsi="宋体"/>
              </w:rPr>
              <w:t>□不通过</w:t>
            </w:r>
          </w:p>
        </w:tc>
        <w:tc>
          <w:tcPr>
            <w:tcW w:w="2264" w:type="dxa"/>
            <w:noWrap w:val="0"/>
            <w:vAlign w:val="center"/>
          </w:tcPr>
          <w:p>
            <w:pPr>
              <w:spacing w:before="152" w:after="160"/>
              <w:rPr>
                <w:rFonts w:ascii="宋体" w:hAnsi="宋体" w:cs="宋体"/>
                <w:sz w:val="24"/>
              </w:rPr>
            </w:pPr>
            <w:r>
              <w:rPr>
                <w:rFonts w:hint="eastAsia" w:ascii="宋体" w:hAnsi="宋体"/>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24" w:hRule="atLeast"/>
          <w:jc w:val="center"/>
        </w:trPr>
        <w:tc>
          <w:tcPr>
            <w:tcW w:w="746" w:type="dxa"/>
            <w:vMerge w:val="continue"/>
            <w:noWrap w:val="0"/>
            <w:vAlign w:val="center"/>
          </w:tcPr>
          <w:p>
            <w:pPr>
              <w:rPr>
                <w:rFonts w:ascii="宋体" w:hAnsi="宋体" w:cs="宋体"/>
                <w:sz w:val="24"/>
              </w:rPr>
            </w:pPr>
          </w:p>
        </w:tc>
        <w:tc>
          <w:tcPr>
            <w:tcW w:w="5148" w:type="dxa"/>
            <w:noWrap w:val="0"/>
            <w:vAlign w:val="center"/>
          </w:tcPr>
          <w:p>
            <w:pPr>
              <w:rPr>
                <w:rFonts w:ascii="宋体" w:hAnsi="宋体"/>
                <w:szCs w:val="21"/>
              </w:rPr>
            </w:pPr>
          </w:p>
        </w:tc>
        <w:tc>
          <w:tcPr>
            <w:tcW w:w="1417" w:type="dxa"/>
            <w:noWrap w:val="0"/>
            <w:vAlign w:val="center"/>
          </w:tcPr>
          <w:p>
            <w:pPr>
              <w:jc w:val="center"/>
              <w:rPr>
                <w:rFonts w:ascii="宋体" w:hAnsi="宋体"/>
              </w:rPr>
            </w:pPr>
            <w:r>
              <w:rPr>
                <w:rFonts w:ascii="宋体" w:hAnsi="宋体"/>
              </w:rPr>
              <w:t>□通过</w:t>
            </w:r>
          </w:p>
          <w:p>
            <w:pPr>
              <w:jc w:val="center"/>
              <w:rPr>
                <w:rFonts w:ascii="宋体" w:hAnsi="宋体" w:cs="宋体"/>
                <w:sz w:val="24"/>
              </w:rPr>
            </w:pPr>
            <w:r>
              <w:rPr>
                <w:rFonts w:ascii="宋体" w:hAnsi="宋体"/>
              </w:rPr>
              <w:t>□不通过</w:t>
            </w:r>
          </w:p>
        </w:tc>
        <w:tc>
          <w:tcPr>
            <w:tcW w:w="2264" w:type="dxa"/>
            <w:noWrap w:val="0"/>
            <w:vAlign w:val="center"/>
          </w:tcPr>
          <w:p>
            <w:pPr>
              <w:rPr>
                <w:rFonts w:ascii="宋体" w:hAnsi="宋体" w:cs="宋体"/>
                <w:sz w:val="24"/>
              </w:rPr>
            </w:pPr>
            <w:r>
              <w:rPr>
                <w:rFonts w:hint="eastAsia" w:ascii="宋体" w:hAnsi="宋体"/>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24" w:hRule="atLeast"/>
          <w:jc w:val="center"/>
        </w:trPr>
        <w:tc>
          <w:tcPr>
            <w:tcW w:w="746" w:type="dxa"/>
            <w:vMerge w:val="continue"/>
            <w:noWrap w:val="0"/>
            <w:vAlign w:val="center"/>
          </w:tcPr>
          <w:p>
            <w:pPr>
              <w:rPr>
                <w:rFonts w:ascii="宋体" w:hAnsi="宋体" w:cs="宋体"/>
                <w:sz w:val="24"/>
              </w:rPr>
            </w:pPr>
          </w:p>
        </w:tc>
        <w:tc>
          <w:tcPr>
            <w:tcW w:w="5148" w:type="dxa"/>
            <w:noWrap w:val="0"/>
            <w:vAlign w:val="center"/>
          </w:tcPr>
          <w:p>
            <w:pPr>
              <w:rPr>
                <w:rFonts w:ascii="宋体" w:hAnsi="宋体"/>
                <w:szCs w:val="21"/>
              </w:rPr>
            </w:pPr>
          </w:p>
        </w:tc>
        <w:tc>
          <w:tcPr>
            <w:tcW w:w="1417" w:type="dxa"/>
            <w:noWrap w:val="0"/>
            <w:vAlign w:val="center"/>
          </w:tcPr>
          <w:p>
            <w:pPr>
              <w:jc w:val="center"/>
              <w:rPr>
                <w:rFonts w:ascii="宋体" w:hAnsi="宋体"/>
              </w:rPr>
            </w:pPr>
            <w:r>
              <w:rPr>
                <w:rFonts w:ascii="宋体" w:hAnsi="宋体"/>
              </w:rPr>
              <w:t>□通过</w:t>
            </w:r>
          </w:p>
          <w:p>
            <w:pPr>
              <w:jc w:val="center"/>
              <w:rPr>
                <w:rFonts w:ascii="宋体" w:hAnsi="宋体"/>
              </w:rPr>
            </w:pPr>
            <w:r>
              <w:rPr>
                <w:rFonts w:ascii="宋体" w:hAnsi="宋体"/>
              </w:rPr>
              <w:t>□不通过</w:t>
            </w:r>
          </w:p>
        </w:tc>
        <w:tc>
          <w:tcPr>
            <w:tcW w:w="2264" w:type="dxa"/>
            <w:noWrap w:val="0"/>
            <w:vAlign w:val="center"/>
          </w:tcPr>
          <w:p>
            <w:pPr>
              <w:rPr>
                <w:rFonts w:ascii="宋体" w:hAnsi="宋体"/>
              </w:rPr>
            </w:pPr>
            <w:r>
              <w:rPr>
                <w:rFonts w:hint="eastAsia" w:ascii="宋体" w:hAnsi="宋体"/>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24" w:hRule="atLeast"/>
          <w:jc w:val="center"/>
        </w:trPr>
        <w:tc>
          <w:tcPr>
            <w:tcW w:w="746" w:type="dxa"/>
            <w:vMerge w:val="continue"/>
            <w:noWrap w:val="0"/>
            <w:vAlign w:val="center"/>
          </w:tcPr>
          <w:p>
            <w:pPr>
              <w:rPr>
                <w:rFonts w:ascii="宋体" w:hAnsi="宋体" w:cs="宋体"/>
                <w:sz w:val="24"/>
              </w:rPr>
            </w:pPr>
          </w:p>
        </w:tc>
        <w:tc>
          <w:tcPr>
            <w:tcW w:w="5148" w:type="dxa"/>
            <w:noWrap w:val="0"/>
            <w:vAlign w:val="center"/>
          </w:tcPr>
          <w:p>
            <w:pPr>
              <w:rPr>
                <w:rFonts w:ascii="宋体" w:hAnsi="宋体"/>
                <w:szCs w:val="21"/>
              </w:rPr>
            </w:pPr>
          </w:p>
        </w:tc>
        <w:tc>
          <w:tcPr>
            <w:tcW w:w="1417" w:type="dxa"/>
            <w:noWrap w:val="0"/>
            <w:vAlign w:val="center"/>
          </w:tcPr>
          <w:p>
            <w:pPr>
              <w:jc w:val="center"/>
              <w:rPr>
                <w:rFonts w:ascii="宋体" w:hAnsi="宋体"/>
              </w:rPr>
            </w:pPr>
            <w:r>
              <w:rPr>
                <w:rFonts w:ascii="宋体" w:hAnsi="宋体"/>
              </w:rPr>
              <w:t>□通过</w:t>
            </w:r>
          </w:p>
          <w:p>
            <w:pPr>
              <w:snapToGrid w:val="0"/>
              <w:jc w:val="center"/>
              <w:rPr>
                <w:rFonts w:ascii="宋体" w:hAnsi="宋体" w:cs="宋体"/>
                <w:sz w:val="24"/>
              </w:rPr>
            </w:pPr>
            <w:r>
              <w:rPr>
                <w:rFonts w:ascii="宋体" w:hAnsi="宋体"/>
              </w:rPr>
              <w:t>□不通过</w:t>
            </w:r>
          </w:p>
        </w:tc>
        <w:tc>
          <w:tcPr>
            <w:tcW w:w="2264" w:type="dxa"/>
            <w:noWrap w:val="0"/>
            <w:vAlign w:val="center"/>
          </w:tcPr>
          <w:p>
            <w:pPr>
              <w:snapToGrid w:val="0"/>
              <w:rPr>
                <w:rFonts w:ascii="宋体" w:hAnsi="宋体" w:cs="宋体"/>
                <w:sz w:val="24"/>
              </w:rPr>
            </w:pPr>
            <w:r>
              <w:rPr>
                <w:rFonts w:hint="eastAsia" w:ascii="宋体" w:hAnsi="宋体"/>
              </w:rPr>
              <w:t>见投标文件第（）页</w:t>
            </w:r>
          </w:p>
        </w:tc>
      </w:tr>
    </w:tbl>
    <w:p>
      <w:pPr>
        <w:pStyle w:val="14"/>
        <w:spacing w:after="0"/>
        <w:ind w:left="424" w:hanging="424" w:hangingChars="202"/>
        <w:rPr>
          <w:rFonts w:ascii="宋体" w:hAnsi="宋体"/>
          <w:snapToGrid w:val="0"/>
          <w:kern w:val="0"/>
          <w:sz w:val="21"/>
          <w:szCs w:val="21"/>
        </w:rPr>
      </w:pPr>
      <w:r>
        <w:rPr>
          <w:rFonts w:hint="eastAsia" w:ascii="宋体" w:hAnsi="宋体"/>
          <w:snapToGrid w:val="0"/>
          <w:kern w:val="0"/>
          <w:sz w:val="21"/>
          <w:szCs w:val="21"/>
        </w:rPr>
        <w:t>注：以上材料将作为投标人有效性审核的重要内容之一，投标人必须严格按照其内容及序列要求在投标文件中对应如实提供，对资格性和符合性证明文件的任何缺漏和不符合项将会直接导致无效投标。</w:t>
      </w:r>
    </w:p>
    <w:p>
      <w:pPr>
        <w:pStyle w:val="29"/>
        <w:ind w:firstLine="210"/>
        <w:rPr>
          <w:snapToGrid w:val="0"/>
        </w:rPr>
      </w:pPr>
      <w:r>
        <w:rPr>
          <w:snapToGrid w:val="0"/>
        </w:rPr>
        <w:br w:type="page"/>
      </w:r>
    </w:p>
    <w:p>
      <w:pPr>
        <w:pStyle w:val="15"/>
        <w:spacing w:line="360" w:lineRule="auto"/>
        <w:rPr>
          <w:rFonts w:ascii="宋体" w:hAnsi="宋体"/>
          <w:b/>
          <w:snapToGrid w:val="0"/>
          <w:kern w:val="0"/>
          <w:szCs w:val="21"/>
        </w:rPr>
      </w:pPr>
      <w:r>
        <w:rPr>
          <w:rFonts w:hint="eastAsia" w:ascii="宋体" w:hAnsi="宋体"/>
          <w:b/>
          <w:snapToGrid w:val="0"/>
          <w:kern w:val="0"/>
          <w:szCs w:val="21"/>
        </w:rPr>
        <w:t>2.2综合评分自查表</w:t>
      </w:r>
    </w:p>
    <w:tbl>
      <w:tblPr>
        <w:tblStyle w:val="30"/>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2"/>
        <w:gridCol w:w="3139"/>
        <w:gridCol w:w="3572"/>
        <w:gridCol w:w="215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681" w:hRule="atLeast"/>
          <w:jc w:val="center"/>
        </w:trPr>
        <w:tc>
          <w:tcPr>
            <w:tcW w:w="642" w:type="dxa"/>
            <w:noWrap w:val="0"/>
            <w:vAlign w:val="center"/>
          </w:tcPr>
          <w:p>
            <w:pPr>
              <w:jc w:val="center"/>
              <w:rPr>
                <w:rFonts w:ascii="宋体" w:hAnsi="宋体"/>
                <w:b/>
                <w:color w:val="000000"/>
                <w:szCs w:val="21"/>
              </w:rPr>
            </w:pPr>
            <w:r>
              <w:rPr>
                <w:rFonts w:hint="eastAsia" w:ascii="宋体" w:hAnsi="宋体"/>
                <w:b/>
                <w:color w:val="000000"/>
                <w:szCs w:val="21"/>
              </w:rPr>
              <w:t>序号</w:t>
            </w:r>
          </w:p>
        </w:tc>
        <w:tc>
          <w:tcPr>
            <w:tcW w:w="3139" w:type="dxa"/>
            <w:noWrap w:val="0"/>
            <w:vAlign w:val="center"/>
          </w:tcPr>
          <w:p>
            <w:pPr>
              <w:jc w:val="center"/>
              <w:rPr>
                <w:rFonts w:ascii="宋体" w:hAnsi="宋体"/>
                <w:b/>
                <w:color w:val="000000"/>
                <w:szCs w:val="21"/>
              </w:rPr>
            </w:pPr>
            <w:r>
              <w:rPr>
                <w:rFonts w:hint="eastAsia" w:ascii="宋体" w:hAnsi="宋体"/>
                <w:b/>
                <w:color w:val="000000"/>
                <w:szCs w:val="21"/>
              </w:rPr>
              <w:t>评审分项</w:t>
            </w:r>
          </w:p>
        </w:tc>
        <w:tc>
          <w:tcPr>
            <w:tcW w:w="3572" w:type="dxa"/>
            <w:noWrap w:val="0"/>
            <w:vAlign w:val="center"/>
          </w:tcPr>
          <w:p>
            <w:pPr>
              <w:jc w:val="center"/>
              <w:rPr>
                <w:rFonts w:ascii="宋体" w:hAnsi="宋体"/>
                <w:b/>
                <w:color w:val="000000"/>
                <w:szCs w:val="21"/>
              </w:rPr>
            </w:pPr>
            <w:r>
              <w:rPr>
                <w:rFonts w:hint="eastAsia" w:ascii="宋体" w:hAnsi="宋体"/>
                <w:b/>
                <w:color w:val="000000"/>
                <w:szCs w:val="21"/>
              </w:rPr>
              <w:t>内容</w:t>
            </w:r>
          </w:p>
        </w:tc>
        <w:tc>
          <w:tcPr>
            <w:tcW w:w="2156" w:type="dxa"/>
            <w:noWrap w:val="0"/>
            <w:vAlign w:val="center"/>
          </w:tcPr>
          <w:p>
            <w:pPr>
              <w:jc w:val="center"/>
              <w:rPr>
                <w:rFonts w:ascii="宋体" w:hAnsi="宋体"/>
                <w:b/>
                <w:color w:val="000000"/>
                <w:szCs w:val="21"/>
              </w:rPr>
            </w:pPr>
            <w:r>
              <w:rPr>
                <w:rFonts w:hint="eastAsia" w:ascii="宋体" w:hAnsi="宋体"/>
                <w:b/>
                <w:color w:val="000000"/>
                <w:szCs w:val="21"/>
              </w:rPr>
              <w:t>证明文件（如有）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49" w:hRule="atLeast"/>
          <w:jc w:val="center"/>
        </w:trPr>
        <w:tc>
          <w:tcPr>
            <w:tcW w:w="642" w:type="dxa"/>
            <w:noWrap w:val="0"/>
            <w:vAlign w:val="center"/>
          </w:tcPr>
          <w:p>
            <w:pPr>
              <w:jc w:val="center"/>
              <w:rPr>
                <w:rFonts w:ascii="宋体" w:hAnsi="宋体"/>
                <w:color w:val="000000"/>
                <w:szCs w:val="21"/>
              </w:rPr>
            </w:pPr>
            <w:r>
              <w:rPr>
                <w:rFonts w:ascii="宋体" w:hAnsi="宋体"/>
                <w:color w:val="000000"/>
                <w:szCs w:val="21"/>
              </w:rPr>
              <w:t>1</w:t>
            </w:r>
          </w:p>
        </w:tc>
        <w:tc>
          <w:tcPr>
            <w:tcW w:w="3139" w:type="dxa"/>
            <w:noWrap w:val="0"/>
            <w:vAlign w:val="center"/>
          </w:tcPr>
          <w:p>
            <w:pPr>
              <w:jc w:val="center"/>
              <w:rPr>
                <w:rFonts w:ascii="宋体" w:hAnsi="宋体"/>
                <w:bCs/>
                <w:color w:val="000000"/>
                <w:szCs w:val="21"/>
              </w:rPr>
            </w:pPr>
          </w:p>
        </w:tc>
        <w:tc>
          <w:tcPr>
            <w:tcW w:w="3572" w:type="dxa"/>
            <w:noWrap w:val="0"/>
            <w:vAlign w:val="center"/>
          </w:tcPr>
          <w:p>
            <w:pPr>
              <w:spacing w:line="400" w:lineRule="exact"/>
              <w:rPr>
                <w:rFonts w:ascii="宋体" w:hAnsi="宋体"/>
                <w:bCs/>
                <w:color w:val="000000"/>
                <w:szCs w:val="21"/>
              </w:rPr>
            </w:pPr>
          </w:p>
        </w:tc>
        <w:tc>
          <w:tcPr>
            <w:tcW w:w="2156" w:type="dxa"/>
            <w:noWrap w:val="0"/>
            <w:vAlign w:val="center"/>
          </w:tcPr>
          <w:p>
            <w:pPr>
              <w:jc w:val="center"/>
              <w:rPr>
                <w:rFonts w:ascii="宋体" w:hAnsi="宋体"/>
                <w:color w:val="000000"/>
                <w:szCs w:val="21"/>
              </w:rPr>
            </w:pPr>
            <w:r>
              <w:rPr>
                <w:rFonts w:hint="eastAsia" w:ascii="宋体" w:hAnsi="宋体"/>
                <w:color w:val="000000"/>
                <w:szCs w:val="21"/>
              </w:rPr>
              <w:t>见投标文件（）页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9" w:hRule="atLeast"/>
          <w:jc w:val="center"/>
        </w:trPr>
        <w:tc>
          <w:tcPr>
            <w:tcW w:w="642" w:type="dxa"/>
            <w:noWrap w:val="0"/>
            <w:vAlign w:val="center"/>
          </w:tcPr>
          <w:p>
            <w:pPr>
              <w:jc w:val="center"/>
              <w:rPr>
                <w:rFonts w:ascii="宋体" w:hAnsi="宋体"/>
                <w:color w:val="000000"/>
                <w:szCs w:val="21"/>
              </w:rPr>
            </w:pPr>
            <w:r>
              <w:rPr>
                <w:rFonts w:ascii="宋体" w:hAnsi="宋体"/>
                <w:color w:val="000000"/>
                <w:szCs w:val="21"/>
              </w:rPr>
              <w:t>2</w:t>
            </w:r>
          </w:p>
        </w:tc>
        <w:tc>
          <w:tcPr>
            <w:tcW w:w="3139" w:type="dxa"/>
            <w:noWrap w:val="0"/>
            <w:vAlign w:val="center"/>
          </w:tcPr>
          <w:p>
            <w:pPr>
              <w:jc w:val="center"/>
              <w:rPr>
                <w:rFonts w:ascii="宋体" w:hAnsi="宋体"/>
                <w:color w:val="000000"/>
              </w:rPr>
            </w:pPr>
          </w:p>
        </w:tc>
        <w:tc>
          <w:tcPr>
            <w:tcW w:w="3572" w:type="dxa"/>
            <w:noWrap w:val="0"/>
            <w:vAlign w:val="center"/>
          </w:tcPr>
          <w:p>
            <w:pPr>
              <w:spacing w:line="400" w:lineRule="exact"/>
              <w:rPr>
                <w:rFonts w:ascii="宋体" w:hAnsi="宋体"/>
                <w:bCs/>
                <w:color w:val="000000"/>
                <w:szCs w:val="21"/>
              </w:rPr>
            </w:pPr>
          </w:p>
        </w:tc>
        <w:tc>
          <w:tcPr>
            <w:tcW w:w="2156" w:type="dxa"/>
            <w:noWrap w:val="0"/>
            <w:vAlign w:val="center"/>
          </w:tcPr>
          <w:p>
            <w:pPr>
              <w:jc w:val="center"/>
              <w:rPr>
                <w:rFonts w:ascii="宋体" w:hAnsi="宋体"/>
                <w:color w:val="000000"/>
                <w:szCs w:val="21"/>
              </w:rPr>
            </w:pPr>
            <w:r>
              <w:rPr>
                <w:rFonts w:hint="eastAsia" w:ascii="宋体" w:hAnsi="宋体"/>
                <w:color w:val="000000"/>
                <w:szCs w:val="21"/>
              </w:rPr>
              <w:t>见投标文件（）页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9" w:hRule="atLeast"/>
          <w:jc w:val="center"/>
        </w:trPr>
        <w:tc>
          <w:tcPr>
            <w:tcW w:w="642" w:type="dxa"/>
            <w:noWrap w:val="0"/>
            <w:vAlign w:val="center"/>
          </w:tcPr>
          <w:p>
            <w:pPr>
              <w:jc w:val="center"/>
              <w:rPr>
                <w:rFonts w:ascii="宋体" w:hAnsi="宋体"/>
                <w:color w:val="000000"/>
                <w:szCs w:val="21"/>
              </w:rPr>
            </w:pPr>
            <w:r>
              <w:rPr>
                <w:rFonts w:ascii="宋体" w:hAnsi="宋体"/>
                <w:color w:val="000000"/>
                <w:szCs w:val="21"/>
              </w:rPr>
              <w:t>3</w:t>
            </w:r>
          </w:p>
        </w:tc>
        <w:tc>
          <w:tcPr>
            <w:tcW w:w="3139" w:type="dxa"/>
            <w:noWrap w:val="0"/>
            <w:vAlign w:val="center"/>
          </w:tcPr>
          <w:p>
            <w:pPr>
              <w:snapToGrid w:val="0"/>
              <w:jc w:val="center"/>
              <w:rPr>
                <w:rFonts w:ascii="宋体" w:hAnsi="宋体"/>
                <w:color w:val="000000"/>
              </w:rPr>
            </w:pPr>
          </w:p>
        </w:tc>
        <w:tc>
          <w:tcPr>
            <w:tcW w:w="3572" w:type="dxa"/>
            <w:noWrap w:val="0"/>
            <w:vAlign w:val="center"/>
          </w:tcPr>
          <w:p>
            <w:pPr>
              <w:spacing w:line="400" w:lineRule="exact"/>
              <w:rPr>
                <w:rFonts w:ascii="宋体" w:hAnsi="宋体"/>
                <w:bCs/>
                <w:color w:val="000000"/>
                <w:szCs w:val="21"/>
              </w:rPr>
            </w:pPr>
          </w:p>
        </w:tc>
        <w:tc>
          <w:tcPr>
            <w:tcW w:w="2156" w:type="dxa"/>
            <w:noWrap w:val="0"/>
            <w:vAlign w:val="center"/>
          </w:tcPr>
          <w:p>
            <w:pPr>
              <w:jc w:val="center"/>
              <w:rPr>
                <w:rFonts w:ascii="宋体" w:hAnsi="宋体"/>
                <w:color w:val="000000"/>
                <w:szCs w:val="21"/>
              </w:rPr>
            </w:pPr>
            <w:r>
              <w:rPr>
                <w:rFonts w:hint="eastAsia" w:ascii="宋体" w:hAnsi="宋体"/>
                <w:color w:val="000000"/>
                <w:szCs w:val="21"/>
              </w:rPr>
              <w:t>见投标文件（）页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9" w:hRule="atLeast"/>
          <w:jc w:val="center"/>
        </w:trPr>
        <w:tc>
          <w:tcPr>
            <w:tcW w:w="642" w:type="dxa"/>
            <w:noWrap w:val="0"/>
            <w:vAlign w:val="center"/>
          </w:tcPr>
          <w:p>
            <w:pPr>
              <w:jc w:val="center"/>
              <w:rPr>
                <w:rFonts w:ascii="宋体" w:hAnsi="宋体"/>
                <w:color w:val="000000"/>
                <w:szCs w:val="21"/>
              </w:rPr>
            </w:pPr>
            <w:r>
              <w:rPr>
                <w:rFonts w:ascii="宋体" w:hAnsi="宋体"/>
                <w:color w:val="000000"/>
                <w:szCs w:val="21"/>
              </w:rPr>
              <w:t>4</w:t>
            </w:r>
          </w:p>
        </w:tc>
        <w:tc>
          <w:tcPr>
            <w:tcW w:w="3139" w:type="dxa"/>
            <w:noWrap w:val="0"/>
            <w:vAlign w:val="center"/>
          </w:tcPr>
          <w:p>
            <w:pPr>
              <w:jc w:val="center"/>
              <w:rPr>
                <w:rFonts w:ascii="宋体" w:hAnsi="宋体"/>
                <w:bCs/>
                <w:color w:val="000000"/>
                <w:szCs w:val="21"/>
              </w:rPr>
            </w:pPr>
          </w:p>
        </w:tc>
        <w:tc>
          <w:tcPr>
            <w:tcW w:w="3572" w:type="dxa"/>
            <w:noWrap w:val="0"/>
            <w:vAlign w:val="center"/>
          </w:tcPr>
          <w:p>
            <w:pPr>
              <w:spacing w:line="400" w:lineRule="exact"/>
              <w:rPr>
                <w:rFonts w:ascii="宋体" w:hAnsi="宋体"/>
                <w:color w:val="000000"/>
                <w:szCs w:val="21"/>
              </w:rPr>
            </w:pPr>
          </w:p>
        </w:tc>
        <w:tc>
          <w:tcPr>
            <w:tcW w:w="2156" w:type="dxa"/>
            <w:noWrap w:val="0"/>
            <w:vAlign w:val="center"/>
          </w:tcPr>
          <w:p>
            <w:pPr>
              <w:jc w:val="center"/>
              <w:rPr>
                <w:rFonts w:ascii="宋体" w:hAnsi="宋体"/>
                <w:color w:val="000000"/>
                <w:szCs w:val="21"/>
              </w:rPr>
            </w:pPr>
            <w:r>
              <w:rPr>
                <w:rFonts w:hint="eastAsia" w:ascii="宋体" w:hAnsi="宋体"/>
                <w:color w:val="000000"/>
                <w:szCs w:val="21"/>
              </w:rPr>
              <w:t>见投标文件（）页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9" w:hRule="atLeast"/>
          <w:jc w:val="center"/>
        </w:trPr>
        <w:tc>
          <w:tcPr>
            <w:tcW w:w="642" w:type="dxa"/>
            <w:noWrap w:val="0"/>
            <w:vAlign w:val="center"/>
          </w:tcPr>
          <w:p>
            <w:pPr>
              <w:jc w:val="center"/>
              <w:rPr>
                <w:rFonts w:ascii="宋体" w:hAnsi="宋体"/>
                <w:color w:val="000000"/>
                <w:szCs w:val="21"/>
              </w:rPr>
            </w:pPr>
            <w:r>
              <w:rPr>
                <w:rFonts w:ascii="宋体" w:hAnsi="宋体"/>
                <w:color w:val="000000"/>
                <w:szCs w:val="21"/>
              </w:rPr>
              <w:t>5</w:t>
            </w:r>
          </w:p>
        </w:tc>
        <w:tc>
          <w:tcPr>
            <w:tcW w:w="3139" w:type="dxa"/>
            <w:noWrap w:val="0"/>
            <w:vAlign w:val="center"/>
          </w:tcPr>
          <w:p>
            <w:pPr>
              <w:jc w:val="center"/>
              <w:rPr>
                <w:rFonts w:ascii="宋体" w:hAnsi="宋体"/>
                <w:color w:val="000000"/>
                <w:szCs w:val="21"/>
              </w:rPr>
            </w:pPr>
          </w:p>
        </w:tc>
        <w:tc>
          <w:tcPr>
            <w:tcW w:w="3572" w:type="dxa"/>
            <w:noWrap w:val="0"/>
            <w:vAlign w:val="center"/>
          </w:tcPr>
          <w:p>
            <w:pPr>
              <w:jc w:val="center"/>
              <w:rPr>
                <w:rFonts w:ascii="宋体" w:hAnsi="宋体"/>
                <w:color w:val="000000"/>
                <w:szCs w:val="21"/>
              </w:rPr>
            </w:pPr>
          </w:p>
        </w:tc>
        <w:tc>
          <w:tcPr>
            <w:tcW w:w="2156" w:type="dxa"/>
            <w:noWrap w:val="0"/>
            <w:vAlign w:val="center"/>
          </w:tcPr>
          <w:p>
            <w:pPr>
              <w:jc w:val="center"/>
              <w:rPr>
                <w:rFonts w:ascii="宋体" w:hAnsi="宋体"/>
                <w:color w:val="000000"/>
                <w:szCs w:val="21"/>
              </w:rPr>
            </w:pPr>
            <w:r>
              <w:rPr>
                <w:rFonts w:hint="eastAsia" w:ascii="宋体" w:hAnsi="宋体"/>
                <w:color w:val="000000"/>
                <w:szCs w:val="21"/>
              </w:rPr>
              <w:t>见投标文件（）页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9" w:hRule="atLeast"/>
          <w:jc w:val="center"/>
        </w:trPr>
        <w:tc>
          <w:tcPr>
            <w:tcW w:w="642" w:type="dxa"/>
            <w:noWrap w:val="0"/>
            <w:vAlign w:val="center"/>
          </w:tcPr>
          <w:p>
            <w:pPr>
              <w:jc w:val="center"/>
              <w:rPr>
                <w:rFonts w:ascii="宋体" w:hAnsi="宋体"/>
                <w:color w:val="000000"/>
                <w:szCs w:val="21"/>
              </w:rPr>
            </w:pPr>
            <w:r>
              <w:rPr>
                <w:rFonts w:hint="eastAsia" w:ascii="宋体" w:hAnsi="宋体"/>
                <w:color w:val="000000"/>
                <w:szCs w:val="21"/>
              </w:rPr>
              <w:t>…</w:t>
            </w:r>
          </w:p>
        </w:tc>
        <w:tc>
          <w:tcPr>
            <w:tcW w:w="3139" w:type="dxa"/>
            <w:noWrap w:val="0"/>
            <w:vAlign w:val="center"/>
          </w:tcPr>
          <w:p>
            <w:pPr>
              <w:jc w:val="center"/>
              <w:rPr>
                <w:rFonts w:ascii="宋体" w:hAnsi="宋体"/>
                <w:color w:val="000000"/>
                <w:szCs w:val="21"/>
              </w:rPr>
            </w:pPr>
          </w:p>
        </w:tc>
        <w:tc>
          <w:tcPr>
            <w:tcW w:w="3572" w:type="dxa"/>
            <w:noWrap w:val="0"/>
            <w:vAlign w:val="center"/>
          </w:tcPr>
          <w:p>
            <w:pPr>
              <w:jc w:val="center"/>
              <w:rPr>
                <w:rFonts w:ascii="宋体" w:hAnsi="宋体"/>
                <w:color w:val="000000"/>
                <w:szCs w:val="21"/>
              </w:rPr>
            </w:pPr>
          </w:p>
        </w:tc>
        <w:tc>
          <w:tcPr>
            <w:tcW w:w="2156" w:type="dxa"/>
            <w:noWrap w:val="0"/>
            <w:vAlign w:val="center"/>
          </w:tcPr>
          <w:p>
            <w:pPr>
              <w:rPr>
                <w:rFonts w:ascii="宋体" w:hAnsi="宋体"/>
                <w:color w:val="000000"/>
                <w:szCs w:val="21"/>
              </w:rPr>
            </w:pPr>
          </w:p>
        </w:tc>
      </w:tr>
    </w:tbl>
    <w:p>
      <w:pPr>
        <w:rPr>
          <w:rFonts w:ascii="宋体" w:hAnsi="宋体"/>
          <w:szCs w:val="21"/>
          <w:lang w:val="en-GB"/>
        </w:rPr>
      </w:pPr>
      <w:r>
        <w:rPr>
          <w:rFonts w:hint="eastAsia" w:ascii="宋体" w:hAnsi="宋体"/>
          <w:szCs w:val="21"/>
          <w:lang w:val="en-GB"/>
        </w:rPr>
        <w:t>注：</w:t>
      </w:r>
      <w:r>
        <w:rPr>
          <w:rFonts w:hint="eastAsia" w:ascii="宋体" w:hAnsi="宋体"/>
          <w:snapToGrid w:val="0"/>
          <w:kern w:val="0"/>
          <w:szCs w:val="21"/>
        </w:rPr>
        <w:t>投标人</w:t>
      </w:r>
      <w:r>
        <w:rPr>
          <w:rFonts w:hint="eastAsia" w:ascii="宋体" w:hAnsi="宋体"/>
          <w:szCs w:val="21"/>
          <w:lang w:val="en-GB"/>
        </w:rPr>
        <w:t>根据《综合评分表》的各项内容填写此表。</w:t>
      </w:r>
    </w:p>
    <w:p>
      <w:pPr>
        <w:pStyle w:val="29"/>
        <w:ind w:firstLine="210"/>
        <w:rPr>
          <w:lang w:val="en-GB"/>
        </w:rPr>
      </w:pPr>
      <w:r>
        <w:rPr>
          <w:lang w:val="en-GB"/>
        </w:rPr>
        <w:br w:type="page"/>
      </w:r>
    </w:p>
    <w:p>
      <w:pPr>
        <w:pStyle w:val="4"/>
        <w:rPr>
          <w:rFonts w:hAnsi="宋体"/>
          <w:bCs w:val="0"/>
          <w:sz w:val="24"/>
          <w:szCs w:val="24"/>
          <w:u w:val="single"/>
        </w:rPr>
      </w:pPr>
      <w:r>
        <w:rPr>
          <w:rFonts w:hAnsi="宋体"/>
          <w:bCs w:val="0"/>
          <w:sz w:val="24"/>
          <w:szCs w:val="24"/>
          <w:u w:val="single"/>
        </w:rPr>
        <w:t>格式</w:t>
      </w:r>
      <w:r>
        <w:rPr>
          <w:rFonts w:hint="eastAsia" w:hAnsi="宋体"/>
          <w:bCs w:val="0"/>
          <w:sz w:val="24"/>
          <w:szCs w:val="24"/>
          <w:u w:val="single"/>
        </w:rPr>
        <w:t>3：法定代表人证明书</w:t>
      </w:r>
    </w:p>
    <w:p>
      <w:pPr>
        <w:widowControl/>
        <w:snapToGrid w:val="0"/>
        <w:rPr>
          <w:rFonts w:hAnsi="宋体"/>
          <w:b/>
          <w:sz w:val="24"/>
        </w:rPr>
      </w:pPr>
    </w:p>
    <w:p>
      <w:pPr>
        <w:widowControl/>
        <w:snapToGrid w:val="0"/>
        <w:rPr>
          <w:rFonts w:hAnsi="宋体"/>
          <w:b/>
          <w:sz w:val="24"/>
        </w:rPr>
      </w:pPr>
    </w:p>
    <w:p>
      <w:pPr>
        <w:widowControl/>
        <w:snapToGrid w:val="0"/>
        <w:jc w:val="center"/>
        <w:rPr>
          <w:rFonts w:ascii="黑体" w:hAnsi="宋体" w:eastAsia="黑体" w:cs="宋体"/>
          <w:b/>
          <w:kern w:val="0"/>
          <w:sz w:val="32"/>
          <w:szCs w:val="32"/>
        </w:rPr>
      </w:pPr>
      <w:r>
        <w:rPr>
          <w:rFonts w:hint="eastAsia" w:ascii="黑体" w:hAnsi="宋体" w:eastAsia="黑体" w:cs="宋体"/>
          <w:b/>
          <w:kern w:val="0"/>
          <w:sz w:val="32"/>
          <w:szCs w:val="32"/>
        </w:rPr>
        <w:t>法定代表人证明书</w:t>
      </w:r>
    </w:p>
    <w:p>
      <w:pPr>
        <w:widowControl/>
        <w:snapToGrid w:val="0"/>
        <w:jc w:val="center"/>
        <w:rPr>
          <w:rFonts w:ascii="黑体" w:hAnsi="宋体" w:eastAsia="黑体" w:cs="宋体"/>
          <w:b/>
          <w:kern w:val="0"/>
          <w:sz w:val="32"/>
          <w:szCs w:val="32"/>
        </w:rPr>
      </w:pPr>
    </w:p>
    <w:p>
      <w:pPr>
        <w:adjustRightInd w:val="0"/>
        <w:snapToGrid w:val="0"/>
        <w:spacing w:before="72" w:beforeLines="30" w:line="400" w:lineRule="exact"/>
        <w:ind w:firstLine="411" w:firstLineChars="196"/>
        <w:rPr>
          <w:rFonts w:ascii="宋体" w:hAnsi="宋体"/>
          <w:szCs w:val="21"/>
        </w:rPr>
      </w:pPr>
      <w:r>
        <w:rPr>
          <w:rFonts w:hint="eastAsia" w:ascii="宋体" w:hAnsi="宋体"/>
          <w:bCs/>
          <w:szCs w:val="21"/>
          <w:u w:val="single"/>
        </w:rPr>
        <w:t>（法定代表人姓名）</w:t>
      </w:r>
      <w:r>
        <w:rPr>
          <w:rFonts w:hint="eastAsia" w:ascii="宋体" w:hAnsi="宋体"/>
          <w:szCs w:val="21"/>
        </w:rPr>
        <w:t>先生</w:t>
      </w:r>
      <w:r>
        <w:rPr>
          <w:rFonts w:ascii="宋体" w:hAnsi="宋体"/>
          <w:szCs w:val="21"/>
        </w:rPr>
        <w:t>/</w:t>
      </w:r>
      <w:r>
        <w:rPr>
          <w:rFonts w:hint="eastAsia" w:ascii="宋体" w:hAnsi="宋体"/>
          <w:szCs w:val="21"/>
        </w:rPr>
        <w:t>小姐现任我单位</w:t>
      </w:r>
      <w:r>
        <w:rPr>
          <w:rFonts w:ascii="宋体" w:hAnsi="宋体"/>
          <w:szCs w:val="21"/>
          <w:u w:val="single"/>
        </w:rPr>
        <w:t xml:space="preserve">         </w:t>
      </w:r>
      <w:r>
        <w:rPr>
          <w:rFonts w:hint="eastAsia" w:ascii="宋体" w:hAnsi="宋体"/>
          <w:szCs w:val="21"/>
        </w:rPr>
        <w:t>职务，为法定代表人（负责人），特此证明。</w:t>
      </w:r>
    </w:p>
    <w:p>
      <w:pPr>
        <w:adjustRightInd w:val="0"/>
        <w:snapToGrid w:val="0"/>
        <w:spacing w:before="72" w:beforeLines="30" w:line="400" w:lineRule="exact"/>
        <w:rPr>
          <w:rFonts w:ascii="宋体" w:hAnsi="宋体"/>
          <w:szCs w:val="21"/>
        </w:rPr>
      </w:pPr>
    </w:p>
    <w:p>
      <w:pPr>
        <w:adjustRightInd w:val="0"/>
        <w:snapToGrid w:val="0"/>
        <w:spacing w:before="72" w:beforeLines="30" w:line="400" w:lineRule="exact"/>
        <w:rPr>
          <w:rFonts w:ascii="宋体" w:hAnsi="宋体"/>
          <w:szCs w:val="21"/>
        </w:rPr>
      </w:pPr>
      <w:r>
        <w:rPr>
          <w:rFonts w:hint="eastAsia" w:ascii="宋体" w:hAnsi="宋体"/>
          <w:szCs w:val="21"/>
        </w:rPr>
        <w:t>有效期限：自</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日至</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adjustRightInd w:val="0"/>
        <w:snapToGrid w:val="0"/>
        <w:spacing w:before="72" w:beforeLines="30" w:line="400" w:lineRule="exact"/>
        <w:rPr>
          <w:rFonts w:ascii="宋体" w:hAnsi="宋体"/>
          <w:szCs w:val="21"/>
        </w:rPr>
      </w:pPr>
    </w:p>
    <w:p>
      <w:pPr>
        <w:adjustRightInd w:val="0"/>
        <w:snapToGrid w:val="0"/>
        <w:spacing w:before="72" w:beforeLines="30" w:line="400" w:lineRule="exact"/>
        <w:rPr>
          <w:rFonts w:ascii="宋体" w:hAnsi="宋体"/>
          <w:szCs w:val="21"/>
        </w:rPr>
      </w:pPr>
      <w:r>
        <w:rPr>
          <w:rFonts w:hint="eastAsia" w:ascii="宋体" w:hAnsi="宋体"/>
          <w:szCs w:val="21"/>
        </w:rPr>
        <w:t>附：法定代表人（负责人）性别：</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年龄：</w:t>
      </w:r>
      <w:r>
        <w:rPr>
          <w:rFonts w:hint="eastAsia" w:ascii="宋体" w:hAnsi="宋体"/>
          <w:szCs w:val="21"/>
          <w:u w:val="single"/>
        </w:rPr>
        <w:t xml:space="preserve">    </w:t>
      </w:r>
      <w:r>
        <w:rPr>
          <w:rFonts w:hint="eastAsia" w:ascii="宋体" w:hAnsi="宋体"/>
          <w:szCs w:val="21"/>
        </w:rPr>
        <w:t xml:space="preserve">  身份证号码：</w:t>
      </w:r>
      <w:r>
        <w:rPr>
          <w:rFonts w:hint="eastAsia" w:ascii="宋体" w:hAnsi="宋体"/>
          <w:szCs w:val="21"/>
          <w:u w:val="single"/>
        </w:rPr>
        <w:t xml:space="preserve">               </w:t>
      </w:r>
    </w:p>
    <w:p>
      <w:pPr>
        <w:adjustRightInd w:val="0"/>
        <w:snapToGrid w:val="0"/>
        <w:spacing w:before="72" w:beforeLines="30" w:line="400" w:lineRule="exact"/>
        <w:ind w:firstLine="420" w:firstLineChars="200"/>
        <w:rPr>
          <w:rFonts w:ascii="宋体" w:hAnsi="宋体"/>
          <w:szCs w:val="21"/>
        </w:rPr>
      </w:pPr>
      <w:r>
        <w:rPr>
          <w:rFonts w:hint="eastAsia" w:ascii="宋体" w:hAnsi="宋体"/>
          <w:szCs w:val="21"/>
        </w:rPr>
        <w:t>营业执照(注册号)：</w:t>
      </w:r>
      <w:r>
        <w:rPr>
          <w:rFonts w:hint="eastAsia" w:ascii="宋体" w:hAnsi="宋体"/>
          <w:szCs w:val="21"/>
          <w:u w:val="single"/>
        </w:rPr>
        <w:t xml:space="preserve">                    </w:t>
      </w:r>
      <w:r>
        <w:rPr>
          <w:rFonts w:hint="eastAsia" w:ascii="宋体" w:hAnsi="宋体"/>
          <w:szCs w:val="21"/>
        </w:rPr>
        <w:t xml:space="preserve">  </w:t>
      </w:r>
    </w:p>
    <w:p>
      <w:pPr>
        <w:adjustRightInd w:val="0"/>
        <w:snapToGrid w:val="0"/>
        <w:spacing w:before="72" w:beforeLines="30" w:line="400" w:lineRule="exact"/>
        <w:ind w:firstLine="420" w:firstLineChars="200"/>
        <w:rPr>
          <w:rFonts w:ascii="宋体" w:hAnsi="宋体"/>
          <w:szCs w:val="21"/>
          <w:u w:val="single"/>
        </w:rPr>
      </w:pPr>
      <w:r>
        <w:rPr>
          <w:rFonts w:hint="eastAsia" w:ascii="宋体" w:hAnsi="宋体"/>
          <w:szCs w:val="21"/>
        </w:rPr>
        <w:t>企业类型：</w:t>
      </w:r>
      <w:r>
        <w:rPr>
          <w:rFonts w:hint="eastAsia" w:ascii="宋体" w:hAnsi="宋体"/>
          <w:szCs w:val="21"/>
          <w:u w:val="single"/>
        </w:rPr>
        <w:t xml:space="preserve">                             </w:t>
      </w:r>
    </w:p>
    <w:p>
      <w:pPr>
        <w:adjustRightInd w:val="0"/>
        <w:snapToGrid w:val="0"/>
        <w:spacing w:before="72" w:beforeLines="30" w:line="400" w:lineRule="exact"/>
        <w:ind w:firstLine="420" w:firstLineChars="200"/>
        <w:rPr>
          <w:rFonts w:ascii="宋体" w:hAnsi="宋体"/>
          <w:szCs w:val="21"/>
          <w:u w:val="single"/>
        </w:rPr>
      </w:pPr>
      <w:r>
        <w:rPr>
          <w:rFonts w:hint="eastAsia" w:ascii="宋体" w:hAnsi="宋体"/>
          <w:szCs w:val="21"/>
        </w:rPr>
        <w:t>经营范围：</w:t>
      </w:r>
      <w:r>
        <w:rPr>
          <w:rFonts w:hint="eastAsia" w:ascii="宋体" w:hAnsi="宋体"/>
          <w:szCs w:val="21"/>
          <w:u w:val="single"/>
        </w:rPr>
        <w:t xml:space="preserve">                             </w:t>
      </w:r>
    </w:p>
    <w:p>
      <w:pPr>
        <w:adjustRightInd w:val="0"/>
        <w:snapToGrid w:val="0"/>
        <w:spacing w:before="72" w:beforeLines="30" w:line="400" w:lineRule="exact"/>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rPr>
        <w:t xml:space="preserve">               单位（盖章）：              </w:t>
      </w:r>
    </w:p>
    <w:p>
      <w:pPr>
        <w:adjustRightInd w:val="0"/>
        <w:snapToGrid w:val="0"/>
        <w:spacing w:before="72" w:beforeLines="30" w:line="400" w:lineRule="exact"/>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adjustRightInd w:val="0"/>
        <w:snapToGrid w:val="0"/>
        <w:spacing w:before="72" w:beforeLines="30" w:line="400" w:lineRule="exact"/>
        <w:rPr>
          <w:rFonts w:ascii="宋体" w:hAnsi="宋体"/>
          <w:sz w:val="24"/>
        </w:rPr>
      </w:pPr>
    </w:p>
    <w:p>
      <w:pPr>
        <w:adjustRightInd w:val="0"/>
        <w:snapToGrid w:val="0"/>
        <w:spacing w:before="72" w:beforeLines="30" w:line="400" w:lineRule="exact"/>
        <w:ind w:left="735" w:hanging="735" w:hangingChars="350"/>
        <w:rPr>
          <w:rFonts w:ascii="宋体" w:hAnsi="宋体"/>
          <w:szCs w:val="21"/>
        </w:rPr>
      </w:pPr>
      <w:r>
        <w:rPr>
          <w:rFonts w:hint="eastAsia" w:ascii="宋体" w:hAnsi="宋体"/>
          <w:szCs w:val="21"/>
        </w:rPr>
        <w:t>注：1、此委托书一式两份。一份装订在投标文件正本内；另一份由授权代表携带出席开标会；</w:t>
      </w:r>
    </w:p>
    <w:p>
      <w:pPr>
        <w:widowControl/>
        <w:snapToGrid w:val="0"/>
        <w:jc w:val="left"/>
        <w:rPr>
          <w:rFonts w:ascii="宋体" w:hAnsi="宋体" w:cs="宋体"/>
          <w:kern w:val="0"/>
          <w:sz w:val="24"/>
        </w:rPr>
      </w:pPr>
      <w:r>
        <w:rPr>
          <w:rFonts w:hint="eastAsia" w:ascii="宋体" w:hAnsi="宋体"/>
          <w:bCs/>
          <w:szCs w:val="21"/>
        </w:rPr>
        <w:t>2、本法定代表人（负责人）证明书也可以采用工商行政管理部门制订的格式代替。</w:t>
      </w:r>
    </w:p>
    <w:p>
      <w:pPr>
        <w:widowControl/>
        <w:snapToGrid w:val="0"/>
        <w:spacing w:line="360" w:lineRule="auto"/>
        <w:jc w:val="center"/>
        <w:rPr>
          <w:rFonts w:ascii="宋体" w:hAnsi="宋体" w:cs="宋体"/>
          <w:kern w:val="0"/>
          <w:sz w:val="24"/>
        </w:rPr>
      </w:pPr>
      <w:r>
        <w:rPr>
          <w:rFonts w:ascii="宋体" w:hAnsi="宋体" w:cs="宋体"/>
          <w:kern w:val="0"/>
          <w:sz w:val="24"/>
        </w:rPr>
        <w:br w:type="page"/>
      </w:r>
    </w:p>
    <w:p>
      <w:pPr>
        <w:pStyle w:val="4"/>
        <w:rPr>
          <w:rFonts w:hAnsi="宋体"/>
          <w:b w:val="0"/>
          <w:sz w:val="24"/>
          <w:u w:val="single"/>
        </w:rPr>
      </w:pPr>
      <w:r>
        <w:rPr>
          <w:rFonts w:hint="eastAsia" w:hAnsi="宋体"/>
          <w:bCs w:val="0"/>
          <w:sz w:val="24"/>
          <w:szCs w:val="24"/>
          <w:u w:val="single"/>
        </w:rPr>
        <w:t>格式4：授权委托证明书</w:t>
      </w:r>
    </w:p>
    <w:p>
      <w:pPr>
        <w:widowControl/>
        <w:spacing w:line="360" w:lineRule="auto"/>
        <w:ind w:firstLine="321" w:firstLineChars="100"/>
        <w:jc w:val="center"/>
        <w:rPr>
          <w:rFonts w:ascii="黑体" w:hAnsi="宋体" w:eastAsia="黑体" w:cs="宋体"/>
          <w:b/>
          <w:kern w:val="0"/>
          <w:sz w:val="32"/>
          <w:szCs w:val="32"/>
        </w:rPr>
      </w:pPr>
      <w:r>
        <w:rPr>
          <w:rFonts w:hint="eastAsia" w:ascii="黑体" w:hAnsi="宋体" w:eastAsia="黑体" w:cs="宋体"/>
          <w:b/>
          <w:kern w:val="0"/>
          <w:sz w:val="32"/>
          <w:szCs w:val="32"/>
        </w:rPr>
        <w:t>授权委托证明书</w:t>
      </w:r>
    </w:p>
    <w:p>
      <w:pPr>
        <w:adjustRightInd w:val="0"/>
        <w:snapToGrid w:val="0"/>
        <w:spacing w:before="72" w:beforeLines="30" w:line="400" w:lineRule="exact"/>
        <w:ind w:firstLine="420" w:firstLineChars="200"/>
        <w:rPr>
          <w:rFonts w:ascii="宋体" w:hAnsi="宋体"/>
          <w:szCs w:val="21"/>
        </w:rPr>
      </w:pPr>
      <w:r>
        <w:rPr>
          <w:rFonts w:hint="eastAsia" w:ascii="宋体" w:hAnsi="宋体"/>
          <w:szCs w:val="21"/>
        </w:rPr>
        <w:t>兹授权（授权代表姓名、职务）为我方委托代理人，其权限是：作为我方法定授权代表以我方名义办理</w:t>
      </w:r>
      <w:r>
        <w:rPr>
          <w:rFonts w:hint="eastAsia" w:ascii="宋体" w:hAnsi="宋体"/>
          <w:szCs w:val="21"/>
          <w:u w:val="single"/>
        </w:rPr>
        <w:t>（招标人）</w:t>
      </w:r>
      <w:r>
        <w:rPr>
          <w:rFonts w:hint="eastAsia" w:ascii="宋体" w:hAnsi="宋体"/>
          <w:szCs w:val="21"/>
        </w:rPr>
        <w:t>“</w:t>
      </w:r>
      <w:r>
        <w:rPr>
          <w:rFonts w:hint="eastAsia" w:ascii="宋体" w:hAnsi="宋体"/>
          <w:szCs w:val="21"/>
          <w:u w:val="single"/>
        </w:rPr>
        <w:t>（项目名称）</w:t>
      </w:r>
      <w:r>
        <w:rPr>
          <w:rFonts w:hint="eastAsia" w:ascii="宋体" w:hAnsi="宋体"/>
          <w:szCs w:val="21"/>
        </w:rPr>
        <w:t>”项目的投标及相关一切事宜。本授权书有效期与本公司投标文件中标注的投标有效期相同，自投标人单位盖章和法定代表人签字之日起生效。</w:t>
      </w:r>
    </w:p>
    <w:p>
      <w:pPr>
        <w:adjustRightInd w:val="0"/>
        <w:snapToGrid w:val="0"/>
        <w:spacing w:before="72" w:beforeLines="30" w:line="400" w:lineRule="exact"/>
        <w:ind w:firstLine="420" w:firstLineChars="200"/>
        <w:rPr>
          <w:rFonts w:ascii="宋体" w:hAnsi="宋体"/>
          <w:szCs w:val="21"/>
        </w:rPr>
      </w:pPr>
      <w:r>
        <w:rPr>
          <w:rFonts w:hint="eastAsia" w:ascii="宋体" w:hAnsi="宋体"/>
          <w:szCs w:val="21"/>
        </w:rPr>
        <w:t>代理人无转委权。特此委托。</w:t>
      </w:r>
    </w:p>
    <w:p>
      <w:pPr>
        <w:adjustRightInd w:val="0"/>
        <w:snapToGrid w:val="0"/>
        <w:spacing w:before="72" w:beforeLines="30" w:line="400" w:lineRule="exact"/>
        <w:ind w:firstLine="420" w:firstLineChars="200"/>
        <w:rPr>
          <w:rFonts w:ascii="宋体" w:hAnsi="宋体"/>
          <w:szCs w:val="21"/>
        </w:rPr>
      </w:pPr>
    </w:p>
    <w:p>
      <w:pPr>
        <w:adjustRightInd w:val="0"/>
        <w:snapToGrid w:val="0"/>
        <w:spacing w:before="72" w:beforeLines="30" w:line="400" w:lineRule="exact"/>
        <w:rPr>
          <w:rFonts w:ascii="宋体" w:hAnsi="宋体"/>
          <w:szCs w:val="21"/>
        </w:rPr>
      </w:pPr>
      <w:r>
        <w:rPr>
          <w:rFonts w:hint="eastAsia" w:ascii="宋体" w:hAnsi="宋体"/>
          <w:szCs w:val="21"/>
        </w:rPr>
        <w:t>附：代理人性别：</w:t>
      </w:r>
      <w:r>
        <w:rPr>
          <w:rFonts w:hint="eastAsia" w:ascii="宋体" w:hAnsi="宋体"/>
          <w:szCs w:val="21"/>
          <w:u w:val="single"/>
        </w:rPr>
        <w:t xml:space="preserve">    </w:t>
      </w:r>
      <w:r>
        <w:rPr>
          <w:rFonts w:hint="eastAsia" w:ascii="宋体" w:hAnsi="宋体"/>
          <w:szCs w:val="21"/>
        </w:rPr>
        <w:t xml:space="preserve">    年龄：</w:t>
      </w:r>
      <w:r>
        <w:rPr>
          <w:rFonts w:hint="eastAsia" w:ascii="宋体" w:hAnsi="宋体"/>
          <w:szCs w:val="21"/>
          <w:u w:val="single"/>
        </w:rPr>
        <w:t xml:space="preserve">    </w:t>
      </w:r>
      <w:r>
        <w:rPr>
          <w:rFonts w:hint="eastAsia" w:ascii="宋体" w:hAnsi="宋体"/>
          <w:szCs w:val="21"/>
        </w:rPr>
        <w:t xml:space="preserve">    身份证号码：</w:t>
      </w:r>
      <w:r>
        <w:rPr>
          <w:rFonts w:hint="eastAsia" w:ascii="宋体" w:hAnsi="宋体"/>
          <w:szCs w:val="21"/>
          <w:u w:val="single"/>
        </w:rPr>
        <w:t xml:space="preserve">                        </w:t>
      </w:r>
    </w:p>
    <w:p>
      <w:pPr>
        <w:adjustRightInd w:val="0"/>
        <w:snapToGrid w:val="0"/>
        <w:spacing w:before="72" w:beforeLines="30" w:line="400" w:lineRule="exact"/>
        <w:ind w:firstLine="420" w:firstLineChars="200"/>
        <w:rPr>
          <w:rFonts w:ascii="宋体" w:hAnsi="宋体"/>
          <w:szCs w:val="21"/>
          <w:u w:val="single"/>
        </w:rPr>
      </w:pPr>
      <w:r>
        <w:rPr>
          <w:rFonts w:hint="eastAsia" w:ascii="宋体" w:hAnsi="宋体"/>
          <w:szCs w:val="21"/>
        </w:rPr>
        <w:t>营业执照(注册号)：</w:t>
      </w:r>
      <w:r>
        <w:rPr>
          <w:rFonts w:hint="eastAsia" w:ascii="宋体" w:hAnsi="宋体"/>
          <w:szCs w:val="21"/>
          <w:u w:val="single"/>
        </w:rPr>
        <w:t xml:space="preserve">                    </w:t>
      </w:r>
      <w:r>
        <w:rPr>
          <w:rFonts w:hint="eastAsia" w:ascii="宋体" w:hAnsi="宋体"/>
          <w:szCs w:val="21"/>
        </w:rPr>
        <w:t xml:space="preserve">    企业类型：</w:t>
      </w:r>
      <w:r>
        <w:rPr>
          <w:rFonts w:hint="eastAsia" w:ascii="宋体" w:hAnsi="宋体"/>
          <w:szCs w:val="21"/>
          <w:u w:val="single"/>
        </w:rPr>
        <w:t xml:space="preserve">                          </w:t>
      </w:r>
    </w:p>
    <w:p>
      <w:pPr>
        <w:adjustRightInd w:val="0"/>
        <w:snapToGrid w:val="0"/>
        <w:spacing w:before="72" w:beforeLines="30" w:line="400" w:lineRule="exact"/>
        <w:ind w:firstLine="420" w:firstLineChars="200"/>
        <w:rPr>
          <w:rFonts w:ascii="宋体" w:hAnsi="宋体"/>
          <w:szCs w:val="21"/>
          <w:u w:val="single"/>
        </w:rPr>
      </w:pPr>
      <w:r>
        <w:rPr>
          <w:rFonts w:hint="eastAsia" w:ascii="宋体" w:hAnsi="宋体"/>
          <w:szCs w:val="21"/>
        </w:rPr>
        <w:t>经营范围：</w:t>
      </w:r>
      <w:r>
        <w:rPr>
          <w:rFonts w:hint="eastAsia" w:ascii="宋体" w:hAnsi="宋体"/>
          <w:szCs w:val="21"/>
          <w:u w:val="single"/>
        </w:rPr>
        <w:t xml:space="preserve">                                                            </w:t>
      </w:r>
    </w:p>
    <w:p>
      <w:pPr>
        <w:adjustRightInd w:val="0"/>
        <w:snapToGrid w:val="0"/>
        <w:spacing w:before="72" w:beforeLines="30" w:line="400" w:lineRule="exact"/>
        <w:ind w:firstLine="420" w:firstLineChars="200"/>
        <w:rPr>
          <w:rFonts w:ascii="宋体" w:hAnsi="宋体"/>
          <w:szCs w:val="21"/>
        </w:rPr>
      </w:pPr>
      <w:r>
        <w:rPr>
          <w:rFonts w:hint="eastAsia" w:ascii="宋体" w:hAnsi="宋体"/>
          <w:szCs w:val="21"/>
        </w:rPr>
        <w:t>法定代表人（负责人）：</w:t>
      </w:r>
      <w:r>
        <w:rPr>
          <w:rFonts w:hint="eastAsia" w:ascii="宋体" w:hAnsi="宋体"/>
          <w:szCs w:val="21"/>
          <w:u w:val="single"/>
        </w:rPr>
        <w:t xml:space="preserve">                         </w:t>
      </w:r>
      <w:r>
        <w:rPr>
          <w:rFonts w:hint="eastAsia" w:ascii="宋体" w:hAnsi="宋体"/>
          <w:szCs w:val="21"/>
        </w:rPr>
        <w:t>（签名或签章）</w:t>
      </w:r>
    </w:p>
    <w:p>
      <w:pPr>
        <w:adjustRightInd w:val="0"/>
        <w:snapToGrid w:val="0"/>
        <w:spacing w:before="72" w:beforeLines="30" w:line="400" w:lineRule="exact"/>
        <w:ind w:firstLine="420" w:firstLineChars="200"/>
        <w:rPr>
          <w:rFonts w:ascii="宋体" w:hAnsi="宋体"/>
          <w:szCs w:val="21"/>
          <w:u w:val="single"/>
        </w:rPr>
      </w:pPr>
      <w:r>
        <w:rPr>
          <w:rFonts w:hint="eastAsia" w:ascii="宋体" w:hAnsi="宋体"/>
          <w:szCs w:val="21"/>
        </w:rPr>
        <w:t>授权单位（盖章）：</w:t>
      </w:r>
    </w:p>
    <w:p>
      <w:pPr>
        <w:adjustRightInd w:val="0"/>
        <w:snapToGrid w:val="0"/>
        <w:spacing w:before="72" w:beforeLines="30" w:line="400" w:lineRule="exact"/>
        <w:rPr>
          <w:rFonts w:ascii="宋体" w:hAnsi="宋体"/>
          <w:szCs w:val="21"/>
        </w:rPr>
      </w:pPr>
    </w:p>
    <w:p>
      <w:pPr>
        <w:adjustRightInd w:val="0"/>
        <w:snapToGrid w:val="0"/>
        <w:spacing w:before="72" w:beforeLines="30" w:line="400" w:lineRule="exact"/>
        <w:ind w:left="2" w:leftChars="1" w:firstLine="5040" w:firstLineChars="2400"/>
        <w:rPr>
          <w:rFonts w:ascii="宋体" w:hAnsi="宋体"/>
          <w:szCs w:val="21"/>
        </w:rPr>
      </w:pPr>
      <w:r>
        <w:rPr>
          <w:rFonts w:hint="eastAsia" w:ascii="宋体" w:hAnsi="宋体"/>
          <w:bCs/>
          <w:szCs w:val="21"/>
          <w:u w:val="single"/>
        </w:rPr>
        <w:t xml:space="preserve">   </w:t>
      </w:r>
      <w:r>
        <w:rPr>
          <w:rFonts w:ascii="宋体" w:hAnsi="宋体"/>
          <w:szCs w:val="21"/>
        </w:rPr>
        <w:t xml:space="preserve"> </w:t>
      </w:r>
      <w:r>
        <w:rPr>
          <w:rFonts w:hint="eastAsia" w:ascii="宋体" w:hAnsi="宋体"/>
          <w:szCs w:val="21"/>
        </w:rPr>
        <w:t>年</w:t>
      </w:r>
      <w:r>
        <w:rPr>
          <w:rFonts w:hint="eastAsia" w:ascii="宋体" w:hAnsi="宋体"/>
          <w:bCs/>
          <w:szCs w:val="21"/>
          <w:u w:val="single"/>
        </w:rPr>
        <w:t xml:space="preserve">   </w:t>
      </w:r>
      <w:r>
        <w:rPr>
          <w:rFonts w:hint="eastAsia" w:ascii="宋体" w:hAnsi="宋体"/>
          <w:szCs w:val="21"/>
        </w:rPr>
        <w:t>月</w:t>
      </w:r>
      <w:r>
        <w:rPr>
          <w:rFonts w:hint="eastAsia" w:ascii="宋体" w:hAnsi="宋体"/>
          <w:bCs/>
          <w:szCs w:val="21"/>
          <w:u w:val="single"/>
        </w:rPr>
        <w:t xml:space="preserve">  </w:t>
      </w:r>
      <w:r>
        <w:rPr>
          <w:rFonts w:hint="eastAsia" w:ascii="宋体" w:hAnsi="宋体"/>
          <w:szCs w:val="21"/>
        </w:rPr>
        <w:t>日</w:t>
      </w:r>
    </w:p>
    <w:p>
      <w:pPr>
        <w:adjustRightInd w:val="0"/>
        <w:snapToGrid w:val="0"/>
        <w:spacing w:before="72" w:beforeLines="30" w:line="400" w:lineRule="exact"/>
        <w:ind w:left="420" w:hanging="420" w:hangingChars="200"/>
        <w:rPr>
          <w:rFonts w:ascii="宋体" w:hAnsi="宋体"/>
          <w:szCs w:val="21"/>
        </w:rPr>
      </w:pPr>
    </w:p>
    <w:p>
      <w:pPr>
        <w:adjustRightInd w:val="0"/>
        <w:snapToGrid w:val="0"/>
        <w:spacing w:before="72" w:beforeLines="30" w:line="400" w:lineRule="exact"/>
        <w:ind w:left="718" w:hanging="718" w:hangingChars="342"/>
        <w:rPr>
          <w:rFonts w:ascii="宋体" w:hAnsi="宋体"/>
          <w:szCs w:val="21"/>
        </w:rPr>
      </w:pPr>
      <w:r>
        <w:rPr>
          <w:rFonts w:hint="eastAsia" w:ascii="宋体" w:hAnsi="宋体"/>
          <w:szCs w:val="21"/>
        </w:rPr>
        <w:t>注： 1、本授权委托证明书适用于投标授权代表为非法人代表；</w:t>
      </w:r>
    </w:p>
    <w:p>
      <w:pPr>
        <w:adjustRightInd w:val="0"/>
        <w:snapToGrid w:val="0"/>
        <w:spacing w:before="72" w:beforeLines="30" w:line="400" w:lineRule="exact"/>
        <w:ind w:left="795" w:leftChars="228" w:hanging="316" w:hangingChars="150"/>
        <w:rPr>
          <w:rFonts w:ascii="宋体" w:hAnsi="宋体"/>
          <w:b/>
          <w:szCs w:val="21"/>
        </w:rPr>
      </w:pPr>
      <w:r>
        <w:rPr>
          <w:rFonts w:hint="eastAsia" w:ascii="宋体" w:hAnsi="宋体"/>
          <w:b/>
          <w:szCs w:val="21"/>
        </w:rPr>
        <w:t>2、此委托书一式两份。一份装订在投标文件正本内；另一份由授权代表携带出席开标会；</w:t>
      </w:r>
    </w:p>
    <w:p>
      <w:pPr>
        <w:adjustRightInd w:val="0"/>
        <w:snapToGrid w:val="0"/>
        <w:spacing w:before="72" w:beforeLines="30" w:line="400" w:lineRule="exact"/>
        <w:ind w:left="794" w:leftChars="228" w:hanging="315" w:hangingChars="150"/>
        <w:rPr>
          <w:rFonts w:ascii="宋体" w:hAnsi="宋体"/>
          <w:bCs/>
          <w:szCs w:val="21"/>
        </w:rPr>
      </w:pPr>
      <w:r>
        <w:rPr>
          <w:rFonts w:hint="eastAsia" w:ascii="宋体" w:hAnsi="宋体"/>
          <w:bCs/>
          <w:szCs w:val="21"/>
        </w:rPr>
        <w:t>3、本授权委托证明书也可以采用工商行政管理部门制订的格式代替，但授权内容及权限不得作实质性变更。</w:t>
      </w:r>
    </w:p>
    <w:p/>
    <w:p>
      <w:pPr>
        <w:rPr>
          <w:sz w:val="24"/>
        </w:rPr>
      </w:pPr>
    </w:p>
    <w:p/>
    <w:p>
      <w:pPr>
        <w:rPr>
          <w:sz w:val="24"/>
        </w:rPr>
      </w:pPr>
    </w:p>
    <w:p>
      <w:pPr>
        <w:pStyle w:val="2"/>
        <w:sectPr>
          <w:footerReference r:id="rId9" w:type="default"/>
          <w:pgSz w:w="11906" w:h="16838"/>
          <w:pgMar w:top="1588" w:right="1644" w:bottom="1474" w:left="1701" w:header="567" w:footer="907" w:gutter="0"/>
          <w:pgNumType w:fmt="decimal"/>
          <w:cols w:space="720" w:num="1"/>
          <w:docGrid w:linePitch="312" w:charSpace="0"/>
        </w:sectPr>
      </w:pPr>
    </w:p>
    <w:p>
      <w:pPr>
        <w:pStyle w:val="4"/>
        <w:rPr>
          <w:rFonts w:hAnsi="宋体"/>
          <w:bCs w:val="0"/>
          <w:sz w:val="24"/>
          <w:szCs w:val="24"/>
          <w:u w:val="single"/>
        </w:rPr>
      </w:pPr>
      <w:r>
        <w:rPr>
          <w:rFonts w:hint="eastAsia" w:hAnsi="宋体"/>
          <w:bCs w:val="0"/>
          <w:sz w:val="24"/>
          <w:szCs w:val="24"/>
          <w:u w:val="single"/>
        </w:rPr>
        <w:t>格式5：报价表</w:t>
      </w:r>
    </w:p>
    <w:p>
      <w:pPr>
        <w:jc w:val="center"/>
        <w:rPr>
          <w:b/>
          <w:bCs/>
          <w:sz w:val="44"/>
          <w:szCs w:val="44"/>
        </w:rPr>
      </w:pPr>
      <w:r>
        <w:rPr>
          <w:rFonts w:hint="eastAsia"/>
          <w:b/>
          <w:bCs/>
          <w:sz w:val="44"/>
          <w:szCs w:val="44"/>
        </w:rPr>
        <w:t>南沙(黄阁)公交枢纽综合体项目方案设计国际竞赛、PPP全过程咨询</w:t>
      </w:r>
    </w:p>
    <w:p>
      <w:pPr>
        <w:jc w:val="center"/>
      </w:pPr>
      <w:r>
        <w:rPr>
          <w:rFonts w:hint="eastAsia"/>
          <w:b/>
          <w:bCs/>
          <w:sz w:val="44"/>
          <w:szCs w:val="44"/>
        </w:rPr>
        <w:t>招标代理服务费报价表</w:t>
      </w:r>
    </w:p>
    <w:p/>
    <w:p>
      <w:pPr>
        <w:pStyle w:val="3"/>
        <w:spacing w:line="240" w:lineRule="auto"/>
        <w:ind w:firstLine="643" w:firstLineChars="200"/>
      </w:pPr>
      <w:r>
        <w:rPr>
          <w:rFonts w:hint="eastAsia"/>
        </w:rPr>
        <w:t>（一）</w:t>
      </w:r>
      <w:r>
        <w:rPr>
          <w:rFonts w:hint="eastAsia" w:ascii="宋体" w:hAnsi="宋体" w:cs="宋体"/>
        </w:rPr>
        <w:t>方案设计国际竞赛策划及组织</w:t>
      </w:r>
      <w:r>
        <w:rPr>
          <w:rFonts w:hint="eastAsia"/>
        </w:rPr>
        <w:t>服务相关费用预算</w:t>
      </w:r>
    </w:p>
    <w:tbl>
      <w:tblPr>
        <w:tblStyle w:val="30"/>
        <w:tblW w:w="0" w:type="auto"/>
        <w:jc w:val="center"/>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3855"/>
        <w:gridCol w:w="1501"/>
        <w:gridCol w:w="787"/>
        <w:gridCol w:w="825"/>
        <w:gridCol w:w="731"/>
        <w:gridCol w:w="788"/>
        <w:gridCol w:w="1387"/>
        <w:gridCol w:w="1917"/>
      </w:tblGrid>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tblHeader/>
          <w:jc w:val="center"/>
        </w:trPr>
        <w:tc>
          <w:tcPr>
            <w:tcW w:w="876" w:type="dxa"/>
            <w:vMerge w:val="restart"/>
            <w:shd w:val="clear" w:color="auto" w:fill="FFFFFF"/>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序号</w:t>
            </w:r>
          </w:p>
        </w:tc>
        <w:tc>
          <w:tcPr>
            <w:tcW w:w="3855" w:type="dxa"/>
            <w:vMerge w:val="restart"/>
            <w:shd w:val="clear" w:color="auto" w:fill="FFFFFF"/>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摘  要</w:t>
            </w:r>
          </w:p>
        </w:tc>
        <w:tc>
          <w:tcPr>
            <w:tcW w:w="6019" w:type="dxa"/>
            <w:gridSpan w:val="6"/>
            <w:shd w:val="clear" w:color="auto" w:fill="FFFFFF"/>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费用金额（元）</w:t>
            </w:r>
          </w:p>
        </w:tc>
        <w:tc>
          <w:tcPr>
            <w:tcW w:w="1917" w:type="dxa"/>
            <w:shd w:val="clear" w:color="auto" w:fill="FFFFFF"/>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备 注</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232" w:hRule="atLeast"/>
          <w:tblHeader/>
          <w:jc w:val="center"/>
        </w:trPr>
        <w:tc>
          <w:tcPr>
            <w:tcW w:w="876" w:type="dxa"/>
            <w:vMerge w:val="continue"/>
            <w:shd w:val="clear" w:color="auto" w:fill="FFFFFF"/>
            <w:noWrap w:val="0"/>
            <w:vAlign w:val="center"/>
          </w:tcPr>
          <w:p>
            <w:pPr>
              <w:widowControl/>
              <w:jc w:val="left"/>
              <w:rPr>
                <w:rFonts w:ascii="宋体" w:hAnsi="宋体" w:cs="宋体"/>
                <w:b/>
                <w:color w:val="000000"/>
                <w:kern w:val="0"/>
                <w:sz w:val="22"/>
                <w:szCs w:val="22"/>
              </w:rPr>
            </w:pPr>
          </w:p>
        </w:tc>
        <w:tc>
          <w:tcPr>
            <w:tcW w:w="3855" w:type="dxa"/>
            <w:vMerge w:val="continue"/>
            <w:shd w:val="clear" w:color="auto" w:fill="FFFFFF"/>
            <w:noWrap w:val="0"/>
            <w:vAlign w:val="center"/>
          </w:tcPr>
          <w:p>
            <w:pPr>
              <w:widowControl/>
              <w:jc w:val="left"/>
              <w:rPr>
                <w:rFonts w:ascii="宋体" w:hAnsi="宋体" w:cs="宋体"/>
                <w:b/>
                <w:color w:val="000000"/>
                <w:kern w:val="0"/>
                <w:sz w:val="22"/>
                <w:szCs w:val="22"/>
              </w:rPr>
            </w:pPr>
          </w:p>
        </w:tc>
        <w:tc>
          <w:tcPr>
            <w:tcW w:w="1501" w:type="dxa"/>
            <w:shd w:val="clear" w:color="auto" w:fill="FFFFFF"/>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单价报价</w:t>
            </w:r>
          </w:p>
        </w:tc>
        <w:tc>
          <w:tcPr>
            <w:tcW w:w="1612" w:type="dxa"/>
            <w:gridSpan w:val="2"/>
            <w:shd w:val="clear" w:color="auto" w:fill="FFFFFF"/>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数  量</w:t>
            </w:r>
          </w:p>
        </w:tc>
        <w:tc>
          <w:tcPr>
            <w:tcW w:w="1519" w:type="dxa"/>
            <w:gridSpan w:val="2"/>
            <w:shd w:val="clear" w:color="auto" w:fill="FFFFFF"/>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时间</w:t>
            </w:r>
          </w:p>
        </w:tc>
        <w:tc>
          <w:tcPr>
            <w:tcW w:w="1387" w:type="dxa"/>
            <w:shd w:val="clear" w:color="auto" w:fill="FFFFFF"/>
            <w:noWrap w:val="0"/>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小计报价</w:t>
            </w:r>
          </w:p>
        </w:tc>
        <w:tc>
          <w:tcPr>
            <w:tcW w:w="1917" w:type="dxa"/>
            <w:shd w:val="clear" w:color="auto" w:fill="FFFFFF"/>
            <w:noWrap w:val="0"/>
            <w:vAlign w:val="center"/>
          </w:tcPr>
          <w:p>
            <w:pPr>
              <w:widowControl/>
              <w:jc w:val="left"/>
              <w:rPr>
                <w:rFonts w:ascii="宋体" w:hAnsi="宋体" w:cs="宋体"/>
                <w:color w:val="000000"/>
                <w:kern w:val="0"/>
                <w:sz w:val="22"/>
                <w:szCs w:val="22"/>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876" w:type="dxa"/>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一</w:t>
            </w:r>
          </w:p>
        </w:tc>
        <w:tc>
          <w:tcPr>
            <w:tcW w:w="3855" w:type="dxa"/>
            <w:noWrap w:val="0"/>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资审阶段</w:t>
            </w:r>
          </w:p>
        </w:tc>
        <w:tc>
          <w:tcPr>
            <w:tcW w:w="1501" w:type="dxa"/>
            <w:noWrap w:val="0"/>
            <w:vAlign w:val="center"/>
          </w:tcPr>
          <w:p>
            <w:pPr>
              <w:widowControl/>
              <w:jc w:val="center"/>
              <w:rPr>
                <w:rFonts w:ascii="宋体" w:hAnsi="宋体" w:cs="宋体"/>
                <w:color w:val="000000"/>
                <w:kern w:val="0"/>
                <w:sz w:val="22"/>
                <w:szCs w:val="22"/>
              </w:rPr>
            </w:pPr>
          </w:p>
        </w:tc>
        <w:tc>
          <w:tcPr>
            <w:tcW w:w="787" w:type="dxa"/>
            <w:noWrap w:val="0"/>
            <w:vAlign w:val="center"/>
          </w:tcPr>
          <w:p>
            <w:pPr>
              <w:widowControl/>
              <w:jc w:val="center"/>
              <w:rPr>
                <w:rFonts w:ascii="宋体" w:hAnsi="宋体" w:cs="宋体"/>
                <w:color w:val="000000"/>
                <w:kern w:val="0"/>
                <w:sz w:val="22"/>
                <w:szCs w:val="22"/>
              </w:rPr>
            </w:pPr>
          </w:p>
        </w:tc>
        <w:tc>
          <w:tcPr>
            <w:tcW w:w="825" w:type="dxa"/>
            <w:noWrap w:val="0"/>
            <w:vAlign w:val="center"/>
          </w:tcPr>
          <w:p>
            <w:pPr>
              <w:widowControl/>
              <w:jc w:val="center"/>
              <w:rPr>
                <w:rFonts w:ascii="宋体" w:hAnsi="宋体" w:cs="宋体"/>
                <w:color w:val="000000"/>
                <w:kern w:val="0"/>
                <w:sz w:val="22"/>
                <w:szCs w:val="22"/>
              </w:rPr>
            </w:pPr>
          </w:p>
        </w:tc>
        <w:tc>
          <w:tcPr>
            <w:tcW w:w="731" w:type="dxa"/>
            <w:noWrap w:val="0"/>
            <w:vAlign w:val="center"/>
          </w:tcPr>
          <w:p>
            <w:pPr>
              <w:widowControl/>
              <w:jc w:val="center"/>
              <w:rPr>
                <w:rFonts w:ascii="宋体" w:hAnsi="宋体" w:cs="宋体"/>
                <w:color w:val="000000"/>
                <w:kern w:val="0"/>
                <w:sz w:val="22"/>
                <w:szCs w:val="22"/>
              </w:rPr>
            </w:pPr>
          </w:p>
        </w:tc>
        <w:tc>
          <w:tcPr>
            <w:tcW w:w="788" w:type="dxa"/>
            <w:noWrap w:val="0"/>
            <w:vAlign w:val="center"/>
          </w:tcPr>
          <w:p>
            <w:pPr>
              <w:widowControl/>
              <w:jc w:val="center"/>
              <w:rPr>
                <w:rFonts w:ascii="宋体" w:hAnsi="宋体" w:cs="宋体"/>
                <w:color w:val="000000"/>
                <w:kern w:val="0"/>
                <w:sz w:val="22"/>
                <w:szCs w:val="22"/>
              </w:rPr>
            </w:pPr>
          </w:p>
        </w:tc>
        <w:tc>
          <w:tcPr>
            <w:tcW w:w="1387" w:type="dxa"/>
            <w:noWrap w:val="0"/>
            <w:vAlign w:val="center"/>
          </w:tcPr>
          <w:p>
            <w:pPr>
              <w:widowControl/>
              <w:jc w:val="center"/>
              <w:rPr>
                <w:rFonts w:ascii="宋体" w:hAnsi="宋体" w:cs="宋体"/>
                <w:color w:val="000000"/>
                <w:kern w:val="0"/>
                <w:sz w:val="22"/>
                <w:szCs w:val="22"/>
              </w:rPr>
            </w:pPr>
          </w:p>
        </w:tc>
        <w:tc>
          <w:tcPr>
            <w:tcW w:w="1917" w:type="dxa"/>
            <w:noWrap w:val="0"/>
            <w:vAlign w:val="center"/>
          </w:tcPr>
          <w:p>
            <w:pPr>
              <w:widowControl/>
              <w:jc w:val="left"/>
              <w:rPr>
                <w:rFonts w:ascii="宋体" w:hAnsi="宋体" w:cs="宋体"/>
                <w:color w:val="000000"/>
                <w:kern w:val="0"/>
                <w:sz w:val="22"/>
                <w:szCs w:val="22"/>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6" w:type="dxa"/>
            <w:noWrap w:val="0"/>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3855" w:type="dxa"/>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专家劳务费：资审工作时间一天，专家5人</w:t>
            </w:r>
          </w:p>
        </w:tc>
        <w:tc>
          <w:tcPr>
            <w:tcW w:w="1501" w:type="dxa"/>
            <w:noWrap w:val="0"/>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600</w:t>
            </w:r>
          </w:p>
        </w:tc>
        <w:tc>
          <w:tcPr>
            <w:tcW w:w="787"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2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w:t>
            </w:r>
          </w:p>
        </w:tc>
        <w:tc>
          <w:tcPr>
            <w:tcW w:w="731" w:type="dxa"/>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auto"/>
                <w:kern w:val="0"/>
                <w:sz w:val="20"/>
                <w:szCs w:val="20"/>
              </w:rPr>
              <w:t>1</w:t>
            </w:r>
          </w:p>
        </w:tc>
        <w:tc>
          <w:tcPr>
            <w:tcW w:w="788"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天</w:t>
            </w:r>
          </w:p>
        </w:tc>
        <w:tc>
          <w:tcPr>
            <w:tcW w:w="1387" w:type="dxa"/>
            <w:noWrap w:val="0"/>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3000</w:t>
            </w:r>
          </w:p>
        </w:tc>
        <w:tc>
          <w:tcPr>
            <w:tcW w:w="1917" w:type="dxa"/>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876" w:type="dxa"/>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二</w:t>
            </w:r>
          </w:p>
        </w:tc>
        <w:tc>
          <w:tcPr>
            <w:tcW w:w="3855" w:type="dxa"/>
            <w:noWrap w:val="0"/>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方案评审阶段</w:t>
            </w:r>
          </w:p>
        </w:tc>
        <w:tc>
          <w:tcPr>
            <w:tcW w:w="1501" w:type="dxa"/>
            <w:noWrap w:val="0"/>
            <w:vAlign w:val="center"/>
          </w:tcPr>
          <w:p>
            <w:pPr>
              <w:widowControl/>
              <w:jc w:val="center"/>
              <w:rPr>
                <w:rFonts w:ascii="宋体" w:hAnsi="宋体" w:cs="宋体"/>
                <w:color w:val="000000"/>
                <w:kern w:val="0"/>
                <w:sz w:val="20"/>
                <w:szCs w:val="20"/>
              </w:rPr>
            </w:pPr>
          </w:p>
        </w:tc>
        <w:tc>
          <w:tcPr>
            <w:tcW w:w="787" w:type="dxa"/>
            <w:noWrap w:val="0"/>
            <w:vAlign w:val="center"/>
          </w:tcPr>
          <w:p>
            <w:pPr>
              <w:widowControl/>
              <w:jc w:val="center"/>
              <w:rPr>
                <w:rFonts w:ascii="宋体" w:hAnsi="宋体" w:cs="宋体"/>
                <w:color w:val="000000"/>
                <w:kern w:val="0"/>
                <w:sz w:val="20"/>
                <w:szCs w:val="20"/>
              </w:rPr>
            </w:pPr>
          </w:p>
        </w:tc>
        <w:tc>
          <w:tcPr>
            <w:tcW w:w="825" w:type="dxa"/>
            <w:noWrap w:val="0"/>
            <w:vAlign w:val="center"/>
          </w:tcPr>
          <w:p>
            <w:pPr>
              <w:widowControl/>
              <w:jc w:val="center"/>
              <w:rPr>
                <w:rFonts w:ascii="宋体" w:hAnsi="宋体" w:cs="宋体"/>
                <w:color w:val="000000"/>
                <w:kern w:val="0"/>
                <w:sz w:val="20"/>
                <w:szCs w:val="20"/>
              </w:rPr>
            </w:pPr>
          </w:p>
        </w:tc>
        <w:tc>
          <w:tcPr>
            <w:tcW w:w="731" w:type="dxa"/>
            <w:noWrap w:val="0"/>
            <w:vAlign w:val="center"/>
          </w:tcPr>
          <w:p>
            <w:pPr>
              <w:widowControl/>
              <w:jc w:val="center"/>
              <w:rPr>
                <w:rFonts w:ascii="宋体" w:hAnsi="宋体" w:cs="宋体"/>
                <w:color w:val="000000"/>
                <w:kern w:val="0"/>
                <w:sz w:val="20"/>
                <w:szCs w:val="20"/>
              </w:rPr>
            </w:pPr>
          </w:p>
        </w:tc>
        <w:tc>
          <w:tcPr>
            <w:tcW w:w="788" w:type="dxa"/>
            <w:noWrap w:val="0"/>
            <w:vAlign w:val="center"/>
          </w:tcPr>
          <w:p>
            <w:pPr>
              <w:widowControl/>
              <w:jc w:val="center"/>
              <w:rPr>
                <w:rFonts w:ascii="宋体" w:hAnsi="宋体" w:cs="宋体"/>
                <w:color w:val="000000"/>
                <w:kern w:val="0"/>
                <w:sz w:val="20"/>
                <w:szCs w:val="20"/>
              </w:rPr>
            </w:pPr>
          </w:p>
        </w:tc>
        <w:tc>
          <w:tcPr>
            <w:tcW w:w="1387" w:type="dxa"/>
            <w:noWrap w:val="0"/>
            <w:vAlign w:val="center"/>
          </w:tcPr>
          <w:p>
            <w:pPr>
              <w:widowControl/>
              <w:jc w:val="center"/>
              <w:rPr>
                <w:rFonts w:ascii="宋体" w:hAnsi="宋体" w:cs="宋体"/>
                <w:color w:val="000000"/>
                <w:kern w:val="0"/>
                <w:sz w:val="20"/>
                <w:szCs w:val="20"/>
              </w:rPr>
            </w:pPr>
          </w:p>
        </w:tc>
        <w:tc>
          <w:tcPr>
            <w:tcW w:w="1917" w:type="dxa"/>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876"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855" w:type="dxa"/>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住宿标准：广东迎宾馆等同档次的高级客房</w:t>
            </w:r>
          </w:p>
        </w:tc>
        <w:tc>
          <w:tcPr>
            <w:tcW w:w="1501"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w:t>
            </w:r>
            <w:r>
              <w:rPr>
                <w:rFonts w:ascii="宋体" w:hAnsi="宋体" w:cs="宋体"/>
                <w:kern w:val="0"/>
                <w:sz w:val="20"/>
                <w:szCs w:val="20"/>
              </w:rPr>
              <w:t>00</w:t>
            </w:r>
          </w:p>
        </w:tc>
        <w:tc>
          <w:tcPr>
            <w:tcW w:w="787"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825"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人</w:t>
            </w:r>
          </w:p>
        </w:tc>
        <w:tc>
          <w:tcPr>
            <w:tcW w:w="731"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788"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夜</w:t>
            </w:r>
          </w:p>
        </w:tc>
        <w:tc>
          <w:tcPr>
            <w:tcW w:w="1387"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w:t>
            </w:r>
            <w:r>
              <w:rPr>
                <w:rFonts w:ascii="宋体" w:hAnsi="宋体" w:cs="宋体"/>
                <w:kern w:val="0"/>
                <w:sz w:val="20"/>
                <w:szCs w:val="20"/>
              </w:rPr>
              <w:t>000</w:t>
            </w:r>
          </w:p>
        </w:tc>
        <w:tc>
          <w:tcPr>
            <w:tcW w:w="19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876"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855" w:type="dxa"/>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餐费标准：早50/人、午150/人、晚300/人</w:t>
            </w:r>
          </w:p>
        </w:tc>
        <w:tc>
          <w:tcPr>
            <w:tcW w:w="1501"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00</w:t>
            </w:r>
          </w:p>
        </w:tc>
        <w:tc>
          <w:tcPr>
            <w:tcW w:w="787"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825"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人</w:t>
            </w:r>
          </w:p>
        </w:tc>
        <w:tc>
          <w:tcPr>
            <w:tcW w:w="731"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788"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天</w:t>
            </w:r>
          </w:p>
        </w:tc>
        <w:tc>
          <w:tcPr>
            <w:tcW w:w="1387"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000</w:t>
            </w:r>
          </w:p>
        </w:tc>
        <w:tc>
          <w:tcPr>
            <w:tcW w:w="19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876"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855" w:type="dxa"/>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交通要求：广东迎宾馆等同档次酒店-目的地，车22座，含专家踏勘现场</w:t>
            </w:r>
          </w:p>
        </w:tc>
        <w:tc>
          <w:tcPr>
            <w:tcW w:w="1501"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000</w:t>
            </w:r>
          </w:p>
        </w:tc>
        <w:tc>
          <w:tcPr>
            <w:tcW w:w="787"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辆</w:t>
            </w:r>
          </w:p>
        </w:tc>
        <w:tc>
          <w:tcPr>
            <w:tcW w:w="731"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88"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天</w:t>
            </w:r>
          </w:p>
        </w:tc>
        <w:tc>
          <w:tcPr>
            <w:tcW w:w="1387"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r>
              <w:rPr>
                <w:rFonts w:ascii="宋体" w:hAnsi="宋体" w:cs="宋体"/>
                <w:kern w:val="0"/>
                <w:sz w:val="20"/>
                <w:szCs w:val="20"/>
              </w:rPr>
              <w:t>000</w:t>
            </w:r>
          </w:p>
        </w:tc>
        <w:tc>
          <w:tcPr>
            <w:tcW w:w="19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是否需要组织评委勘察现场，待定。按实计结。</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876"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855" w:type="dxa"/>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外地专家交通费</w:t>
            </w:r>
          </w:p>
        </w:tc>
        <w:tc>
          <w:tcPr>
            <w:tcW w:w="1501" w:type="dxa"/>
            <w:noWrap w:val="0"/>
            <w:vAlign w:val="center"/>
          </w:tcPr>
          <w:p>
            <w:pPr>
              <w:widowControl/>
              <w:jc w:val="center"/>
              <w:rPr>
                <w:rFonts w:ascii="宋体" w:hAnsi="宋体" w:cs="宋体"/>
                <w:kern w:val="0"/>
                <w:sz w:val="20"/>
                <w:szCs w:val="20"/>
              </w:rPr>
            </w:pPr>
            <w:r>
              <w:rPr>
                <w:rFonts w:ascii="宋体" w:hAnsi="宋体" w:cs="宋体"/>
                <w:color w:val="auto"/>
                <w:kern w:val="0"/>
                <w:sz w:val="20"/>
                <w:szCs w:val="20"/>
              </w:rPr>
              <w:t>1500</w:t>
            </w:r>
          </w:p>
        </w:tc>
        <w:tc>
          <w:tcPr>
            <w:tcW w:w="787"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825"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人</w:t>
            </w:r>
          </w:p>
        </w:tc>
        <w:tc>
          <w:tcPr>
            <w:tcW w:w="731"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788"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程</w:t>
            </w:r>
          </w:p>
        </w:tc>
        <w:tc>
          <w:tcPr>
            <w:tcW w:w="1387" w:type="dxa"/>
            <w:noWrap w:val="0"/>
            <w:vAlign w:val="center"/>
          </w:tcPr>
          <w:p>
            <w:pPr>
              <w:widowControl/>
              <w:jc w:val="center"/>
              <w:rPr>
                <w:rFonts w:ascii="宋体" w:hAnsi="宋体" w:cs="宋体"/>
                <w:kern w:val="0"/>
                <w:sz w:val="20"/>
                <w:szCs w:val="20"/>
              </w:rPr>
            </w:pPr>
            <w:r>
              <w:rPr>
                <w:rFonts w:ascii="宋体" w:hAnsi="宋体" w:cs="宋体"/>
                <w:kern w:val="0"/>
                <w:sz w:val="20"/>
                <w:szCs w:val="20"/>
              </w:rPr>
              <w:t>1</w:t>
            </w:r>
            <w:r>
              <w:rPr>
                <w:rFonts w:hint="eastAsia" w:ascii="宋体" w:hAnsi="宋体" w:cs="宋体"/>
                <w:kern w:val="0"/>
                <w:sz w:val="20"/>
                <w:szCs w:val="20"/>
              </w:rPr>
              <w:t>5</w:t>
            </w:r>
            <w:r>
              <w:rPr>
                <w:rFonts w:ascii="宋体" w:hAnsi="宋体" w:cs="宋体"/>
                <w:kern w:val="0"/>
                <w:sz w:val="20"/>
                <w:szCs w:val="20"/>
              </w:rPr>
              <w:t>000</w:t>
            </w:r>
          </w:p>
        </w:tc>
        <w:tc>
          <w:tcPr>
            <w:tcW w:w="19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暂按5个专家都是外省专家考虑。本省专家单价按500元计算。</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876"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855" w:type="dxa"/>
            <w:noWrap w:val="0"/>
            <w:vAlign w:val="center"/>
          </w:tcPr>
          <w:p>
            <w:pPr>
              <w:widowControl/>
              <w:jc w:val="left"/>
              <w:rPr>
                <w:rFonts w:ascii="宋体" w:hAnsi="宋体" w:cs="宋体"/>
                <w:kern w:val="0"/>
                <w:sz w:val="22"/>
                <w:szCs w:val="22"/>
              </w:rPr>
            </w:pPr>
            <w:r>
              <w:rPr>
                <w:rFonts w:hint="eastAsia" w:ascii="宋体" w:hAnsi="宋体" w:cs="宋体"/>
                <w:kern w:val="0"/>
                <w:sz w:val="22"/>
                <w:szCs w:val="22"/>
              </w:rPr>
              <w:t>专家劳务费：评审工作时间2天，专家5人</w:t>
            </w:r>
          </w:p>
        </w:tc>
        <w:tc>
          <w:tcPr>
            <w:tcW w:w="1501"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000</w:t>
            </w:r>
          </w:p>
        </w:tc>
        <w:tc>
          <w:tcPr>
            <w:tcW w:w="787"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825"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人</w:t>
            </w:r>
          </w:p>
        </w:tc>
        <w:tc>
          <w:tcPr>
            <w:tcW w:w="731"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788"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天</w:t>
            </w:r>
          </w:p>
        </w:tc>
        <w:tc>
          <w:tcPr>
            <w:tcW w:w="1387"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0000</w:t>
            </w:r>
          </w:p>
        </w:tc>
        <w:tc>
          <w:tcPr>
            <w:tcW w:w="19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6"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855" w:type="dxa"/>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场地使用费（暂定）</w:t>
            </w:r>
          </w:p>
        </w:tc>
        <w:tc>
          <w:tcPr>
            <w:tcW w:w="1501"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r>
              <w:rPr>
                <w:rFonts w:ascii="宋体" w:hAnsi="宋体" w:cs="宋体"/>
                <w:kern w:val="0"/>
                <w:sz w:val="20"/>
                <w:szCs w:val="20"/>
              </w:rPr>
              <w:t>000</w:t>
            </w:r>
          </w:p>
        </w:tc>
        <w:tc>
          <w:tcPr>
            <w:tcW w:w="787"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25"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节</w:t>
            </w:r>
          </w:p>
        </w:tc>
        <w:tc>
          <w:tcPr>
            <w:tcW w:w="731"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88"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节</w:t>
            </w:r>
          </w:p>
        </w:tc>
        <w:tc>
          <w:tcPr>
            <w:tcW w:w="1387"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0000</w:t>
            </w:r>
          </w:p>
        </w:tc>
        <w:tc>
          <w:tcPr>
            <w:tcW w:w="1917" w:type="dxa"/>
            <w:noWrap w:val="0"/>
            <w:vAlign w:val="center"/>
          </w:tcPr>
          <w:p>
            <w:pPr>
              <w:widowControl/>
              <w:jc w:val="left"/>
              <w:rPr>
                <w:rFonts w:ascii="宋体" w:hAnsi="宋体" w:cs="宋体"/>
                <w:kern w:val="0"/>
                <w:sz w:val="18"/>
                <w:szCs w:val="18"/>
              </w:rPr>
            </w:pPr>
            <w:r>
              <w:rPr>
                <w:rFonts w:hint="eastAsia" w:ascii="宋体" w:hAnsi="宋体" w:cs="宋体"/>
                <w:kern w:val="0"/>
                <w:sz w:val="18"/>
                <w:szCs w:val="18"/>
              </w:rPr>
              <w:t>该项工作所有内容由代理方组织安排的，据实计结。</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76" w:type="dxa"/>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855" w:type="dxa"/>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现场工作人员餐费</w:t>
            </w:r>
          </w:p>
        </w:tc>
        <w:tc>
          <w:tcPr>
            <w:tcW w:w="1501"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200</w:t>
            </w:r>
          </w:p>
        </w:tc>
        <w:tc>
          <w:tcPr>
            <w:tcW w:w="787"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桌</w:t>
            </w:r>
          </w:p>
        </w:tc>
        <w:tc>
          <w:tcPr>
            <w:tcW w:w="731"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88"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餐</w:t>
            </w:r>
          </w:p>
        </w:tc>
        <w:tc>
          <w:tcPr>
            <w:tcW w:w="1387"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200</w:t>
            </w:r>
          </w:p>
        </w:tc>
        <w:tc>
          <w:tcPr>
            <w:tcW w:w="1917" w:type="dxa"/>
            <w:noWrap w:val="0"/>
            <w:vAlign w:val="center"/>
          </w:tcPr>
          <w:p>
            <w:pPr>
              <w:widowControl/>
              <w:jc w:val="left"/>
              <w:rPr>
                <w:rFonts w:ascii="宋体" w:hAnsi="宋体" w:cs="宋体"/>
                <w:kern w:val="0"/>
                <w:sz w:val="18"/>
                <w:szCs w:val="18"/>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876"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w:t>
            </w:r>
          </w:p>
        </w:tc>
        <w:tc>
          <w:tcPr>
            <w:tcW w:w="3855" w:type="dxa"/>
            <w:noWrap w:val="0"/>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会场布置费及相关费用</w:t>
            </w:r>
          </w:p>
        </w:tc>
        <w:tc>
          <w:tcPr>
            <w:tcW w:w="1501"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w:t>
            </w:r>
            <w:r>
              <w:rPr>
                <w:rFonts w:ascii="宋体" w:hAnsi="宋体" w:cs="宋体"/>
                <w:kern w:val="0"/>
                <w:sz w:val="20"/>
                <w:szCs w:val="20"/>
              </w:rPr>
              <w:t>000</w:t>
            </w:r>
          </w:p>
        </w:tc>
        <w:tc>
          <w:tcPr>
            <w:tcW w:w="787"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天</w:t>
            </w:r>
          </w:p>
        </w:tc>
        <w:tc>
          <w:tcPr>
            <w:tcW w:w="731"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88"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天</w:t>
            </w:r>
          </w:p>
        </w:tc>
        <w:tc>
          <w:tcPr>
            <w:tcW w:w="1387"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w:t>
            </w:r>
            <w:r>
              <w:rPr>
                <w:rFonts w:ascii="宋体" w:hAnsi="宋体" w:cs="宋体"/>
                <w:kern w:val="0"/>
                <w:sz w:val="20"/>
                <w:szCs w:val="20"/>
              </w:rPr>
              <w:t>000</w:t>
            </w:r>
          </w:p>
        </w:tc>
        <w:tc>
          <w:tcPr>
            <w:tcW w:w="1917" w:type="dxa"/>
            <w:noWrap w:val="0"/>
            <w:vAlign w:val="center"/>
          </w:tcPr>
          <w:p>
            <w:pPr>
              <w:widowControl/>
              <w:jc w:val="left"/>
              <w:rPr>
                <w:rFonts w:ascii="宋体" w:hAnsi="宋体" w:cs="宋体"/>
                <w:kern w:val="0"/>
                <w:sz w:val="18"/>
                <w:szCs w:val="18"/>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876" w:type="dxa"/>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w:t>
            </w:r>
          </w:p>
        </w:tc>
        <w:tc>
          <w:tcPr>
            <w:tcW w:w="3855" w:type="dxa"/>
            <w:noWrap w:val="0"/>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翻译费用</w:t>
            </w:r>
          </w:p>
        </w:tc>
        <w:tc>
          <w:tcPr>
            <w:tcW w:w="1501"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000</w:t>
            </w:r>
          </w:p>
        </w:tc>
        <w:tc>
          <w:tcPr>
            <w:tcW w:w="787"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825"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天</w:t>
            </w:r>
          </w:p>
        </w:tc>
        <w:tc>
          <w:tcPr>
            <w:tcW w:w="731"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788"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天</w:t>
            </w:r>
          </w:p>
        </w:tc>
        <w:tc>
          <w:tcPr>
            <w:tcW w:w="1387" w:type="dxa"/>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w:t>
            </w:r>
            <w:r>
              <w:rPr>
                <w:rFonts w:ascii="宋体" w:hAnsi="宋体" w:cs="宋体"/>
                <w:kern w:val="0"/>
                <w:sz w:val="20"/>
                <w:szCs w:val="20"/>
              </w:rPr>
              <w:t>000</w:t>
            </w:r>
          </w:p>
        </w:tc>
        <w:tc>
          <w:tcPr>
            <w:tcW w:w="1917" w:type="dxa"/>
            <w:noWrap w:val="0"/>
            <w:vAlign w:val="center"/>
          </w:tcPr>
          <w:p>
            <w:pPr>
              <w:widowControl/>
              <w:jc w:val="left"/>
              <w:rPr>
                <w:rFonts w:ascii="宋体" w:hAnsi="宋体" w:cs="宋体"/>
                <w:kern w:val="0"/>
                <w:sz w:val="18"/>
                <w:szCs w:val="18"/>
              </w:rPr>
            </w:pP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876" w:type="dxa"/>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七</w:t>
            </w:r>
          </w:p>
        </w:tc>
        <w:tc>
          <w:tcPr>
            <w:tcW w:w="3855" w:type="dxa"/>
            <w:noWrap w:val="0"/>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成果文件的汇编、印刷、装订</w:t>
            </w:r>
          </w:p>
        </w:tc>
        <w:tc>
          <w:tcPr>
            <w:tcW w:w="1501" w:type="dxa"/>
            <w:noWrap w:val="0"/>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1000</w:t>
            </w:r>
          </w:p>
        </w:tc>
        <w:tc>
          <w:tcPr>
            <w:tcW w:w="787"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25"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份</w:t>
            </w:r>
          </w:p>
        </w:tc>
        <w:tc>
          <w:tcPr>
            <w:tcW w:w="73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788" w:type="dxa"/>
            <w:noWrap w:val="0"/>
            <w:vAlign w:val="center"/>
          </w:tcPr>
          <w:p>
            <w:pPr>
              <w:widowControl/>
              <w:jc w:val="center"/>
              <w:rPr>
                <w:rFonts w:ascii="宋体" w:hAnsi="宋体" w:cs="宋体"/>
                <w:color w:val="000000"/>
                <w:kern w:val="0"/>
                <w:sz w:val="20"/>
                <w:szCs w:val="20"/>
              </w:rPr>
            </w:pPr>
          </w:p>
        </w:tc>
        <w:tc>
          <w:tcPr>
            <w:tcW w:w="1387" w:type="dxa"/>
            <w:noWrap w:val="0"/>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3000</w:t>
            </w:r>
          </w:p>
        </w:tc>
        <w:tc>
          <w:tcPr>
            <w:tcW w:w="1917" w:type="dxa"/>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876"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八</w:t>
            </w:r>
          </w:p>
        </w:tc>
        <w:tc>
          <w:tcPr>
            <w:tcW w:w="3855" w:type="dxa"/>
            <w:noWrap w:val="0"/>
            <w:vAlign w:val="center"/>
          </w:tcPr>
          <w:p>
            <w:pPr>
              <w:widowControl/>
              <w:jc w:val="left"/>
              <w:rPr>
                <w:rFonts w:hint="eastAsia" w:ascii="宋体" w:hAnsi="宋体" w:cs="宋体"/>
                <w:b/>
                <w:bCs/>
                <w:color w:val="000000"/>
                <w:kern w:val="0"/>
                <w:sz w:val="22"/>
                <w:szCs w:val="22"/>
              </w:rPr>
            </w:pPr>
            <w:r>
              <w:rPr>
                <w:rFonts w:hint="eastAsia" w:ascii="宋体" w:hAnsi="宋体" w:cs="宋体"/>
                <w:b/>
                <w:bCs/>
                <w:color w:val="000000"/>
                <w:kern w:val="0"/>
                <w:sz w:val="22"/>
                <w:szCs w:val="22"/>
              </w:rPr>
              <w:t>其他</w:t>
            </w:r>
          </w:p>
        </w:tc>
        <w:tc>
          <w:tcPr>
            <w:tcW w:w="1501"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10000</w:t>
            </w:r>
          </w:p>
        </w:tc>
        <w:tc>
          <w:tcPr>
            <w:tcW w:w="787" w:type="dxa"/>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825" w:type="dxa"/>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项目</w:t>
            </w:r>
          </w:p>
        </w:tc>
        <w:tc>
          <w:tcPr>
            <w:tcW w:w="731" w:type="dxa"/>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788" w:type="dxa"/>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387" w:type="dxa"/>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10000</w:t>
            </w:r>
          </w:p>
        </w:tc>
        <w:tc>
          <w:tcPr>
            <w:tcW w:w="1917" w:type="dxa"/>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预备费，据实计结。</w:t>
            </w:r>
          </w:p>
        </w:tc>
      </w:tr>
      <w:tr>
        <w:tblPrEx>
          <w:tblBorders>
            <w:top w:val="thinThickSmallGap" w:color="000000" w:sz="12" w:space="0"/>
            <w:left w:val="thinThickSmallGap" w:color="000000" w:sz="12" w:space="0"/>
            <w:bottom w:val="thinThickSmallGap" w:color="000000" w:sz="12" w:space="0"/>
            <w:right w:val="thinThickSmallGap" w:color="000000" w:sz="12"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876"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九</w:t>
            </w:r>
          </w:p>
        </w:tc>
        <w:tc>
          <w:tcPr>
            <w:tcW w:w="3855" w:type="dxa"/>
            <w:noWrap w:val="0"/>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501" w:type="dxa"/>
            <w:noWrap w:val="0"/>
            <w:vAlign w:val="center"/>
          </w:tcPr>
          <w:p>
            <w:pPr>
              <w:widowControl/>
              <w:jc w:val="center"/>
              <w:rPr>
                <w:rFonts w:ascii="宋体" w:hAnsi="宋体" w:cs="宋体"/>
                <w:b/>
                <w:bCs/>
                <w:color w:val="000000"/>
                <w:kern w:val="0"/>
                <w:sz w:val="20"/>
                <w:szCs w:val="20"/>
              </w:rPr>
            </w:pPr>
          </w:p>
        </w:tc>
        <w:tc>
          <w:tcPr>
            <w:tcW w:w="787" w:type="dxa"/>
            <w:noWrap w:val="0"/>
            <w:vAlign w:val="center"/>
          </w:tcPr>
          <w:p>
            <w:pPr>
              <w:widowControl/>
              <w:jc w:val="center"/>
              <w:rPr>
                <w:rFonts w:ascii="宋体" w:hAnsi="宋体" w:cs="宋体"/>
                <w:b/>
                <w:bCs/>
                <w:color w:val="000000"/>
                <w:kern w:val="0"/>
                <w:sz w:val="20"/>
                <w:szCs w:val="20"/>
              </w:rPr>
            </w:pPr>
          </w:p>
        </w:tc>
        <w:tc>
          <w:tcPr>
            <w:tcW w:w="825" w:type="dxa"/>
            <w:noWrap w:val="0"/>
            <w:vAlign w:val="center"/>
          </w:tcPr>
          <w:p>
            <w:pPr>
              <w:widowControl/>
              <w:jc w:val="center"/>
              <w:rPr>
                <w:rFonts w:ascii="宋体" w:hAnsi="宋体" w:cs="宋体"/>
                <w:b/>
                <w:bCs/>
                <w:color w:val="000000"/>
                <w:kern w:val="0"/>
                <w:sz w:val="20"/>
                <w:szCs w:val="20"/>
              </w:rPr>
            </w:pPr>
          </w:p>
        </w:tc>
        <w:tc>
          <w:tcPr>
            <w:tcW w:w="731" w:type="dxa"/>
            <w:noWrap w:val="0"/>
            <w:vAlign w:val="center"/>
          </w:tcPr>
          <w:p>
            <w:pPr>
              <w:widowControl/>
              <w:jc w:val="center"/>
              <w:rPr>
                <w:rFonts w:ascii="宋体" w:hAnsi="宋体" w:cs="宋体"/>
                <w:b/>
                <w:bCs/>
                <w:color w:val="000000"/>
                <w:kern w:val="0"/>
                <w:sz w:val="20"/>
                <w:szCs w:val="20"/>
              </w:rPr>
            </w:pPr>
          </w:p>
        </w:tc>
        <w:tc>
          <w:tcPr>
            <w:tcW w:w="788" w:type="dxa"/>
            <w:noWrap w:val="0"/>
            <w:vAlign w:val="center"/>
          </w:tcPr>
          <w:p>
            <w:pPr>
              <w:widowControl/>
              <w:jc w:val="center"/>
              <w:rPr>
                <w:rFonts w:ascii="宋体" w:hAnsi="宋体" w:cs="宋体"/>
                <w:b/>
                <w:bCs/>
                <w:color w:val="000000"/>
                <w:kern w:val="0"/>
                <w:sz w:val="20"/>
                <w:szCs w:val="20"/>
              </w:rPr>
            </w:pPr>
          </w:p>
        </w:tc>
        <w:tc>
          <w:tcPr>
            <w:tcW w:w="1387" w:type="dxa"/>
            <w:noWrap w:val="0"/>
            <w:vAlign w:val="center"/>
          </w:tcPr>
          <w:p>
            <w:pPr>
              <w:widowControl/>
              <w:jc w:val="center"/>
              <w:textAlignment w:val="center"/>
              <w:rPr>
                <w:rFonts w:ascii="宋体" w:hAnsi="宋体" w:cs="宋体"/>
                <w:b/>
                <w:bCs/>
                <w:color w:val="000000"/>
                <w:sz w:val="22"/>
                <w:szCs w:val="22"/>
              </w:rPr>
            </w:pPr>
            <w:r>
              <w:rPr>
                <w:rFonts w:ascii="宋体" w:hAnsi="宋体" w:cs="宋体"/>
                <w:b/>
                <w:bCs/>
                <w:color w:val="000000"/>
                <w:sz w:val="22"/>
                <w:szCs w:val="22"/>
                <w:highlight w:val="none"/>
              </w:rPr>
              <w:t>137200</w:t>
            </w:r>
          </w:p>
        </w:tc>
        <w:tc>
          <w:tcPr>
            <w:tcW w:w="1917" w:type="dxa"/>
            <w:noWrap w:val="0"/>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r>
              <w:rPr>
                <w:rFonts w:hint="eastAsia" w:ascii="宋体" w:hAnsi="宋体" w:cs="宋体"/>
                <w:kern w:val="0"/>
                <w:sz w:val="18"/>
                <w:szCs w:val="18"/>
              </w:rPr>
              <w:t>（含税）</w:t>
            </w:r>
          </w:p>
        </w:tc>
      </w:tr>
    </w:tbl>
    <w:p>
      <w:pPr>
        <w:pStyle w:val="3"/>
      </w:pPr>
      <w:r>
        <w:rPr>
          <w:rFonts w:hint="eastAsia"/>
        </w:rPr>
        <w:t>（二）方案设计国际竞赛招标代理</w:t>
      </w:r>
      <w:r>
        <w:rPr>
          <w:rFonts w:hint="eastAsia" w:eastAsia="宋体"/>
        </w:rPr>
        <w:t>费</w:t>
      </w:r>
    </w:p>
    <w:p>
      <w:pPr>
        <w:spacing w:line="360" w:lineRule="auto"/>
        <w:ind w:firstLine="840" w:firstLineChars="300"/>
        <w:rPr>
          <w:sz w:val="28"/>
          <w:szCs w:val="36"/>
          <w:u w:val="single"/>
        </w:rPr>
      </w:pPr>
      <w:r>
        <w:rPr>
          <w:rFonts w:hint="eastAsia"/>
          <w:sz w:val="28"/>
          <w:szCs w:val="36"/>
        </w:rPr>
        <w:t>本项目方案设计国际竞赛</w:t>
      </w:r>
      <w:r>
        <w:rPr>
          <w:sz w:val="28"/>
          <w:szCs w:val="36"/>
        </w:rPr>
        <w:t>招标代理服务费</w:t>
      </w:r>
      <w:r>
        <w:rPr>
          <w:rFonts w:hint="eastAsia"/>
          <w:sz w:val="28"/>
          <w:szCs w:val="36"/>
        </w:rPr>
        <w:t>根据相关规定，按暂估价</w:t>
      </w:r>
      <w:r>
        <w:rPr>
          <w:rFonts w:hint="default" w:eastAsia="宋体" w:cs="Times New Roman"/>
          <w:sz w:val="28"/>
          <w:szCs w:val="36"/>
        </w:rPr>
        <w:t>1040万元</w:t>
      </w:r>
      <w:r>
        <w:rPr>
          <w:rFonts w:hint="eastAsia"/>
          <w:sz w:val="28"/>
          <w:szCs w:val="36"/>
        </w:rPr>
        <w:t>为计费基数，根据计价格【2020】1980号文和发改价格[2011]534号文，下浮</w:t>
      </w:r>
      <w:r>
        <w:rPr>
          <w:rFonts w:hint="eastAsia"/>
          <w:sz w:val="28"/>
          <w:szCs w:val="36"/>
          <w:u w:val="single"/>
        </w:rPr>
        <w:t xml:space="preserve">        </w:t>
      </w:r>
      <w:r>
        <w:rPr>
          <w:rFonts w:hint="eastAsia"/>
          <w:sz w:val="28"/>
          <w:szCs w:val="36"/>
        </w:rPr>
        <w:t>后计算招标代理费，报价为</w:t>
      </w:r>
      <w:r>
        <w:rPr>
          <w:rFonts w:hint="eastAsia"/>
          <w:sz w:val="28"/>
          <w:szCs w:val="36"/>
          <w:u w:val="single"/>
        </w:rPr>
        <w:t xml:space="preserve">           </w:t>
      </w:r>
      <w:r>
        <w:rPr>
          <w:rFonts w:hint="eastAsia"/>
          <w:sz w:val="28"/>
          <w:szCs w:val="36"/>
        </w:rPr>
        <w:t>元。</w:t>
      </w:r>
    </w:p>
    <w:p>
      <w:pPr>
        <w:pStyle w:val="3"/>
      </w:pPr>
      <w:r>
        <w:rPr>
          <w:rFonts w:hint="eastAsia"/>
        </w:rPr>
        <w:t>（三）PPP全过程咨询招标代理费</w:t>
      </w:r>
    </w:p>
    <w:p>
      <w:pPr>
        <w:spacing w:line="360" w:lineRule="auto"/>
        <w:ind w:firstLine="560" w:firstLineChars="200"/>
        <w:rPr>
          <w:b/>
          <w:bCs/>
          <w:sz w:val="30"/>
          <w:szCs w:val="30"/>
        </w:rPr>
      </w:pPr>
      <w:r>
        <w:rPr>
          <w:rFonts w:hint="eastAsia"/>
          <w:sz w:val="28"/>
          <w:szCs w:val="28"/>
        </w:rPr>
        <w:t>本项目PPP全过程咨询招标代理服务</w:t>
      </w:r>
      <w:r>
        <w:rPr>
          <w:sz w:val="28"/>
          <w:szCs w:val="28"/>
        </w:rPr>
        <w:t>费</w:t>
      </w:r>
      <w:r>
        <w:rPr>
          <w:rFonts w:hint="eastAsia"/>
          <w:sz w:val="28"/>
          <w:szCs w:val="28"/>
        </w:rPr>
        <w:t>根据相关规定，按暂估价360万元为</w:t>
      </w:r>
      <w:r>
        <w:rPr>
          <w:rFonts w:hint="eastAsia"/>
          <w:sz w:val="28"/>
          <w:szCs w:val="36"/>
        </w:rPr>
        <w:t>计费</w:t>
      </w:r>
      <w:r>
        <w:rPr>
          <w:rFonts w:hint="eastAsia"/>
          <w:sz w:val="28"/>
          <w:szCs w:val="28"/>
        </w:rPr>
        <w:t>基数，根据计价格【2020】1980号文和发改价格[2011]534号文</w:t>
      </w:r>
      <w:r>
        <w:rPr>
          <w:rFonts w:hint="eastAsia"/>
          <w:sz w:val="28"/>
          <w:szCs w:val="36"/>
        </w:rPr>
        <w:t>，下浮</w:t>
      </w:r>
      <w:r>
        <w:rPr>
          <w:rFonts w:hint="eastAsia"/>
          <w:sz w:val="28"/>
          <w:szCs w:val="36"/>
          <w:u w:val="single"/>
        </w:rPr>
        <w:t xml:space="preserve">        </w:t>
      </w:r>
      <w:r>
        <w:rPr>
          <w:rFonts w:hint="eastAsia"/>
          <w:sz w:val="28"/>
          <w:szCs w:val="36"/>
        </w:rPr>
        <w:t>后计算招标代理费，报价为</w:t>
      </w:r>
      <w:r>
        <w:rPr>
          <w:rFonts w:hint="eastAsia"/>
          <w:sz w:val="28"/>
          <w:szCs w:val="36"/>
          <w:u w:val="single"/>
        </w:rPr>
        <w:t xml:space="preserve">           </w:t>
      </w:r>
      <w:r>
        <w:rPr>
          <w:rFonts w:hint="eastAsia"/>
          <w:sz w:val="28"/>
          <w:szCs w:val="36"/>
        </w:rPr>
        <w:t>元。</w:t>
      </w:r>
    </w:p>
    <w:p>
      <w:pPr>
        <w:rPr>
          <w:b/>
          <w:bCs/>
          <w:sz w:val="30"/>
          <w:szCs w:val="30"/>
        </w:rPr>
      </w:pPr>
    </w:p>
    <w:p>
      <w:pPr>
        <w:rPr>
          <w:b/>
          <w:bCs/>
          <w:sz w:val="30"/>
          <w:szCs w:val="30"/>
        </w:rPr>
      </w:pPr>
    </w:p>
    <w:p>
      <w:pPr>
        <w:rPr>
          <w:b/>
          <w:bCs/>
          <w:sz w:val="30"/>
          <w:szCs w:val="30"/>
        </w:rPr>
      </w:pPr>
      <w:r>
        <w:rPr>
          <w:rFonts w:hint="eastAsia"/>
          <w:b/>
          <w:bCs/>
          <w:sz w:val="30"/>
          <w:szCs w:val="30"/>
        </w:rPr>
        <w:br w:type="page"/>
      </w:r>
    </w:p>
    <w:p>
      <w:pPr>
        <w:rPr>
          <w:b/>
          <w:bCs/>
          <w:sz w:val="30"/>
          <w:szCs w:val="30"/>
        </w:rPr>
      </w:pPr>
      <w:r>
        <w:rPr>
          <w:rFonts w:hint="eastAsia"/>
          <w:b/>
          <w:bCs/>
          <w:sz w:val="30"/>
          <w:szCs w:val="30"/>
        </w:rPr>
        <w:t>（五）招标代理费汇总报价表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0"/>
        <w:gridCol w:w="232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970" w:type="dxa"/>
            <w:noWrap w:val="0"/>
            <w:vAlign w:val="center"/>
          </w:tcPr>
          <w:p>
            <w:pPr>
              <w:jc w:val="center"/>
              <w:rPr>
                <w:rFonts w:ascii="宋体" w:hAnsi="宋体" w:cs="宋体"/>
                <w:bCs/>
                <w:sz w:val="32"/>
                <w:szCs w:val="32"/>
              </w:rPr>
            </w:pPr>
            <w:r>
              <w:rPr>
                <w:rFonts w:hint="eastAsia" w:ascii="宋体" w:hAnsi="宋体" w:cs="宋体"/>
                <w:bCs/>
                <w:sz w:val="32"/>
                <w:szCs w:val="32"/>
              </w:rPr>
              <w:t>招标代理服务内容</w:t>
            </w:r>
          </w:p>
        </w:tc>
        <w:tc>
          <w:tcPr>
            <w:tcW w:w="2322" w:type="dxa"/>
            <w:noWrap w:val="0"/>
            <w:vAlign w:val="center"/>
          </w:tcPr>
          <w:p>
            <w:pPr>
              <w:jc w:val="center"/>
              <w:rPr>
                <w:rFonts w:ascii="宋体" w:hAnsi="宋体" w:cs="宋体"/>
                <w:bCs/>
                <w:sz w:val="32"/>
                <w:szCs w:val="32"/>
              </w:rPr>
            </w:pPr>
            <w:r>
              <w:rPr>
                <w:rFonts w:hint="eastAsia" w:ascii="宋体" w:hAnsi="宋体" w:cs="宋体"/>
                <w:bCs/>
                <w:sz w:val="32"/>
                <w:szCs w:val="32"/>
              </w:rPr>
              <w:t>招标代理费</w:t>
            </w:r>
          </w:p>
          <w:p>
            <w:pPr>
              <w:jc w:val="center"/>
              <w:rPr>
                <w:rFonts w:ascii="宋体" w:hAnsi="宋体" w:cs="宋体"/>
                <w:bCs/>
                <w:sz w:val="32"/>
                <w:szCs w:val="32"/>
              </w:rPr>
            </w:pPr>
            <w:r>
              <w:rPr>
                <w:rFonts w:hint="eastAsia" w:ascii="宋体" w:hAnsi="宋体" w:cs="宋体"/>
                <w:bCs/>
                <w:sz w:val="32"/>
                <w:szCs w:val="32"/>
              </w:rPr>
              <w:t>（万元）</w:t>
            </w:r>
          </w:p>
        </w:tc>
        <w:tc>
          <w:tcPr>
            <w:tcW w:w="2781" w:type="dxa"/>
            <w:noWrap w:val="0"/>
            <w:vAlign w:val="center"/>
          </w:tcPr>
          <w:p>
            <w:pPr>
              <w:spacing w:line="360" w:lineRule="auto"/>
              <w:jc w:val="center"/>
              <w:rPr>
                <w:rFonts w:ascii="宋体" w:hAnsi="宋体" w:cs="宋体"/>
                <w:bCs/>
                <w:sz w:val="32"/>
                <w:szCs w:val="32"/>
              </w:rPr>
            </w:pPr>
            <w:r>
              <w:rPr>
                <w:rFonts w:hint="eastAsia" w:ascii="宋体" w:hAnsi="宋体" w:cs="宋体"/>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970" w:type="dxa"/>
            <w:noWrap w:val="0"/>
            <w:vAlign w:val="center"/>
          </w:tcPr>
          <w:p>
            <w:pPr>
              <w:spacing w:line="360" w:lineRule="auto"/>
              <w:jc w:val="left"/>
              <w:rPr>
                <w:rFonts w:ascii="宋体" w:hAnsi="宋体" w:cs="宋体"/>
                <w:bCs/>
                <w:sz w:val="32"/>
                <w:szCs w:val="32"/>
              </w:rPr>
            </w:pPr>
            <w:r>
              <w:rPr>
                <w:rFonts w:hint="eastAsia" w:ascii="宋体" w:hAnsi="宋体" w:cs="宋体"/>
                <w:bCs/>
                <w:sz w:val="32"/>
                <w:szCs w:val="32"/>
              </w:rPr>
              <w:t>1、方案设计国际竞赛策划与组织</w:t>
            </w:r>
          </w:p>
        </w:tc>
        <w:tc>
          <w:tcPr>
            <w:tcW w:w="2322" w:type="dxa"/>
            <w:noWrap w:val="0"/>
            <w:vAlign w:val="center"/>
          </w:tcPr>
          <w:p>
            <w:pPr>
              <w:jc w:val="center"/>
              <w:rPr>
                <w:rFonts w:ascii="宋体" w:hAnsi="宋体" w:cs="宋体"/>
                <w:bCs/>
                <w:sz w:val="32"/>
                <w:szCs w:val="32"/>
              </w:rPr>
            </w:pPr>
            <w:r>
              <w:rPr>
                <w:rFonts w:ascii="宋体" w:hAnsi="宋体" w:cs="宋体"/>
                <w:bCs/>
                <w:sz w:val="32"/>
                <w:szCs w:val="32"/>
              </w:rPr>
              <w:t>13.72</w:t>
            </w:r>
          </w:p>
        </w:tc>
        <w:tc>
          <w:tcPr>
            <w:tcW w:w="2781" w:type="dxa"/>
            <w:vMerge w:val="restart"/>
            <w:noWrap w:val="0"/>
            <w:vAlign w:val="center"/>
          </w:tcPr>
          <w:p>
            <w:pPr>
              <w:spacing w:line="360" w:lineRule="auto"/>
              <w:jc w:val="left"/>
              <w:rPr>
                <w:rFonts w:hint="eastAsia" w:ascii="宋体" w:hAnsi="宋体" w:cs="宋体"/>
                <w:bCs/>
                <w:sz w:val="32"/>
                <w:szCs w:val="32"/>
              </w:rPr>
            </w:pPr>
            <w:r>
              <w:rPr>
                <w:rFonts w:hint="eastAsia" w:ascii="宋体" w:hAnsi="宋体" w:cs="宋体"/>
                <w:bCs/>
                <w:sz w:val="32"/>
                <w:szCs w:val="32"/>
              </w:rPr>
              <w:t>1、含税</w:t>
            </w:r>
          </w:p>
          <w:p>
            <w:pPr>
              <w:spacing w:line="360" w:lineRule="auto"/>
              <w:jc w:val="left"/>
              <w:rPr>
                <w:rFonts w:hint="eastAsia" w:ascii="宋体" w:hAnsi="宋体" w:cs="宋体"/>
                <w:b/>
                <w:sz w:val="32"/>
                <w:szCs w:val="32"/>
                <w:highlight w:val="yellow"/>
              </w:rPr>
            </w:pPr>
            <w:r>
              <w:rPr>
                <w:rFonts w:hint="eastAsia" w:ascii="宋体" w:hAnsi="宋体" w:cs="宋体"/>
                <w:bCs/>
                <w:sz w:val="32"/>
                <w:szCs w:val="32"/>
              </w:rPr>
              <w:t>2、方案设计国际竞赛策划与组织的相关费用中部分内容按照相关备注按实计结。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4970" w:type="dxa"/>
            <w:noWrap w:val="0"/>
            <w:vAlign w:val="center"/>
          </w:tcPr>
          <w:p>
            <w:pPr>
              <w:spacing w:line="360" w:lineRule="auto"/>
              <w:jc w:val="left"/>
              <w:rPr>
                <w:rFonts w:ascii="宋体" w:hAnsi="宋体" w:cs="宋体"/>
                <w:bCs/>
                <w:sz w:val="32"/>
                <w:szCs w:val="32"/>
              </w:rPr>
            </w:pPr>
            <w:r>
              <w:rPr>
                <w:rFonts w:hint="eastAsia" w:ascii="宋体" w:hAnsi="宋体" w:cs="宋体"/>
                <w:bCs/>
                <w:sz w:val="32"/>
                <w:szCs w:val="32"/>
              </w:rPr>
              <w:t>2、方案设计国际竞赛代理服务</w:t>
            </w:r>
          </w:p>
        </w:tc>
        <w:tc>
          <w:tcPr>
            <w:tcW w:w="2322" w:type="dxa"/>
            <w:noWrap w:val="0"/>
            <w:vAlign w:val="center"/>
          </w:tcPr>
          <w:p>
            <w:pPr>
              <w:jc w:val="center"/>
              <w:rPr>
                <w:rFonts w:ascii="宋体" w:hAnsi="宋体" w:cs="宋体"/>
                <w:bCs/>
                <w:sz w:val="32"/>
                <w:szCs w:val="32"/>
              </w:rPr>
            </w:pPr>
          </w:p>
        </w:tc>
        <w:tc>
          <w:tcPr>
            <w:tcW w:w="2781" w:type="dxa"/>
            <w:vMerge w:val="continue"/>
            <w:noWrap w:val="0"/>
            <w:vAlign w:val="top"/>
          </w:tcPr>
          <w:p>
            <w:pPr>
              <w:spacing w:line="360" w:lineRule="auto"/>
              <w:rPr>
                <w:rFonts w:ascii="华文仿宋" w:hAnsi="华文仿宋" w:eastAsia="华文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970" w:type="dxa"/>
            <w:noWrap w:val="0"/>
            <w:vAlign w:val="center"/>
          </w:tcPr>
          <w:p>
            <w:pPr>
              <w:spacing w:line="360" w:lineRule="auto"/>
              <w:jc w:val="left"/>
              <w:rPr>
                <w:rFonts w:ascii="宋体" w:hAnsi="宋体" w:cs="宋体"/>
                <w:bCs/>
                <w:sz w:val="32"/>
                <w:szCs w:val="32"/>
              </w:rPr>
            </w:pPr>
            <w:r>
              <w:rPr>
                <w:rFonts w:hint="eastAsia" w:ascii="宋体" w:hAnsi="宋体" w:cs="宋体"/>
                <w:bCs/>
                <w:sz w:val="32"/>
                <w:szCs w:val="32"/>
              </w:rPr>
              <w:t>3、PPP全过程咨询代理服务</w:t>
            </w:r>
          </w:p>
        </w:tc>
        <w:tc>
          <w:tcPr>
            <w:tcW w:w="2322" w:type="dxa"/>
            <w:noWrap w:val="0"/>
            <w:vAlign w:val="center"/>
          </w:tcPr>
          <w:p>
            <w:pPr>
              <w:jc w:val="center"/>
              <w:rPr>
                <w:rFonts w:ascii="宋体" w:hAnsi="宋体" w:cs="宋体"/>
                <w:bCs/>
                <w:sz w:val="32"/>
                <w:szCs w:val="32"/>
              </w:rPr>
            </w:pPr>
          </w:p>
        </w:tc>
        <w:tc>
          <w:tcPr>
            <w:tcW w:w="2781" w:type="dxa"/>
            <w:vMerge w:val="continue"/>
            <w:noWrap w:val="0"/>
            <w:vAlign w:val="top"/>
          </w:tcPr>
          <w:p>
            <w:pPr>
              <w:spacing w:line="360" w:lineRule="auto"/>
              <w:rPr>
                <w:rFonts w:ascii="华文仿宋" w:hAnsi="华文仿宋" w:eastAsia="华文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970" w:type="dxa"/>
            <w:noWrap w:val="0"/>
            <w:vAlign w:val="center"/>
          </w:tcPr>
          <w:p>
            <w:pPr>
              <w:jc w:val="center"/>
              <w:rPr>
                <w:rFonts w:ascii="宋体" w:hAnsi="宋体" w:cs="宋体"/>
                <w:bCs/>
                <w:sz w:val="32"/>
                <w:szCs w:val="32"/>
              </w:rPr>
            </w:pPr>
            <w:r>
              <w:rPr>
                <w:rFonts w:hint="eastAsia" w:ascii="宋体" w:hAnsi="宋体" w:cs="宋体"/>
                <w:b/>
                <w:sz w:val="32"/>
                <w:szCs w:val="32"/>
              </w:rPr>
              <w:t>合计</w:t>
            </w:r>
          </w:p>
        </w:tc>
        <w:tc>
          <w:tcPr>
            <w:tcW w:w="2322" w:type="dxa"/>
            <w:noWrap w:val="0"/>
            <w:vAlign w:val="center"/>
          </w:tcPr>
          <w:p>
            <w:pPr>
              <w:jc w:val="center"/>
              <w:rPr>
                <w:rFonts w:ascii="宋体" w:hAnsi="宋体" w:cs="宋体"/>
                <w:bCs/>
                <w:sz w:val="32"/>
                <w:szCs w:val="32"/>
              </w:rPr>
            </w:pPr>
          </w:p>
        </w:tc>
        <w:tc>
          <w:tcPr>
            <w:tcW w:w="2781" w:type="dxa"/>
            <w:vMerge w:val="continue"/>
            <w:noWrap w:val="0"/>
            <w:vAlign w:val="top"/>
          </w:tcPr>
          <w:p>
            <w:pPr>
              <w:spacing w:line="360" w:lineRule="auto"/>
              <w:jc w:val="center"/>
              <w:rPr>
                <w:rFonts w:ascii="华文仿宋" w:hAnsi="华文仿宋" w:eastAsia="华文仿宋"/>
                <w:bCs/>
                <w:sz w:val="32"/>
                <w:szCs w:val="32"/>
              </w:rPr>
            </w:pPr>
          </w:p>
        </w:tc>
      </w:tr>
    </w:tbl>
    <w:p/>
    <w:p>
      <w:pPr>
        <w:pStyle w:val="4"/>
        <w:sectPr>
          <w:footerReference r:id="rId10" w:type="default"/>
          <w:footerReference r:id="rId11" w:type="even"/>
          <w:pgSz w:w="16838" w:h="11906" w:orient="landscape"/>
          <w:pgMar w:top="1701" w:right="1588" w:bottom="1644" w:left="1474" w:header="567" w:footer="907" w:gutter="0"/>
          <w:pgNumType w:fmt="decimal"/>
          <w:cols w:space="720" w:num="1"/>
          <w:docGrid w:linePitch="312" w:charSpace="0"/>
        </w:sectPr>
      </w:pPr>
    </w:p>
    <w:p>
      <w:pPr>
        <w:pStyle w:val="4"/>
        <w:rPr>
          <w:rFonts w:hint="eastAsia" w:hAnsi="宋体"/>
          <w:bCs w:val="0"/>
          <w:sz w:val="24"/>
          <w:szCs w:val="24"/>
          <w:u w:val="single"/>
        </w:rPr>
      </w:pPr>
      <w:r>
        <w:rPr>
          <w:rFonts w:hint="eastAsia" w:hAnsi="宋体"/>
          <w:bCs w:val="0"/>
          <w:sz w:val="24"/>
          <w:szCs w:val="24"/>
          <w:u w:val="single"/>
        </w:rPr>
        <w:t>格式6：企业法人营业执照（副本）或事业单位法人证书或其他组织的营业执照复印件（格式自定）</w:t>
      </w:r>
    </w:p>
    <w:p/>
    <w:p>
      <w:pPr>
        <w:pStyle w:val="4"/>
        <w:rPr>
          <w:rFonts w:hAnsi="宋体"/>
          <w:sz w:val="24"/>
          <w:u w:val="single"/>
        </w:rPr>
      </w:pPr>
    </w:p>
    <w:p>
      <w:pPr>
        <w:rPr>
          <w:rFonts w:hAnsi="宋体"/>
          <w:sz w:val="24"/>
          <w:u w:val="single"/>
        </w:rPr>
      </w:pPr>
    </w:p>
    <w:p>
      <w:pPr>
        <w:pStyle w:val="2"/>
        <w:rPr>
          <w:rFonts w:hAnsi="宋体"/>
          <w:sz w:val="24"/>
          <w:u w:val="single"/>
        </w:rPr>
      </w:pPr>
    </w:p>
    <w:p>
      <w:pPr>
        <w:rPr>
          <w:rFonts w:hAnsi="宋体"/>
          <w:sz w:val="24"/>
          <w:u w:val="single"/>
        </w:rPr>
      </w:pPr>
    </w:p>
    <w:p>
      <w:pPr>
        <w:pStyle w:val="2"/>
        <w:rPr>
          <w:rFonts w:hAnsi="宋体"/>
          <w:sz w:val="24"/>
          <w:u w:val="single"/>
        </w:rPr>
      </w:pPr>
    </w:p>
    <w:p>
      <w:pPr>
        <w:rPr>
          <w:rFonts w:hAnsi="宋体"/>
          <w:sz w:val="24"/>
          <w:u w:val="single"/>
        </w:rPr>
      </w:pPr>
    </w:p>
    <w:p>
      <w:pPr>
        <w:pStyle w:val="2"/>
        <w:rPr>
          <w:rFonts w:hAnsi="宋体"/>
          <w:sz w:val="24"/>
          <w:u w:val="single"/>
        </w:rPr>
      </w:pPr>
    </w:p>
    <w:p>
      <w:pPr>
        <w:rPr>
          <w:rFonts w:hAnsi="宋体"/>
          <w:sz w:val="24"/>
          <w:u w:val="single"/>
        </w:rPr>
      </w:pPr>
    </w:p>
    <w:p>
      <w:pPr>
        <w:pStyle w:val="2"/>
        <w:rPr>
          <w:rFonts w:hAnsi="宋体"/>
          <w:sz w:val="24"/>
          <w:u w:val="single"/>
        </w:rPr>
      </w:pPr>
    </w:p>
    <w:p>
      <w:pPr>
        <w:rPr>
          <w:rFonts w:hAnsi="宋体"/>
          <w:sz w:val="24"/>
          <w:u w:val="single"/>
        </w:rPr>
      </w:pPr>
    </w:p>
    <w:p>
      <w:pPr>
        <w:pStyle w:val="2"/>
        <w:rPr>
          <w:rFonts w:hAnsi="宋体"/>
          <w:sz w:val="24"/>
          <w:u w:val="single"/>
        </w:rPr>
      </w:pPr>
    </w:p>
    <w:p>
      <w:pPr>
        <w:rPr>
          <w:rFonts w:hAnsi="宋体"/>
          <w:sz w:val="24"/>
          <w:u w:val="single"/>
        </w:rPr>
      </w:pPr>
    </w:p>
    <w:p>
      <w:pPr>
        <w:pStyle w:val="2"/>
        <w:rPr>
          <w:rFonts w:hAnsi="宋体"/>
          <w:sz w:val="24"/>
          <w:u w:val="single"/>
        </w:rPr>
      </w:pPr>
    </w:p>
    <w:p>
      <w:pPr>
        <w:rPr>
          <w:rFonts w:hAnsi="宋体"/>
          <w:sz w:val="24"/>
          <w:u w:val="single"/>
        </w:rPr>
      </w:pPr>
    </w:p>
    <w:p>
      <w:pPr>
        <w:pStyle w:val="2"/>
        <w:rPr>
          <w:rFonts w:hAnsi="宋体"/>
          <w:sz w:val="24"/>
          <w:u w:val="single"/>
        </w:rPr>
      </w:pPr>
    </w:p>
    <w:p>
      <w:pPr>
        <w:rPr>
          <w:rFonts w:hAnsi="宋体"/>
          <w:sz w:val="24"/>
          <w:u w:val="single"/>
        </w:rPr>
      </w:pPr>
    </w:p>
    <w:p>
      <w:pPr>
        <w:pStyle w:val="2"/>
        <w:rPr>
          <w:rFonts w:hAnsi="宋体"/>
          <w:sz w:val="24"/>
          <w:u w:val="single"/>
        </w:rPr>
      </w:pPr>
    </w:p>
    <w:p>
      <w:pPr>
        <w:rPr>
          <w:rFonts w:hAnsi="宋体"/>
          <w:sz w:val="24"/>
          <w:u w:val="single"/>
        </w:rPr>
      </w:pPr>
    </w:p>
    <w:p>
      <w:pPr>
        <w:pStyle w:val="2"/>
        <w:rPr>
          <w:rFonts w:hAnsi="宋体"/>
          <w:sz w:val="24"/>
          <w:u w:val="single"/>
        </w:rPr>
      </w:pPr>
    </w:p>
    <w:p>
      <w:pPr>
        <w:rPr>
          <w:rFonts w:hAnsi="宋体"/>
          <w:sz w:val="24"/>
          <w:u w:val="single"/>
        </w:rPr>
      </w:pPr>
    </w:p>
    <w:p>
      <w:pPr>
        <w:pStyle w:val="2"/>
        <w:rPr>
          <w:rFonts w:hAnsi="宋体"/>
          <w:sz w:val="24"/>
          <w:u w:val="single"/>
        </w:rPr>
      </w:pPr>
    </w:p>
    <w:p>
      <w:pPr>
        <w:rPr>
          <w:rFonts w:hAnsi="宋体"/>
          <w:sz w:val="24"/>
          <w:u w:val="single"/>
        </w:rPr>
      </w:pPr>
    </w:p>
    <w:p>
      <w:pPr>
        <w:rPr>
          <w:rFonts w:hint="eastAsia"/>
        </w:rPr>
        <w:sectPr>
          <w:pgSz w:w="11906" w:h="16838"/>
          <w:pgMar w:top="1588" w:right="1644" w:bottom="1474" w:left="1701" w:header="567" w:footer="907" w:gutter="0"/>
          <w:pgNumType w:fmt="decimal"/>
          <w:cols w:space="720" w:num="1"/>
          <w:docGrid w:linePitch="312" w:charSpace="0"/>
        </w:sectPr>
      </w:pPr>
    </w:p>
    <w:p>
      <w:pPr>
        <w:rPr>
          <w:rFonts w:hint="eastAsia" w:hAnsi="宋体"/>
          <w:b/>
          <w:bCs/>
          <w:sz w:val="24"/>
          <w:u w:val="single"/>
        </w:rPr>
      </w:pPr>
      <w:r>
        <w:rPr>
          <w:rFonts w:hint="eastAsia" w:hAnsi="宋体"/>
          <w:b/>
          <w:bCs/>
          <w:sz w:val="24"/>
          <w:u w:val="single"/>
        </w:rPr>
        <w:t>格式7：投标报名申请表</w:t>
      </w:r>
    </w:p>
    <w:tbl>
      <w:tblPr>
        <w:tblStyle w:val="30"/>
        <w:tblpPr w:leftFromText="180" w:rightFromText="180" w:vertAnchor="page" w:horzAnchor="page" w:tblpX="677" w:tblpY="2390"/>
        <w:tblOverlap w:val="never"/>
        <w:tblW w:w="5291" w:type="pct"/>
        <w:tblInd w:w="0" w:type="dxa"/>
        <w:tblLayout w:type="fixed"/>
        <w:tblCellMar>
          <w:top w:w="0" w:type="dxa"/>
          <w:left w:w="0" w:type="dxa"/>
          <w:bottom w:w="0" w:type="dxa"/>
          <w:right w:w="0" w:type="dxa"/>
        </w:tblCellMar>
      </w:tblPr>
      <w:tblGrid>
        <w:gridCol w:w="2451"/>
        <w:gridCol w:w="1787"/>
        <w:gridCol w:w="1361"/>
        <w:gridCol w:w="1655"/>
        <w:gridCol w:w="2302"/>
        <w:gridCol w:w="2167"/>
        <w:gridCol w:w="3080"/>
      </w:tblGrid>
      <w:tr>
        <w:tblPrEx>
          <w:tblCellMar>
            <w:top w:w="0" w:type="dxa"/>
            <w:left w:w="0" w:type="dxa"/>
            <w:bottom w:w="0" w:type="dxa"/>
            <w:right w:w="0" w:type="dxa"/>
          </w:tblCellMar>
        </w:tblPrEx>
        <w:trPr>
          <w:trHeight w:val="840" w:hRule="atLeast"/>
        </w:trPr>
        <w:tc>
          <w:tcPr>
            <w:tcW w:w="14803" w:type="dxa"/>
            <w:gridSpan w:val="7"/>
            <w:tcBorders>
              <w:top w:val="nil"/>
              <w:left w:val="nil"/>
              <w:bottom w:val="nil"/>
              <w:right w:val="nil"/>
            </w:tcBorders>
            <w:noWrap/>
            <w:tcMar>
              <w:top w:w="15" w:type="dxa"/>
              <w:left w:w="15" w:type="dxa"/>
              <w:bottom w:w="0" w:type="dxa"/>
              <w:right w:w="15" w:type="dxa"/>
            </w:tcMar>
            <w:vAlign w:val="center"/>
          </w:tcPr>
          <w:p>
            <w:pPr>
              <w:widowControl/>
              <w:jc w:val="center"/>
              <w:rPr>
                <w:rFonts w:ascii="宋体" w:hAnsi="宋体" w:cs="宋体"/>
                <w:b/>
                <w:bCs/>
                <w:kern w:val="0"/>
                <w:sz w:val="48"/>
                <w:szCs w:val="48"/>
              </w:rPr>
            </w:pPr>
            <w:r>
              <w:rPr>
                <w:rFonts w:hint="eastAsia" w:ascii="宋体" w:hAnsi="宋体" w:cs="宋体"/>
                <w:b/>
                <w:bCs/>
                <w:kern w:val="0"/>
                <w:sz w:val="48"/>
                <w:szCs w:val="48"/>
              </w:rPr>
              <w:t>投标报名申请表</w:t>
            </w:r>
          </w:p>
        </w:tc>
      </w:tr>
      <w:tr>
        <w:tblPrEx>
          <w:tblCellMar>
            <w:top w:w="0" w:type="dxa"/>
            <w:left w:w="0" w:type="dxa"/>
            <w:bottom w:w="0" w:type="dxa"/>
            <w:right w:w="0" w:type="dxa"/>
          </w:tblCellMar>
        </w:tblPrEx>
        <w:trPr>
          <w:trHeight w:val="553" w:hRule="atLeast"/>
        </w:trPr>
        <w:tc>
          <w:tcPr>
            <w:tcW w:w="2452" w:type="dxa"/>
            <w:tcBorders>
              <w:top w:val="nil"/>
              <w:left w:val="nil"/>
              <w:bottom w:val="nil"/>
              <w:right w:val="nil"/>
            </w:tcBorders>
            <w:noWrap/>
            <w:tcMar>
              <w:top w:w="15" w:type="dxa"/>
              <w:left w:w="15" w:type="dxa"/>
              <w:bottom w:w="0" w:type="dxa"/>
              <w:right w:w="15" w:type="dxa"/>
            </w:tcMar>
            <w:vAlign w:val="center"/>
          </w:tcPr>
          <w:p>
            <w:pPr>
              <w:widowControl/>
              <w:jc w:val="center"/>
              <w:rPr>
                <w:rFonts w:ascii="宋体" w:hAnsi="宋体" w:cs="宋体"/>
                <w:b/>
                <w:bCs/>
                <w:kern w:val="0"/>
                <w:sz w:val="48"/>
                <w:szCs w:val="48"/>
              </w:rPr>
            </w:pPr>
          </w:p>
        </w:tc>
        <w:tc>
          <w:tcPr>
            <w:tcW w:w="1787" w:type="dxa"/>
            <w:tcBorders>
              <w:top w:val="nil"/>
              <w:left w:val="nil"/>
              <w:bottom w:val="nil"/>
              <w:right w:val="nil"/>
            </w:tcBorders>
            <w:noWrap/>
            <w:tcMar>
              <w:top w:w="15" w:type="dxa"/>
              <w:left w:w="15" w:type="dxa"/>
              <w:bottom w:w="0" w:type="dxa"/>
              <w:right w:w="15" w:type="dxa"/>
            </w:tcMar>
            <w:vAlign w:val="center"/>
          </w:tcPr>
          <w:p>
            <w:pPr>
              <w:widowControl/>
              <w:jc w:val="center"/>
              <w:rPr>
                <w:rFonts w:ascii="宋体" w:hAnsi="宋体" w:cs="宋体"/>
                <w:b/>
                <w:bCs/>
                <w:kern w:val="0"/>
                <w:sz w:val="48"/>
                <w:szCs w:val="48"/>
              </w:rPr>
            </w:pPr>
          </w:p>
        </w:tc>
        <w:tc>
          <w:tcPr>
            <w:tcW w:w="1361" w:type="dxa"/>
            <w:tcBorders>
              <w:top w:val="nil"/>
              <w:left w:val="nil"/>
              <w:bottom w:val="nil"/>
              <w:right w:val="nil"/>
            </w:tcBorders>
            <w:noWrap/>
            <w:tcMar>
              <w:top w:w="15" w:type="dxa"/>
              <w:left w:w="15" w:type="dxa"/>
              <w:bottom w:w="0" w:type="dxa"/>
              <w:right w:w="15" w:type="dxa"/>
            </w:tcMar>
            <w:vAlign w:val="center"/>
          </w:tcPr>
          <w:p>
            <w:pPr>
              <w:widowControl/>
              <w:jc w:val="center"/>
              <w:rPr>
                <w:rFonts w:ascii="宋体" w:hAnsi="宋体" w:cs="宋体"/>
                <w:b/>
                <w:bCs/>
                <w:kern w:val="0"/>
                <w:sz w:val="48"/>
                <w:szCs w:val="48"/>
              </w:rPr>
            </w:pPr>
          </w:p>
        </w:tc>
        <w:tc>
          <w:tcPr>
            <w:tcW w:w="1654" w:type="dxa"/>
            <w:tcBorders>
              <w:top w:val="nil"/>
              <w:left w:val="nil"/>
              <w:bottom w:val="nil"/>
              <w:right w:val="nil"/>
            </w:tcBorders>
            <w:noWrap/>
            <w:tcMar>
              <w:top w:w="15" w:type="dxa"/>
              <w:left w:w="15" w:type="dxa"/>
              <w:bottom w:w="0" w:type="dxa"/>
              <w:right w:w="15" w:type="dxa"/>
            </w:tcMar>
            <w:vAlign w:val="center"/>
          </w:tcPr>
          <w:p>
            <w:pPr>
              <w:widowControl/>
              <w:jc w:val="center"/>
              <w:rPr>
                <w:rFonts w:ascii="宋体" w:hAnsi="宋体" w:cs="宋体"/>
                <w:b/>
                <w:bCs/>
                <w:kern w:val="0"/>
                <w:sz w:val="48"/>
                <w:szCs w:val="48"/>
              </w:rPr>
            </w:pPr>
          </w:p>
        </w:tc>
        <w:tc>
          <w:tcPr>
            <w:tcW w:w="2302" w:type="dxa"/>
            <w:tcBorders>
              <w:top w:val="nil"/>
              <w:left w:val="nil"/>
              <w:bottom w:val="nil"/>
              <w:right w:val="nil"/>
            </w:tcBorders>
            <w:noWrap/>
            <w:tcMar>
              <w:top w:w="15" w:type="dxa"/>
              <w:left w:w="15" w:type="dxa"/>
              <w:bottom w:w="0" w:type="dxa"/>
              <w:right w:w="15" w:type="dxa"/>
            </w:tcMar>
            <w:vAlign w:val="center"/>
          </w:tcPr>
          <w:p>
            <w:pPr>
              <w:widowControl/>
              <w:jc w:val="center"/>
              <w:rPr>
                <w:rFonts w:ascii="宋体" w:hAnsi="宋体" w:cs="宋体"/>
                <w:b/>
                <w:bCs/>
                <w:kern w:val="0"/>
                <w:sz w:val="48"/>
                <w:szCs w:val="48"/>
              </w:rPr>
            </w:pPr>
          </w:p>
        </w:tc>
        <w:tc>
          <w:tcPr>
            <w:tcW w:w="2167" w:type="dxa"/>
            <w:tcBorders>
              <w:top w:val="nil"/>
              <w:left w:val="nil"/>
              <w:bottom w:val="nil"/>
              <w:right w:val="nil"/>
            </w:tcBorders>
            <w:noWrap/>
            <w:tcMar>
              <w:top w:w="15" w:type="dxa"/>
              <w:left w:w="15" w:type="dxa"/>
              <w:bottom w:w="0" w:type="dxa"/>
              <w:right w:w="15" w:type="dxa"/>
            </w:tcMar>
            <w:vAlign w:val="center"/>
          </w:tcPr>
          <w:p>
            <w:pPr>
              <w:widowControl/>
              <w:jc w:val="center"/>
              <w:rPr>
                <w:rFonts w:ascii="宋体" w:hAnsi="宋体" w:cs="宋体"/>
                <w:b/>
                <w:bCs/>
                <w:kern w:val="0"/>
                <w:sz w:val="48"/>
                <w:szCs w:val="48"/>
              </w:rPr>
            </w:pPr>
          </w:p>
        </w:tc>
        <w:tc>
          <w:tcPr>
            <w:tcW w:w="3080" w:type="dxa"/>
            <w:tcBorders>
              <w:top w:val="nil"/>
              <w:left w:val="nil"/>
              <w:bottom w:val="nil"/>
              <w:right w:val="nil"/>
            </w:tcBorders>
            <w:noWrap/>
            <w:tcMar>
              <w:top w:w="15" w:type="dxa"/>
              <w:left w:w="15" w:type="dxa"/>
              <w:bottom w:w="0" w:type="dxa"/>
              <w:right w:w="15" w:type="dxa"/>
            </w:tcMar>
            <w:vAlign w:val="center"/>
          </w:tcPr>
          <w:p>
            <w:pPr>
              <w:widowControl/>
              <w:jc w:val="center"/>
              <w:rPr>
                <w:rFonts w:ascii="宋体" w:hAnsi="宋体" w:cs="宋体"/>
                <w:kern w:val="0"/>
                <w:sz w:val="24"/>
              </w:rPr>
            </w:pPr>
            <w:r>
              <w:rPr>
                <w:rFonts w:hint="eastAsia" w:ascii="宋体" w:hAnsi="宋体" w:cs="宋体"/>
                <w:kern w:val="0"/>
                <w:sz w:val="24"/>
              </w:rPr>
              <w:t>年     月    日</w:t>
            </w:r>
          </w:p>
        </w:tc>
      </w:tr>
      <w:tr>
        <w:tblPrEx>
          <w:tblCellMar>
            <w:top w:w="0" w:type="dxa"/>
            <w:left w:w="0" w:type="dxa"/>
            <w:bottom w:w="0" w:type="dxa"/>
            <w:right w:w="0" w:type="dxa"/>
          </w:tblCellMar>
        </w:tblPrEx>
        <w:trPr>
          <w:trHeight w:val="737" w:hRule="exact"/>
        </w:trPr>
        <w:tc>
          <w:tcPr>
            <w:tcW w:w="245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12351" w:type="dxa"/>
            <w:gridSpan w:val="6"/>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cs="宋体"/>
                <w:b/>
                <w:bCs/>
                <w:kern w:val="0"/>
                <w:sz w:val="48"/>
                <w:szCs w:val="48"/>
              </w:rPr>
            </w:pPr>
          </w:p>
        </w:tc>
      </w:tr>
      <w:tr>
        <w:tblPrEx>
          <w:tblCellMar>
            <w:top w:w="0" w:type="dxa"/>
            <w:left w:w="0" w:type="dxa"/>
            <w:bottom w:w="0" w:type="dxa"/>
            <w:right w:w="0" w:type="dxa"/>
          </w:tblCellMar>
        </w:tblPrEx>
        <w:trPr>
          <w:trHeight w:val="1173" w:hRule="atLeast"/>
        </w:trPr>
        <w:tc>
          <w:tcPr>
            <w:tcW w:w="24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cs="宋体"/>
                <w:kern w:val="0"/>
                <w:sz w:val="24"/>
              </w:rPr>
            </w:pPr>
            <w:r>
              <w:rPr>
                <w:rFonts w:hint="eastAsia" w:ascii="宋体" w:hAnsi="宋体" w:cs="宋体"/>
                <w:kern w:val="0"/>
                <w:sz w:val="24"/>
              </w:rPr>
              <w:t>申请人名称</w:t>
            </w:r>
          </w:p>
        </w:tc>
        <w:tc>
          <w:tcPr>
            <w:tcW w:w="3148" w:type="dxa"/>
            <w:gridSpan w:val="2"/>
            <w:tcBorders>
              <w:top w:val="single" w:color="auto" w:sz="4" w:space="0"/>
              <w:left w:val="nil"/>
              <w:bottom w:val="single" w:color="000000" w:sz="4" w:space="0"/>
              <w:right w:val="single" w:color="000000" w:sz="4" w:space="0"/>
            </w:tcBorders>
            <w:noWrap/>
            <w:tcMar>
              <w:top w:w="15" w:type="dxa"/>
              <w:left w:w="15" w:type="dxa"/>
              <w:bottom w:w="0" w:type="dxa"/>
              <w:right w:w="15" w:type="dxa"/>
            </w:tcMar>
            <w:vAlign w:val="center"/>
          </w:tcPr>
          <w:p>
            <w:pPr>
              <w:widowControl/>
              <w:jc w:val="center"/>
              <w:rPr>
                <w:rFonts w:ascii="宋体" w:hAnsi="宋体" w:cs="宋体"/>
                <w:kern w:val="0"/>
                <w:sz w:val="24"/>
              </w:rPr>
            </w:pPr>
            <w:r>
              <w:rPr>
                <w:rFonts w:hint="eastAsia" w:ascii="宋体" w:hAnsi="宋体" w:cs="宋体"/>
                <w:kern w:val="0"/>
                <w:sz w:val="24"/>
              </w:rPr>
              <w:t>　</w:t>
            </w:r>
          </w:p>
        </w:tc>
        <w:tc>
          <w:tcPr>
            <w:tcW w:w="1654"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cs="宋体"/>
                <w:kern w:val="0"/>
                <w:sz w:val="24"/>
              </w:rPr>
            </w:pPr>
            <w:r>
              <w:rPr>
                <w:rFonts w:hint="eastAsia" w:ascii="宋体" w:hAnsi="宋体" w:cs="宋体"/>
                <w:kern w:val="0"/>
                <w:sz w:val="24"/>
              </w:rPr>
              <w:t>被授权人</w:t>
            </w:r>
          </w:p>
        </w:tc>
        <w:tc>
          <w:tcPr>
            <w:tcW w:w="2302"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cs="宋体"/>
                <w:kern w:val="0"/>
                <w:sz w:val="24"/>
              </w:rPr>
            </w:pPr>
            <w:r>
              <w:rPr>
                <w:rFonts w:hint="eastAsia" w:ascii="宋体" w:hAnsi="宋体" w:cs="宋体"/>
                <w:kern w:val="0"/>
                <w:sz w:val="24"/>
              </w:rPr>
              <w:t>　</w:t>
            </w:r>
          </w:p>
        </w:tc>
        <w:tc>
          <w:tcPr>
            <w:tcW w:w="2167" w:type="dxa"/>
            <w:tcBorders>
              <w:top w:val="nil"/>
              <w:left w:val="nil"/>
              <w:bottom w:val="nil"/>
              <w:right w:val="single" w:color="auto" w:sz="4" w:space="0"/>
            </w:tcBorders>
            <w:noWrap/>
            <w:tcMar>
              <w:top w:w="15" w:type="dxa"/>
              <w:left w:w="15" w:type="dxa"/>
              <w:bottom w:w="0" w:type="dxa"/>
              <w:right w:w="15" w:type="dxa"/>
            </w:tcMar>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3080"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0" w:type="dxa"/>
            <w:bottom w:w="0" w:type="dxa"/>
            <w:right w:w="0" w:type="dxa"/>
          </w:tblCellMar>
        </w:tblPrEx>
        <w:trPr>
          <w:trHeight w:val="1019" w:hRule="atLeast"/>
        </w:trPr>
        <w:tc>
          <w:tcPr>
            <w:tcW w:w="2452" w:type="dxa"/>
            <w:tcBorders>
              <w:top w:val="nil"/>
              <w:left w:val="single" w:color="auto" w:sz="4" w:space="0"/>
              <w:bottom w:val="single" w:color="auto" w:sz="4" w:space="0"/>
              <w:right w:val="nil"/>
            </w:tcBorders>
            <w:noWrap w:val="0"/>
            <w:tcMar>
              <w:top w:w="15" w:type="dxa"/>
              <w:left w:w="15" w:type="dxa"/>
              <w:bottom w:w="0" w:type="dxa"/>
              <w:right w:w="15" w:type="dxa"/>
            </w:tcMar>
            <w:vAlign w:val="center"/>
          </w:tcPr>
          <w:p>
            <w:pPr>
              <w:widowControl/>
              <w:jc w:val="center"/>
              <w:rPr>
                <w:rFonts w:ascii="宋体" w:hAnsi="宋体" w:cs="宋体"/>
                <w:kern w:val="0"/>
                <w:sz w:val="24"/>
              </w:rPr>
            </w:pPr>
            <w:r>
              <w:rPr>
                <w:rFonts w:hint="eastAsia" w:ascii="宋体" w:hAnsi="宋体" w:cs="宋体"/>
                <w:kern w:val="0"/>
                <w:sz w:val="24"/>
              </w:rPr>
              <w:t>项目负责人</w:t>
            </w:r>
            <w:r>
              <w:rPr>
                <w:kern w:val="0"/>
                <w:sz w:val="24"/>
              </w:rPr>
              <w:t xml:space="preserve">                                      </w:t>
            </w:r>
          </w:p>
        </w:tc>
        <w:tc>
          <w:tcPr>
            <w:tcW w:w="3148" w:type="dxa"/>
            <w:gridSpan w:val="2"/>
            <w:tcBorders>
              <w:top w:val="nil"/>
              <w:left w:val="single" w:color="auto" w:sz="4" w:space="0"/>
              <w:bottom w:val="single" w:color="auto" w:sz="4" w:space="0"/>
              <w:right w:val="nil"/>
            </w:tcBorders>
            <w:noWrap w:val="0"/>
            <w:tcMar>
              <w:top w:w="15" w:type="dxa"/>
              <w:left w:w="15" w:type="dxa"/>
              <w:bottom w:w="0" w:type="dxa"/>
              <w:right w:w="15" w:type="dxa"/>
            </w:tcMar>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c>
          <w:tcPr>
            <w:tcW w:w="3956" w:type="dxa"/>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cs="宋体"/>
                <w:kern w:val="0"/>
                <w:sz w:val="24"/>
              </w:rPr>
            </w:pPr>
            <w:r>
              <w:rPr>
                <w:rFonts w:hint="eastAsia" w:ascii="宋体" w:hAnsi="宋体" w:cs="宋体"/>
                <w:kern w:val="0"/>
                <w:sz w:val="24"/>
              </w:rPr>
              <w:t>项目负责人资质证号（如有）</w:t>
            </w:r>
          </w:p>
        </w:tc>
        <w:tc>
          <w:tcPr>
            <w:tcW w:w="5247"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cs="宋体"/>
                <w:kern w:val="0"/>
                <w:sz w:val="24"/>
              </w:rPr>
            </w:pPr>
            <w:r>
              <w:rPr>
                <w:rFonts w:hint="eastAsia" w:ascii="宋体" w:hAnsi="宋体" w:cs="宋体"/>
                <w:kern w:val="0"/>
                <w:sz w:val="24"/>
              </w:rPr>
              <w:t>　</w:t>
            </w:r>
          </w:p>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0" w:type="dxa"/>
            <w:bottom w:w="0" w:type="dxa"/>
            <w:right w:w="0" w:type="dxa"/>
          </w:tblCellMar>
        </w:tblPrEx>
        <w:trPr>
          <w:trHeight w:val="1179" w:hRule="atLeast"/>
        </w:trPr>
        <w:tc>
          <w:tcPr>
            <w:tcW w:w="24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cs="宋体"/>
                <w:kern w:val="0"/>
                <w:sz w:val="24"/>
              </w:rPr>
            </w:pPr>
            <w:r>
              <w:rPr>
                <w:rFonts w:hint="eastAsia" w:ascii="宋体" w:hAnsi="宋体" w:cs="宋体"/>
                <w:kern w:val="0"/>
                <w:sz w:val="24"/>
              </w:rPr>
              <w:t>投标人盖章</w:t>
            </w:r>
          </w:p>
          <w:p>
            <w:pPr>
              <w:widowControl/>
              <w:jc w:val="center"/>
              <w:rPr>
                <w:rFonts w:ascii="宋体" w:hAnsi="宋体" w:cs="宋体"/>
                <w:kern w:val="0"/>
                <w:sz w:val="24"/>
              </w:rPr>
            </w:pPr>
            <w:r>
              <w:rPr>
                <w:rFonts w:hint="eastAsia" w:ascii="宋体" w:hAnsi="宋体" w:cs="宋体"/>
                <w:kern w:val="0"/>
                <w:sz w:val="24"/>
              </w:rPr>
              <w:t>（公章）</w:t>
            </w:r>
          </w:p>
        </w:tc>
        <w:tc>
          <w:tcPr>
            <w:tcW w:w="3148" w:type="dxa"/>
            <w:gridSpan w:val="2"/>
            <w:tcBorders>
              <w:top w:val="nil"/>
              <w:left w:val="nil"/>
              <w:bottom w:val="single" w:color="auto" w:sz="4" w:space="0"/>
              <w:right w:val="nil"/>
            </w:tcBorders>
            <w:noWrap/>
            <w:tcMar>
              <w:top w:w="15" w:type="dxa"/>
              <w:left w:w="15" w:type="dxa"/>
              <w:bottom w:w="0" w:type="dxa"/>
              <w:right w:w="15" w:type="dxa"/>
            </w:tcMar>
            <w:vAlign w:val="center"/>
          </w:tcPr>
          <w:p>
            <w:pPr>
              <w:widowControl/>
              <w:rPr>
                <w:rFonts w:ascii="宋体" w:hAnsi="宋体" w:cs="宋体"/>
                <w:kern w:val="0"/>
                <w:sz w:val="24"/>
              </w:rPr>
            </w:pPr>
          </w:p>
        </w:tc>
        <w:tc>
          <w:tcPr>
            <w:tcW w:w="1654" w:type="dxa"/>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widowControl/>
              <w:jc w:val="center"/>
              <w:rPr>
                <w:rFonts w:ascii="宋体" w:hAnsi="宋体" w:cs="宋体"/>
                <w:kern w:val="0"/>
                <w:sz w:val="24"/>
              </w:rPr>
            </w:pPr>
            <w:r>
              <w:rPr>
                <w:rFonts w:hint="eastAsia" w:ascii="宋体" w:hAnsi="宋体" w:cs="宋体"/>
                <w:kern w:val="0"/>
                <w:sz w:val="24"/>
              </w:rPr>
              <w:t>法定代表人</w:t>
            </w:r>
          </w:p>
          <w:p>
            <w:pPr>
              <w:widowControl/>
              <w:jc w:val="center"/>
              <w:rPr>
                <w:rFonts w:ascii="宋体" w:hAnsi="宋体" w:cs="宋体"/>
                <w:kern w:val="0"/>
                <w:sz w:val="24"/>
              </w:rPr>
            </w:pPr>
            <w:r>
              <w:rPr>
                <w:rFonts w:hint="eastAsia" w:ascii="宋体" w:hAnsi="宋体" w:cs="宋体"/>
                <w:kern w:val="0"/>
                <w:sz w:val="24"/>
              </w:rPr>
              <w:t>（签名或签章）</w:t>
            </w:r>
          </w:p>
        </w:tc>
        <w:tc>
          <w:tcPr>
            <w:tcW w:w="7549" w:type="dxa"/>
            <w:gridSpan w:val="3"/>
            <w:tcBorders>
              <w:top w:val="nil"/>
              <w:left w:val="nil"/>
              <w:bottom w:val="nil"/>
              <w:right w:val="single" w:color="auto" w:sz="4" w:space="0"/>
            </w:tcBorders>
            <w:noWrap/>
            <w:tcMar>
              <w:top w:w="15" w:type="dxa"/>
              <w:left w:w="15" w:type="dxa"/>
              <w:bottom w:w="0" w:type="dxa"/>
              <w:right w:w="15" w:type="dxa"/>
            </w:tcMar>
            <w:vAlign w:val="center"/>
          </w:tcPr>
          <w:p>
            <w:pPr>
              <w:widowControl/>
              <w:jc w:val="center"/>
              <w:rPr>
                <w:rFonts w:ascii="宋体" w:hAnsi="宋体" w:cs="宋体"/>
                <w:kern w:val="0"/>
                <w:sz w:val="24"/>
              </w:rPr>
            </w:pPr>
          </w:p>
        </w:tc>
      </w:tr>
      <w:tr>
        <w:tblPrEx>
          <w:tblCellMar>
            <w:top w:w="0" w:type="dxa"/>
            <w:left w:w="0" w:type="dxa"/>
            <w:bottom w:w="0" w:type="dxa"/>
            <w:right w:w="0" w:type="dxa"/>
          </w:tblCellMar>
        </w:tblPrEx>
        <w:trPr>
          <w:trHeight w:val="644" w:hRule="atLeast"/>
        </w:trPr>
        <w:tc>
          <w:tcPr>
            <w:tcW w:w="2452"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kern w:val="0"/>
                <w:sz w:val="24"/>
              </w:rPr>
            </w:pPr>
            <w:r>
              <w:rPr>
                <w:rFonts w:hint="eastAsia" w:ascii="宋体" w:hAnsi="宋体" w:cs="宋体"/>
                <w:kern w:val="0"/>
                <w:sz w:val="24"/>
              </w:rPr>
              <w:t>备注</w:t>
            </w:r>
          </w:p>
        </w:tc>
        <w:tc>
          <w:tcPr>
            <w:tcW w:w="12351" w:type="dxa"/>
            <w:gridSpan w:val="6"/>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widowControl/>
              <w:ind w:firstLine="480" w:firstLineChars="200"/>
              <w:rPr>
                <w:rFonts w:ascii="宋体" w:hAnsi="宋体" w:cs="宋体"/>
                <w:kern w:val="0"/>
                <w:sz w:val="24"/>
              </w:rPr>
            </w:pPr>
            <w:r>
              <w:rPr>
                <w:rFonts w:hint="eastAsia" w:ascii="宋体" w:hAnsi="宋体" w:cs="宋体"/>
                <w:kern w:val="0"/>
                <w:sz w:val="24"/>
              </w:rPr>
              <w:t>附营业执照复印件　</w:t>
            </w:r>
          </w:p>
        </w:tc>
      </w:tr>
    </w:tbl>
    <w:p>
      <w:pPr>
        <w:keepNext w:val="0"/>
        <w:keepLines w:val="0"/>
        <w:pageBreakBefore w:val="0"/>
        <w:widowControl w:val="0"/>
        <w:kinsoku/>
        <w:wordWrap/>
        <w:overflowPunct/>
        <w:topLinePunct w:val="0"/>
        <w:autoSpaceDE/>
        <w:autoSpaceDN/>
        <w:bidi w:val="0"/>
        <w:adjustRightInd/>
        <w:snapToGrid/>
        <w:spacing w:line="20" w:lineRule="exact"/>
        <w:jc w:val="left"/>
        <w:textAlignment w:val="auto"/>
        <w:rPr>
          <w:lang w:val="en-US" w:eastAsia="zh-CN"/>
        </w:rPr>
      </w:pPr>
    </w:p>
    <w:sectPr>
      <w:pgSz w:w="16838" w:h="11906" w:orient="landscape"/>
      <w:pgMar w:top="1701" w:right="1588" w:bottom="1644" w:left="1474" w:header="567" w:footer="907"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w:rPr>
        <w:sz w:val="18"/>
      </w:rPr>
      <w:pict>
        <v:shape id="_x0000_s4098" o:spid="_x0000_s4098"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2"/>
      <w:rPr>
        <w:rStyle w:val="34"/>
      </w:rPr>
    </w:pPr>
    <w:r>
      <w:fldChar w:fldCharType="begin"/>
    </w:r>
    <w:r>
      <w:rPr>
        <w:rStyle w:val="34"/>
      </w:rPr>
      <w:instrText xml:space="preserve">PAGE  </w:instrText>
    </w:r>
    <w:r>
      <w:fldChar w:fldCharType="end"/>
    </w:r>
  </w:p>
  <w:p>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w:pict>
        <v:shape id="_x0000_s4097" o:spid="_x0000_s4097"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360"/>
    </w:pPr>
    <w: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pict>
        <v:shape id="_x0000_s4101" o:spid="_x0000_s410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w:r>
    <w:r>
      <w:rPr>
        <w:rFonts w:hint="eastAsia"/>
      </w:rPr>
      <w:t>1</w:t>
    </w:r>
  </w:p>
  <w:p>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ict>
        <v:shape id="_x0000_s4102" o:spid="_x0000_s410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6336"/>
      </w:tabs>
    </w:pPr>
    <w:r>
      <w:pict>
        <v:shape id="_x0000_s4103" o:spid="_x0000_s410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0.5pt"/>
          <v:imagedata o:title=""/>
          <o:lock v:ext="edit" aspectratio="f"/>
          <v:textbox inset="0mm,0mm,0mm,0mm" style="mso-fit-shape-to-text:t;">
            <w:txbxContent>
              <w:p>
                <w:pPr>
                  <w:pStyle w:val="21"/>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4"/>
      </w:rPr>
    </w:pPr>
    <w:r>
      <w:fldChar w:fldCharType="begin"/>
    </w:r>
    <w:r>
      <w:rPr>
        <w:rStyle w:val="34"/>
      </w:rPr>
      <w:instrText xml:space="preserve">PAGE  </w:instrText>
    </w:r>
    <w:r>
      <w:fldChar w:fldCharType="end"/>
    </w:r>
  </w:p>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B0471"/>
    <w:multiLevelType w:val="singleLevel"/>
    <w:tmpl w:val="A10B0471"/>
    <w:lvl w:ilvl="0" w:tentative="0">
      <w:start w:val="1"/>
      <w:numFmt w:val="decimal"/>
      <w:suff w:val="nothing"/>
      <w:lvlText w:val="%1、"/>
      <w:lvlJc w:val="left"/>
    </w:lvl>
  </w:abstractNum>
  <w:abstractNum w:abstractNumId="1">
    <w:nsid w:val="F8B7F1B1"/>
    <w:multiLevelType w:val="singleLevel"/>
    <w:tmpl w:val="F8B7F1B1"/>
    <w:lvl w:ilvl="0" w:tentative="0">
      <w:start w:val="1"/>
      <w:numFmt w:val="decimal"/>
      <w:lvlText w:val="%1."/>
      <w:lvlJc w:val="left"/>
      <w:pPr>
        <w:ind w:left="845" w:hanging="425"/>
      </w:pPr>
      <w:rPr>
        <w:rFonts w:hint="default"/>
      </w:rPr>
    </w:lvl>
  </w:abstractNum>
  <w:abstractNum w:abstractNumId="2">
    <w:nsid w:val="0575174D"/>
    <w:multiLevelType w:val="multilevel"/>
    <w:tmpl w:val="0575174D"/>
    <w:lvl w:ilvl="0" w:tentative="0">
      <w:start w:val="21"/>
      <w:numFmt w:val="decimal"/>
      <w:lvlText w:val="%1"/>
      <w:lvlJc w:val="left"/>
      <w:pPr>
        <w:tabs>
          <w:tab w:val="left" w:pos="705"/>
        </w:tabs>
        <w:ind w:left="705" w:hanging="705"/>
      </w:pPr>
      <w:rPr>
        <w:rFonts w:hint="default"/>
      </w:rPr>
    </w:lvl>
    <w:lvl w:ilvl="1" w:tentative="0">
      <w:start w:val="4"/>
      <w:numFmt w:val="decimal"/>
      <w:lvlText w:val="%1.%2"/>
      <w:lvlJc w:val="left"/>
      <w:pPr>
        <w:tabs>
          <w:tab w:val="left" w:pos="705"/>
        </w:tabs>
        <w:ind w:left="705" w:hanging="705"/>
      </w:pPr>
      <w:rPr>
        <w:rFonts w:hint="default"/>
      </w:rPr>
    </w:lvl>
    <w:lvl w:ilvl="2" w:tentative="0">
      <w:start w:val="1"/>
      <w:numFmt w:val="decimal"/>
      <w:lvlText w:val="%1.%2.%3"/>
      <w:lvlJc w:val="left"/>
      <w:pPr>
        <w:tabs>
          <w:tab w:val="left" w:pos="705"/>
        </w:tabs>
        <w:ind w:left="705" w:hanging="705"/>
      </w:pPr>
      <w:rPr>
        <w:rFonts w:hint="default"/>
      </w:rPr>
    </w:lvl>
    <w:lvl w:ilvl="3" w:tentative="0">
      <w:start w:val="1"/>
      <w:numFmt w:val="decimal"/>
      <w:lvlText w:val="%1.%2.%3.%4"/>
      <w:lvlJc w:val="left"/>
      <w:pPr>
        <w:tabs>
          <w:tab w:val="left" w:pos="705"/>
        </w:tabs>
        <w:ind w:left="705" w:hanging="705"/>
      </w:pPr>
      <w:rPr>
        <w:rFonts w:hint="default"/>
      </w:rPr>
    </w:lvl>
    <w:lvl w:ilvl="4" w:tentative="0">
      <w:start w:val="1"/>
      <w:numFmt w:val="decimal"/>
      <w:lvlText w:val="%1.%2.%3.%4.%5"/>
      <w:lvlJc w:val="left"/>
      <w:pPr>
        <w:tabs>
          <w:tab w:val="left" w:pos="705"/>
        </w:tabs>
        <w:ind w:left="705" w:hanging="705"/>
      </w:pPr>
      <w:rPr>
        <w:rFonts w:hint="default"/>
      </w:rPr>
    </w:lvl>
    <w:lvl w:ilvl="5" w:tentative="0">
      <w:start w:val="1"/>
      <w:numFmt w:val="decimal"/>
      <w:lvlText w:val="%1.%2.%3.%4.%5.%6"/>
      <w:lvlJc w:val="left"/>
      <w:pPr>
        <w:tabs>
          <w:tab w:val="left" w:pos="705"/>
        </w:tabs>
        <w:ind w:left="705" w:hanging="705"/>
      </w:pPr>
      <w:rPr>
        <w:rFonts w:hint="default"/>
      </w:rPr>
    </w:lvl>
    <w:lvl w:ilvl="6" w:tentative="0">
      <w:start w:val="1"/>
      <w:numFmt w:val="decimal"/>
      <w:lvlText w:val="%1.%2.%3.%4.%5.%6.%7"/>
      <w:lvlJc w:val="left"/>
      <w:pPr>
        <w:tabs>
          <w:tab w:val="left" w:pos="705"/>
        </w:tabs>
        <w:ind w:left="705" w:hanging="705"/>
      </w:pPr>
      <w:rPr>
        <w:rFonts w:hint="default"/>
      </w:rPr>
    </w:lvl>
    <w:lvl w:ilvl="7" w:tentative="0">
      <w:start w:val="1"/>
      <w:numFmt w:val="decimal"/>
      <w:lvlText w:val="%1.%2.%3.%4.%5.%6.%7.%8"/>
      <w:lvlJc w:val="left"/>
      <w:pPr>
        <w:tabs>
          <w:tab w:val="left" w:pos="705"/>
        </w:tabs>
        <w:ind w:left="705" w:hanging="705"/>
      </w:pPr>
      <w:rPr>
        <w:rFonts w:hint="default"/>
      </w:rPr>
    </w:lvl>
    <w:lvl w:ilvl="8" w:tentative="0">
      <w:start w:val="1"/>
      <w:numFmt w:val="decimal"/>
      <w:lvlText w:val="%1.%2.%3.%4.%5.%6.%7.%8.%9"/>
      <w:lvlJc w:val="left"/>
      <w:pPr>
        <w:tabs>
          <w:tab w:val="left" w:pos="705"/>
        </w:tabs>
        <w:ind w:left="705" w:hanging="705"/>
      </w:pPr>
      <w:rPr>
        <w:rFonts w:hint="default"/>
      </w:rPr>
    </w:lvl>
  </w:abstractNum>
  <w:abstractNum w:abstractNumId="3">
    <w:nsid w:val="1216154E"/>
    <w:multiLevelType w:val="multilevel"/>
    <w:tmpl w:val="1216154E"/>
    <w:lvl w:ilvl="0" w:tentative="0">
      <w:start w:val="11"/>
      <w:numFmt w:val="decimal"/>
      <w:lvlText w:val="%1"/>
      <w:lvlJc w:val="left"/>
      <w:pPr>
        <w:tabs>
          <w:tab w:val="left" w:pos="720"/>
        </w:tabs>
        <w:ind w:left="720" w:hanging="720"/>
      </w:pPr>
      <w:rPr>
        <w:rFonts w:hint="eastAsia"/>
      </w:rPr>
    </w:lvl>
    <w:lvl w:ilvl="1" w:tentative="0">
      <w:start w:val="1"/>
      <w:numFmt w:val="decimal"/>
      <w:lvlText w:val="%1.%2"/>
      <w:lvlJc w:val="left"/>
      <w:pPr>
        <w:tabs>
          <w:tab w:val="left" w:pos="720"/>
        </w:tabs>
        <w:ind w:left="720" w:hanging="72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720"/>
        </w:tabs>
        <w:ind w:left="720" w:hanging="720"/>
      </w:pPr>
      <w:rPr>
        <w:rFonts w:hint="eastAsia"/>
      </w:rPr>
    </w:lvl>
    <w:lvl w:ilvl="5" w:tentative="0">
      <w:start w:val="1"/>
      <w:numFmt w:val="decimal"/>
      <w:lvlText w:val="%1.%2.%3.%4.%5.%6"/>
      <w:lvlJc w:val="left"/>
      <w:pPr>
        <w:tabs>
          <w:tab w:val="left" w:pos="720"/>
        </w:tabs>
        <w:ind w:left="720" w:hanging="720"/>
      </w:pPr>
      <w:rPr>
        <w:rFonts w:hint="eastAsia"/>
      </w:rPr>
    </w:lvl>
    <w:lvl w:ilvl="6" w:tentative="0">
      <w:start w:val="1"/>
      <w:numFmt w:val="decimal"/>
      <w:lvlText w:val="%1.%2.%3.%4.%5.%6.%7"/>
      <w:lvlJc w:val="left"/>
      <w:pPr>
        <w:tabs>
          <w:tab w:val="left" w:pos="720"/>
        </w:tabs>
        <w:ind w:left="720" w:hanging="720"/>
      </w:pPr>
      <w:rPr>
        <w:rFonts w:hint="eastAsia"/>
      </w:rPr>
    </w:lvl>
    <w:lvl w:ilvl="7" w:tentative="0">
      <w:start w:val="1"/>
      <w:numFmt w:val="decimal"/>
      <w:lvlText w:val="%1.%2.%3.%4.%5.%6.%7.%8"/>
      <w:lvlJc w:val="left"/>
      <w:pPr>
        <w:tabs>
          <w:tab w:val="left" w:pos="720"/>
        </w:tabs>
        <w:ind w:left="720" w:hanging="720"/>
      </w:pPr>
      <w:rPr>
        <w:rFonts w:hint="eastAsia"/>
      </w:rPr>
    </w:lvl>
    <w:lvl w:ilvl="8" w:tentative="0">
      <w:start w:val="1"/>
      <w:numFmt w:val="decimal"/>
      <w:lvlText w:val="%1.%2.%3.%4.%5.%6.%7.%8.%9"/>
      <w:lvlJc w:val="left"/>
      <w:pPr>
        <w:tabs>
          <w:tab w:val="left" w:pos="720"/>
        </w:tabs>
        <w:ind w:left="720" w:hanging="720"/>
      </w:pPr>
      <w:rPr>
        <w:rFonts w:hint="eastAsia"/>
      </w:rPr>
    </w:lvl>
  </w:abstractNum>
  <w:abstractNum w:abstractNumId="4">
    <w:nsid w:val="2B5C10BA"/>
    <w:multiLevelType w:val="multilevel"/>
    <w:tmpl w:val="2B5C10BA"/>
    <w:lvl w:ilvl="0" w:tentative="0">
      <w:start w:val="1"/>
      <w:numFmt w:val="decimal"/>
      <w:lvlText w:val="%1"/>
      <w:lvlJc w:val="left"/>
      <w:pPr>
        <w:ind w:left="425" w:hanging="425"/>
      </w:pPr>
      <w:rPr>
        <w:rFonts w:hint="default"/>
      </w:rPr>
    </w:lvl>
    <w:lvl w:ilvl="1" w:tentative="0">
      <w:start w:val="1"/>
      <w:numFmt w:val="decimal"/>
      <w:lvlText w:val="%1.%2"/>
      <w:lvlJc w:val="left"/>
      <w:pPr>
        <w:ind w:left="992" w:hanging="567"/>
      </w:pPr>
      <w:rPr>
        <w:rFonts w:hint="default"/>
        <w:sz w:val="24"/>
        <w:szCs w:val="24"/>
      </w:rPr>
    </w:lvl>
    <w:lvl w:ilvl="2" w:tentative="0">
      <w:start w:val="1"/>
      <w:numFmt w:val="decimal"/>
      <w:lvlText w:val="%1.%2.%3"/>
      <w:lvlJc w:val="left"/>
      <w:pPr>
        <w:ind w:left="1418" w:hanging="567"/>
      </w:pPr>
      <w:rPr>
        <w:rFonts w:hint="default"/>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5">
    <w:nsid w:val="392925E3"/>
    <w:multiLevelType w:val="multilevel"/>
    <w:tmpl w:val="392925E3"/>
    <w:lvl w:ilvl="0" w:tentative="0">
      <w:start w:val="5"/>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720"/>
        </w:tabs>
        <w:ind w:left="720" w:hanging="720"/>
      </w:pPr>
      <w:rPr>
        <w:rFonts w:hint="default"/>
      </w:rPr>
    </w:lvl>
    <w:lvl w:ilvl="5" w:tentative="0">
      <w:start w:val="1"/>
      <w:numFmt w:val="decimal"/>
      <w:lvlText w:val="%1.%2.%3.%4.%5.%6"/>
      <w:lvlJc w:val="left"/>
      <w:pPr>
        <w:tabs>
          <w:tab w:val="left" w:pos="720"/>
        </w:tabs>
        <w:ind w:left="720" w:hanging="720"/>
      </w:pPr>
      <w:rPr>
        <w:rFonts w:hint="default"/>
      </w:rPr>
    </w:lvl>
    <w:lvl w:ilvl="6" w:tentative="0">
      <w:start w:val="1"/>
      <w:numFmt w:val="decimal"/>
      <w:lvlText w:val="%1.%2.%3.%4.%5.%6.%7"/>
      <w:lvlJc w:val="left"/>
      <w:pPr>
        <w:tabs>
          <w:tab w:val="left" w:pos="720"/>
        </w:tabs>
        <w:ind w:left="720" w:hanging="720"/>
      </w:pPr>
      <w:rPr>
        <w:rFonts w:hint="default"/>
      </w:rPr>
    </w:lvl>
    <w:lvl w:ilvl="7" w:tentative="0">
      <w:start w:val="1"/>
      <w:numFmt w:val="decimal"/>
      <w:lvlText w:val="%1.%2.%3.%4.%5.%6.%7.%8"/>
      <w:lvlJc w:val="left"/>
      <w:pPr>
        <w:tabs>
          <w:tab w:val="left" w:pos="720"/>
        </w:tabs>
        <w:ind w:left="720" w:hanging="720"/>
      </w:pPr>
      <w:rPr>
        <w:rFonts w:hint="default"/>
      </w:rPr>
    </w:lvl>
    <w:lvl w:ilvl="8" w:tentative="0">
      <w:start w:val="1"/>
      <w:numFmt w:val="decimal"/>
      <w:lvlText w:val="%1.%2.%3.%4.%5.%6.%7.%8.%9"/>
      <w:lvlJc w:val="left"/>
      <w:pPr>
        <w:tabs>
          <w:tab w:val="left" w:pos="720"/>
        </w:tabs>
        <w:ind w:left="720" w:hanging="720"/>
      </w:pPr>
      <w:rPr>
        <w:rFonts w:hint="default"/>
      </w:rPr>
    </w:lvl>
  </w:abstractNum>
  <w:abstractNum w:abstractNumId="6">
    <w:nsid w:val="39D1565E"/>
    <w:multiLevelType w:val="multilevel"/>
    <w:tmpl w:val="39D1565E"/>
    <w:lvl w:ilvl="0" w:tentative="0">
      <w:start w:val="14"/>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720"/>
        </w:tabs>
        <w:ind w:left="720" w:hanging="720"/>
      </w:pPr>
      <w:rPr>
        <w:rFonts w:hint="default"/>
      </w:rPr>
    </w:lvl>
    <w:lvl w:ilvl="5" w:tentative="0">
      <w:start w:val="1"/>
      <w:numFmt w:val="decimal"/>
      <w:lvlText w:val="%1.%2.%3.%4.%5.%6"/>
      <w:lvlJc w:val="left"/>
      <w:pPr>
        <w:tabs>
          <w:tab w:val="left" w:pos="720"/>
        </w:tabs>
        <w:ind w:left="720" w:hanging="720"/>
      </w:pPr>
      <w:rPr>
        <w:rFonts w:hint="default"/>
      </w:rPr>
    </w:lvl>
    <w:lvl w:ilvl="6" w:tentative="0">
      <w:start w:val="1"/>
      <w:numFmt w:val="decimal"/>
      <w:lvlText w:val="%1.%2.%3.%4.%5.%6.%7"/>
      <w:lvlJc w:val="left"/>
      <w:pPr>
        <w:tabs>
          <w:tab w:val="left" w:pos="720"/>
        </w:tabs>
        <w:ind w:left="720" w:hanging="720"/>
      </w:pPr>
      <w:rPr>
        <w:rFonts w:hint="default"/>
      </w:rPr>
    </w:lvl>
    <w:lvl w:ilvl="7" w:tentative="0">
      <w:start w:val="1"/>
      <w:numFmt w:val="decimal"/>
      <w:lvlText w:val="%1.%2.%3.%4.%5.%6.%7.%8"/>
      <w:lvlJc w:val="left"/>
      <w:pPr>
        <w:tabs>
          <w:tab w:val="left" w:pos="720"/>
        </w:tabs>
        <w:ind w:left="720" w:hanging="720"/>
      </w:pPr>
      <w:rPr>
        <w:rFonts w:hint="default"/>
      </w:rPr>
    </w:lvl>
    <w:lvl w:ilvl="8" w:tentative="0">
      <w:start w:val="1"/>
      <w:numFmt w:val="decimal"/>
      <w:lvlText w:val="%1.%2.%3.%4.%5.%6.%7.%8.%9"/>
      <w:lvlJc w:val="left"/>
      <w:pPr>
        <w:tabs>
          <w:tab w:val="left" w:pos="720"/>
        </w:tabs>
        <w:ind w:left="720" w:hanging="720"/>
      </w:pPr>
      <w:rPr>
        <w:rFonts w:hint="default"/>
      </w:rPr>
    </w:lvl>
  </w:abstractNum>
  <w:abstractNum w:abstractNumId="7">
    <w:nsid w:val="3F986385"/>
    <w:multiLevelType w:val="multilevel"/>
    <w:tmpl w:val="3F986385"/>
    <w:lvl w:ilvl="0" w:tentative="0">
      <w:start w:val="20"/>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720"/>
        </w:tabs>
        <w:ind w:left="720" w:hanging="720"/>
      </w:pPr>
      <w:rPr>
        <w:rFonts w:hint="default"/>
      </w:rPr>
    </w:lvl>
    <w:lvl w:ilvl="5" w:tentative="0">
      <w:start w:val="1"/>
      <w:numFmt w:val="decimal"/>
      <w:lvlText w:val="%1.%2.%3.%4.%5.%6"/>
      <w:lvlJc w:val="left"/>
      <w:pPr>
        <w:tabs>
          <w:tab w:val="left" w:pos="720"/>
        </w:tabs>
        <w:ind w:left="720" w:hanging="720"/>
      </w:pPr>
      <w:rPr>
        <w:rFonts w:hint="default"/>
      </w:rPr>
    </w:lvl>
    <w:lvl w:ilvl="6" w:tentative="0">
      <w:start w:val="1"/>
      <w:numFmt w:val="decimal"/>
      <w:lvlText w:val="%1.%2.%3.%4.%5.%6.%7"/>
      <w:lvlJc w:val="left"/>
      <w:pPr>
        <w:tabs>
          <w:tab w:val="left" w:pos="720"/>
        </w:tabs>
        <w:ind w:left="720" w:hanging="720"/>
      </w:pPr>
      <w:rPr>
        <w:rFonts w:hint="default"/>
      </w:rPr>
    </w:lvl>
    <w:lvl w:ilvl="7" w:tentative="0">
      <w:start w:val="1"/>
      <w:numFmt w:val="decimal"/>
      <w:lvlText w:val="%1.%2.%3.%4.%5.%6.%7.%8"/>
      <w:lvlJc w:val="left"/>
      <w:pPr>
        <w:tabs>
          <w:tab w:val="left" w:pos="720"/>
        </w:tabs>
        <w:ind w:left="720" w:hanging="720"/>
      </w:pPr>
      <w:rPr>
        <w:rFonts w:hint="default"/>
      </w:rPr>
    </w:lvl>
    <w:lvl w:ilvl="8" w:tentative="0">
      <w:start w:val="1"/>
      <w:numFmt w:val="decimal"/>
      <w:lvlText w:val="%1.%2.%3.%4.%5.%6.%7.%8.%9"/>
      <w:lvlJc w:val="left"/>
      <w:pPr>
        <w:tabs>
          <w:tab w:val="left" w:pos="720"/>
        </w:tabs>
        <w:ind w:left="720" w:hanging="720"/>
      </w:pPr>
      <w:rPr>
        <w:rFonts w:hint="default"/>
      </w:rPr>
    </w:lvl>
  </w:abstractNum>
  <w:abstractNum w:abstractNumId="8">
    <w:nsid w:val="48B91767"/>
    <w:multiLevelType w:val="multilevel"/>
    <w:tmpl w:val="48B91767"/>
    <w:lvl w:ilvl="0" w:tentative="0">
      <w:start w:val="21"/>
      <w:numFmt w:val="decimal"/>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735"/>
        </w:tabs>
        <w:ind w:left="735" w:hanging="735"/>
      </w:pPr>
      <w:rPr>
        <w:rFonts w:hint="default"/>
      </w:rPr>
    </w:lvl>
    <w:lvl w:ilvl="3" w:tentative="0">
      <w:start w:val="1"/>
      <w:numFmt w:val="decimal"/>
      <w:lvlText w:val="%1.%2.%3.%4"/>
      <w:lvlJc w:val="left"/>
      <w:pPr>
        <w:tabs>
          <w:tab w:val="left" w:pos="735"/>
        </w:tabs>
        <w:ind w:left="735" w:hanging="735"/>
      </w:pPr>
      <w:rPr>
        <w:rFonts w:hint="default"/>
      </w:rPr>
    </w:lvl>
    <w:lvl w:ilvl="4" w:tentative="0">
      <w:start w:val="1"/>
      <w:numFmt w:val="decimal"/>
      <w:lvlText w:val="%1.%2.%3.%4.%5"/>
      <w:lvlJc w:val="left"/>
      <w:pPr>
        <w:tabs>
          <w:tab w:val="left" w:pos="735"/>
        </w:tabs>
        <w:ind w:left="735" w:hanging="735"/>
      </w:pPr>
      <w:rPr>
        <w:rFonts w:hint="default"/>
      </w:rPr>
    </w:lvl>
    <w:lvl w:ilvl="5" w:tentative="0">
      <w:start w:val="1"/>
      <w:numFmt w:val="decimal"/>
      <w:lvlText w:val="%1.%2.%3.%4.%5.%6"/>
      <w:lvlJc w:val="left"/>
      <w:pPr>
        <w:tabs>
          <w:tab w:val="left" w:pos="735"/>
        </w:tabs>
        <w:ind w:left="735" w:hanging="735"/>
      </w:pPr>
      <w:rPr>
        <w:rFonts w:hint="default"/>
      </w:rPr>
    </w:lvl>
    <w:lvl w:ilvl="6" w:tentative="0">
      <w:start w:val="1"/>
      <w:numFmt w:val="decimal"/>
      <w:lvlText w:val="%1.%2.%3.%4.%5.%6.%7"/>
      <w:lvlJc w:val="left"/>
      <w:pPr>
        <w:tabs>
          <w:tab w:val="left" w:pos="735"/>
        </w:tabs>
        <w:ind w:left="735" w:hanging="735"/>
      </w:pPr>
      <w:rPr>
        <w:rFonts w:hint="default"/>
      </w:rPr>
    </w:lvl>
    <w:lvl w:ilvl="7" w:tentative="0">
      <w:start w:val="1"/>
      <w:numFmt w:val="decimal"/>
      <w:lvlText w:val="%1.%2.%3.%4.%5.%6.%7.%8"/>
      <w:lvlJc w:val="left"/>
      <w:pPr>
        <w:tabs>
          <w:tab w:val="left" w:pos="735"/>
        </w:tabs>
        <w:ind w:left="735" w:hanging="735"/>
      </w:pPr>
      <w:rPr>
        <w:rFonts w:hint="default"/>
      </w:rPr>
    </w:lvl>
    <w:lvl w:ilvl="8" w:tentative="0">
      <w:start w:val="1"/>
      <w:numFmt w:val="decimal"/>
      <w:lvlText w:val="%1.%2.%3.%4.%5.%6.%7.%8.%9"/>
      <w:lvlJc w:val="left"/>
      <w:pPr>
        <w:tabs>
          <w:tab w:val="left" w:pos="735"/>
        </w:tabs>
        <w:ind w:left="735" w:hanging="735"/>
      </w:pPr>
      <w:rPr>
        <w:rFonts w:hint="default"/>
      </w:rPr>
    </w:lvl>
  </w:abstractNum>
  <w:abstractNum w:abstractNumId="9">
    <w:nsid w:val="5D124952"/>
    <w:multiLevelType w:val="multilevel"/>
    <w:tmpl w:val="5D124952"/>
    <w:lvl w:ilvl="0" w:tentative="0">
      <w:start w:val="18"/>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720"/>
        </w:tabs>
        <w:ind w:left="720" w:hanging="720"/>
      </w:pPr>
      <w:rPr>
        <w:rFonts w:hint="default"/>
      </w:rPr>
    </w:lvl>
    <w:lvl w:ilvl="5" w:tentative="0">
      <w:start w:val="1"/>
      <w:numFmt w:val="decimal"/>
      <w:lvlText w:val="%1.%2.%3.%4.%5.%6"/>
      <w:lvlJc w:val="left"/>
      <w:pPr>
        <w:tabs>
          <w:tab w:val="left" w:pos="720"/>
        </w:tabs>
        <w:ind w:left="720" w:hanging="720"/>
      </w:pPr>
      <w:rPr>
        <w:rFonts w:hint="default"/>
      </w:rPr>
    </w:lvl>
    <w:lvl w:ilvl="6" w:tentative="0">
      <w:start w:val="1"/>
      <w:numFmt w:val="decimal"/>
      <w:lvlText w:val="%1.%2.%3.%4.%5.%6.%7"/>
      <w:lvlJc w:val="left"/>
      <w:pPr>
        <w:tabs>
          <w:tab w:val="left" w:pos="720"/>
        </w:tabs>
        <w:ind w:left="720" w:hanging="720"/>
      </w:pPr>
      <w:rPr>
        <w:rFonts w:hint="default"/>
      </w:rPr>
    </w:lvl>
    <w:lvl w:ilvl="7" w:tentative="0">
      <w:start w:val="1"/>
      <w:numFmt w:val="decimal"/>
      <w:lvlText w:val="%1.%2.%3.%4.%5.%6.%7.%8"/>
      <w:lvlJc w:val="left"/>
      <w:pPr>
        <w:tabs>
          <w:tab w:val="left" w:pos="720"/>
        </w:tabs>
        <w:ind w:left="720" w:hanging="720"/>
      </w:pPr>
      <w:rPr>
        <w:rFonts w:hint="default"/>
      </w:rPr>
    </w:lvl>
    <w:lvl w:ilvl="8" w:tentative="0">
      <w:start w:val="1"/>
      <w:numFmt w:val="decimal"/>
      <w:lvlText w:val="%1.%2.%3.%4.%5.%6.%7.%8.%9"/>
      <w:lvlJc w:val="left"/>
      <w:pPr>
        <w:tabs>
          <w:tab w:val="left" w:pos="720"/>
        </w:tabs>
        <w:ind w:left="720" w:hanging="720"/>
      </w:pPr>
      <w:rPr>
        <w:rFonts w:hint="default"/>
      </w:rPr>
    </w:lvl>
  </w:abstractNum>
  <w:abstractNum w:abstractNumId="10">
    <w:nsid w:val="5DA71ACD"/>
    <w:multiLevelType w:val="multilevel"/>
    <w:tmpl w:val="5DA71ACD"/>
    <w:lvl w:ilvl="0" w:tentative="0">
      <w:start w:val="3"/>
      <w:numFmt w:val="decimal"/>
      <w:lvlText w:val="%1"/>
      <w:lvlJc w:val="left"/>
      <w:pPr>
        <w:tabs>
          <w:tab w:val="left" w:pos="705"/>
        </w:tabs>
        <w:ind w:left="705" w:hanging="705"/>
      </w:pPr>
      <w:rPr>
        <w:rFonts w:hint="default"/>
      </w:rPr>
    </w:lvl>
    <w:lvl w:ilvl="1" w:tentative="0">
      <w:start w:val="1"/>
      <w:numFmt w:val="decimal"/>
      <w:lvlText w:val="%1.%2"/>
      <w:lvlJc w:val="left"/>
      <w:pPr>
        <w:tabs>
          <w:tab w:val="left" w:pos="705"/>
        </w:tabs>
        <w:ind w:left="705" w:hanging="705"/>
      </w:pPr>
      <w:rPr>
        <w:rFonts w:hint="default"/>
      </w:rPr>
    </w:lvl>
    <w:lvl w:ilvl="2" w:tentative="0">
      <w:start w:val="1"/>
      <w:numFmt w:val="decimal"/>
      <w:lvlText w:val="%1.%2.%3"/>
      <w:lvlJc w:val="left"/>
      <w:pPr>
        <w:tabs>
          <w:tab w:val="left" w:pos="705"/>
        </w:tabs>
        <w:ind w:left="705" w:hanging="705"/>
      </w:pPr>
      <w:rPr>
        <w:rFonts w:hint="default"/>
      </w:rPr>
    </w:lvl>
    <w:lvl w:ilvl="3" w:tentative="0">
      <w:start w:val="1"/>
      <w:numFmt w:val="decimal"/>
      <w:lvlText w:val="%1.%2.%3.%4"/>
      <w:lvlJc w:val="left"/>
      <w:pPr>
        <w:tabs>
          <w:tab w:val="left" w:pos="705"/>
        </w:tabs>
        <w:ind w:left="705" w:hanging="705"/>
      </w:pPr>
      <w:rPr>
        <w:rFonts w:hint="default"/>
      </w:rPr>
    </w:lvl>
    <w:lvl w:ilvl="4" w:tentative="0">
      <w:start w:val="1"/>
      <w:numFmt w:val="decimal"/>
      <w:lvlText w:val="%1.%2.%3.%4.%5"/>
      <w:lvlJc w:val="left"/>
      <w:pPr>
        <w:tabs>
          <w:tab w:val="left" w:pos="705"/>
        </w:tabs>
        <w:ind w:left="705" w:hanging="705"/>
      </w:pPr>
      <w:rPr>
        <w:rFonts w:hint="default"/>
      </w:rPr>
    </w:lvl>
    <w:lvl w:ilvl="5" w:tentative="0">
      <w:start w:val="1"/>
      <w:numFmt w:val="decimal"/>
      <w:lvlText w:val="%1.%2.%3.%4.%5.%6"/>
      <w:lvlJc w:val="left"/>
      <w:pPr>
        <w:tabs>
          <w:tab w:val="left" w:pos="705"/>
        </w:tabs>
        <w:ind w:left="705" w:hanging="705"/>
      </w:pPr>
      <w:rPr>
        <w:rFonts w:hint="default"/>
      </w:rPr>
    </w:lvl>
    <w:lvl w:ilvl="6" w:tentative="0">
      <w:start w:val="1"/>
      <w:numFmt w:val="decimal"/>
      <w:lvlText w:val="%1.%2.%3.%4.%5.%6.%7"/>
      <w:lvlJc w:val="left"/>
      <w:pPr>
        <w:tabs>
          <w:tab w:val="left" w:pos="705"/>
        </w:tabs>
        <w:ind w:left="705" w:hanging="705"/>
      </w:pPr>
      <w:rPr>
        <w:rFonts w:hint="default"/>
      </w:rPr>
    </w:lvl>
    <w:lvl w:ilvl="7" w:tentative="0">
      <w:start w:val="1"/>
      <w:numFmt w:val="decimal"/>
      <w:lvlText w:val="%1.%2.%3.%4.%5.%6.%7.%8"/>
      <w:lvlJc w:val="left"/>
      <w:pPr>
        <w:tabs>
          <w:tab w:val="left" w:pos="705"/>
        </w:tabs>
        <w:ind w:left="705" w:hanging="705"/>
      </w:pPr>
      <w:rPr>
        <w:rFonts w:hint="default"/>
      </w:rPr>
    </w:lvl>
    <w:lvl w:ilvl="8" w:tentative="0">
      <w:start w:val="1"/>
      <w:numFmt w:val="decimal"/>
      <w:lvlText w:val="%1.%2.%3.%4.%5.%6.%7.%8.%9"/>
      <w:lvlJc w:val="left"/>
      <w:pPr>
        <w:tabs>
          <w:tab w:val="left" w:pos="705"/>
        </w:tabs>
        <w:ind w:left="705" w:hanging="705"/>
      </w:pPr>
      <w:rPr>
        <w:rFonts w:hint="default"/>
      </w:rPr>
    </w:lvl>
  </w:abstractNum>
  <w:abstractNum w:abstractNumId="11">
    <w:nsid w:val="68623EA4"/>
    <w:multiLevelType w:val="multilevel"/>
    <w:tmpl w:val="68623EA4"/>
    <w:lvl w:ilvl="0" w:tentative="0">
      <w:start w:val="2"/>
      <w:numFmt w:val="decimal"/>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735"/>
        </w:tabs>
        <w:ind w:left="735" w:hanging="735"/>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79DF3470"/>
    <w:multiLevelType w:val="multilevel"/>
    <w:tmpl w:val="79DF3470"/>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B17749C"/>
    <w:multiLevelType w:val="multilevel"/>
    <w:tmpl w:val="7B17749C"/>
    <w:lvl w:ilvl="0" w:tentative="0">
      <w:start w:val="10"/>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720"/>
        </w:tabs>
        <w:ind w:left="720" w:hanging="720"/>
      </w:pPr>
      <w:rPr>
        <w:rFonts w:hint="default"/>
      </w:rPr>
    </w:lvl>
    <w:lvl w:ilvl="5" w:tentative="0">
      <w:start w:val="1"/>
      <w:numFmt w:val="decimal"/>
      <w:lvlText w:val="%1.%2.%3.%4.%5.%6"/>
      <w:lvlJc w:val="left"/>
      <w:pPr>
        <w:tabs>
          <w:tab w:val="left" w:pos="720"/>
        </w:tabs>
        <w:ind w:left="720" w:hanging="720"/>
      </w:pPr>
      <w:rPr>
        <w:rFonts w:hint="default"/>
      </w:rPr>
    </w:lvl>
    <w:lvl w:ilvl="6" w:tentative="0">
      <w:start w:val="1"/>
      <w:numFmt w:val="decimal"/>
      <w:lvlText w:val="%1.%2.%3.%4.%5.%6.%7"/>
      <w:lvlJc w:val="left"/>
      <w:pPr>
        <w:tabs>
          <w:tab w:val="left" w:pos="720"/>
        </w:tabs>
        <w:ind w:left="720" w:hanging="720"/>
      </w:pPr>
      <w:rPr>
        <w:rFonts w:hint="default"/>
      </w:rPr>
    </w:lvl>
    <w:lvl w:ilvl="7" w:tentative="0">
      <w:start w:val="1"/>
      <w:numFmt w:val="decimal"/>
      <w:lvlText w:val="%1.%2.%3.%4.%5.%6.%7.%8"/>
      <w:lvlJc w:val="left"/>
      <w:pPr>
        <w:tabs>
          <w:tab w:val="left" w:pos="720"/>
        </w:tabs>
        <w:ind w:left="720" w:hanging="720"/>
      </w:pPr>
      <w:rPr>
        <w:rFonts w:hint="default"/>
      </w:rPr>
    </w:lvl>
    <w:lvl w:ilvl="8" w:tentative="0">
      <w:start w:val="1"/>
      <w:numFmt w:val="decimal"/>
      <w:lvlText w:val="%1.%2.%3.%4.%5.%6.%7.%8.%9"/>
      <w:lvlJc w:val="left"/>
      <w:pPr>
        <w:tabs>
          <w:tab w:val="left" w:pos="720"/>
        </w:tabs>
        <w:ind w:left="720" w:hanging="720"/>
      </w:pPr>
      <w:rPr>
        <w:rFonts w:hint="default"/>
      </w:rPr>
    </w:lvl>
  </w:abstractNum>
  <w:abstractNum w:abstractNumId="14">
    <w:nsid w:val="7E1F45F8"/>
    <w:multiLevelType w:val="multilevel"/>
    <w:tmpl w:val="7E1F45F8"/>
    <w:lvl w:ilvl="0" w:tentative="0">
      <w:start w:val="17"/>
      <w:numFmt w:val="decimal"/>
      <w:lvlText w:val="%1"/>
      <w:lvlJc w:val="left"/>
      <w:pPr>
        <w:tabs>
          <w:tab w:val="left" w:pos="720"/>
        </w:tabs>
        <w:ind w:left="720" w:hanging="720"/>
      </w:pPr>
      <w:rPr>
        <w:rFonts w:hint="default"/>
      </w:rPr>
    </w:lvl>
    <w:lvl w:ilvl="1" w:tentative="0">
      <w:start w:val="3"/>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720"/>
        </w:tabs>
        <w:ind w:left="720" w:hanging="720"/>
      </w:pPr>
      <w:rPr>
        <w:rFonts w:hint="default"/>
      </w:rPr>
    </w:lvl>
    <w:lvl w:ilvl="5" w:tentative="0">
      <w:start w:val="1"/>
      <w:numFmt w:val="decimal"/>
      <w:lvlText w:val="%1.%2.%3.%4.%5.%6"/>
      <w:lvlJc w:val="left"/>
      <w:pPr>
        <w:tabs>
          <w:tab w:val="left" w:pos="720"/>
        </w:tabs>
        <w:ind w:left="720" w:hanging="720"/>
      </w:pPr>
      <w:rPr>
        <w:rFonts w:hint="default"/>
      </w:rPr>
    </w:lvl>
    <w:lvl w:ilvl="6" w:tentative="0">
      <w:start w:val="1"/>
      <w:numFmt w:val="decimal"/>
      <w:lvlText w:val="%1.%2.%3.%4.%5.%6.%7"/>
      <w:lvlJc w:val="left"/>
      <w:pPr>
        <w:tabs>
          <w:tab w:val="left" w:pos="720"/>
        </w:tabs>
        <w:ind w:left="720" w:hanging="720"/>
      </w:pPr>
      <w:rPr>
        <w:rFonts w:hint="default"/>
      </w:rPr>
    </w:lvl>
    <w:lvl w:ilvl="7" w:tentative="0">
      <w:start w:val="1"/>
      <w:numFmt w:val="decimal"/>
      <w:lvlText w:val="%1.%2.%3.%4.%5.%6.%7.%8"/>
      <w:lvlJc w:val="left"/>
      <w:pPr>
        <w:tabs>
          <w:tab w:val="left" w:pos="720"/>
        </w:tabs>
        <w:ind w:left="720" w:hanging="720"/>
      </w:pPr>
      <w:rPr>
        <w:rFonts w:hint="default"/>
      </w:rPr>
    </w:lvl>
    <w:lvl w:ilvl="8" w:tentative="0">
      <w:start w:val="1"/>
      <w:numFmt w:val="decimal"/>
      <w:lvlText w:val="%1.%2.%3.%4.%5.%6.%7.%8.%9"/>
      <w:lvlJc w:val="left"/>
      <w:pPr>
        <w:tabs>
          <w:tab w:val="left" w:pos="720"/>
        </w:tabs>
        <w:ind w:left="720" w:hanging="720"/>
      </w:pPr>
      <w:rPr>
        <w:rFonts w:hint="default"/>
      </w:rPr>
    </w:lvl>
  </w:abstractNum>
  <w:num w:numId="1">
    <w:abstractNumId w:val="12"/>
  </w:num>
  <w:num w:numId="2">
    <w:abstractNumId w:val="1"/>
  </w:num>
  <w:num w:numId="3">
    <w:abstractNumId w:val="4"/>
  </w:num>
  <w:num w:numId="4">
    <w:abstractNumId w:val="11"/>
  </w:num>
  <w:num w:numId="5">
    <w:abstractNumId w:val="10"/>
  </w:num>
  <w:num w:numId="6">
    <w:abstractNumId w:val="5"/>
  </w:num>
  <w:num w:numId="7">
    <w:abstractNumId w:val="13"/>
  </w:num>
  <w:num w:numId="8">
    <w:abstractNumId w:val="3"/>
  </w:num>
  <w:num w:numId="9">
    <w:abstractNumId w:val="6"/>
  </w:num>
  <w:num w:numId="10">
    <w:abstractNumId w:val="14"/>
  </w:num>
  <w:num w:numId="11">
    <w:abstractNumId w:val="9"/>
  </w:num>
  <w:num w:numId="12">
    <w:abstractNumId w:val="7"/>
  </w:num>
  <w:num w:numId="13">
    <w:abstractNumId w:val="8"/>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doNotValidateAgainstSchema/>
  <w:doNotDemarcateInvalidXml/>
  <w:hdrShapeDefaults>
    <o:shapelayout v:ext="edit">
      <o:idmap v:ext="edit" data="3,4"/>
    </o:shapelayout>
  </w:hdrShapeDefaults>
  <w:footnotePr>
    <w:numFmt w:val="decimalEnclosedCircleChinese"/>
    <w:numRestart w:val="eachPage"/>
  </w:foot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3C4"/>
    <w:rsid w:val="00005FD9"/>
    <w:rsid w:val="00012AD1"/>
    <w:rsid w:val="00012E59"/>
    <w:rsid w:val="0001458D"/>
    <w:rsid w:val="00014DB6"/>
    <w:rsid w:val="00016E4E"/>
    <w:rsid w:val="00020774"/>
    <w:rsid w:val="00021314"/>
    <w:rsid w:val="00022D08"/>
    <w:rsid w:val="0002702F"/>
    <w:rsid w:val="0003303E"/>
    <w:rsid w:val="000334DC"/>
    <w:rsid w:val="00033666"/>
    <w:rsid w:val="00033782"/>
    <w:rsid w:val="000344AC"/>
    <w:rsid w:val="0003577F"/>
    <w:rsid w:val="00037045"/>
    <w:rsid w:val="0003781F"/>
    <w:rsid w:val="00046596"/>
    <w:rsid w:val="00046E09"/>
    <w:rsid w:val="00047919"/>
    <w:rsid w:val="00051957"/>
    <w:rsid w:val="00052D64"/>
    <w:rsid w:val="000561FF"/>
    <w:rsid w:val="000604B5"/>
    <w:rsid w:val="00061E0C"/>
    <w:rsid w:val="0006262E"/>
    <w:rsid w:val="00063074"/>
    <w:rsid w:val="00066383"/>
    <w:rsid w:val="0006770B"/>
    <w:rsid w:val="00072009"/>
    <w:rsid w:val="0007236A"/>
    <w:rsid w:val="000772D7"/>
    <w:rsid w:val="00077E52"/>
    <w:rsid w:val="00077FD1"/>
    <w:rsid w:val="00080F64"/>
    <w:rsid w:val="00083537"/>
    <w:rsid w:val="00085B39"/>
    <w:rsid w:val="00090D08"/>
    <w:rsid w:val="00093865"/>
    <w:rsid w:val="000953F5"/>
    <w:rsid w:val="000964A8"/>
    <w:rsid w:val="000970D2"/>
    <w:rsid w:val="00097DEB"/>
    <w:rsid w:val="000A0AA7"/>
    <w:rsid w:val="000A1FF3"/>
    <w:rsid w:val="000A3161"/>
    <w:rsid w:val="000A5F0E"/>
    <w:rsid w:val="000B55F4"/>
    <w:rsid w:val="000B5DD3"/>
    <w:rsid w:val="000B6B6E"/>
    <w:rsid w:val="000E168D"/>
    <w:rsid w:val="000E2364"/>
    <w:rsid w:val="000E40C2"/>
    <w:rsid w:val="000E457F"/>
    <w:rsid w:val="000F0967"/>
    <w:rsid w:val="000F465A"/>
    <w:rsid w:val="000F5887"/>
    <w:rsid w:val="00100A26"/>
    <w:rsid w:val="00102804"/>
    <w:rsid w:val="00106BCA"/>
    <w:rsid w:val="00107B4C"/>
    <w:rsid w:val="0011348D"/>
    <w:rsid w:val="00113954"/>
    <w:rsid w:val="0011461B"/>
    <w:rsid w:val="0012203E"/>
    <w:rsid w:val="00123316"/>
    <w:rsid w:val="00123FA6"/>
    <w:rsid w:val="0012456C"/>
    <w:rsid w:val="00130310"/>
    <w:rsid w:val="001317C4"/>
    <w:rsid w:val="00131C21"/>
    <w:rsid w:val="001324F8"/>
    <w:rsid w:val="001364A5"/>
    <w:rsid w:val="00137A94"/>
    <w:rsid w:val="00137F7B"/>
    <w:rsid w:val="00140F00"/>
    <w:rsid w:val="00141CC8"/>
    <w:rsid w:val="001432EF"/>
    <w:rsid w:val="0014386B"/>
    <w:rsid w:val="0014393E"/>
    <w:rsid w:val="00150219"/>
    <w:rsid w:val="001520DA"/>
    <w:rsid w:val="00154C00"/>
    <w:rsid w:val="00160359"/>
    <w:rsid w:val="001605DE"/>
    <w:rsid w:val="001617A2"/>
    <w:rsid w:val="00165FF1"/>
    <w:rsid w:val="001704E3"/>
    <w:rsid w:val="0017513D"/>
    <w:rsid w:val="00176DE5"/>
    <w:rsid w:val="00180B19"/>
    <w:rsid w:val="0018331D"/>
    <w:rsid w:val="00193811"/>
    <w:rsid w:val="00194A9D"/>
    <w:rsid w:val="001961BD"/>
    <w:rsid w:val="00197F20"/>
    <w:rsid w:val="001A1972"/>
    <w:rsid w:val="001B099D"/>
    <w:rsid w:val="001B2F5F"/>
    <w:rsid w:val="001B37CA"/>
    <w:rsid w:val="001B595A"/>
    <w:rsid w:val="001B604D"/>
    <w:rsid w:val="001B647A"/>
    <w:rsid w:val="001B79EA"/>
    <w:rsid w:val="001C0E51"/>
    <w:rsid w:val="001C2F4B"/>
    <w:rsid w:val="001C5576"/>
    <w:rsid w:val="001D4A1C"/>
    <w:rsid w:val="001D5430"/>
    <w:rsid w:val="001D6FC8"/>
    <w:rsid w:val="001D71F9"/>
    <w:rsid w:val="001D7BA9"/>
    <w:rsid w:val="001E0F56"/>
    <w:rsid w:val="001E137F"/>
    <w:rsid w:val="001E2B4F"/>
    <w:rsid w:val="001E4368"/>
    <w:rsid w:val="001E5366"/>
    <w:rsid w:val="001F24B4"/>
    <w:rsid w:val="001F2A1B"/>
    <w:rsid w:val="001F432A"/>
    <w:rsid w:val="001F5D04"/>
    <w:rsid w:val="00200603"/>
    <w:rsid w:val="00211156"/>
    <w:rsid w:val="00213CD4"/>
    <w:rsid w:val="00215128"/>
    <w:rsid w:val="00217165"/>
    <w:rsid w:val="0021771A"/>
    <w:rsid w:val="002222F2"/>
    <w:rsid w:val="00222C87"/>
    <w:rsid w:val="00223FFF"/>
    <w:rsid w:val="00226F0F"/>
    <w:rsid w:val="00231E70"/>
    <w:rsid w:val="00234D25"/>
    <w:rsid w:val="00240F4E"/>
    <w:rsid w:val="0024265A"/>
    <w:rsid w:val="00243D00"/>
    <w:rsid w:val="002447EC"/>
    <w:rsid w:val="0024758B"/>
    <w:rsid w:val="00254DE2"/>
    <w:rsid w:val="002550B7"/>
    <w:rsid w:val="002563A3"/>
    <w:rsid w:val="00260BD3"/>
    <w:rsid w:val="00261036"/>
    <w:rsid w:val="0026171E"/>
    <w:rsid w:val="00262EFF"/>
    <w:rsid w:val="00271212"/>
    <w:rsid w:val="00276351"/>
    <w:rsid w:val="002821A7"/>
    <w:rsid w:val="002823D2"/>
    <w:rsid w:val="00283E08"/>
    <w:rsid w:val="00285FBD"/>
    <w:rsid w:val="002871B7"/>
    <w:rsid w:val="0029228F"/>
    <w:rsid w:val="002957F3"/>
    <w:rsid w:val="002A18F4"/>
    <w:rsid w:val="002A40AB"/>
    <w:rsid w:val="002A6706"/>
    <w:rsid w:val="002B09B3"/>
    <w:rsid w:val="002B16A7"/>
    <w:rsid w:val="002B176E"/>
    <w:rsid w:val="002B18E6"/>
    <w:rsid w:val="002B1D3D"/>
    <w:rsid w:val="002B4900"/>
    <w:rsid w:val="002B6831"/>
    <w:rsid w:val="002B717B"/>
    <w:rsid w:val="002C0D03"/>
    <w:rsid w:val="002C12FC"/>
    <w:rsid w:val="002D0536"/>
    <w:rsid w:val="002D1490"/>
    <w:rsid w:val="002D2129"/>
    <w:rsid w:val="002D630D"/>
    <w:rsid w:val="002D7708"/>
    <w:rsid w:val="002E1BDA"/>
    <w:rsid w:val="002E2FF2"/>
    <w:rsid w:val="002E3946"/>
    <w:rsid w:val="002E4BA7"/>
    <w:rsid w:val="002E6AEC"/>
    <w:rsid w:val="002E6E36"/>
    <w:rsid w:val="002E7CFF"/>
    <w:rsid w:val="002F1618"/>
    <w:rsid w:val="002F3AF3"/>
    <w:rsid w:val="002F4267"/>
    <w:rsid w:val="002F4F35"/>
    <w:rsid w:val="002F6246"/>
    <w:rsid w:val="002F6F60"/>
    <w:rsid w:val="00300F46"/>
    <w:rsid w:val="003022AC"/>
    <w:rsid w:val="00302C54"/>
    <w:rsid w:val="00304FFE"/>
    <w:rsid w:val="00305A2A"/>
    <w:rsid w:val="00307ECA"/>
    <w:rsid w:val="00310CB4"/>
    <w:rsid w:val="0031388D"/>
    <w:rsid w:val="00314C72"/>
    <w:rsid w:val="003209D5"/>
    <w:rsid w:val="003209E5"/>
    <w:rsid w:val="00322C04"/>
    <w:rsid w:val="003237F2"/>
    <w:rsid w:val="00323858"/>
    <w:rsid w:val="00325551"/>
    <w:rsid w:val="00326AB3"/>
    <w:rsid w:val="0033149B"/>
    <w:rsid w:val="00332B85"/>
    <w:rsid w:val="00334283"/>
    <w:rsid w:val="00336AE6"/>
    <w:rsid w:val="003401FE"/>
    <w:rsid w:val="00342405"/>
    <w:rsid w:val="003431FD"/>
    <w:rsid w:val="003446EE"/>
    <w:rsid w:val="00344CB2"/>
    <w:rsid w:val="00345641"/>
    <w:rsid w:val="0035112B"/>
    <w:rsid w:val="00351EBD"/>
    <w:rsid w:val="00353E4E"/>
    <w:rsid w:val="003545A4"/>
    <w:rsid w:val="00354AB3"/>
    <w:rsid w:val="00360ADF"/>
    <w:rsid w:val="003625E7"/>
    <w:rsid w:val="0036332F"/>
    <w:rsid w:val="00365E2B"/>
    <w:rsid w:val="003732B6"/>
    <w:rsid w:val="00375958"/>
    <w:rsid w:val="00376578"/>
    <w:rsid w:val="00376768"/>
    <w:rsid w:val="00380E5A"/>
    <w:rsid w:val="00382A5F"/>
    <w:rsid w:val="003874E0"/>
    <w:rsid w:val="00391440"/>
    <w:rsid w:val="0039571F"/>
    <w:rsid w:val="003A22D0"/>
    <w:rsid w:val="003A4B0D"/>
    <w:rsid w:val="003A5939"/>
    <w:rsid w:val="003A785B"/>
    <w:rsid w:val="003D05F2"/>
    <w:rsid w:val="003D2DC3"/>
    <w:rsid w:val="003D53EE"/>
    <w:rsid w:val="003D737A"/>
    <w:rsid w:val="003E2845"/>
    <w:rsid w:val="003E5B1B"/>
    <w:rsid w:val="003E5BBC"/>
    <w:rsid w:val="003F181B"/>
    <w:rsid w:val="003F5DBC"/>
    <w:rsid w:val="00400FAA"/>
    <w:rsid w:val="00406938"/>
    <w:rsid w:val="0041285A"/>
    <w:rsid w:val="0041602D"/>
    <w:rsid w:val="00417699"/>
    <w:rsid w:val="004176B4"/>
    <w:rsid w:val="00417E86"/>
    <w:rsid w:val="0042301D"/>
    <w:rsid w:val="00426FED"/>
    <w:rsid w:val="004272C3"/>
    <w:rsid w:val="00427F94"/>
    <w:rsid w:val="004407C6"/>
    <w:rsid w:val="0044254B"/>
    <w:rsid w:val="0044458F"/>
    <w:rsid w:val="00445565"/>
    <w:rsid w:val="00445DA2"/>
    <w:rsid w:val="00450833"/>
    <w:rsid w:val="00451903"/>
    <w:rsid w:val="00451D8A"/>
    <w:rsid w:val="004524D9"/>
    <w:rsid w:val="004571B8"/>
    <w:rsid w:val="00457DD2"/>
    <w:rsid w:val="004627D8"/>
    <w:rsid w:val="00464443"/>
    <w:rsid w:val="004660F9"/>
    <w:rsid w:val="00467454"/>
    <w:rsid w:val="00470CC6"/>
    <w:rsid w:val="00477EB6"/>
    <w:rsid w:val="00481550"/>
    <w:rsid w:val="004835F0"/>
    <w:rsid w:val="00491E73"/>
    <w:rsid w:val="004A0A2D"/>
    <w:rsid w:val="004A3E3E"/>
    <w:rsid w:val="004A5C7E"/>
    <w:rsid w:val="004A7B54"/>
    <w:rsid w:val="004B241D"/>
    <w:rsid w:val="004B3323"/>
    <w:rsid w:val="004B4344"/>
    <w:rsid w:val="004B69A2"/>
    <w:rsid w:val="004B7C98"/>
    <w:rsid w:val="004C0DFB"/>
    <w:rsid w:val="004C18D7"/>
    <w:rsid w:val="004C1E7D"/>
    <w:rsid w:val="004C4AA7"/>
    <w:rsid w:val="004C5514"/>
    <w:rsid w:val="004E3528"/>
    <w:rsid w:val="004E4B8B"/>
    <w:rsid w:val="004E79F6"/>
    <w:rsid w:val="004F005F"/>
    <w:rsid w:val="004F065E"/>
    <w:rsid w:val="004F0E06"/>
    <w:rsid w:val="004F45ED"/>
    <w:rsid w:val="004F4A8C"/>
    <w:rsid w:val="004F4BDE"/>
    <w:rsid w:val="004F5906"/>
    <w:rsid w:val="004F5989"/>
    <w:rsid w:val="00500BDF"/>
    <w:rsid w:val="00510C43"/>
    <w:rsid w:val="00511B7A"/>
    <w:rsid w:val="00511BE1"/>
    <w:rsid w:val="00513580"/>
    <w:rsid w:val="00514C61"/>
    <w:rsid w:val="00515E07"/>
    <w:rsid w:val="005165FD"/>
    <w:rsid w:val="00516F9D"/>
    <w:rsid w:val="00517214"/>
    <w:rsid w:val="005223FB"/>
    <w:rsid w:val="00524FCD"/>
    <w:rsid w:val="00525D7C"/>
    <w:rsid w:val="005263E6"/>
    <w:rsid w:val="00527D6B"/>
    <w:rsid w:val="00534F3D"/>
    <w:rsid w:val="00535032"/>
    <w:rsid w:val="0053766A"/>
    <w:rsid w:val="00540347"/>
    <w:rsid w:val="00544172"/>
    <w:rsid w:val="00544A4F"/>
    <w:rsid w:val="005454FC"/>
    <w:rsid w:val="005507E6"/>
    <w:rsid w:val="00551AFE"/>
    <w:rsid w:val="00551C82"/>
    <w:rsid w:val="00560800"/>
    <w:rsid w:val="00564601"/>
    <w:rsid w:val="00564B58"/>
    <w:rsid w:val="00566180"/>
    <w:rsid w:val="0057071C"/>
    <w:rsid w:val="00572434"/>
    <w:rsid w:val="00573233"/>
    <w:rsid w:val="00573467"/>
    <w:rsid w:val="00574BFF"/>
    <w:rsid w:val="00577BF9"/>
    <w:rsid w:val="00581CBA"/>
    <w:rsid w:val="0058213F"/>
    <w:rsid w:val="0058346D"/>
    <w:rsid w:val="0058632C"/>
    <w:rsid w:val="005870EF"/>
    <w:rsid w:val="00591EEB"/>
    <w:rsid w:val="00594DD0"/>
    <w:rsid w:val="00597403"/>
    <w:rsid w:val="005A133D"/>
    <w:rsid w:val="005A2247"/>
    <w:rsid w:val="005A2F37"/>
    <w:rsid w:val="005A5C70"/>
    <w:rsid w:val="005B0EBF"/>
    <w:rsid w:val="005B338F"/>
    <w:rsid w:val="005B4A8F"/>
    <w:rsid w:val="005B644E"/>
    <w:rsid w:val="005C050D"/>
    <w:rsid w:val="005C3790"/>
    <w:rsid w:val="005C422C"/>
    <w:rsid w:val="005C60E5"/>
    <w:rsid w:val="005D21DF"/>
    <w:rsid w:val="005D2996"/>
    <w:rsid w:val="005D42A4"/>
    <w:rsid w:val="005E1831"/>
    <w:rsid w:val="005E22AA"/>
    <w:rsid w:val="005E4040"/>
    <w:rsid w:val="005E58AE"/>
    <w:rsid w:val="005F34FA"/>
    <w:rsid w:val="005F5E88"/>
    <w:rsid w:val="005F701B"/>
    <w:rsid w:val="00601AD5"/>
    <w:rsid w:val="00604512"/>
    <w:rsid w:val="006054CE"/>
    <w:rsid w:val="006075F8"/>
    <w:rsid w:val="00622DF7"/>
    <w:rsid w:val="00624F4A"/>
    <w:rsid w:val="006261DA"/>
    <w:rsid w:val="00630276"/>
    <w:rsid w:val="006305A4"/>
    <w:rsid w:val="006306E3"/>
    <w:rsid w:val="006333C5"/>
    <w:rsid w:val="00634158"/>
    <w:rsid w:val="00634D70"/>
    <w:rsid w:val="00636278"/>
    <w:rsid w:val="00640B49"/>
    <w:rsid w:val="00640E03"/>
    <w:rsid w:val="0064286D"/>
    <w:rsid w:val="006439AD"/>
    <w:rsid w:val="00644B1B"/>
    <w:rsid w:val="006452B9"/>
    <w:rsid w:val="00650094"/>
    <w:rsid w:val="00651568"/>
    <w:rsid w:val="0065702A"/>
    <w:rsid w:val="006577E6"/>
    <w:rsid w:val="006579B9"/>
    <w:rsid w:val="00660343"/>
    <w:rsid w:val="00660682"/>
    <w:rsid w:val="0066403E"/>
    <w:rsid w:val="006641DE"/>
    <w:rsid w:val="00664826"/>
    <w:rsid w:val="00666184"/>
    <w:rsid w:val="0066620D"/>
    <w:rsid w:val="00666D5A"/>
    <w:rsid w:val="00670EDA"/>
    <w:rsid w:val="00672897"/>
    <w:rsid w:val="006732C6"/>
    <w:rsid w:val="00676E8B"/>
    <w:rsid w:val="006801BF"/>
    <w:rsid w:val="00680FE0"/>
    <w:rsid w:val="006834CE"/>
    <w:rsid w:val="00683552"/>
    <w:rsid w:val="00684150"/>
    <w:rsid w:val="006963BC"/>
    <w:rsid w:val="00697DF6"/>
    <w:rsid w:val="006A103C"/>
    <w:rsid w:val="006A15E3"/>
    <w:rsid w:val="006A5691"/>
    <w:rsid w:val="006A56C2"/>
    <w:rsid w:val="006B1312"/>
    <w:rsid w:val="006B4CC6"/>
    <w:rsid w:val="006B7384"/>
    <w:rsid w:val="006C29DD"/>
    <w:rsid w:val="006C379E"/>
    <w:rsid w:val="006C3AB4"/>
    <w:rsid w:val="006C5F5A"/>
    <w:rsid w:val="006C7A05"/>
    <w:rsid w:val="006D43AB"/>
    <w:rsid w:val="006D75E0"/>
    <w:rsid w:val="006E28DC"/>
    <w:rsid w:val="006E484F"/>
    <w:rsid w:val="006E5F1F"/>
    <w:rsid w:val="006F4DF2"/>
    <w:rsid w:val="006F5851"/>
    <w:rsid w:val="006F5AB3"/>
    <w:rsid w:val="006F6E15"/>
    <w:rsid w:val="006F70A6"/>
    <w:rsid w:val="006F77CE"/>
    <w:rsid w:val="00700E7B"/>
    <w:rsid w:val="00703483"/>
    <w:rsid w:val="0070372C"/>
    <w:rsid w:val="00705C2D"/>
    <w:rsid w:val="00710D2A"/>
    <w:rsid w:val="00712BA8"/>
    <w:rsid w:val="00712E60"/>
    <w:rsid w:val="0071642B"/>
    <w:rsid w:val="00716912"/>
    <w:rsid w:val="00716BAF"/>
    <w:rsid w:val="0072215A"/>
    <w:rsid w:val="00723F4D"/>
    <w:rsid w:val="007322AA"/>
    <w:rsid w:val="007372FE"/>
    <w:rsid w:val="0073755F"/>
    <w:rsid w:val="00744C64"/>
    <w:rsid w:val="00745F78"/>
    <w:rsid w:val="0074612C"/>
    <w:rsid w:val="007515A1"/>
    <w:rsid w:val="007522EC"/>
    <w:rsid w:val="00752E59"/>
    <w:rsid w:val="007541E5"/>
    <w:rsid w:val="00756C72"/>
    <w:rsid w:val="00763408"/>
    <w:rsid w:val="00764AA6"/>
    <w:rsid w:val="00765398"/>
    <w:rsid w:val="00770869"/>
    <w:rsid w:val="00773516"/>
    <w:rsid w:val="007750DB"/>
    <w:rsid w:val="007751B7"/>
    <w:rsid w:val="00777917"/>
    <w:rsid w:val="00781E35"/>
    <w:rsid w:val="00782346"/>
    <w:rsid w:val="007826A9"/>
    <w:rsid w:val="00787802"/>
    <w:rsid w:val="0079199A"/>
    <w:rsid w:val="00792FD5"/>
    <w:rsid w:val="00793CF5"/>
    <w:rsid w:val="00794183"/>
    <w:rsid w:val="00794C48"/>
    <w:rsid w:val="00796395"/>
    <w:rsid w:val="007A0578"/>
    <w:rsid w:val="007A0741"/>
    <w:rsid w:val="007A7ECD"/>
    <w:rsid w:val="007B3D4C"/>
    <w:rsid w:val="007B468D"/>
    <w:rsid w:val="007B5055"/>
    <w:rsid w:val="007C33B7"/>
    <w:rsid w:val="007C36B2"/>
    <w:rsid w:val="007C4F7E"/>
    <w:rsid w:val="007C599B"/>
    <w:rsid w:val="007C7C8D"/>
    <w:rsid w:val="007D0284"/>
    <w:rsid w:val="007D02F8"/>
    <w:rsid w:val="007D665B"/>
    <w:rsid w:val="007D724D"/>
    <w:rsid w:val="007E0873"/>
    <w:rsid w:val="007E2181"/>
    <w:rsid w:val="007E2ACF"/>
    <w:rsid w:val="007E55EB"/>
    <w:rsid w:val="007E68A9"/>
    <w:rsid w:val="007E7394"/>
    <w:rsid w:val="007E79F2"/>
    <w:rsid w:val="007E7E8F"/>
    <w:rsid w:val="007F400A"/>
    <w:rsid w:val="007F6CBF"/>
    <w:rsid w:val="00803006"/>
    <w:rsid w:val="008030B5"/>
    <w:rsid w:val="00803AE6"/>
    <w:rsid w:val="00804F9F"/>
    <w:rsid w:val="00807AF7"/>
    <w:rsid w:val="00814772"/>
    <w:rsid w:val="00814CCA"/>
    <w:rsid w:val="008175C5"/>
    <w:rsid w:val="00817A90"/>
    <w:rsid w:val="0082076B"/>
    <w:rsid w:val="008210DA"/>
    <w:rsid w:val="00822345"/>
    <w:rsid w:val="008265E8"/>
    <w:rsid w:val="00827453"/>
    <w:rsid w:val="00833243"/>
    <w:rsid w:val="0083344E"/>
    <w:rsid w:val="008344AA"/>
    <w:rsid w:val="008356AC"/>
    <w:rsid w:val="00841865"/>
    <w:rsid w:val="0084274B"/>
    <w:rsid w:val="00842D21"/>
    <w:rsid w:val="00843C6E"/>
    <w:rsid w:val="00845B14"/>
    <w:rsid w:val="00847617"/>
    <w:rsid w:val="008501EB"/>
    <w:rsid w:val="00852262"/>
    <w:rsid w:val="008529B3"/>
    <w:rsid w:val="00856D73"/>
    <w:rsid w:val="00861E4F"/>
    <w:rsid w:val="00865F23"/>
    <w:rsid w:val="008729D6"/>
    <w:rsid w:val="00873E60"/>
    <w:rsid w:val="008760B0"/>
    <w:rsid w:val="008774FB"/>
    <w:rsid w:val="008845B2"/>
    <w:rsid w:val="00886040"/>
    <w:rsid w:val="00886965"/>
    <w:rsid w:val="00892BA9"/>
    <w:rsid w:val="00895B6D"/>
    <w:rsid w:val="008A0061"/>
    <w:rsid w:val="008A053E"/>
    <w:rsid w:val="008A3CB9"/>
    <w:rsid w:val="008A564F"/>
    <w:rsid w:val="008A70AF"/>
    <w:rsid w:val="008A716A"/>
    <w:rsid w:val="008A7201"/>
    <w:rsid w:val="008B2109"/>
    <w:rsid w:val="008B3CB3"/>
    <w:rsid w:val="008C70DB"/>
    <w:rsid w:val="008D156A"/>
    <w:rsid w:val="008D1B07"/>
    <w:rsid w:val="008D31BF"/>
    <w:rsid w:val="008E2178"/>
    <w:rsid w:val="008E460E"/>
    <w:rsid w:val="008E5149"/>
    <w:rsid w:val="008E6144"/>
    <w:rsid w:val="008E6204"/>
    <w:rsid w:val="008E629C"/>
    <w:rsid w:val="008F0A96"/>
    <w:rsid w:val="008F1B73"/>
    <w:rsid w:val="008F63DD"/>
    <w:rsid w:val="008F65DB"/>
    <w:rsid w:val="008F6C5E"/>
    <w:rsid w:val="009004A2"/>
    <w:rsid w:val="0090066E"/>
    <w:rsid w:val="00900ED7"/>
    <w:rsid w:val="0090244D"/>
    <w:rsid w:val="00910CF1"/>
    <w:rsid w:val="009115A0"/>
    <w:rsid w:val="00911EC4"/>
    <w:rsid w:val="0091392C"/>
    <w:rsid w:val="00913C8B"/>
    <w:rsid w:val="009150C5"/>
    <w:rsid w:val="00915BC5"/>
    <w:rsid w:val="00915E08"/>
    <w:rsid w:val="009354E3"/>
    <w:rsid w:val="0094009E"/>
    <w:rsid w:val="00943E69"/>
    <w:rsid w:val="00944C35"/>
    <w:rsid w:val="00947316"/>
    <w:rsid w:val="009529A2"/>
    <w:rsid w:val="00956B0B"/>
    <w:rsid w:val="00956F8D"/>
    <w:rsid w:val="009623AB"/>
    <w:rsid w:val="009641B5"/>
    <w:rsid w:val="00965B8D"/>
    <w:rsid w:val="00965EB8"/>
    <w:rsid w:val="009663F3"/>
    <w:rsid w:val="00967A66"/>
    <w:rsid w:val="00967F33"/>
    <w:rsid w:val="00970AD2"/>
    <w:rsid w:val="009715E1"/>
    <w:rsid w:val="00975E3D"/>
    <w:rsid w:val="00976F0C"/>
    <w:rsid w:val="00983FE4"/>
    <w:rsid w:val="00992416"/>
    <w:rsid w:val="00993803"/>
    <w:rsid w:val="009A3D86"/>
    <w:rsid w:val="009A7BAC"/>
    <w:rsid w:val="009B05FF"/>
    <w:rsid w:val="009B29A8"/>
    <w:rsid w:val="009D0492"/>
    <w:rsid w:val="009D6BF9"/>
    <w:rsid w:val="009D7BA7"/>
    <w:rsid w:val="009E34B5"/>
    <w:rsid w:val="009E3BE3"/>
    <w:rsid w:val="009E4F6F"/>
    <w:rsid w:val="009E555E"/>
    <w:rsid w:val="009F0A22"/>
    <w:rsid w:val="009F0BF5"/>
    <w:rsid w:val="009F243D"/>
    <w:rsid w:val="009F52E1"/>
    <w:rsid w:val="009F6B10"/>
    <w:rsid w:val="009F7B1E"/>
    <w:rsid w:val="00A01ED7"/>
    <w:rsid w:val="00A038E5"/>
    <w:rsid w:val="00A1141C"/>
    <w:rsid w:val="00A1678E"/>
    <w:rsid w:val="00A16825"/>
    <w:rsid w:val="00A238C9"/>
    <w:rsid w:val="00A24FDA"/>
    <w:rsid w:val="00A27E9A"/>
    <w:rsid w:val="00A319CE"/>
    <w:rsid w:val="00A325C6"/>
    <w:rsid w:val="00A3738D"/>
    <w:rsid w:val="00A41953"/>
    <w:rsid w:val="00A4569E"/>
    <w:rsid w:val="00A45BFF"/>
    <w:rsid w:val="00A47467"/>
    <w:rsid w:val="00A477ED"/>
    <w:rsid w:val="00A533BF"/>
    <w:rsid w:val="00A6667C"/>
    <w:rsid w:val="00A668EC"/>
    <w:rsid w:val="00A72C36"/>
    <w:rsid w:val="00A74EDB"/>
    <w:rsid w:val="00A821FF"/>
    <w:rsid w:val="00A90D36"/>
    <w:rsid w:val="00A953B5"/>
    <w:rsid w:val="00AA007E"/>
    <w:rsid w:val="00AA2219"/>
    <w:rsid w:val="00AA2D5F"/>
    <w:rsid w:val="00AA3935"/>
    <w:rsid w:val="00AA432B"/>
    <w:rsid w:val="00AA5751"/>
    <w:rsid w:val="00AB0B4B"/>
    <w:rsid w:val="00AB4F97"/>
    <w:rsid w:val="00AC05B5"/>
    <w:rsid w:val="00AC3AF2"/>
    <w:rsid w:val="00AC6495"/>
    <w:rsid w:val="00AD0B71"/>
    <w:rsid w:val="00AD3183"/>
    <w:rsid w:val="00AD541A"/>
    <w:rsid w:val="00AE0BCF"/>
    <w:rsid w:val="00AF0C86"/>
    <w:rsid w:val="00AF0D02"/>
    <w:rsid w:val="00AF462E"/>
    <w:rsid w:val="00B0208B"/>
    <w:rsid w:val="00B04837"/>
    <w:rsid w:val="00B05BA1"/>
    <w:rsid w:val="00B127A1"/>
    <w:rsid w:val="00B1535D"/>
    <w:rsid w:val="00B21FB5"/>
    <w:rsid w:val="00B23C7D"/>
    <w:rsid w:val="00B23CFB"/>
    <w:rsid w:val="00B27544"/>
    <w:rsid w:val="00B358C3"/>
    <w:rsid w:val="00B40C96"/>
    <w:rsid w:val="00B40EF0"/>
    <w:rsid w:val="00B43B65"/>
    <w:rsid w:val="00B44D37"/>
    <w:rsid w:val="00B46C45"/>
    <w:rsid w:val="00B529D4"/>
    <w:rsid w:val="00B55141"/>
    <w:rsid w:val="00B56632"/>
    <w:rsid w:val="00B612E2"/>
    <w:rsid w:val="00B65506"/>
    <w:rsid w:val="00B655BF"/>
    <w:rsid w:val="00B66509"/>
    <w:rsid w:val="00B712B5"/>
    <w:rsid w:val="00B71FE2"/>
    <w:rsid w:val="00B904A3"/>
    <w:rsid w:val="00B93074"/>
    <w:rsid w:val="00B95692"/>
    <w:rsid w:val="00B959F1"/>
    <w:rsid w:val="00BA180D"/>
    <w:rsid w:val="00BA4DC8"/>
    <w:rsid w:val="00BA669F"/>
    <w:rsid w:val="00BA7508"/>
    <w:rsid w:val="00BA7601"/>
    <w:rsid w:val="00BB3E42"/>
    <w:rsid w:val="00BB468E"/>
    <w:rsid w:val="00BB56ED"/>
    <w:rsid w:val="00BC212E"/>
    <w:rsid w:val="00BC2BAE"/>
    <w:rsid w:val="00BC5E6C"/>
    <w:rsid w:val="00BC60D7"/>
    <w:rsid w:val="00BD038B"/>
    <w:rsid w:val="00BD1B83"/>
    <w:rsid w:val="00BD319B"/>
    <w:rsid w:val="00BD37A4"/>
    <w:rsid w:val="00BD4406"/>
    <w:rsid w:val="00BD7856"/>
    <w:rsid w:val="00BE3355"/>
    <w:rsid w:val="00BE357A"/>
    <w:rsid w:val="00BE5D6E"/>
    <w:rsid w:val="00BE5D8C"/>
    <w:rsid w:val="00BE62F4"/>
    <w:rsid w:val="00BF019C"/>
    <w:rsid w:val="00BF0F3C"/>
    <w:rsid w:val="00BF3D02"/>
    <w:rsid w:val="00BF47CC"/>
    <w:rsid w:val="00BF5FA9"/>
    <w:rsid w:val="00C02523"/>
    <w:rsid w:val="00C05A5F"/>
    <w:rsid w:val="00C0698D"/>
    <w:rsid w:val="00C10AF4"/>
    <w:rsid w:val="00C1261C"/>
    <w:rsid w:val="00C14100"/>
    <w:rsid w:val="00C14C77"/>
    <w:rsid w:val="00C14D39"/>
    <w:rsid w:val="00C16563"/>
    <w:rsid w:val="00C179BC"/>
    <w:rsid w:val="00C24D3B"/>
    <w:rsid w:val="00C25249"/>
    <w:rsid w:val="00C262E1"/>
    <w:rsid w:val="00C30C20"/>
    <w:rsid w:val="00C33B54"/>
    <w:rsid w:val="00C37BA6"/>
    <w:rsid w:val="00C4130B"/>
    <w:rsid w:val="00C45095"/>
    <w:rsid w:val="00C46E9F"/>
    <w:rsid w:val="00C517F0"/>
    <w:rsid w:val="00C640ED"/>
    <w:rsid w:val="00C6463F"/>
    <w:rsid w:val="00C6534F"/>
    <w:rsid w:val="00C6554E"/>
    <w:rsid w:val="00C706A8"/>
    <w:rsid w:val="00C728D3"/>
    <w:rsid w:val="00C74235"/>
    <w:rsid w:val="00C76A9A"/>
    <w:rsid w:val="00C82A2D"/>
    <w:rsid w:val="00C91C7C"/>
    <w:rsid w:val="00C93BF5"/>
    <w:rsid w:val="00C95B71"/>
    <w:rsid w:val="00C96152"/>
    <w:rsid w:val="00C96C67"/>
    <w:rsid w:val="00CA1670"/>
    <w:rsid w:val="00CA217F"/>
    <w:rsid w:val="00CA26F3"/>
    <w:rsid w:val="00CA4639"/>
    <w:rsid w:val="00CA5ED6"/>
    <w:rsid w:val="00CA6459"/>
    <w:rsid w:val="00CB3C91"/>
    <w:rsid w:val="00CB63C9"/>
    <w:rsid w:val="00CB6C29"/>
    <w:rsid w:val="00CB6C6A"/>
    <w:rsid w:val="00CB73EB"/>
    <w:rsid w:val="00CB7FFB"/>
    <w:rsid w:val="00CC05FC"/>
    <w:rsid w:val="00CC133C"/>
    <w:rsid w:val="00CC4D4A"/>
    <w:rsid w:val="00CC5552"/>
    <w:rsid w:val="00CD187A"/>
    <w:rsid w:val="00CD312A"/>
    <w:rsid w:val="00CD5E6F"/>
    <w:rsid w:val="00CE4423"/>
    <w:rsid w:val="00CE4A88"/>
    <w:rsid w:val="00CF0166"/>
    <w:rsid w:val="00CF02D4"/>
    <w:rsid w:val="00CF2008"/>
    <w:rsid w:val="00CF2229"/>
    <w:rsid w:val="00CF41C8"/>
    <w:rsid w:val="00CF4A0F"/>
    <w:rsid w:val="00CF50D8"/>
    <w:rsid w:val="00CF5AB7"/>
    <w:rsid w:val="00D0085A"/>
    <w:rsid w:val="00D01017"/>
    <w:rsid w:val="00D011F9"/>
    <w:rsid w:val="00D01C97"/>
    <w:rsid w:val="00D020F0"/>
    <w:rsid w:val="00D0635D"/>
    <w:rsid w:val="00D0667F"/>
    <w:rsid w:val="00D06B81"/>
    <w:rsid w:val="00D07E32"/>
    <w:rsid w:val="00D10221"/>
    <w:rsid w:val="00D11BC0"/>
    <w:rsid w:val="00D17EB4"/>
    <w:rsid w:val="00D30477"/>
    <w:rsid w:val="00D3188D"/>
    <w:rsid w:val="00D35539"/>
    <w:rsid w:val="00D373EB"/>
    <w:rsid w:val="00D37ABA"/>
    <w:rsid w:val="00D41934"/>
    <w:rsid w:val="00D4206B"/>
    <w:rsid w:val="00D5276D"/>
    <w:rsid w:val="00D53E20"/>
    <w:rsid w:val="00D546E3"/>
    <w:rsid w:val="00D56E55"/>
    <w:rsid w:val="00D60544"/>
    <w:rsid w:val="00D616D5"/>
    <w:rsid w:val="00D647FD"/>
    <w:rsid w:val="00D70C73"/>
    <w:rsid w:val="00D72A0D"/>
    <w:rsid w:val="00D76792"/>
    <w:rsid w:val="00D84B04"/>
    <w:rsid w:val="00D85281"/>
    <w:rsid w:val="00D91B5F"/>
    <w:rsid w:val="00D943E9"/>
    <w:rsid w:val="00D945DD"/>
    <w:rsid w:val="00D95251"/>
    <w:rsid w:val="00D95815"/>
    <w:rsid w:val="00D96514"/>
    <w:rsid w:val="00D96D1F"/>
    <w:rsid w:val="00DA0FE8"/>
    <w:rsid w:val="00DA2961"/>
    <w:rsid w:val="00DA4407"/>
    <w:rsid w:val="00DA5E54"/>
    <w:rsid w:val="00DA68CA"/>
    <w:rsid w:val="00DB082F"/>
    <w:rsid w:val="00DB1517"/>
    <w:rsid w:val="00DB41D8"/>
    <w:rsid w:val="00DB537D"/>
    <w:rsid w:val="00DC0E41"/>
    <w:rsid w:val="00DC1A8A"/>
    <w:rsid w:val="00DC4374"/>
    <w:rsid w:val="00DC43A3"/>
    <w:rsid w:val="00DC50DD"/>
    <w:rsid w:val="00DD23F6"/>
    <w:rsid w:val="00DD2C0B"/>
    <w:rsid w:val="00DE0C57"/>
    <w:rsid w:val="00DE122B"/>
    <w:rsid w:val="00DE4832"/>
    <w:rsid w:val="00DF1E03"/>
    <w:rsid w:val="00DF2FD4"/>
    <w:rsid w:val="00DF414D"/>
    <w:rsid w:val="00DF5B5C"/>
    <w:rsid w:val="00DF759C"/>
    <w:rsid w:val="00E0526D"/>
    <w:rsid w:val="00E1087E"/>
    <w:rsid w:val="00E11611"/>
    <w:rsid w:val="00E120C2"/>
    <w:rsid w:val="00E214C8"/>
    <w:rsid w:val="00E23A10"/>
    <w:rsid w:val="00E242F0"/>
    <w:rsid w:val="00E2569E"/>
    <w:rsid w:val="00E25C58"/>
    <w:rsid w:val="00E303C3"/>
    <w:rsid w:val="00E32214"/>
    <w:rsid w:val="00E32F1F"/>
    <w:rsid w:val="00E33ED1"/>
    <w:rsid w:val="00E35292"/>
    <w:rsid w:val="00E355CE"/>
    <w:rsid w:val="00E41A92"/>
    <w:rsid w:val="00E4420F"/>
    <w:rsid w:val="00E5095C"/>
    <w:rsid w:val="00E51A9F"/>
    <w:rsid w:val="00E53FF9"/>
    <w:rsid w:val="00E540A2"/>
    <w:rsid w:val="00E564CA"/>
    <w:rsid w:val="00E623C4"/>
    <w:rsid w:val="00E641EC"/>
    <w:rsid w:val="00E65211"/>
    <w:rsid w:val="00E705A1"/>
    <w:rsid w:val="00E7414C"/>
    <w:rsid w:val="00E75306"/>
    <w:rsid w:val="00E7568C"/>
    <w:rsid w:val="00E75F48"/>
    <w:rsid w:val="00E83FB9"/>
    <w:rsid w:val="00E85D1B"/>
    <w:rsid w:val="00E8796A"/>
    <w:rsid w:val="00E96ED6"/>
    <w:rsid w:val="00E97E08"/>
    <w:rsid w:val="00EA1F23"/>
    <w:rsid w:val="00EB13F0"/>
    <w:rsid w:val="00EB3C24"/>
    <w:rsid w:val="00EB413D"/>
    <w:rsid w:val="00EB63EB"/>
    <w:rsid w:val="00EC1C24"/>
    <w:rsid w:val="00EC1ED2"/>
    <w:rsid w:val="00EC66D9"/>
    <w:rsid w:val="00EC7013"/>
    <w:rsid w:val="00ED0A6E"/>
    <w:rsid w:val="00ED3C6E"/>
    <w:rsid w:val="00EE1C0A"/>
    <w:rsid w:val="00EE2077"/>
    <w:rsid w:val="00EF1191"/>
    <w:rsid w:val="00EF1F01"/>
    <w:rsid w:val="00EF217C"/>
    <w:rsid w:val="00EF4BC6"/>
    <w:rsid w:val="00EF58A7"/>
    <w:rsid w:val="00F02226"/>
    <w:rsid w:val="00F031E8"/>
    <w:rsid w:val="00F0451F"/>
    <w:rsid w:val="00F073AD"/>
    <w:rsid w:val="00F078FE"/>
    <w:rsid w:val="00F07B5A"/>
    <w:rsid w:val="00F10CE7"/>
    <w:rsid w:val="00F12BCB"/>
    <w:rsid w:val="00F12FF8"/>
    <w:rsid w:val="00F21F3B"/>
    <w:rsid w:val="00F26BD9"/>
    <w:rsid w:val="00F32419"/>
    <w:rsid w:val="00F33122"/>
    <w:rsid w:val="00F3368A"/>
    <w:rsid w:val="00F34385"/>
    <w:rsid w:val="00F36942"/>
    <w:rsid w:val="00F3724E"/>
    <w:rsid w:val="00F41C19"/>
    <w:rsid w:val="00F4545B"/>
    <w:rsid w:val="00F46DFC"/>
    <w:rsid w:val="00F47EC3"/>
    <w:rsid w:val="00F50E33"/>
    <w:rsid w:val="00F52FDE"/>
    <w:rsid w:val="00F559C4"/>
    <w:rsid w:val="00F559F9"/>
    <w:rsid w:val="00F57843"/>
    <w:rsid w:val="00F642DF"/>
    <w:rsid w:val="00F678FE"/>
    <w:rsid w:val="00F67DBF"/>
    <w:rsid w:val="00F73147"/>
    <w:rsid w:val="00F80291"/>
    <w:rsid w:val="00F80ED2"/>
    <w:rsid w:val="00F82497"/>
    <w:rsid w:val="00F90539"/>
    <w:rsid w:val="00F90D28"/>
    <w:rsid w:val="00F93467"/>
    <w:rsid w:val="00F93DE2"/>
    <w:rsid w:val="00F9672B"/>
    <w:rsid w:val="00F97503"/>
    <w:rsid w:val="00FA6507"/>
    <w:rsid w:val="00FA7670"/>
    <w:rsid w:val="00FB0821"/>
    <w:rsid w:val="00FB4255"/>
    <w:rsid w:val="00FB7C0E"/>
    <w:rsid w:val="00FC1348"/>
    <w:rsid w:val="00FC1FAD"/>
    <w:rsid w:val="00FC20DB"/>
    <w:rsid w:val="00FC29D5"/>
    <w:rsid w:val="00FC4F6B"/>
    <w:rsid w:val="00FC5407"/>
    <w:rsid w:val="00FD038A"/>
    <w:rsid w:val="00FD0F43"/>
    <w:rsid w:val="00FD1098"/>
    <w:rsid w:val="00FD206B"/>
    <w:rsid w:val="00FD24C4"/>
    <w:rsid w:val="00FD3EFE"/>
    <w:rsid w:val="00FD49A4"/>
    <w:rsid w:val="00FE1FE3"/>
    <w:rsid w:val="00FE64D1"/>
    <w:rsid w:val="00FE74C8"/>
    <w:rsid w:val="00FF02F2"/>
    <w:rsid w:val="00FF4A3D"/>
    <w:rsid w:val="00FF57FC"/>
    <w:rsid w:val="03812ED8"/>
    <w:rsid w:val="044D4098"/>
    <w:rsid w:val="04CF2B52"/>
    <w:rsid w:val="098C196A"/>
    <w:rsid w:val="09F23F7B"/>
    <w:rsid w:val="0BB246FE"/>
    <w:rsid w:val="0EDE6E6E"/>
    <w:rsid w:val="10C8351E"/>
    <w:rsid w:val="11290367"/>
    <w:rsid w:val="11467AB8"/>
    <w:rsid w:val="167202C9"/>
    <w:rsid w:val="17785842"/>
    <w:rsid w:val="18135630"/>
    <w:rsid w:val="191811BB"/>
    <w:rsid w:val="1A9A7F66"/>
    <w:rsid w:val="1B2243D6"/>
    <w:rsid w:val="1E7C40C8"/>
    <w:rsid w:val="1FBA290D"/>
    <w:rsid w:val="272B2062"/>
    <w:rsid w:val="2851081A"/>
    <w:rsid w:val="28916808"/>
    <w:rsid w:val="29203F6C"/>
    <w:rsid w:val="2AAF60D1"/>
    <w:rsid w:val="2BD509D0"/>
    <w:rsid w:val="2CB5788A"/>
    <w:rsid w:val="2FDE3251"/>
    <w:rsid w:val="32F77D1F"/>
    <w:rsid w:val="333C22B8"/>
    <w:rsid w:val="33AC679A"/>
    <w:rsid w:val="343D6CD4"/>
    <w:rsid w:val="34DF11F1"/>
    <w:rsid w:val="37501ECF"/>
    <w:rsid w:val="37F23370"/>
    <w:rsid w:val="39D577DF"/>
    <w:rsid w:val="3CCA690C"/>
    <w:rsid w:val="3D9C66D4"/>
    <w:rsid w:val="3DE61997"/>
    <w:rsid w:val="406A5B84"/>
    <w:rsid w:val="41D334F3"/>
    <w:rsid w:val="4235744A"/>
    <w:rsid w:val="432675CF"/>
    <w:rsid w:val="432A460D"/>
    <w:rsid w:val="447D2208"/>
    <w:rsid w:val="44A37497"/>
    <w:rsid w:val="464C7CD6"/>
    <w:rsid w:val="470461D5"/>
    <w:rsid w:val="471C3E89"/>
    <w:rsid w:val="47631E3B"/>
    <w:rsid w:val="483C4942"/>
    <w:rsid w:val="485C04B9"/>
    <w:rsid w:val="485D09BF"/>
    <w:rsid w:val="48B217F7"/>
    <w:rsid w:val="49792113"/>
    <w:rsid w:val="49E21808"/>
    <w:rsid w:val="4A896855"/>
    <w:rsid w:val="4B0E1DEC"/>
    <w:rsid w:val="4C500C4E"/>
    <w:rsid w:val="4DA07B71"/>
    <w:rsid w:val="4F42253A"/>
    <w:rsid w:val="50647240"/>
    <w:rsid w:val="53366016"/>
    <w:rsid w:val="536923E0"/>
    <w:rsid w:val="537122E1"/>
    <w:rsid w:val="53AD243A"/>
    <w:rsid w:val="548F0520"/>
    <w:rsid w:val="549C7938"/>
    <w:rsid w:val="54B359CB"/>
    <w:rsid w:val="556E74F3"/>
    <w:rsid w:val="562A44F4"/>
    <w:rsid w:val="56CC554C"/>
    <w:rsid w:val="592616D2"/>
    <w:rsid w:val="59693708"/>
    <w:rsid w:val="5B391D10"/>
    <w:rsid w:val="5DED073F"/>
    <w:rsid w:val="5EAD2405"/>
    <w:rsid w:val="61D614B0"/>
    <w:rsid w:val="64797085"/>
    <w:rsid w:val="65F2123A"/>
    <w:rsid w:val="69006C6B"/>
    <w:rsid w:val="6B7B0340"/>
    <w:rsid w:val="6CD0680D"/>
    <w:rsid w:val="6DE154C0"/>
    <w:rsid w:val="6E9E1603"/>
    <w:rsid w:val="6FCE696E"/>
    <w:rsid w:val="725C40A2"/>
    <w:rsid w:val="72D1356D"/>
    <w:rsid w:val="733A150C"/>
    <w:rsid w:val="74354641"/>
    <w:rsid w:val="78430B9C"/>
    <w:rsid w:val="791D4403"/>
    <w:rsid w:val="7B207972"/>
    <w:rsid w:val="7B294FE4"/>
    <w:rsid w:val="7D854E02"/>
    <w:rsid w:val="7F2455FF"/>
    <w:rsid w:val="7F402D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100" w:after="100" w:line="480"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4"/>
    <w:next w:val="6"/>
    <w:qFormat/>
    <w:uiPriority w:val="0"/>
    <w:pPr>
      <w:spacing w:beforeLines="50" w:afterLines="50" w:line="360" w:lineRule="auto"/>
      <w:ind w:left="284" w:hanging="284"/>
      <w:jc w:val="center"/>
      <w:outlineLvl w:val="3"/>
    </w:pPr>
    <w:rPr>
      <w:rFonts w:ascii="Arial" w:hAnsi="Arial"/>
      <w:b w:val="0"/>
      <w:bCs w:val="0"/>
      <w:color w:val="000000"/>
      <w:sz w:val="24"/>
      <w:szCs w:val="24"/>
    </w:rPr>
  </w:style>
  <w:style w:type="paragraph" w:styleId="7">
    <w:name w:val="heading 5"/>
    <w:basedOn w:val="5"/>
    <w:next w:val="6"/>
    <w:qFormat/>
    <w:uiPriority w:val="0"/>
    <w:pPr>
      <w:spacing w:line="240" w:lineRule="exact"/>
      <w:outlineLvl w:val="4"/>
    </w:pPr>
  </w:style>
  <w:style w:type="paragraph" w:styleId="8">
    <w:name w:val="heading 7"/>
    <w:basedOn w:val="1"/>
    <w:next w:val="6"/>
    <w:qFormat/>
    <w:uiPriority w:val="0"/>
    <w:pPr>
      <w:keepNext/>
      <w:keepLines/>
      <w:spacing w:before="240" w:after="64" w:line="320" w:lineRule="auto"/>
      <w:outlineLvl w:val="6"/>
    </w:pPr>
    <w:rPr>
      <w:b/>
      <w:sz w:val="24"/>
      <w:szCs w:val="20"/>
    </w:rPr>
  </w:style>
  <w:style w:type="paragraph" w:styleId="9">
    <w:name w:val="heading 8"/>
    <w:basedOn w:val="1"/>
    <w:next w:val="6"/>
    <w:qFormat/>
    <w:uiPriority w:val="0"/>
    <w:pPr>
      <w:keepNext/>
      <w:keepLines/>
      <w:spacing w:before="240" w:after="64" w:line="320" w:lineRule="auto"/>
      <w:outlineLvl w:val="7"/>
    </w:pPr>
    <w:rPr>
      <w:rFonts w:ascii="Arial" w:hAnsi="Arial" w:eastAsia="黑体"/>
      <w:sz w:val="24"/>
      <w:szCs w:val="20"/>
    </w:rPr>
  </w:style>
  <w:style w:type="paragraph" w:styleId="10">
    <w:name w:val="heading 9"/>
    <w:basedOn w:val="1"/>
    <w:next w:val="6"/>
    <w:qFormat/>
    <w:uiPriority w:val="0"/>
    <w:pPr>
      <w:keepNext/>
      <w:keepLines/>
      <w:spacing w:before="240" w:after="64" w:line="320" w:lineRule="auto"/>
      <w:outlineLvl w:val="8"/>
    </w:pPr>
    <w:rPr>
      <w:rFonts w:ascii="Arial" w:hAnsi="Arial" w:eastAsia="黑体"/>
      <w:szCs w:val="20"/>
    </w:rPr>
  </w:style>
  <w:style w:type="character" w:default="1" w:styleId="32">
    <w:name w:val="Default Paragraph Font"/>
    <w:unhideWhenUsed/>
    <w:qFormat/>
    <w:uiPriority w:val="1"/>
  </w:style>
  <w:style w:type="table" w:default="1" w:styleId="30">
    <w:name w:val="Normal Table"/>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11">
    <w:name w:val="Document Map"/>
    <w:basedOn w:val="1"/>
    <w:semiHidden/>
    <w:qFormat/>
    <w:uiPriority w:val="0"/>
    <w:pPr>
      <w:shd w:val="clear" w:color="auto" w:fill="000080"/>
    </w:pPr>
  </w:style>
  <w:style w:type="paragraph" w:styleId="12">
    <w:name w:val="toa heading"/>
    <w:basedOn w:val="1"/>
    <w:next w:val="1"/>
    <w:unhideWhenUsed/>
    <w:qFormat/>
    <w:uiPriority w:val="99"/>
    <w:pPr>
      <w:spacing w:before="120"/>
    </w:pPr>
    <w:rPr>
      <w:rFonts w:ascii="Arial" w:hAnsi="Arial"/>
      <w:sz w:val="24"/>
    </w:rPr>
  </w:style>
  <w:style w:type="paragraph" w:styleId="13">
    <w:name w:val="annotation text"/>
    <w:basedOn w:val="1"/>
    <w:link w:val="38"/>
    <w:qFormat/>
    <w:uiPriority w:val="0"/>
    <w:pPr>
      <w:jc w:val="left"/>
    </w:pPr>
  </w:style>
  <w:style w:type="paragraph" w:styleId="14">
    <w:name w:val="Body Text 3"/>
    <w:basedOn w:val="1"/>
    <w:link w:val="39"/>
    <w:qFormat/>
    <w:uiPriority w:val="0"/>
    <w:pPr>
      <w:spacing w:after="120"/>
    </w:pPr>
    <w:rPr>
      <w:sz w:val="16"/>
      <w:szCs w:val="16"/>
    </w:rPr>
  </w:style>
  <w:style w:type="paragraph" w:styleId="15">
    <w:name w:val="Body Text"/>
    <w:basedOn w:val="1"/>
    <w:qFormat/>
    <w:uiPriority w:val="0"/>
    <w:pPr>
      <w:spacing w:after="120"/>
    </w:pPr>
  </w:style>
  <w:style w:type="paragraph" w:styleId="16">
    <w:name w:val="Body Text Indent"/>
    <w:basedOn w:val="1"/>
    <w:qFormat/>
    <w:uiPriority w:val="0"/>
    <w:pPr>
      <w:adjustRightInd w:val="0"/>
      <w:snapToGrid w:val="0"/>
      <w:spacing w:line="360" w:lineRule="auto"/>
      <w:ind w:firstLine="480" w:firstLineChars="200"/>
    </w:pPr>
    <w:rPr>
      <w:rFonts w:ascii="宋体" w:hAnsi="宋体"/>
      <w:sz w:val="24"/>
    </w:rPr>
  </w:style>
  <w:style w:type="paragraph" w:styleId="17">
    <w:name w:val="toc 3"/>
    <w:basedOn w:val="1"/>
    <w:next w:val="1"/>
    <w:qFormat/>
    <w:uiPriority w:val="39"/>
    <w:pPr>
      <w:tabs>
        <w:tab w:val="left" w:pos="1260"/>
        <w:tab w:val="right" w:leader="dot" w:pos="8693"/>
      </w:tabs>
      <w:spacing w:line="300" w:lineRule="auto"/>
      <w:ind w:left="839"/>
    </w:pPr>
    <w:rPr>
      <w:rFonts w:ascii="宋体"/>
      <w:b/>
      <w:sz w:val="24"/>
      <w:szCs w:val="20"/>
    </w:rPr>
  </w:style>
  <w:style w:type="paragraph" w:styleId="18">
    <w:name w:val="Plain Text"/>
    <w:basedOn w:val="1"/>
    <w:link w:val="40"/>
    <w:qFormat/>
    <w:uiPriority w:val="0"/>
    <w:rPr>
      <w:rFonts w:ascii="宋体" w:hAnsi="Courier New"/>
      <w:szCs w:val="20"/>
    </w:rPr>
  </w:style>
  <w:style w:type="paragraph" w:styleId="19">
    <w:name w:val="Date"/>
    <w:basedOn w:val="1"/>
    <w:next w:val="1"/>
    <w:qFormat/>
    <w:uiPriority w:val="0"/>
    <w:pPr>
      <w:autoSpaceDE w:val="0"/>
      <w:autoSpaceDN w:val="0"/>
      <w:adjustRightInd w:val="0"/>
      <w:textAlignment w:val="baseline"/>
    </w:pPr>
    <w:rPr>
      <w:rFonts w:eastAsia="楷体_GB2312"/>
      <w:sz w:val="30"/>
      <w:szCs w:val="20"/>
    </w:rPr>
  </w:style>
  <w:style w:type="paragraph" w:styleId="20">
    <w:name w:val="Balloon Text"/>
    <w:basedOn w:val="1"/>
    <w:semiHidden/>
    <w:qFormat/>
    <w:uiPriority w:val="0"/>
    <w:rPr>
      <w:sz w:val="18"/>
      <w:szCs w:val="18"/>
    </w:rPr>
  </w:style>
  <w:style w:type="paragraph" w:styleId="21">
    <w:name w:val="footer"/>
    <w:basedOn w:val="1"/>
    <w:link w:val="41"/>
    <w:qFormat/>
    <w:uiPriority w:val="99"/>
    <w:pPr>
      <w:tabs>
        <w:tab w:val="center" w:pos="4153"/>
        <w:tab w:val="right" w:pos="8306"/>
      </w:tabs>
      <w:adjustRightInd w:val="0"/>
      <w:spacing w:line="240" w:lineRule="atLeast"/>
      <w:jc w:val="left"/>
      <w:textAlignment w:val="baseline"/>
    </w:pPr>
    <w:rPr>
      <w:kern w:val="0"/>
      <w:sz w:val="18"/>
      <w:szCs w:val="20"/>
    </w:rPr>
  </w:style>
  <w:style w:type="paragraph" w:styleId="22">
    <w:name w:val="header"/>
    <w:basedOn w:val="1"/>
    <w:qFormat/>
    <w:uiPriority w:val="0"/>
    <w:pPr>
      <w:pBdr>
        <w:bottom w:val="single" w:color="auto" w:sz="6" w:space="1"/>
      </w:pBdr>
      <w:tabs>
        <w:tab w:val="center" w:pos="4153"/>
        <w:tab w:val="right" w:pos="8306"/>
      </w:tabs>
      <w:adjustRightInd w:val="0"/>
      <w:spacing w:line="240" w:lineRule="atLeast"/>
      <w:jc w:val="center"/>
      <w:textAlignment w:val="baseline"/>
    </w:pPr>
    <w:rPr>
      <w:kern w:val="0"/>
      <w:sz w:val="18"/>
      <w:szCs w:val="20"/>
    </w:rPr>
  </w:style>
  <w:style w:type="paragraph" w:styleId="23">
    <w:name w:val="toc 1"/>
    <w:basedOn w:val="1"/>
    <w:next w:val="1"/>
    <w:qFormat/>
    <w:uiPriority w:val="39"/>
    <w:pPr>
      <w:tabs>
        <w:tab w:val="right" w:leader="dot" w:pos="9060"/>
      </w:tabs>
      <w:spacing w:line="360" w:lineRule="auto"/>
    </w:pPr>
    <w:rPr>
      <w:rFonts w:ascii="宋体" w:hAnsi="宋体"/>
      <w:bCs/>
      <w:shadow/>
      <w:sz w:val="28"/>
    </w:rPr>
  </w:style>
  <w:style w:type="paragraph" w:styleId="24">
    <w:name w:val="toc 2"/>
    <w:basedOn w:val="1"/>
    <w:next w:val="1"/>
    <w:qFormat/>
    <w:uiPriority w:val="39"/>
    <w:pPr>
      <w:ind w:left="420" w:leftChars="200"/>
    </w:pPr>
  </w:style>
  <w:style w:type="paragraph" w:styleId="25">
    <w:name w:val="Body Text 2"/>
    <w:basedOn w:val="1"/>
    <w:qFormat/>
    <w:uiPriority w:val="0"/>
    <w:pPr>
      <w:spacing w:after="120" w:line="480" w:lineRule="auto"/>
    </w:pPr>
  </w:style>
  <w:style w:type="paragraph" w:styleId="26">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7">
    <w:name w:val="Title"/>
    <w:basedOn w:val="1"/>
    <w:next w:val="1"/>
    <w:link w:val="42"/>
    <w:qFormat/>
    <w:uiPriority w:val="0"/>
    <w:pPr>
      <w:spacing w:before="240" w:after="60"/>
      <w:jc w:val="center"/>
      <w:outlineLvl w:val="0"/>
    </w:pPr>
    <w:rPr>
      <w:rFonts w:ascii="Cambria" w:hAnsi="Cambria" w:cs="Times New Roman"/>
      <w:b/>
      <w:bCs/>
      <w:sz w:val="32"/>
      <w:szCs w:val="32"/>
    </w:rPr>
  </w:style>
  <w:style w:type="paragraph" w:styleId="28">
    <w:name w:val="annotation subject"/>
    <w:basedOn w:val="13"/>
    <w:next w:val="13"/>
    <w:link w:val="43"/>
    <w:unhideWhenUsed/>
    <w:qFormat/>
    <w:uiPriority w:val="0"/>
    <w:rPr>
      <w:b/>
      <w:bCs/>
    </w:rPr>
  </w:style>
  <w:style w:type="paragraph" w:styleId="29">
    <w:name w:val="Body Text First Indent"/>
    <w:basedOn w:val="15"/>
    <w:qFormat/>
    <w:uiPriority w:val="0"/>
    <w:pPr>
      <w:ind w:firstLine="420" w:firstLineChars="100"/>
    </w:p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bCs/>
    </w:rPr>
  </w:style>
  <w:style w:type="character" w:styleId="34">
    <w:name w:val="page number"/>
    <w:qFormat/>
    <w:uiPriority w:val="0"/>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character" w:customStyle="1" w:styleId="37">
    <w:name w:val="标题 1 字符"/>
    <w:link w:val="2"/>
    <w:qFormat/>
    <w:uiPriority w:val="0"/>
    <w:rPr>
      <w:rFonts w:eastAsia="宋体"/>
      <w:b/>
      <w:bCs/>
      <w:kern w:val="44"/>
      <w:sz w:val="44"/>
      <w:szCs w:val="44"/>
    </w:rPr>
  </w:style>
  <w:style w:type="character" w:customStyle="1" w:styleId="38">
    <w:name w:val="批注文字 字符"/>
    <w:link w:val="13"/>
    <w:qFormat/>
    <w:uiPriority w:val="0"/>
    <w:rPr>
      <w:kern w:val="2"/>
      <w:sz w:val="21"/>
      <w:szCs w:val="24"/>
    </w:rPr>
  </w:style>
  <w:style w:type="character" w:customStyle="1" w:styleId="39">
    <w:name w:val="正文文本 3 字符"/>
    <w:link w:val="14"/>
    <w:qFormat/>
    <w:uiPriority w:val="0"/>
    <w:rPr>
      <w:kern w:val="2"/>
      <w:sz w:val="16"/>
      <w:szCs w:val="16"/>
    </w:rPr>
  </w:style>
  <w:style w:type="character" w:customStyle="1" w:styleId="40">
    <w:name w:val="纯文本 字符"/>
    <w:link w:val="18"/>
    <w:qFormat/>
    <w:uiPriority w:val="0"/>
    <w:rPr>
      <w:rFonts w:ascii="宋体" w:hAnsi="Courier New" w:eastAsia="宋体"/>
      <w:kern w:val="2"/>
      <w:sz w:val="21"/>
      <w:lang w:val="en-US" w:eastAsia="zh-CN" w:bidi="ar-SA"/>
    </w:rPr>
  </w:style>
  <w:style w:type="character" w:customStyle="1" w:styleId="41">
    <w:name w:val="页脚 字符"/>
    <w:link w:val="21"/>
    <w:qFormat/>
    <w:uiPriority w:val="99"/>
    <w:rPr>
      <w:sz w:val="18"/>
    </w:rPr>
  </w:style>
  <w:style w:type="character" w:customStyle="1" w:styleId="42">
    <w:name w:val="标题 字符"/>
    <w:link w:val="27"/>
    <w:qFormat/>
    <w:uiPriority w:val="0"/>
    <w:rPr>
      <w:rFonts w:ascii="Cambria" w:hAnsi="Cambria" w:cs="Times New Roman"/>
      <w:b/>
      <w:bCs/>
      <w:kern w:val="2"/>
      <w:sz w:val="32"/>
      <w:szCs w:val="32"/>
    </w:rPr>
  </w:style>
  <w:style w:type="character" w:customStyle="1" w:styleId="43">
    <w:name w:val="批注主题 字符"/>
    <w:link w:val="28"/>
    <w:semiHidden/>
    <w:qFormat/>
    <w:uiPriority w:val="0"/>
    <w:rPr>
      <w:b/>
      <w:bCs/>
      <w:kern w:val="2"/>
      <w:sz w:val="21"/>
      <w:szCs w:val="24"/>
    </w:rPr>
  </w:style>
  <w:style w:type="character" w:customStyle="1" w:styleId="44">
    <w:name w:val="Char Char4"/>
    <w:qFormat/>
    <w:uiPriority w:val="0"/>
    <w:rPr>
      <w:rFonts w:ascii="宋体" w:hAnsi="Courier New" w:eastAsia="宋体" w:cs="Courier New"/>
      <w:kern w:val="2"/>
      <w:sz w:val="21"/>
      <w:szCs w:val="21"/>
      <w:lang w:val="en-US" w:eastAsia="zh-CN" w:bidi="ar-SA"/>
    </w:rPr>
  </w:style>
  <w:style w:type="paragraph" w:customStyle="1" w:styleId="45">
    <w:name w:val="1"/>
    <w:basedOn w:val="1"/>
    <w:next w:val="25"/>
    <w:qFormat/>
    <w:uiPriority w:val="0"/>
    <w:pPr>
      <w:autoSpaceDE w:val="0"/>
      <w:autoSpaceDN w:val="0"/>
      <w:adjustRightInd w:val="0"/>
      <w:spacing w:line="0" w:lineRule="atLeast"/>
      <w:jc w:val="center"/>
    </w:pPr>
    <w:rPr>
      <w:rFonts w:ascii="隶书" w:eastAsia="隶书"/>
      <w:b/>
      <w:snapToGrid w:val="0"/>
      <w:spacing w:val="70"/>
      <w:sz w:val="72"/>
      <w:szCs w:val="20"/>
    </w:rPr>
  </w:style>
  <w:style w:type="paragraph" w:customStyle="1" w:styleId="46">
    <w:name w:val="Char Char Char1 Char"/>
    <w:basedOn w:val="11"/>
    <w:qFormat/>
    <w:uiPriority w:val="0"/>
    <w:rPr>
      <w:rFonts w:ascii="Tahoma" w:hAnsi="Tahoma"/>
      <w:sz w:val="24"/>
    </w:rPr>
  </w:style>
  <w:style w:type="paragraph" w:customStyle="1" w:styleId="47">
    <w:name w:val="TOC 标题1"/>
    <w:basedOn w:val="2"/>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48">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49">
    <w:name w:val="Char"/>
    <w:basedOn w:val="1"/>
    <w:qFormat/>
    <w:uiPriority w:val="0"/>
    <w:pPr>
      <w:tabs>
        <w:tab w:val="left" w:pos="360"/>
      </w:tabs>
      <w:ind w:left="360" w:hanging="360"/>
    </w:pPr>
    <w:rPr>
      <w:sz w:val="24"/>
    </w:rPr>
  </w:style>
  <w:style w:type="paragraph" w:customStyle="1" w:styleId="50">
    <w:name w:val="Char1"/>
    <w:basedOn w:val="1"/>
    <w:qFormat/>
    <w:uiPriority w:val="0"/>
    <w:pPr>
      <w:widowControl/>
      <w:spacing w:line="400" w:lineRule="exact"/>
      <w:jc w:val="center"/>
    </w:pPr>
    <w:rPr>
      <w:rFonts w:ascii="Verdana" w:hAnsi="Verdana"/>
      <w:kern w:val="0"/>
      <w:szCs w:val="20"/>
      <w:lang w:eastAsia="en-US"/>
    </w:rPr>
  </w:style>
  <w:style w:type="paragraph" w:customStyle="1" w:styleId="51">
    <w:name w:val="默认段落字体 Para Char"/>
    <w:basedOn w:val="1"/>
    <w:qFormat/>
    <w:uiPriority w:val="0"/>
    <w:rPr>
      <w:sz w:val="30"/>
    </w:rPr>
  </w:style>
  <w:style w:type="paragraph" w:customStyle="1" w:styleId="52">
    <w:name w:val="Plain Text1"/>
    <w:basedOn w:val="1"/>
    <w:qFormat/>
    <w:uiPriority w:val="0"/>
    <w:pPr>
      <w:autoSpaceDE w:val="0"/>
      <w:autoSpaceDN w:val="0"/>
      <w:adjustRightInd w:val="0"/>
      <w:textAlignment w:val="baseline"/>
    </w:pPr>
    <w:rPr>
      <w:rFonts w:ascii="宋体"/>
      <w:szCs w:val="20"/>
    </w:rPr>
  </w:style>
  <w:style w:type="paragraph" w:styleId="53">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8" textRotate="1"/>
    <customShpInfo spid="_x0000_s4097" textRotate="1"/>
    <customShpInfo spid="_x0000_s4100"/>
    <customShpInfo spid="_x0000_s4099"/>
    <customShpInfo spid="_x0000_s4101"/>
    <customShpInfo spid="_x0000_s4102"/>
    <customShpInfo spid="_x0000_s410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Company>
  <Pages>33</Pages>
  <Words>2140</Words>
  <Characters>12204</Characters>
  <Lines>101</Lines>
  <Paragraphs>28</Paragraphs>
  <TotalTime>0</TotalTime>
  <ScaleCrop>false</ScaleCrop>
  <LinksUpToDate>false</LinksUpToDate>
  <CharactersWithSpaces>14316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2021-06-02T01:24:00Z</dcterms:created>
  <dc:creator>5252</dc:creator>
  <cp:lastModifiedBy>梁永仪</cp:lastModifiedBy>
  <cp:lastPrinted>2021-06-04T00:37:00Z</cp:lastPrinted>
  <dcterms:modified xsi:type="dcterms:W3CDTF">2021-06-07T02:13:47Z</dcterms:modified>
  <dc:title>施工招标代理服务机构</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9C6269FAB5684522BD3135A0E3574179</vt:lpwstr>
  </property>
</Properties>
</file>