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eastAsia="宋体" w:cs="宋体"/>
          <w:color w:val="auto"/>
          <w:szCs w:val="21"/>
          <w:highlight w:val="none"/>
        </w:rPr>
      </w:pPr>
    </w:p>
    <w:p>
      <w:pPr>
        <w:spacing w:before="855" w:beforeLines="300"/>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lang w:val="en-US" w:eastAsia="zh-CN"/>
        </w:rPr>
        <w:t>广州南沙</w:t>
      </w:r>
      <w:r>
        <w:rPr>
          <w:rFonts w:hint="eastAsia" w:ascii="宋体" w:hAnsi="宋体" w:eastAsia="宋体" w:cs="宋体"/>
          <w:b/>
          <w:color w:val="auto"/>
          <w:sz w:val="44"/>
          <w:szCs w:val="44"/>
          <w:highlight w:val="none"/>
        </w:rPr>
        <w:t>资产经营集团</w:t>
      </w:r>
      <w:r>
        <w:rPr>
          <w:rFonts w:hint="eastAsia" w:ascii="宋体" w:hAnsi="宋体" w:eastAsia="宋体" w:cs="宋体"/>
          <w:b/>
          <w:color w:val="auto"/>
          <w:sz w:val="44"/>
          <w:szCs w:val="44"/>
          <w:highlight w:val="none"/>
          <w:lang w:val="en-US" w:eastAsia="zh-CN"/>
        </w:rPr>
        <w:t>有限公司工程</w:t>
      </w:r>
      <w:r>
        <w:rPr>
          <w:rFonts w:hint="eastAsia" w:ascii="宋体" w:hAnsi="宋体" w:eastAsia="宋体" w:cs="宋体"/>
          <w:b/>
          <w:color w:val="auto"/>
          <w:sz w:val="44"/>
          <w:szCs w:val="44"/>
          <w:highlight w:val="none"/>
        </w:rPr>
        <w:t>项目</w:t>
      </w:r>
      <w:r>
        <w:rPr>
          <w:rFonts w:hint="eastAsia" w:ascii="宋体" w:hAnsi="宋体" w:eastAsia="宋体" w:cs="宋体"/>
          <w:b/>
          <w:color w:val="auto"/>
          <w:sz w:val="44"/>
          <w:szCs w:val="44"/>
          <w:highlight w:val="none"/>
          <w:lang w:val="en-US" w:eastAsia="zh-CN"/>
        </w:rPr>
        <w:t>年度造价</w:t>
      </w:r>
      <w:r>
        <w:rPr>
          <w:rFonts w:hint="eastAsia" w:ascii="宋体" w:hAnsi="宋体" w:eastAsia="宋体" w:cs="宋体"/>
          <w:b/>
          <w:color w:val="auto"/>
          <w:sz w:val="44"/>
          <w:szCs w:val="44"/>
          <w:highlight w:val="none"/>
        </w:rPr>
        <w:t>咨询服务</w:t>
      </w:r>
    </w:p>
    <w:p>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 </w:t>
      </w:r>
    </w:p>
    <w:p>
      <w:pPr>
        <w:rPr>
          <w:rFonts w:ascii="宋体" w:hAnsi="宋体" w:eastAsia="宋体" w:cs="宋体"/>
          <w:color w:val="auto"/>
          <w:sz w:val="72"/>
          <w:szCs w:val="72"/>
          <w:highlight w:val="none"/>
        </w:rPr>
      </w:pPr>
    </w:p>
    <w:p>
      <w:pPr>
        <w:rPr>
          <w:rFonts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w:t>
      </w:r>
    </w:p>
    <w:p>
      <w:pPr>
        <w:jc w:val="center"/>
        <w:rPr>
          <w:rFonts w:ascii="楷体" w:hAnsi="楷体" w:eastAsia="楷体" w:cs="楷体"/>
          <w:b/>
          <w:color w:val="auto"/>
          <w:sz w:val="110"/>
          <w:szCs w:val="110"/>
          <w:highlight w:val="none"/>
        </w:rPr>
      </w:pPr>
      <w:r>
        <w:rPr>
          <w:rFonts w:hint="eastAsia" w:ascii="楷体" w:hAnsi="楷体" w:eastAsia="楷体" w:cs="楷体"/>
          <w:b/>
          <w:color w:val="auto"/>
          <w:sz w:val="110"/>
          <w:szCs w:val="110"/>
          <w:highlight w:val="none"/>
        </w:rPr>
        <w:t>招 标 文 件</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spacing w:line="360" w:lineRule="auto"/>
        <w:ind w:firstLine="1805" w:firstLineChars="562"/>
        <w:rPr>
          <w:rFonts w:ascii="宋体" w:hAnsi="宋体" w:eastAsia="宋体" w:cs="宋体"/>
          <w:b/>
          <w:color w:val="auto"/>
          <w:sz w:val="32"/>
          <w:szCs w:val="32"/>
          <w:highlight w:val="none"/>
        </w:rPr>
      </w:pPr>
      <w:bookmarkStart w:id="0" w:name="OLE_LINK4"/>
      <w:bookmarkEnd w:id="0"/>
      <w:r>
        <w:rPr>
          <w:rFonts w:hint="eastAsia" w:ascii="宋体" w:hAnsi="宋体" w:eastAsia="宋体" w:cs="宋体"/>
          <w:b/>
          <w:color w:val="auto"/>
          <w:sz w:val="32"/>
          <w:szCs w:val="32"/>
          <w:highlight w:val="none"/>
        </w:rPr>
        <w:t>招标人：广州南沙</w:t>
      </w:r>
      <w:r>
        <w:rPr>
          <w:rFonts w:hint="eastAsia" w:ascii="宋体" w:hAnsi="宋体" w:eastAsia="宋体" w:cs="宋体"/>
          <w:b/>
          <w:color w:val="auto"/>
          <w:sz w:val="32"/>
          <w:szCs w:val="32"/>
          <w:highlight w:val="none"/>
          <w:lang w:val="en-US" w:eastAsia="zh-CN"/>
        </w:rPr>
        <w:t>资产经营集团</w:t>
      </w:r>
      <w:r>
        <w:rPr>
          <w:rFonts w:hint="eastAsia" w:ascii="宋体" w:hAnsi="宋体" w:eastAsia="宋体" w:cs="宋体"/>
          <w:b/>
          <w:color w:val="auto"/>
          <w:sz w:val="32"/>
          <w:szCs w:val="32"/>
          <w:highlight w:val="none"/>
        </w:rPr>
        <w:t>有限公司</w:t>
      </w:r>
    </w:p>
    <w:p>
      <w:pPr>
        <w:spacing w:line="520" w:lineRule="exact"/>
        <w:ind w:right="-101" w:rightChars="-48" w:firstLine="1751" w:firstLineChars="545"/>
        <w:rPr>
          <w:rFonts w:ascii="宋体" w:hAnsi="宋体" w:eastAsia="宋体" w:cs="宋体"/>
          <w:color w:val="auto"/>
          <w:spacing w:val="28"/>
          <w:position w:val="8"/>
          <w:sz w:val="28"/>
          <w:szCs w:val="28"/>
          <w:highlight w:val="none"/>
        </w:rPr>
      </w:pPr>
      <w:r>
        <w:rPr>
          <w:rFonts w:hint="eastAsia" w:ascii="宋体" w:hAnsi="宋体" w:eastAsia="宋体" w:cs="宋体"/>
          <w:b/>
          <w:color w:val="auto"/>
          <w:sz w:val="32"/>
          <w:szCs w:val="32"/>
          <w:highlight w:val="none"/>
        </w:rPr>
        <w:t>日    期：202</w:t>
      </w:r>
      <w:r>
        <w:rPr>
          <w:rFonts w:hint="eastAsia" w:ascii="宋体" w:hAnsi="宋体" w:eastAsia="宋体" w:cs="宋体"/>
          <w:b/>
          <w:color w:val="auto"/>
          <w:sz w:val="32"/>
          <w:szCs w:val="32"/>
          <w:highlight w:val="none"/>
          <w:lang w:val="en-US" w:eastAsia="zh-CN"/>
        </w:rPr>
        <w:t>1</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7</w:t>
      </w:r>
      <w:r>
        <w:rPr>
          <w:rFonts w:hint="eastAsia" w:ascii="宋体" w:hAnsi="宋体" w:eastAsia="宋体" w:cs="宋体"/>
          <w:b/>
          <w:color w:val="auto"/>
          <w:sz w:val="32"/>
          <w:szCs w:val="32"/>
          <w:highlight w:val="none"/>
        </w:rPr>
        <w:t>月</w:t>
      </w:r>
    </w:p>
    <w:p>
      <w:pPr>
        <w:rPr>
          <w:rFonts w:hint="eastAsia" w:ascii="黑体" w:hAnsi="宋体" w:eastAsia="黑体" w:cs="黑体"/>
          <w:color w:val="auto"/>
          <w:sz w:val="36"/>
          <w:szCs w:val="36"/>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type="lines" w:linePitch="285" w:charSpace="0"/>
        </w:sectPr>
      </w:pPr>
      <w:bookmarkStart w:id="1" w:name="_Toc29976"/>
    </w:p>
    <w:p>
      <w:pPr>
        <w:rPr>
          <w:rFonts w:hint="eastAsia" w:ascii="黑体" w:hAnsi="宋体" w:eastAsia="黑体" w:cs="黑体"/>
          <w:color w:val="auto"/>
          <w:sz w:val="36"/>
          <w:szCs w:val="36"/>
          <w:highlight w:val="none"/>
        </w:rPr>
      </w:pPr>
    </w:p>
    <w:bookmarkEnd w:id="1"/>
    <w:sdt>
      <w:sdtPr>
        <w:rPr>
          <w:rFonts w:ascii="宋体" w:hAnsi="宋体" w:eastAsia="宋体" w:cstheme="minorBidi"/>
          <w:color w:val="auto"/>
          <w:kern w:val="2"/>
          <w:sz w:val="21"/>
          <w:szCs w:val="24"/>
          <w:highlight w:val="none"/>
          <w:lang w:val="en-US" w:eastAsia="zh-CN" w:bidi="ar-SA"/>
        </w:rPr>
        <w:id w:val="147481204"/>
        <w15:color w:val="DBDBDB"/>
        <w:docPartObj>
          <w:docPartGallery w:val="Table of Contents"/>
          <w:docPartUnique/>
        </w:docPartObj>
      </w:sdtPr>
      <w:sdtEndPr>
        <w:rPr>
          <w:rFonts w:ascii="宋体" w:hAnsi="宋体" w:eastAsia="宋体" w:cstheme="minorBidi"/>
          <w:color w:val="auto"/>
          <w:kern w:val="2"/>
          <w:sz w:val="21"/>
          <w:szCs w:val="24"/>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b/>
              <w:bCs/>
              <w:color w:val="auto"/>
              <w:sz w:val="36"/>
              <w:szCs w:val="36"/>
              <w:highlight w:val="none"/>
            </w:rPr>
          </w:pPr>
          <w:r>
            <w:rPr>
              <w:rFonts w:ascii="宋体" w:hAnsi="宋体" w:eastAsia="宋体"/>
              <w:b/>
              <w:bCs/>
              <w:color w:val="auto"/>
              <w:sz w:val="36"/>
              <w:szCs w:val="36"/>
              <w:highlight w:val="none"/>
            </w:rPr>
            <w:t>目</w:t>
          </w:r>
          <w:r>
            <w:rPr>
              <w:rFonts w:hint="eastAsia" w:ascii="宋体" w:hAnsi="宋体" w:eastAsia="宋体"/>
              <w:b/>
              <w:bCs/>
              <w:color w:val="auto"/>
              <w:sz w:val="36"/>
              <w:szCs w:val="36"/>
              <w:highlight w:val="none"/>
              <w:lang w:val="en-US" w:eastAsia="zh-CN"/>
            </w:rPr>
            <w:t xml:space="preserve"> </w:t>
          </w:r>
          <w:r>
            <w:rPr>
              <w:rFonts w:ascii="宋体" w:hAnsi="宋体" w:eastAsia="宋体"/>
              <w:b/>
              <w:bCs/>
              <w:color w:val="auto"/>
              <w:sz w:val="36"/>
              <w:szCs w:val="36"/>
              <w:highlight w:val="none"/>
            </w:rPr>
            <w:t>录</w:t>
          </w:r>
        </w:p>
        <w:p>
          <w:pPr>
            <w:pStyle w:val="13"/>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TOC \o "1-1" \h \u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_Toc14617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lang w:val="en-US" w:eastAsia="zh-CN"/>
            </w:rPr>
            <w:t>邀请招标公告</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fldChar w:fldCharType="end"/>
          </w:r>
        </w:p>
        <w:p>
          <w:pPr>
            <w:pStyle w:val="13"/>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_Toc3704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投标邀请书</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fldChar w:fldCharType="end"/>
          </w:r>
        </w:p>
        <w:p>
          <w:pPr>
            <w:pStyle w:val="13"/>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_Toc13302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第1章 投标须知及前附表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fldChar w:fldCharType="end"/>
          </w:r>
        </w:p>
        <w:p>
          <w:pPr>
            <w:pStyle w:val="13"/>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_Toc1632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第2章 项目需求书</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_Toc1632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17</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3"/>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_Toc27492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第3章  投标格式文件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_Toc27492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3"/>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_Toc30913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第4章 评标办法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_Toc30913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3"/>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_Toc26593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第5章</w:t>
          </w:r>
          <w:r>
            <w:rPr>
              <w:rFonts w:hint="eastAsia" w:asciiTheme="minorEastAsia" w:hAnsiTheme="minorEastAsia" w:eastAsiaTheme="minorEastAsia" w:cstheme="minorEastAsia"/>
              <w:color w:val="auto"/>
              <w:kern w:val="44"/>
              <w:sz w:val="24"/>
              <w:szCs w:val="24"/>
              <w:highlight w:val="none"/>
              <w:lang w:val="en-US" w:eastAsia="zh-CN"/>
            </w:rPr>
            <w:t xml:space="preserve"> </w:t>
          </w:r>
          <w:r>
            <w:rPr>
              <w:rFonts w:hint="eastAsia" w:asciiTheme="minorEastAsia" w:hAnsiTheme="minorEastAsia" w:eastAsiaTheme="minorEastAsia" w:cstheme="minorEastAsia"/>
              <w:color w:val="auto"/>
              <w:kern w:val="44"/>
              <w:sz w:val="24"/>
              <w:szCs w:val="24"/>
              <w:highlight w:val="none"/>
            </w:rPr>
            <w:t>附件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_Toc26593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38</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3"/>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_Toc12170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附件1：有效性审查表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_Toc12170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39</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3"/>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_Toc18783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附件2综合评分表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_Toc18783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40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3"/>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_Toc22949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附件：合同</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_Toc22949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44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rPr>
              <w:color w:val="auto"/>
              <w:highlight w:val="none"/>
            </w:rPr>
          </w:pPr>
          <w:r>
            <w:rPr>
              <w:rFonts w:hint="eastAsia" w:asciiTheme="minorEastAsia" w:hAnsiTheme="minorEastAsia" w:eastAsiaTheme="minorEastAsia" w:cstheme="minorEastAsia"/>
              <w:color w:val="auto"/>
              <w:sz w:val="24"/>
              <w:szCs w:val="24"/>
              <w:highlight w:val="none"/>
            </w:rPr>
            <w:fldChar w:fldCharType="end"/>
          </w:r>
        </w:p>
      </w:sdtContent>
    </w:sdt>
    <w:p>
      <w:pPr>
        <w:pStyle w:val="15"/>
        <w:widowControl/>
        <w:spacing w:after="0"/>
        <w:ind w:firstLine="0"/>
        <w:rPr>
          <w:rFonts w:ascii="宋体" w:hAnsi="宋体" w:cs="宋体"/>
          <w:color w:val="auto"/>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type="lines" w:linePitch="285" w:charSpace="0"/>
        </w:sectPr>
      </w:pPr>
    </w:p>
    <w:p>
      <w:pPr>
        <w:pStyle w:val="15"/>
        <w:widowControl/>
        <w:spacing w:after="0"/>
        <w:ind w:firstLine="0"/>
        <w:rPr>
          <w:rFonts w:ascii="宋体" w:hAnsi="宋体" w:cs="宋体"/>
          <w:color w:val="auto"/>
          <w:highlight w:val="none"/>
        </w:rPr>
      </w:pPr>
    </w:p>
    <w:p>
      <w:pPr>
        <w:pStyle w:val="4"/>
        <w:keepNext/>
        <w:keepLines/>
        <w:pageBreakBefore w:val="0"/>
        <w:widowControl/>
        <w:kinsoku/>
        <w:wordWrap/>
        <w:overflowPunct/>
        <w:topLinePunct w:val="0"/>
        <w:autoSpaceDE/>
        <w:autoSpaceDN/>
        <w:bidi w:val="0"/>
        <w:adjustRightInd w:val="0"/>
        <w:snapToGrid/>
        <w:spacing w:before="0" w:after="0" w:line="240" w:lineRule="auto"/>
        <w:jc w:val="center"/>
        <w:textAlignment w:val="auto"/>
        <w:outlineLvl w:val="1"/>
        <w:rPr>
          <w:rFonts w:hint="default" w:ascii="方正小标宋简体" w:hAnsi="方正小标宋简体" w:eastAsia="方正小标宋简体" w:cs="方正小标宋简体"/>
          <w:b/>
          <w:bCs/>
          <w:color w:val="auto"/>
          <w:sz w:val="44"/>
          <w:szCs w:val="44"/>
          <w:highlight w:val="none"/>
          <w:lang w:val="en-US" w:eastAsia="zh-CN"/>
        </w:rPr>
      </w:pPr>
      <w:bookmarkStart w:id="2" w:name="_Toc3704"/>
      <w:r>
        <w:rPr>
          <w:rFonts w:hint="eastAsia" w:ascii="方正小标宋简体" w:hAnsi="方正小标宋简体" w:eastAsia="方正小标宋简体" w:cs="方正小标宋简体"/>
          <w:b/>
          <w:bCs/>
          <w:color w:val="auto"/>
          <w:sz w:val="44"/>
          <w:szCs w:val="44"/>
          <w:highlight w:val="none"/>
          <w:lang w:val="en-US" w:eastAsia="zh-CN"/>
        </w:rPr>
        <w:t>邀请招标公告</w:t>
      </w:r>
    </w:p>
    <w:p>
      <w:pPr>
        <w:snapToGrid w:val="0"/>
        <w:spacing w:line="420" w:lineRule="exact"/>
        <w:rPr>
          <w:rFonts w:ascii="宋体" w:hAnsi="宋体" w:eastAsia="宋体" w:cs="宋体"/>
          <w:color w:val="auto"/>
          <w:highlight w:val="none"/>
        </w:rPr>
      </w:pPr>
      <w:r>
        <w:rPr>
          <w:rFonts w:hint="eastAsia" w:ascii="宋体" w:hAnsi="宋体" w:eastAsia="宋体" w:cs="宋体"/>
          <w:color w:val="auto"/>
          <w:szCs w:val="21"/>
          <w:highlight w:val="none"/>
        </w:rPr>
        <w:t xml:space="preserve"> </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根据</w:t>
      </w:r>
      <w:r>
        <w:rPr>
          <w:rFonts w:hint="eastAsia" w:ascii="仿宋_GB2312" w:hAnsi="仿宋_GB2312" w:eastAsia="仿宋_GB2312" w:cs="仿宋_GB2312"/>
          <w:color w:val="auto"/>
          <w:sz w:val="32"/>
          <w:szCs w:val="32"/>
          <w:highlight w:val="none"/>
        </w:rPr>
        <w:t>广州南沙资产经营集团有限公司</w:t>
      </w:r>
      <w:r>
        <w:rPr>
          <w:rFonts w:hint="eastAsia" w:ascii="仿宋_GB2312" w:hAnsi="仿宋_GB2312" w:eastAsia="仿宋_GB2312" w:cs="仿宋_GB2312"/>
          <w:color w:val="auto"/>
          <w:sz w:val="32"/>
          <w:szCs w:val="32"/>
          <w:highlight w:val="none"/>
          <w:lang w:val="en-US" w:eastAsia="zh-CN"/>
        </w:rPr>
        <w:t>关于</w:t>
      </w:r>
      <w:r>
        <w:rPr>
          <w:rFonts w:hint="eastAsia" w:ascii="仿宋_GB2312" w:hAnsi="仿宋_GB2312" w:eastAsia="仿宋_GB2312" w:cs="仿宋_GB2312"/>
          <w:color w:val="auto"/>
          <w:kern w:val="2"/>
          <w:sz w:val="32"/>
          <w:szCs w:val="32"/>
          <w:highlight w:val="none"/>
          <w:lang w:val="en-US" w:eastAsia="zh-CN" w:bidi="ar-SA"/>
        </w:rPr>
        <w:t>《关于委托集团公司年度造价咨询单位的请示》的批复意见，现</w:t>
      </w:r>
      <w:r>
        <w:rPr>
          <w:rFonts w:hint="eastAsia" w:ascii="仿宋_GB2312" w:hAnsi="仿宋_GB2312" w:eastAsia="仿宋_GB2312" w:cs="仿宋_GB2312"/>
          <w:color w:val="auto"/>
          <w:sz w:val="32"/>
          <w:szCs w:val="32"/>
          <w:highlight w:val="none"/>
        </w:rPr>
        <w:t>就</w:t>
      </w:r>
      <w:r>
        <w:rPr>
          <w:rFonts w:hint="eastAsia" w:ascii="仿宋_GB2312" w:hAnsi="仿宋_GB2312" w:eastAsia="仿宋_GB2312" w:cs="仿宋_GB2312"/>
          <w:color w:val="auto"/>
          <w:sz w:val="32"/>
          <w:szCs w:val="32"/>
          <w:highlight w:val="none"/>
          <w:lang w:val="en-US" w:eastAsia="zh-CN"/>
        </w:rPr>
        <w:t>广州南沙</w:t>
      </w:r>
      <w:r>
        <w:rPr>
          <w:rFonts w:hint="eastAsia" w:ascii="仿宋_GB2312" w:hAnsi="仿宋_GB2312" w:eastAsia="仿宋_GB2312" w:cs="仿宋_GB2312"/>
          <w:color w:val="auto"/>
          <w:sz w:val="32"/>
          <w:szCs w:val="32"/>
          <w:highlight w:val="none"/>
        </w:rPr>
        <w:t>资产经营集团</w:t>
      </w:r>
      <w:r>
        <w:rPr>
          <w:rFonts w:hint="eastAsia" w:ascii="仿宋_GB2312" w:hAnsi="仿宋_GB2312" w:eastAsia="仿宋_GB2312" w:cs="仿宋_GB2312"/>
          <w:color w:val="auto"/>
          <w:sz w:val="32"/>
          <w:szCs w:val="32"/>
          <w:highlight w:val="none"/>
          <w:lang w:val="en-US" w:eastAsia="zh-CN"/>
        </w:rPr>
        <w:t>有限公司</w:t>
      </w:r>
      <w:r>
        <w:rPr>
          <w:rFonts w:hint="eastAsia" w:ascii="仿宋_GB2312" w:hAnsi="仿宋_GB2312" w:eastAsia="仿宋_GB2312" w:cs="仿宋_GB2312"/>
          <w:color w:val="auto"/>
          <w:sz w:val="32"/>
          <w:szCs w:val="32"/>
          <w:highlight w:val="none"/>
        </w:rPr>
        <w:t>（以下简称“招标人”）</w:t>
      </w:r>
      <w:r>
        <w:rPr>
          <w:rFonts w:hint="eastAsia" w:ascii="仿宋_GB2312" w:hAnsi="仿宋_GB2312" w:eastAsia="仿宋_GB2312" w:cs="仿宋_GB2312"/>
          <w:color w:val="auto"/>
          <w:sz w:val="32"/>
          <w:szCs w:val="32"/>
          <w:highlight w:val="none"/>
          <w:lang w:val="en-US" w:eastAsia="zh-CN"/>
        </w:rPr>
        <w:t>工程</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val="en-US" w:eastAsia="zh-CN"/>
        </w:rPr>
        <w:t>年度造价</w:t>
      </w:r>
      <w:r>
        <w:rPr>
          <w:rFonts w:hint="eastAsia" w:ascii="仿宋_GB2312" w:hAnsi="仿宋_GB2312" w:eastAsia="仿宋_GB2312" w:cs="仿宋_GB2312"/>
          <w:color w:val="auto"/>
          <w:sz w:val="32"/>
          <w:szCs w:val="32"/>
          <w:highlight w:val="none"/>
        </w:rPr>
        <w:t>咨询服务单位进行邀请招标，选定承包人。有关事项如下：</w:t>
      </w:r>
    </w:p>
    <w:p>
      <w:pPr>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一、项目名称：</w:t>
      </w:r>
      <w:r>
        <w:rPr>
          <w:rFonts w:hint="eastAsia" w:ascii="仿宋_GB2312" w:hAnsi="仿宋_GB2312" w:eastAsia="仿宋_GB2312" w:cs="仿宋_GB2312"/>
          <w:color w:val="auto"/>
          <w:sz w:val="32"/>
          <w:szCs w:val="32"/>
          <w:highlight w:val="none"/>
          <w:u w:val="single"/>
          <w:lang w:val="en-US" w:eastAsia="zh-CN"/>
        </w:rPr>
        <w:t>广州南沙</w:t>
      </w:r>
      <w:r>
        <w:rPr>
          <w:rFonts w:hint="eastAsia" w:ascii="仿宋_GB2312" w:hAnsi="仿宋_GB2312" w:eastAsia="仿宋_GB2312" w:cs="仿宋_GB2312"/>
          <w:color w:val="auto"/>
          <w:sz w:val="32"/>
          <w:szCs w:val="32"/>
          <w:highlight w:val="none"/>
          <w:u w:val="single"/>
        </w:rPr>
        <w:t>资产经营集团</w:t>
      </w:r>
      <w:r>
        <w:rPr>
          <w:rFonts w:hint="eastAsia" w:ascii="仿宋_GB2312" w:hAnsi="仿宋_GB2312" w:eastAsia="仿宋_GB2312" w:cs="仿宋_GB2312"/>
          <w:color w:val="auto"/>
          <w:sz w:val="32"/>
          <w:szCs w:val="32"/>
          <w:highlight w:val="none"/>
          <w:u w:val="single"/>
          <w:lang w:eastAsia="zh-CN"/>
        </w:rPr>
        <w:t>有限公司</w:t>
      </w:r>
      <w:r>
        <w:rPr>
          <w:rFonts w:hint="eastAsia" w:ascii="仿宋_GB2312" w:hAnsi="仿宋_GB2312" w:eastAsia="仿宋_GB2312" w:cs="仿宋_GB2312"/>
          <w:color w:val="auto"/>
          <w:sz w:val="32"/>
          <w:szCs w:val="32"/>
          <w:highlight w:val="none"/>
          <w:u w:val="single"/>
          <w:lang w:val="en-US" w:eastAsia="zh-CN"/>
        </w:rPr>
        <w:t>工程</w:t>
      </w:r>
      <w:r>
        <w:rPr>
          <w:rFonts w:hint="eastAsia" w:ascii="仿宋_GB2312" w:hAnsi="仿宋_GB2312" w:eastAsia="仿宋_GB2312" w:cs="仿宋_GB2312"/>
          <w:color w:val="auto"/>
          <w:sz w:val="32"/>
          <w:szCs w:val="32"/>
          <w:highlight w:val="none"/>
          <w:u w:val="single"/>
        </w:rPr>
        <w:t>项目</w:t>
      </w:r>
      <w:r>
        <w:rPr>
          <w:rFonts w:hint="eastAsia" w:ascii="仿宋_GB2312" w:hAnsi="仿宋_GB2312" w:eastAsia="仿宋_GB2312" w:cs="仿宋_GB2312"/>
          <w:color w:val="auto"/>
          <w:sz w:val="32"/>
          <w:szCs w:val="32"/>
          <w:highlight w:val="none"/>
          <w:u w:val="single"/>
          <w:lang w:val="en-US" w:eastAsia="zh-CN"/>
        </w:rPr>
        <w:t>年度造价</w:t>
      </w:r>
      <w:r>
        <w:rPr>
          <w:rFonts w:hint="eastAsia" w:ascii="仿宋_GB2312" w:hAnsi="仿宋_GB2312" w:eastAsia="仿宋_GB2312" w:cs="仿宋_GB2312"/>
          <w:color w:val="auto"/>
          <w:sz w:val="32"/>
          <w:szCs w:val="32"/>
          <w:highlight w:val="none"/>
          <w:u w:val="single"/>
        </w:rPr>
        <w:t>咨询服务</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 xml:space="preserve"> </w:t>
      </w:r>
    </w:p>
    <w:p>
      <w:pPr>
        <w:spacing w:line="560" w:lineRule="exact"/>
        <w:ind w:left="2660" w:leftChars="200" w:hanging="2240" w:hangingChars="700"/>
        <w:jc w:val="left"/>
        <w:rPr>
          <w:rFonts w:hint="eastAsia" w:ascii="仿宋_GB2312" w:hAnsi="仿宋_GB2312" w:eastAsia="仿宋_GB2312" w:cs="仿宋_GB2312"/>
          <w:color w:val="auto"/>
          <w:kern w:val="0"/>
          <w:sz w:val="32"/>
          <w:szCs w:val="32"/>
          <w:highlight w:val="none"/>
          <w:u w:val="single"/>
          <w:lang w:val="en-US" w:eastAsia="zh-CN"/>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val="en-US" w:eastAsia="zh-CN"/>
        </w:rPr>
        <w:t>招标内容</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kern w:val="0"/>
          <w:sz w:val="32"/>
          <w:szCs w:val="32"/>
          <w:highlight w:val="none"/>
          <w:u w:val="single"/>
        </w:rPr>
        <w:t>本项目为</w:t>
      </w:r>
      <w:r>
        <w:rPr>
          <w:rFonts w:hint="eastAsia" w:ascii="仿宋_GB2312" w:hAnsi="仿宋_GB2312" w:eastAsia="仿宋_GB2312" w:cs="仿宋_GB2312"/>
          <w:color w:val="auto"/>
          <w:kern w:val="0"/>
          <w:sz w:val="32"/>
          <w:szCs w:val="32"/>
          <w:highlight w:val="none"/>
          <w:u w:val="single"/>
          <w:lang w:val="en-US" w:eastAsia="zh-CN"/>
        </w:rPr>
        <w:t>工程结算（包括EPC项目预算审核）年</w:t>
      </w:r>
    </w:p>
    <w:p>
      <w:pPr>
        <w:spacing w:line="560" w:lineRule="exact"/>
        <w:jc w:val="left"/>
        <w:rPr>
          <w:rFonts w:hint="eastAsia"/>
          <w:lang w:eastAsia="zh-CN"/>
        </w:rPr>
      </w:pPr>
      <w:r>
        <w:rPr>
          <w:rFonts w:hint="eastAsia" w:ascii="仿宋_GB2312" w:hAnsi="仿宋_GB2312" w:eastAsia="仿宋_GB2312" w:cs="仿宋_GB2312"/>
          <w:color w:val="auto"/>
          <w:kern w:val="0"/>
          <w:sz w:val="32"/>
          <w:szCs w:val="32"/>
          <w:highlight w:val="none"/>
          <w:u w:val="single"/>
          <w:lang w:val="en-US" w:eastAsia="zh-CN"/>
        </w:rPr>
        <w:t>度造价</w:t>
      </w:r>
      <w:r>
        <w:rPr>
          <w:rFonts w:ascii="仿宋_GB2312" w:hAnsi="仿宋_GB2312" w:eastAsia="仿宋_GB2312" w:cs="仿宋_GB2312"/>
          <w:color w:val="auto"/>
          <w:kern w:val="0"/>
          <w:sz w:val="32"/>
          <w:szCs w:val="32"/>
          <w:highlight w:val="none"/>
          <w:u w:val="single"/>
        </w:rPr>
        <w:t>咨询服务，包括</w:t>
      </w:r>
      <w:r>
        <w:rPr>
          <w:rFonts w:hint="eastAsia" w:ascii="仿宋_GB2312" w:hAnsi="仿宋_GB2312" w:eastAsia="仿宋_GB2312" w:cs="仿宋_GB2312"/>
          <w:color w:val="auto"/>
          <w:kern w:val="0"/>
          <w:sz w:val="32"/>
          <w:szCs w:val="32"/>
          <w:highlight w:val="none"/>
          <w:u w:val="single"/>
          <w:lang w:val="en-US" w:eastAsia="zh-CN"/>
        </w:rPr>
        <w:t>招标人范围内工程</w:t>
      </w:r>
      <w:r>
        <w:rPr>
          <w:rFonts w:ascii="仿宋_GB2312" w:hAnsi="仿宋_GB2312" w:eastAsia="仿宋_GB2312" w:cs="仿宋_GB2312"/>
          <w:color w:val="auto"/>
          <w:sz w:val="32"/>
          <w:szCs w:val="32"/>
          <w:highlight w:val="none"/>
          <w:u w:val="single"/>
        </w:rPr>
        <w:t>项目</w:t>
      </w:r>
      <w:r>
        <w:rPr>
          <w:rFonts w:hint="eastAsia" w:ascii="仿宋_GB2312" w:hAnsi="仿宋_GB2312" w:eastAsia="仿宋_GB2312" w:cs="仿宋_GB2312"/>
          <w:color w:val="auto"/>
          <w:sz w:val="32"/>
          <w:szCs w:val="32"/>
          <w:highlight w:val="none"/>
          <w:u w:val="single"/>
          <w:lang w:val="en-US" w:eastAsia="zh-CN"/>
        </w:rPr>
        <w:t>结算等造价</w:t>
      </w:r>
      <w:r>
        <w:rPr>
          <w:rFonts w:ascii="仿宋_GB2312" w:hAnsi="仿宋_GB2312" w:eastAsia="仿宋_GB2312" w:cs="仿宋_GB2312"/>
          <w:color w:val="auto"/>
          <w:sz w:val="32"/>
          <w:szCs w:val="32"/>
          <w:highlight w:val="none"/>
          <w:u w:val="single"/>
        </w:rPr>
        <w:t>咨询服务</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项目数为若干</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单个年度咨询</w:t>
      </w:r>
      <w:r>
        <w:rPr>
          <w:rFonts w:hint="eastAsia" w:ascii="仿宋_GB2312" w:hAnsi="仿宋_GB2312" w:eastAsia="仿宋_GB2312" w:cs="仿宋_GB2312"/>
          <w:color w:val="auto"/>
          <w:sz w:val="32"/>
          <w:szCs w:val="32"/>
          <w:highlight w:val="none"/>
          <w:u w:val="single"/>
        </w:rPr>
        <w:t>费用</w:t>
      </w:r>
      <w:r>
        <w:rPr>
          <w:rFonts w:hint="eastAsia" w:ascii="仿宋_GB2312" w:hAnsi="仿宋_GB2312" w:eastAsia="仿宋_GB2312" w:cs="仿宋_GB2312"/>
          <w:color w:val="auto"/>
          <w:sz w:val="32"/>
          <w:szCs w:val="32"/>
          <w:highlight w:val="none"/>
          <w:u w:val="single"/>
          <w:lang w:val="en-US" w:eastAsia="zh-CN"/>
        </w:rPr>
        <w:t>累计</w:t>
      </w:r>
      <w:r>
        <w:rPr>
          <w:rFonts w:hint="eastAsia" w:ascii="仿宋_GB2312" w:hAnsi="仿宋_GB2312" w:eastAsia="仿宋_GB2312" w:cs="仿宋_GB2312"/>
          <w:color w:val="auto"/>
          <w:sz w:val="32"/>
          <w:szCs w:val="32"/>
          <w:highlight w:val="none"/>
          <w:u w:val="single"/>
        </w:rPr>
        <w:t>总额为100万元以下，单个</w:t>
      </w:r>
      <w:r>
        <w:rPr>
          <w:rFonts w:hint="eastAsia" w:ascii="仿宋_GB2312" w:hAnsi="仿宋_GB2312" w:eastAsia="仿宋_GB2312" w:cs="仿宋_GB2312"/>
          <w:color w:val="auto"/>
          <w:sz w:val="32"/>
          <w:szCs w:val="32"/>
          <w:highlight w:val="none"/>
          <w:u w:val="single"/>
          <w:lang w:val="en-US" w:eastAsia="zh-CN"/>
        </w:rPr>
        <w:t>工程</w:t>
      </w:r>
      <w:r>
        <w:rPr>
          <w:rFonts w:hint="eastAsia" w:ascii="仿宋_GB2312" w:hAnsi="仿宋_GB2312" w:eastAsia="仿宋_GB2312" w:cs="仿宋_GB2312"/>
          <w:color w:val="auto"/>
          <w:sz w:val="32"/>
          <w:szCs w:val="32"/>
          <w:highlight w:val="none"/>
          <w:u w:val="single"/>
        </w:rPr>
        <w:t>项目</w:t>
      </w:r>
      <w:r>
        <w:rPr>
          <w:rFonts w:hint="eastAsia" w:ascii="仿宋_GB2312" w:hAnsi="仿宋_GB2312" w:eastAsia="仿宋_GB2312" w:cs="仿宋_GB2312"/>
          <w:color w:val="auto"/>
          <w:sz w:val="32"/>
          <w:szCs w:val="32"/>
          <w:highlight w:val="none"/>
          <w:u w:val="single"/>
          <w:lang w:val="en-US" w:eastAsia="zh-CN"/>
        </w:rPr>
        <w:t>咨询费用不超过50万元</w:t>
      </w: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color w:val="auto"/>
          <w:sz w:val="32"/>
          <w:szCs w:val="32"/>
          <w:highlight w:val="none"/>
          <w:u w:val="single"/>
          <w:lang w:val="en-US" w:eastAsia="zh-CN"/>
        </w:rPr>
        <w:t>咨询服务费用以</w:t>
      </w:r>
      <w:r>
        <w:rPr>
          <w:rFonts w:hint="eastAsia" w:ascii="仿宋_GB2312" w:hAnsi="仿宋_GB2312" w:eastAsia="仿宋_GB2312" w:cs="仿宋_GB2312"/>
          <w:color w:val="auto"/>
          <w:sz w:val="32"/>
          <w:szCs w:val="32"/>
          <w:highlight w:val="none"/>
          <w:u w:val="single"/>
        </w:rPr>
        <w:t>投标人报价</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下浮率</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结合</w:t>
      </w:r>
      <w:r>
        <w:rPr>
          <w:rFonts w:ascii="仿宋_GB2312" w:hAnsi="宋体" w:eastAsia="仿宋_GB2312" w:cs="仿宋_GB2312"/>
          <w:i w:val="0"/>
          <w:caps w:val="0"/>
          <w:color w:val="111111"/>
          <w:spacing w:val="0"/>
          <w:sz w:val="32"/>
          <w:szCs w:val="32"/>
          <w:u w:val="single"/>
          <w:shd w:val="clear" w:fill="FFFFFF"/>
        </w:rPr>
        <w:t>最新版</w:t>
      </w:r>
      <w:r>
        <w:rPr>
          <w:rFonts w:hint="eastAsia" w:ascii="仿宋_GB2312" w:hAnsi="宋体" w:eastAsia="仿宋_GB2312" w:cs="仿宋_GB2312"/>
          <w:i w:val="0"/>
          <w:caps w:val="0"/>
          <w:color w:val="111111"/>
          <w:spacing w:val="0"/>
          <w:sz w:val="32"/>
          <w:szCs w:val="32"/>
          <w:u w:val="single"/>
          <w:shd w:val="clear" w:fill="FFFFFF"/>
          <w:lang w:eastAsia="zh-CN"/>
        </w:rPr>
        <w:t>《</w:t>
      </w:r>
      <w:r>
        <w:rPr>
          <w:rFonts w:ascii="仿宋_GB2312" w:hAnsi="宋体" w:eastAsia="仿宋_GB2312" w:cs="仿宋_GB2312"/>
          <w:i w:val="0"/>
          <w:caps w:val="0"/>
          <w:color w:val="111111"/>
          <w:spacing w:val="0"/>
          <w:sz w:val="32"/>
          <w:szCs w:val="32"/>
          <w:u w:val="single"/>
          <w:shd w:val="clear" w:fill="FFFFFF"/>
        </w:rPr>
        <w:t>广东省建设工程造价咨询服务收费标准表</w:t>
      </w:r>
      <w:r>
        <w:rPr>
          <w:rFonts w:hint="eastAsia" w:ascii="仿宋_GB2312" w:hAnsi="宋体" w:eastAsia="仿宋_GB2312" w:cs="仿宋_GB2312"/>
          <w:i w:val="0"/>
          <w:caps w:val="0"/>
          <w:color w:val="111111"/>
          <w:spacing w:val="0"/>
          <w:sz w:val="32"/>
          <w:szCs w:val="32"/>
          <w:u w:val="single"/>
          <w:shd w:val="clear" w:fill="FFFFFF"/>
          <w:lang w:eastAsia="zh-CN"/>
        </w:rPr>
        <w:t>》</w:t>
      </w:r>
      <w:r>
        <w:rPr>
          <w:rFonts w:hint="eastAsia" w:ascii="仿宋_GB2312" w:hAnsi="仿宋_GB2312" w:eastAsia="仿宋_GB2312" w:cs="仿宋_GB2312"/>
          <w:color w:val="auto"/>
          <w:sz w:val="32"/>
          <w:szCs w:val="32"/>
          <w:highlight w:val="none"/>
          <w:u w:val="single"/>
          <w:lang w:val="en-US" w:eastAsia="zh-CN"/>
        </w:rPr>
        <w:t>计算。</w:t>
      </w:r>
    </w:p>
    <w:p>
      <w:pPr>
        <w:spacing w:line="560" w:lineRule="exact"/>
        <w:ind w:firstLine="640" w:firstLineChars="200"/>
        <w:jc w:val="left"/>
        <w:rPr>
          <w:rFonts w:hint="eastAsia" w:ascii="仿宋_GB2312" w:hAnsi="宋体" w:eastAsia="仿宋_GB2312" w:cs="仿宋_GB2312"/>
          <w:i w:val="0"/>
          <w:caps w:val="0"/>
          <w:color w:val="111111"/>
          <w:spacing w:val="0"/>
          <w:sz w:val="32"/>
          <w:szCs w:val="32"/>
          <w:shd w:val="clear" w:fill="FFFFFF"/>
        </w:rPr>
      </w:pPr>
      <w:r>
        <w:rPr>
          <w:rFonts w:ascii="仿宋_GB2312" w:hAnsi="宋体" w:eastAsia="仿宋_GB2312" w:cs="仿宋_GB2312"/>
          <w:i w:val="0"/>
          <w:caps w:val="0"/>
          <w:color w:val="111111"/>
          <w:spacing w:val="0"/>
          <w:sz w:val="32"/>
          <w:szCs w:val="32"/>
          <w:u w:val="single"/>
          <w:shd w:val="clear" w:fill="FFFFFF"/>
        </w:rPr>
        <w:t>服务期限实行</w:t>
      </w:r>
      <w:r>
        <w:rPr>
          <w:rFonts w:hint="eastAsia" w:ascii="仿宋_GB2312" w:hAnsi="宋体" w:eastAsia="仿宋_GB2312" w:cs="仿宋_GB2312"/>
          <w:i w:val="0"/>
          <w:caps w:val="0"/>
          <w:color w:val="111111"/>
          <w:spacing w:val="0"/>
          <w:sz w:val="32"/>
          <w:szCs w:val="32"/>
          <w:u w:val="single"/>
          <w:shd w:val="clear" w:fill="FFFFFF"/>
        </w:rPr>
        <w:t>“1+1”管理模式，即：当服务时间或总费用额度任意一项达到委托合同范围时，当期年度服务合同自行终止；但在</w:t>
      </w:r>
      <w:r>
        <w:rPr>
          <w:rFonts w:hint="eastAsia" w:ascii="仿宋_GB2312" w:hAnsi="宋体" w:eastAsia="仿宋_GB2312" w:cs="仿宋_GB2312"/>
          <w:i w:val="0"/>
          <w:caps w:val="0"/>
          <w:color w:val="111111"/>
          <w:spacing w:val="0"/>
          <w:sz w:val="32"/>
          <w:szCs w:val="32"/>
          <w:u w:val="single"/>
          <w:shd w:val="clear" w:fill="FFFFFF"/>
          <w:lang w:val="en-US" w:eastAsia="zh-CN"/>
        </w:rPr>
        <w:t>发包人</w:t>
      </w:r>
      <w:r>
        <w:rPr>
          <w:rFonts w:hint="eastAsia" w:ascii="仿宋_GB2312" w:hAnsi="宋体" w:eastAsia="仿宋_GB2312" w:cs="仿宋_GB2312"/>
          <w:i w:val="0"/>
          <w:caps w:val="0"/>
          <w:color w:val="111111"/>
          <w:spacing w:val="0"/>
          <w:sz w:val="32"/>
          <w:szCs w:val="32"/>
          <w:u w:val="single"/>
          <w:shd w:val="clear" w:fill="FFFFFF"/>
        </w:rPr>
        <w:t>投资运营管理部对其服务评价为优良的情况下，年度造价咨询单位可顺延下一年度服务合同，当该期合同的服务时间或总费用额度任意一项也达到委托合同范围时，年度服务合同立即终止，不再续期。</w:t>
      </w:r>
    </w:p>
    <w:p>
      <w:pPr>
        <w:pStyle w:val="9"/>
        <w:widowControl/>
        <w:spacing w:line="560" w:lineRule="exact"/>
        <w:ind w:firstLine="640" w:firstLineChars="200"/>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四、服务</w:t>
      </w:r>
      <w:r>
        <w:rPr>
          <w:rFonts w:hint="eastAsia" w:ascii="仿宋_GB2312" w:hAnsi="仿宋_GB2312" w:eastAsia="仿宋_GB2312" w:cs="仿宋_GB2312"/>
          <w:color w:val="auto"/>
          <w:sz w:val="32"/>
          <w:szCs w:val="32"/>
          <w:highlight w:val="none"/>
          <w:lang w:val="en-US" w:eastAsia="zh-CN"/>
        </w:rPr>
        <w:t>时间、总费用额度</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202</w:t>
      </w:r>
      <w:r>
        <w:rPr>
          <w:rFonts w:hint="eastAsia" w:ascii="仿宋_GB2312" w:hAnsi="仿宋_GB2312" w:eastAsia="仿宋_GB2312" w:cs="仿宋_GB2312"/>
          <w:color w:val="auto"/>
          <w:sz w:val="32"/>
          <w:szCs w:val="32"/>
          <w:highlight w:val="none"/>
          <w:u w:val="single"/>
          <w:lang w:val="en-US" w:eastAsia="zh-CN"/>
        </w:rPr>
        <w:t>1</w:t>
      </w:r>
      <w:r>
        <w:rPr>
          <w:rFonts w:hint="eastAsia" w:ascii="仿宋_GB2312" w:hAnsi="仿宋_GB2312" w:eastAsia="仿宋_GB2312" w:cs="仿宋_GB2312"/>
          <w:color w:val="auto"/>
          <w:sz w:val="32"/>
          <w:szCs w:val="32"/>
          <w:highlight w:val="none"/>
          <w:u w:val="single"/>
        </w:rPr>
        <w:t>年</w:t>
      </w:r>
      <w:r>
        <w:rPr>
          <w:rFonts w:hint="eastAsia" w:ascii="仿宋_GB2312" w:hAnsi="仿宋_GB2312" w:eastAsia="仿宋_GB2312" w:cs="仿宋_GB2312"/>
          <w:color w:val="auto"/>
          <w:sz w:val="32"/>
          <w:szCs w:val="32"/>
          <w:highlight w:val="none"/>
          <w:u w:val="single"/>
          <w:lang w:val="en-US" w:eastAsia="zh-CN"/>
        </w:rPr>
        <w:t>8</w:t>
      </w:r>
      <w:r>
        <w:rPr>
          <w:rFonts w:hint="eastAsia" w:ascii="仿宋_GB2312" w:hAnsi="仿宋_GB2312" w:eastAsia="仿宋_GB2312" w:cs="仿宋_GB2312"/>
          <w:color w:val="auto"/>
          <w:sz w:val="32"/>
          <w:szCs w:val="32"/>
          <w:highlight w:val="none"/>
          <w:u w:val="single"/>
        </w:rPr>
        <w:t>月</w:t>
      </w:r>
      <w:r>
        <w:rPr>
          <w:rFonts w:hint="eastAsia" w:ascii="仿宋_GB2312" w:hAnsi="仿宋_GB2312" w:eastAsia="仿宋_GB2312" w:cs="仿宋_GB2312"/>
          <w:color w:val="auto"/>
          <w:sz w:val="32"/>
          <w:szCs w:val="32"/>
          <w:highlight w:val="none"/>
          <w:u w:val="single"/>
          <w:lang w:val="en-US" w:eastAsia="zh-CN"/>
        </w:rPr>
        <w:t>至</w:t>
      </w:r>
      <w:r>
        <w:rPr>
          <w:rFonts w:hint="eastAsia" w:ascii="仿宋_GB2312" w:hAnsi="仿宋_GB2312" w:eastAsia="仿宋_GB2312" w:cs="仿宋_GB2312"/>
          <w:color w:val="auto"/>
          <w:sz w:val="32"/>
          <w:szCs w:val="32"/>
          <w:highlight w:val="none"/>
          <w:u w:val="single"/>
        </w:rPr>
        <w:t>202</w:t>
      </w:r>
      <w:r>
        <w:rPr>
          <w:rFonts w:hint="eastAsia" w:ascii="仿宋_GB2312" w:hAnsi="仿宋_GB2312" w:eastAsia="仿宋_GB2312" w:cs="仿宋_GB2312"/>
          <w:color w:val="auto"/>
          <w:sz w:val="32"/>
          <w:szCs w:val="32"/>
          <w:highlight w:val="none"/>
          <w:u w:val="single"/>
          <w:lang w:val="en-US" w:eastAsia="zh-CN"/>
        </w:rPr>
        <w:t>2</w:t>
      </w:r>
      <w:r>
        <w:rPr>
          <w:rFonts w:hint="eastAsia" w:ascii="仿宋_GB2312" w:hAnsi="仿宋_GB2312" w:eastAsia="仿宋_GB2312" w:cs="仿宋_GB2312"/>
          <w:color w:val="auto"/>
          <w:sz w:val="32"/>
          <w:szCs w:val="32"/>
          <w:highlight w:val="none"/>
          <w:u w:val="single"/>
        </w:rPr>
        <w:t>年</w:t>
      </w:r>
      <w:r>
        <w:rPr>
          <w:rFonts w:hint="eastAsia" w:ascii="仿宋_GB2312" w:hAnsi="仿宋_GB2312" w:eastAsia="仿宋_GB2312" w:cs="仿宋_GB2312"/>
          <w:color w:val="auto"/>
          <w:sz w:val="32"/>
          <w:szCs w:val="32"/>
          <w:highlight w:val="none"/>
          <w:u w:val="single"/>
          <w:lang w:val="en-US" w:eastAsia="zh-CN"/>
        </w:rPr>
        <w:t>8</w:t>
      </w:r>
      <w:r>
        <w:rPr>
          <w:rFonts w:hint="eastAsia" w:ascii="仿宋_GB2312" w:hAnsi="仿宋_GB2312" w:eastAsia="仿宋_GB2312" w:cs="仿宋_GB2312"/>
          <w:color w:val="auto"/>
          <w:sz w:val="32"/>
          <w:szCs w:val="32"/>
          <w:highlight w:val="none"/>
          <w:u w:val="single"/>
        </w:rPr>
        <w:t>月</w:t>
      </w:r>
      <w:r>
        <w:rPr>
          <w:rFonts w:hint="eastAsia" w:ascii="仿宋_GB2312" w:hAnsi="仿宋_GB2312" w:eastAsia="仿宋_GB2312" w:cs="仿宋_GB2312"/>
          <w:color w:val="auto"/>
          <w:sz w:val="32"/>
          <w:szCs w:val="32"/>
          <w:highlight w:val="none"/>
          <w:u w:val="single"/>
          <w:lang w:val="en-US" w:eastAsia="zh-CN"/>
        </w:rPr>
        <w:t>年度，</w:t>
      </w:r>
      <w:r>
        <w:rPr>
          <w:rFonts w:hint="eastAsia" w:ascii="仿宋_GB2312" w:hAnsi="仿宋_GB2312" w:eastAsia="仿宋_GB2312" w:cs="仿宋_GB2312"/>
          <w:color w:val="auto"/>
          <w:sz w:val="32"/>
          <w:szCs w:val="32"/>
          <w:highlight w:val="none"/>
          <w:u w:val="single"/>
        </w:rPr>
        <w:t>或者</w:t>
      </w:r>
      <w:r>
        <w:rPr>
          <w:rFonts w:hint="eastAsia" w:ascii="仿宋_GB2312" w:hAnsi="仿宋_GB2312" w:eastAsia="仿宋_GB2312" w:cs="仿宋_GB2312"/>
          <w:color w:val="auto"/>
          <w:sz w:val="32"/>
          <w:szCs w:val="32"/>
          <w:highlight w:val="none"/>
          <w:u w:val="single"/>
          <w:lang w:val="en-US" w:eastAsia="zh-CN"/>
        </w:rPr>
        <w:t>年度</w:t>
      </w:r>
      <w:r>
        <w:rPr>
          <w:rFonts w:hint="eastAsia" w:ascii="仿宋_GB2312" w:hAnsi="仿宋_GB2312" w:eastAsia="仿宋_GB2312" w:cs="仿宋_GB2312"/>
          <w:color w:val="auto"/>
          <w:sz w:val="32"/>
          <w:szCs w:val="32"/>
          <w:highlight w:val="none"/>
          <w:u w:val="single"/>
        </w:rPr>
        <w:t>累计</w:t>
      </w:r>
      <w:r>
        <w:rPr>
          <w:rFonts w:hint="eastAsia" w:ascii="仿宋_GB2312" w:hAnsi="仿宋_GB2312" w:eastAsia="仿宋_GB2312" w:cs="仿宋_GB2312"/>
          <w:color w:val="auto"/>
          <w:sz w:val="32"/>
          <w:szCs w:val="32"/>
          <w:highlight w:val="none"/>
          <w:u w:val="single"/>
          <w:lang w:val="en-US" w:eastAsia="zh-CN"/>
        </w:rPr>
        <w:t>咨询</w:t>
      </w:r>
      <w:r>
        <w:rPr>
          <w:rFonts w:hint="eastAsia" w:ascii="仿宋_GB2312" w:hAnsi="仿宋_GB2312" w:eastAsia="仿宋_GB2312" w:cs="仿宋_GB2312"/>
          <w:color w:val="auto"/>
          <w:sz w:val="32"/>
          <w:szCs w:val="32"/>
          <w:highlight w:val="none"/>
          <w:u w:val="single"/>
        </w:rPr>
        <w:t>服务费接近100万</w:t>
      </w:r>
      <w:r>
        <w:rPr>
          <w:rFonts w:ascii="仿宋_GB2312" w:hAnsi="仿宋_GB2312" w:eastAsia="仿宋_GB2312" w:cs="仿宋_GB2312"/>
          <w:color w:val="auto"/>
          <w:sz w:val="32"/>
          <w:szCs w:val="32"/>
          <w:highlight w:val="none"/>
          <w:u w:val="single"/>
        </w:rPr>
        <w:t>为止。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地点：</w:t>
      </w:r>
      <w:r>
        <w:rPr>
          <w:rFonts w:hint="eastAsia" w:ascii="仿宋_GB2312" w:hAnsi="仿宋_GB2312" w:eastAsia="仿宋_GB2312" w:cs="仿宋_GB2312"/>
          <w:color w:val="auto"/>
          <w:sz w:val="32"/>
          <w:szCs w:val="32"/>
          <w:highlight w:val="none"/>
          <w:u w:val="single"/>
        </w:rPr>
        <w:t>广州市南沙区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六、投标人要求：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1、投标人均具有独立法人资格，持有工商行政管理部门核发的法人营业执照或各级登记管理机关颁发的事业单位法定代表人证，按国家法律经营。</w:t>
      </w:r>
    </w:p>
    <w:p>
      <w:pPr>
        <w:pStyle w:val="2"/>
        <w:rPr>
          <w:rFonts w:hint="default" w:eastAsia="仿宋_GB2312"/>
          <w:lang w:val="en-US" w:eastAsia="zh-CN"/>
        </w:rPr>
      </w:pPr>
      <w:r>
        <w:rPr>
          <w:rFonts w:hint="eastAsia" w:ascii="仿宋_GB2312" w:hAnsi="仿宋_GB2312" w:eastAsia="仿宋_GB2312" w:cs="仿宋_GB2312"/>
          <w:color w:val="auto"/>
          <w:sz w:val="32"/>
          <w:szCs w:val="32"/>
          <w:highlight w:val="none"/>
          <w:lang w:val="en-US" w:eastAsia="zh-CN"/>
        </w:rPr>
        <w:t xml:space="preserve">    2、投标人应具有有效的工程造价咨询甲级资质证书</w:t>
      </w:r>
    </w:p>
    <w:p>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投标人应</w:t>
      </w:r>
      <w:r>
        <w:rPr>
          <w:rFonts w:hint="eastAsia" w:ascii="仿宋_GB2312" w:hAnsi="仿宋_GB2312" w:eastAsia="仿宋_GB2312" w:cs="仿宋_GB2312"/>
          <w:color w:val="auto"/>
          <w:sz w:val="32"/>
          <w:szCs w:val="32"/>
          <w:highlight w:val="none"/>
          <w:u w:val="none"/>
          <w:lang w:val="en-US" w:eastAsia="zh-CN"/>
        </w:rPr>
        <w:t>承诺</w:t>
      </w:r>
      <w:r>
        <w:rPr>
          <w:rFonts w:hint="eastAsia" w:ascii="仿宋_GB2312" w:hAnsi="仿宋_GB2312" w:eastAsia="仿宋_GB2312" w:cs="仿宋_GB2312"/>
          <w:color w:val="auto"/>
          <w:sz w:val="32"/>
          <w:szCs w:val="32"/>
          <w:highlight w:val="none"/>
          <w:u w:val="none"/>
        </w:rPr>
        <w:t>服务质量，且态度良好，信誉可靠。</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七、递交</w:t>
      </w:r>
      <w:r>
        <w:rPr>
          <w:rFonts w:hint="eastAsia" w:ascii="仿宋_GB2312" w:hAnsi="仿宋_GB2312" w:eastAsia="仿宋_GB2312" w:cs="仿宋_GB2312"/>
          <w:color w:val="auto"/>
          <w:sz w:val="32"/>
          <w:szCs w:val="32"/>
          <w:highlight w:val="none"/>
          <w:lang w:eastAsia="zh-CN"/>
        </w:rPr>
        <w:t>投标</w:t>
      </w:r>
      <w:r>
        <w:rPr>
          <w:rFonts w:hint="eastAsia" w:ascii="仿宋_GB2312" w:hAnsi="仿宋_GB2312" w:eastAsia="仿宋_GB2312" w:cs="仿宋_GB2312"/>
          <w:color w:val="auto"/>
          <w:sz w:val="32"/>
          <w:szCs w:val="32"/>
          <w:highlight w:val="none"/>
        </w:rPr>
        <w:t>资料时间及地点：</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广州南沙区金融大厦</w:t>
      </w:r>
      <w:r>
        <w:rPr>
          <w:rFonts w:hint="eastAsia" w:ascii="仿宋_GB2312" w:hAnsi="仿宋_GB2312" w:eastAsia="仿宋_GB2312" w:cs="仿宋_GB2312"/>
          <w:color w:val="auto"/>
          <w:sz w:val="32"/>
          <w:szCs w:val="32"/>
          <w:highlight w:val="none"/>
          <w:lang w:val="en-US" w:eastAsia="zh-CN"/>
        </w:rPr>
        <w:t>1702</w:t>
      </w:r>
      <w:r>
        <w:rPr>
          <w:rFonts w:hint="eastAsia" w:ascii="仿宋_GB2312" w:hAnsi="仿宋_GB2312" w:eastAsia="仿宋_GB2312" w:cs="仿宋_GB2312"/>
          <w:color w:val="auto"/>
          <w:sz w:val="32"/>
          <w:szCs w:val="32"/>
          <w:highlight w:val="none"/>
        </w:rPr>
        <w:t>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收件人：</w:t>
      </w:r>
      <w:r>
        <w:rPr>
          <w:rFonts w:hint="eastAsia" w:ascii="仿宋_GB2312" w:hAnsi="仿宋_GB2312" w:eastAsia="仿宋_GB2312" w:cs="仿宋_GB2312"/>
          <w:color w:val="auto"/>
          <w:sz w:val="32"/>
          <w:szCs w:val="32"/>
          <w:highlight w:val="none"/>
          <w:lang w:val="en-US" w:eastAsia="zh-CN"/>
        </w:rPr>
        <w:t>梁小姐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66813692。</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投标截止时间为：2021年7月19日上午9时30分前。</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八、有关此次招标之事宜，可按下列地址以书面形式向</w:t>
      </w:r>
      <w:r>
        <w:rPr>
          <w:rFonts w:hint="eastAsia" w:ascii="仿宋_GB2312" w:hAnsi="仿宋_GB2312" w:eastAsia="仿宋_GB2312" w:cs="仿宋_GB2312"/>
          <w:color w:val="auto"/>
          <w:sz w:val="32"/>
          <w:szCs w:val="32"/>
          <w:highlight w:val="none"/>
          <w:lang w:val="en-US" w:eastAsia="zh-CN"/>
        </w:rPr>
        <w:t>招标人</w:t>
      </w:r>
      <w:r>
        <w:rPr>
          <w:rFonts w:hint="eastAsia" w:ascii="仿宋_GB2312" w:hAnsi="仿宋_GB2312" w:eastAsia="仿宋_GB2312" w:cs="仿宋_GB2312"/>
          <w:color w:val="auto"/>
          <w:sz w:val="32"/>
          <w:szCs w:val="32"/>
          <w:highlight w:val="none"/>
        </w:rPr>
        <w:t xml:space="preserve">查询： </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地址：广州市南沙区</w:t>
      </w:r>
      <w:r>
        <w:rPr>
          <w:rFonts w:hint="eastAsia" w:ascii="仿宋_GB2312" w:hAnsi="仿宋_GB2312" w:eastAsia="仿宋_GB2312" w:cs="仿宋_GB2312"/>
          <w:color w:val="auto"/>
          <w:sz w:val="32"/>
          <w:szCs w:val="32"/>
          <w:highlight w:val="none"/>
          <w:lang w:val="en-US" w:eastAsia="zh-CN"/>
        </w:rPr>
        <w:t>海滨路171号1702</w:t>
      </w:r>
      <w:r>
        <w:rPr>
          <w:rFonts w:hint="eastAsia" w:ascii="仿宋_GB2312" w:hAnsi="仿宋_GB2312" w:eastAsia="仿宋_GB2312" w:cs="仿宋_GB2312"/>
          <w:color w:val="auto"/>
          <w:sz w:val="32"/>
          <w:szCs w:val="32"/>
          <w:highlight w:val="none"/>
        </w:rPr>
        <w:t>室</w:t>
      </w:r>
    </w:p>
    <w:p>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联系电话：</w:t>
      </w:r>
      <w:r>
        <w:rPr>
          <w:rFonts w:hint="eastAsia" w:ascii="仿宋_GB2312" w:hAnsi="仿宋_GB2312" w:eastAsia="仿宋_GB2312" w:cs="仿宋_GB2312"/>
          <w:color w:val="auto"/>
          <w:sz w:val="32"/>
          <w:szCs w:val="32"/>
          <w:highlight w:val="none"/>
          <w:lang w:val="en-US" w:eastAsia="zh-CN"/>
        </w:rPr>
        <w:t>66813692</w:t>
      </w:r>
      <w:r>
        <w:rPr>
          <w:rFonts w:hint="eastAsia" w:ascii="仿宋_GB2312" w:hAnsi="仿宋_GB2312" w:eastAsia="仿宋_GB2312" w:cs="仿宋_GB2312"/>
          <w:color w:val="auto"/>
          <w:sz w:val="32"/>
          <w:szCs w:val="32"/>
          <w:highlight w:val="none"/>
        </w:rPr>
        <w:t xml:space="preserve">    联系人：</w:t>
      </w:r>
      <w:r>
        <w:rPr>
          <w:rFonts w:hint="eastAsia" w:ascii="仿宋_GB2312" w:hAnsi="仿宋_GB2312" w:eastAsia="仿宋_GB2312" w:cs="仿宋_GB2312"/>
          <w:color w:val="auto"/>
          <w:sz w:val="32"/>
          <w:szCs w:val="32"/>
          <w:highlight w:val="none"/>
          <w:lang w:val="en-US" w:eastAsia="zh-CN"/>
        </w:rPr>
        <w:t>陈</w:t>
      </w:r>
      <w:r>
        <w:rPr>
          <w:rFonts w:hint="eastAsia" w:ascii="仿宋_GB2312" w:hAnsi="仿宋_GB2312" w:eastAsia="仿宋_GB2312" w:cs="仿宋_GB2312"/>
          <w:color w:val="auto"/>
          <w:sz w:val="32"/>
          <w:szCs w:val="32"/>
          <w:highlight w:val="none"/>
          <w:lang w:eastAsia="zh-CN"/>
        </w:rPr>
        <w:t>先生</w:t>
      </w:r>
      <w:r>
        <w:rPr>
          <w:rFonts w:hint="eastAsia" w:ascii="仿宋_GB2312" w:hAnsi="仿宋_GB2312" w:eastAsia="仿宋_GB2312" w:cs="仿宋_GB2312"/>
          <w:color w:val="auto"/>
          <w:sz w:val="32"/>
          <w:szCs w:val="32"/>
          <w:highlight w:val="none"/>
        </w:rPr>
        <w:t xml:space="preserve">   </w:t>
      </w:r>
    </w:p>
    <w:p>
      <w:pPr>
        <w:spacing w:line="560" w:lineRule="exact"/>
        <w:jc w:val="both"/>
        <w:rPr>
          <w:rFonts w:hint="eastAsia" w:ascii="仿宋_GB2312" w:hAnsi="仿宋_GB2312" w:eastAsia="仿宋_GB2312" w:cs="仿宋_GB2312"/>
          <w:color w:val="auto"/>
          <w:sz w:val="32"/>
          <w:szCs w:val="32"/>
          <w:highlight w:val="none"/>
        </w:rPr>
      </w:pPr>
    </w:p>
    <w:p>
      <w:pPr>
        <w:spacing w:line="560" w:lineRule="exact"/>
        <w:ind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广州南沙资产经营集团有限公司</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日</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bookmarkEnd w:id="2"/>
    <w:p>
      <w:pPr>
        <w:pStyle w:val="3"/>
        <w:widowControl/>
        <w:spacing w:before="0" w:after="0" w:line="360" w:lineRule="auto"/>
        <w:jc w:val="center"/>
        <w:rPr>
          <w:rFonts w:ascii="黑体" w:hAnsi="宋体" w:cs="黑体"/>
          <w:b/>
          <w:color w:val="auto"/>
          <w:kern w:val="44"/>
          <w:sz w:val="44"/>
          <w:szCs w:val="44"/>
          <w:highlight w:val="none"/>
        </w:rPr>
      </w:pPr>
      <w:bookmarkStart w:id="3" w:name="_Toc374128472"/>
      <w:bookmarkStart w:id="4" w:name="_Toc13302"/>
      <w:bookmarkStart w:id="86" w:name="_GoBack"/>
      <w:bookmarkEnd w:id="86"/>
      <w:r>
        <w:rPr>
          <w:rFonts w:hint="eastAsia" w:ascii="黑体" w:hAnsi="宋体" w:cs="黑体"/>
          <w:b/>
          <w:color w:val="auto"/>
          <w:kern w:val="44"/>
          <w:sz w:val="44"/>
          <w:szCs w:val="44"/>
          <w:highlight w:val="none"/>
        </w:rPr>
        <w:t>第1章 投标须知及前附表</w:t>
      </w:r>
      <w:bookmarkEnd w:id="3"/>
      <w:bookmarkEnd w:id="4"/>
    </w:p>
    <w:p>
      <w:pPr>
        <w:spacing w:after="142" w:afterLines="50"/>
        <w:jc w:val="center"/>
        <w:outlineLvl w:val="1"/>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一、投标须知前附表</w:t>
      </w:r>
    </w:p>
    <w:tbl>
      <w:tblPr>
        <w:tblStyle w:val="17"/>
        <w:tblW w:w="9709" w:type="dxa"/>
        <w:jc w:val="center"/>
        <w:tblLayout w:type="fixed"/>
        <w:tblCellMar>
          <w:top w:w="0" w:type="dxa"/>
          <w:left w:w="108" w:type="dxa"/>
          <w:bottom w:w="0" w:type="dxa"/>
          <w:right w:w="108" w:type="dxa"/>
        </w:tblCellMar>
      </w:tblPr>
      <w:tblGrid>
        <w:gridCol w:w="720"/>
        <w:gridCol w:w="990"/>
        <w:gridCol w:w="1706"/>
        <w:gridCol w:w="6293"/>
      </w:tblGrid>
      <w:tr>
        <w:tblPrEx>
          <w:tblCellMar>
            <w:top w:w="0" w:type="dxa"/>
            <w:left w:w="108" w:type="dxa"/>
            <w:bottom w:w="0" w:type="dxa"/>
            <w:right w:w="108" w:type="dxa"/>
          </w:tblCellMar>
        </w:tblPrEx>
        <w:trPr>
          <w:trHeight w:val="623" w:hRule="atLeast"/>
          <w:jc w:val="center"/>
        </w:trPr>
        <w:tc>
          <w:tcPr>
            <w:tcW w:w="720" w:type="dxa"/>
            <w:tcBorders>
              <w:top w:val="double" w:color="auto" w:sz="2"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项目</w:t>
            </w:r>
          </w:p>
        </w:tc>
        <w:tc>
          <w:tcPr>
            <w:tcW w:w="990"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条款号</w:t>
            </w:r>
          </w:p>
        </w:tc>
        <w:tc>
          <w:tcPr>
            <w:tcW w:w="1706"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内容</w:t>
            </w:r>
          </w:p>
        </w:tc>
        <w:tc>
          <w:tcPr>
            <w:tcW w:w="6293" w:type="dxa"/>
            <w:tcBorders>
              <w:top w:val="double" w:color="auto" w:sz="2" w:space="0"/>
              <w:left w:val="single" w:color="auto" w:sz="4" w:space="0"/>
              <w:bottom w:val="single" w:color="auto" w:sz="4" w:space="0"/>
              <w:right w:val="double" w:color="auto" w:sz="2" w:space="0"/>
            </w:tcBorders>
            <w:shd w:val="clear" w:color="auto" w:fill="auto"/>
            <w:vAlign w:val="center"/>
          </w:tcPr>
          <w:p>
            <w:pPr>
              <w:pStyle w:val="15"/>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说明与要求</w:t>
            </w:r>
          </w:p>
        </w:tc>
      </w:tr>
      <w:tr>
        <w:tblPrEx>
          <w:tblCellMar>
            <w:top w:w="0" w:type="dxa"/>
            <w:left w:w="108" w:type="dxa"/>
            <w:bottom w:w="0" w:type="dxa"/>
            <w:right w:w="108" w:type="dxa"/>
          </w:tblCellMar>
        </w:tblPrEx>
        <w:trPr>
          <w:trHeight w:val="5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lang w:val="en-US" w:eastAsia="zh-CN"/>
              </w:rPr>
              <w:t>项目</w:t>
            </w:r>
            <w:r>
              <w:rPr>
                <w:rFonts w:hint="eastAsia" w:ascii="宋体" w:hAnsi="宋体" w:cs="宋体"/>
                <w:color w:val="auto"/>
                <w:highlight w:val="none"/>
              </w:rPr>
              <w:t>名称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hint="default" w:ascii="宋体" w:hAnsi="宋体" w:eastAsia="宋体" w:cs="宋体"/>
                <w:color w:val="auto"/>
                <w:highlight w:val="none"/>
                <w:lang w:val="en-US" w:eastAsia="zh-CN"/>
              </w:rPr>
            </w:pPr>
            <w:r>
              <w:rPr>
                <w:rFonts w:hint="eastAsia" w:ascii="宋体" w:hAnsi="宋体" w:cs="宋体"/>
                <w:color w:val="auto"/>
                <w:highlight w:val="none"/>
                <w:u w:val="single"/>
                <w:lang w:val="en-US" w:eastAsia="zh-CN"/>
              </w:rPr>
              <w:t>广州南沙</w:t>
            </w:r>
            <w:r>
              <w:rPr>
                <w:rFonts w:hint="eastAsia" w:ascii="宋体" w:hAnsi="宋体" w:cs="宋体"/>
                <w:color w:val="auto"/>
                <w:highlight w:val="none"/>
                <w:u w:val="single"/>
              </w:rPr>
              <w:t>资产经营集团</w:t>
            </w:r>
            <w:r>
              <w:rPr>
                <w:rFonts w:hint="eastAsia" w:ascii="宋体" w:hAnsi="宋体" w:cs="宋体"/>
                <w:color w:val="auto"/>
                <w:highlight w:val="none"/>
                <w:u w:val="single"/>
                <w:lang w:val="en-US" w:eastAsia="zh-CN"/>
              </w:rPr>
              <w:t>有限公司工程项目年度造价咨询服务</w:t>
            </w:r>
          </w:p>
        </w:tc>
      </w:tr>
      <w:tr>
        <w:tblPrEx>
          <w:tblCellMar>
            <w:top w:w="0" w:type="dxa"/>
            <w:left w:w="108" w:type="dxa"/>
            <w:bottom w:w="0" w:type="dxa"/>
            <w:right w:w="108" w:type="dxa"/>
          </w:tblCellMar>
        </w:tblPrEx>
        <w:trPr>
          <w:trHeight w:val="4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lang w:val="en-US" w:eastAsia="zh-CN"/>
              </w:rPr>
              <w:t>项目</w:t>
            </w:r>
            <w:r>
              <w:rPr>
                <w:rFonts w:hint="eastAsia" w:ascii="宋体" w:hAnsi="宋体" w:cs="宋体"/>
                <w:color w:val="auto"/>
                <w:highlight w:val="none"/>
              </w:rPr>
              <w:t>地点</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广州市南沙区</w:t>
            </w:r>
          </w:p>
        </w:tc>
      </w:tr>
      <w:tr>
        <w:tblPrEx>
          <w:tblCellMar>
            <w:top w:w="0" w:type="dxa"/>
            <w:left w:w="108" w:type="dxa"/>
            <w:bottom w:w="0" w:type="dxa"/>
            <w:right w:w="108" w:type="dxa"/>
          </w:tblCellMar>
        </w:tblPrEx>
        <w:trPr>
          <w:trHeight w:val="96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lang w:val="en-US" w:eastAsia="zh-CN"/>
              </w:rPr>
              <w:t>项目</w:t>
            </w:r>
            <w:r>
              <w:rPr>
                <w:rFonts w:hint="eastAsia" w:ascii="宋体" w:hAnsi="宋体" w:cs="宋体"/>
                <w:color w:val="auto"/>
                <w:highlight w:val="none"/>
              </w:rPr>
              <w:t>规模</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cs="宋体"/>
                <w:color w:val="auto"/>
                <w:highlight w:val="none"/>
                <w:u w:val="single"/>
              </w:rPr>
            </w:pPr>
            <w:r>
              <w:rPr>
                <w:rFonts w:hint="eastAsia" w:ascii="宋体" w:hAnsi="宋体" w:eastAsia="宋体" w:cs="宋体"/>
                <w:color w:val="auto"/>
                <w:szCs w:val="21"/>
                <w:highlight w:val="none"/>
              </w:rPr>
              <w:t>本项目为</w:t>
            </w:r>
            <w:r>
              <w:rPr>
                <w:rFonts w:hint="eastAsia" w:ascii="宋体" w:hAnsi="宋体" w:eastAsia="宋体" w:cs="宋体"/>
                <w:color w:val="auto"/>
                <w:szCs w:val="21"/>
                <w:highlight w:val="none"/>
                <w:lang w:val="en-US" w:eastAsia="zh-CN"/>
              </w:rPr>
              <w:t>工程项目造价</w:t>
            </w:r>
            <w:r>
              <w:rPr>
                <w:rFonts w:hint="eastAsia" w:ascii="宋体" w:hAnsi="宋体" w:eastAsia="宋体" w:cs="宋体"/>
                <w:color w:val="auto"/>
                <w:szCs w:val="21"/>
                <w:highlight w:val="none"/>
              </w:rPr>
              <w:t>咨询年度服务，包括</w:t>
            </w:r>
            <w:r>
              <w:rPr>
                <w:rFonts w:hint="eastAsia" w:ascii="宋体" w:hAnsi="宋体" w:eastAsia="宋体" w:cs="宋体"/>
                <w:color w:val="auto"/>
                <w:szCs w:val="21"/>
                <w:highlight w:val="none"/>
                <w:lang w:val="en-US" w:eastAsia="zh-CN"/>
              </w:rPr>
              <w:t>招标人范围内工程结算</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（包括EPC项目预算审核）造价</w:t>
            </w:r>
            <w:r>
              <w:rPr>
                <w:rFonts w:hint="eastAsia" w:ascii="宋体" w:hAnsi="宋体" w:eastAsia="宋体" w:cs="宋体"/>
                <w:color w:val="auto"/>
                <w:szCs w:val="21"/>
                <w:highlight w:val="none"/>
              </w:rPr>
              <w:t>咨询服务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项目数为若干</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单个年度咨询</w:t>
            </w:r>
            <w:r>
              <w:rPr>
                <w:rFonts w:hint="eastAsia" w:ascii="宋体" w:hAnsi="宋体" w:eastAsia="宋体" w:cs="宋体"/>
                <w:color w:val="auto"/>
                <w:szCs w:val="21"/>
                <w:highlight w:val="none"/>
              </w:rPr>
              <w:t>费用</w:t>
            </w:r>
            <w:r>
              <w:rPr>
                <w:rFonts w:hint="eastAsia" w:ascii="宋体" w:hAnsi="宋体" w:eastAsia="宋体" w:cs="宋体"/>
                <w:color w:val="auto"/>
                <w:szCs w:val="21"/>
                <w:highlight w:val="none"/>
                <w:lang w:val="en-US" w:eastAsia="zh-CN"/>
              </w:rPr>
              <w:t>累计</w:t>
            </w:r>
            <w:r>
              <w:rPr>
                <w:rFonts w:hint="eastAsia" w:ascii="宋体" w:hAnsi="宋体" w:eastAsia="宋体" w:cs="宋体"/>
                <w:color w:val="auto"/>
                <w:szCs w:val="21"/>
                <w:highlight w:val="none"/>
              </w:rPr>
              <w:t>总额为100万元以下，单个</w:t>
            </w:r>
            <w:r>
              <w:rPr>
                <w:rFonts w:hint="eastAsia" w:ascii="宋体" w:hAnsi="宋体" w:eastAsia="宋体" w:cs="宋体"/>
                <w:color w:val="auto"/>
                <w:szCs w:val="21"/>
                <w:highlight w:val="none"/>
                <w:lang w:val="en-US" w:eastAsia="zh-CN"/>
              </w:rPr>
              <w:t>工程</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咨询费用不超过50万元</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咨询服务费用以</w:t>
            </w:r>
            <w:r>
              <w:rPr>
                <w:rFonts w:hint="eastAsia" w:ascii="宋体" w:hAnsi="宋体" w:eastAsia="宋体" w:cs="宋体"/>
                <w:color w:val="auto"/>
                <w:szCs w:val="21"/>
                <w:highlight w:val="none"/>
              </w:rPr>
              <w:t>投标人报价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下浮率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结合</w:t>
            </w:r>
            <w:r>
              <w:rPr>
                <w:rFonts w:hint="eastAsia" w:ascii="宋体" w:hAnsi="宋体" w:eastAsia="宋体" w:cs="宋体"/>
                <w:color w:val="auto"/>
                <w:szCs w:val="21"/>
                <w:highlight w:val="none"/>
              </w:rPr>
              <w:t>最新版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广东省建设工程造价咨询服务收费标准表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计算。</w:t>
            </w:r>
          </w:p>
        </w:tc>
      </w:tr>
      <w:tr>
        <w:tblPrEx>
          <w:tblCellMar>
            <w:top w:w="0" w:type="dxa"/>
            <w:left w:w="108" w:type="dxa"/>
            <w:bottom w:w="0" w:type="dxa"/>
            <w:right w:w="108" w:type="dxa"/>
          </w:tblCellMar>
        </w:tblPrEx>
        <w:trPr>
          <w:trHeight w:val="5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2.2.4</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计划费用总额</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本项目</w:t>
            </w:r>
            <w:r>
              <w:rPr>
                <w:rFonts w:hint="eastAsia" w:ascii="宋体" w:hAnsi="宋体" w:cs="宋体"/>
                <w:color w:val="auto"/>
                <w:highlight w:val="none"/>
                <w:u w:val="single"/>
                <w:lang w:val="en-US" w:eastAsia="zh-CN"/>
              </w:rPr>
              <w:t>年度</w:t>
            </w:r>
            <w:r>
              <w:rPr>
                <w:rFonts w:hint="eastAsia" w:ascii="宋体" w:hAnsi="宋体" w:cs="宋体"/>
                <w:color w:val="auto"/>
                <w:highlight w:val="none"/>
                <w:lang w:val="en-US" w:eastAsia="zh-CN"/>
              </w:rPr>
              <w:t>费用总额小于</w:t>
            </w:r>
            <w:r>
              <w:rPr>
                <w:rFonts w:hint="eastAsia" w:ascii="宋体" w:hAnsi="宋体" w:cs="宋体"/>
                <w:color w:val="auto"/>
                <w:highlight w:val="none"/>
                <w:u w:val="single"/>
              </w:rPr>
              <w:t>100万元。</w:t>
            </w:r>
          </w:p>
        </w:tc>
      </w:tr>
      <w:tr>
        <w:tblPrEx>
          <w:tblCellMar>
            <w:top w:w="0" w:type="dxa"/>
            <w:left w:w="108" w:type="dxa"/>
            <w:bottom w:w="0" w:type="dxa"/>
            <w:right w:w="108" w:type="dxa"/>
          </w:tblCellMar>
        </w:tblPrEx>
        <w:trPr>
          <w:trHeight w:val="77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质量目标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质量目标：以造价咨询服务合同为准</w:t>
            </w:r>
          </w:p>
        </w:tc>
      </w:tr>
      <w:tr>
        <w:tblPrEx>
          <w:tblCellMar>
            <w:top w:w="0" w:type="dxa"/>
            <w:left w:w="108" w:type="dxa"/>
            <w:bottom w:w="0" w:type="dxa"/>
            <w:right w:w="108" w:type="dxa"/>
          </w:tblCellMar>
        </w:tblPrEx>
        <w:trPr>
          <w:trHeight w:val="33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招标范围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ascii="宋体" w:hAnsi="宋体" w:cs="宋体"/>
                <w:color w:val="auto"/>
                <w:highlight w:val="none"/>
              </w:rPr>
            </w:pPr>
            <w:r>
              <w:rPr>
                <w:rFonts w:hint="eastAsia" w:ascii="宋体" w:hAnsi="宋体" w:eastAsia="宋体" w:cs="宋体"/>
                <w:color w:val="auto"/>
                <w:szCs w:val="21"/>
                <w:highlight w:val="none"/>
                <w:lang w:val="en-US" w:eastAsia="zh-CN"/>
              </w:rPr>
              <w:t>招标人范围内工程</w:t>
            </w:r>
            <w:r>
              <w:rPr>
                <w:rFonts w:hint="eastAsia" w:ascii="宋体" w:hAnsi="宋体" w:eastAsia="宋体" w:cs="宋体"/>
                <w:color w:val="auto"/>
                <w:szCs w:val="21"/>
                <w:highlight w:val="none"/>
              </w:rPr>
              <w:t>项目</w:t>
            </w:r>
            <w:r>
              <w:rPr>
                <w:rFonts w:hint="eastAsia" w:ascii="宋体" w:hAnsi="宋体" w:cs="宋体"/>
                <w:color w:val="auto"/>
                <w:szCs w:val="21"/>
                <w:highlight w:val="none"/>
                <w:lang w:val="en-US" w:eastAsia="zh-CN"/>
              </w:rPr>
              <w:t>年度</w:t>
            </w:r>
            <w:r>
              <w:rPr>
                <w:rFonts w:hint="eastAsia" w:ascii="宋体" w:hAnsi="宋体" w:eastAsia="宋体" w:cs="宋体"/>
                <w:color w:val="auto"/>
                <w:szCs w:val="21"/>
                <w:highlight w:val="none"/>
                <w:lang w:val="en-US" w:eastAsia="zh-CN"/>
              </w:rPr>
              <w:t>造价</w:t>
            </w:r>
            <w:r>
              <w:rPr>
                <w:rFonts w:hint="eastAsia" w:ascii="宋体" w:hAnsi="宋体" w:eastAsia="宋体" w:cs="宋体"/>
                <w:color w:val="auto"/>
                <w:szCs w:val="21"/>
                <w:highlight w:val="none"/>
              </w:rPr>
              <w:t>咨询服务</w:t>
            </w:r>
            <w:r>
              <w:rPr>
                <w:rFonts w:hint="eastAsia" w:ascii="宋体" w:hAnsi="宋体" w:cs="宋体"/>
                <w:color w:val="auto"/>
                <w:highlight w:val="none"/>
              </w:rPr>
              <w:t>。</w:t>
            </w:r>
          </w:p>
        </w:tc>
      </w:tr>
      <w:tr>
        <w:tblPrEx>
          <w:tblCellMar>
            <w:top w:w="0" w:type="dxa"/>
            <w:left w:w="108" w:type="dxa"/>
            <w:bottom w:w="0" w:type="dxa"/>
            <w:right w:w="108" w:type="dxa"/>
          </w:tblCellMar>
        </w:tblPrEx>
        <w:trPr>
          <w:trHeight w:val="91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服务期限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u w:val="single"/>
              </w:rPr>
            </w:pP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至</w:t>
            </w: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年度</w:t>
            </w:r>
            <w:r>
              <w:rPr>
                <w:rFonts w:hint="eastAsia" w:ascii="宋体" w:hAnsi="宋体" w:eastAsia="宋体" w:cs="宋体"/>
                <w:color w:val="auto"/>
                <w:szCs w:val="21"/>
                <w:highlight w:val="none"/>
              </w:rPr>
              <w:t>。</w:t>
            </w:r>
          </w:p>
        </w:tc>
      </w:tr>
      <w:tr>
        <w:tblPrEx>
          <w:tblCellMar>
            <w:top w:w="0" w:type="dxa"/>
            <w:left w:w="108" w:type="dxa"/>
            <w:bottom w:w="0" w:type="dxa"/>
            <w:right w:w="108" w:type="dxa"/>
          </w:tblCellMar>
        </w:tblPrEx>
        <w:trPr>
          <w:trHeight w:val="44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资金来源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ascii="宋体" w:hAnsi="宋体" w:cs="宋体"/>
                <w:color w:val="auto"/>
                <w:highlight w:val="none"/>
              </w:rPr>
            </w:pPr>
            <w:r>
              <w:rPr>
                <w:rFonts w:hint="eastAsia" w:ascii="宋体" w:hAnsi="宋体" w:cs="宋体"/>
                <w:color w:val="auto"/>
                <w:highlight w:val="none"/>
                <w:u w:val="single"/>
              </w:rPr>
              <w:t>自筹资金</w:t>
            </w:r>
          </w:p>
        </w:tc>
      </w:tr>
      <w:tr>
        <w:tblPrEx>
          <w:tblCellMar>
            <w:top w:w="0" w:type="dxa"/>
            <w:left w:w="108" w:type="dxa"/>
            <w:bottom w:w="0" w:type="dxa"/>
            <w:right w:w="108" w:type="dxa"/>
          </w:tblCellMar>
        </w:tblPrEx>
        <w:trPr>
          <w:trHeight w:val="45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投标人资质要求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ind w:firstLine="0" w:firstLineChars="0"/>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lang w:val="en-US" w:eastAsia="zh-CN"/>
              </w:rPr>
              <w:t>应</w:t>
            </w:r>
            <w:r>
              <w:rPr>
                <w:rFonts w:hint="eastAsia" w:ascii="宋体" w:hAnsi="宋体" w:cs="宋体"/>
                <w:color w:val="auto"/>
                <w:highlight w:val="none"/>
              </w:rPr>
              <w:t>具有独立法人资格，持有工商行政管理部门核发的法人营业执照或各级登记管理机关颁发的事业单位法定代表人证</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具有工程造价咨询甲级资质证书</w:t>
            </w:r>
            <w:r>
              <w:rPr>
                <w:rFonts w:hint="eastAsia" w:ascii="宋体" w:hAnsi="宋体" w:cs="宋体"/>
                <w:color w:val="auto"/>
                <w:highlight w:val="none"/>
                <w:lang w:eastAsia="zh-CN"/>
              </w:rPr>
              <w:t>。</w:t>
            </w:r>
          </w:p>
        </w:tc>
      </w:tr>
      <w:tr>
        <w:tblPrEx>
          <w:tblCellMar>
            <w:top w:w="0" w:type="dxa"/>
            <w:left w:w="108" w:type="dxa"/>
            <w:bottom w:w="0" w:type="dxa"/>
            <w:right w:w="108" w:type="dxa"/>
          </w:tblCellMar>
        </w:tblPrEx>
        <w:trPr>
          <w:trHeight w:val="59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服务人员的专业配套要求</w:t>
            </w:r>
          </w:p>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（据实配备）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ind w:right="150"/>
              <w:jc w:val="left"/>
              <w:rPr>
                <w:rFonts w:ascii="宋体" w:hAnsi="宋体" w:eastAsia="宋体" w:cs="宋体"/>
                <w:b/>
                <w:color w:val="auto"/>
                <w:highlight w:val="none"/>
              </w:rPr>
            </w:pPr>
            <w:r>
              <w:rPr>
                <w:rFonts w:hint="eastAsia" w:ascii="宋体" w:hAnsi="宋体" w:eastAsia="宋体" w:cs="宋体"/>
                <w:b/>
                <w:color w:val="auto"/>
                <w:szCs w:val="21"/>
                <w:highlight w:val="none"/>
              </w:rPr>
              <w:t>（1）项目负责人要求：</w:t>
            </w:r>
          </w:p>
          <w:p>
            <w:pPr>
              <w:pStyle w:val="15"/>
              <w:widowControl/>
              <w:spacing w:before="100" w:beforeAutospacing="0" w:after="0" w:line="320" w:lineRule="exact"/>
              <w:ind w:right="150" w:firstLine="0"/>
              <w:jc w:val="left"/>
              <w:rPr>
                <w:rFonts w:ascii="宋体" w:hAnsi="宋体" w:cs="宋体"/>
                <w:color w:val="auto"/>
                <w:highlight w:val="none"/>
              </w:rPr>
            </w:pPr>
            <w:r>
              <w:rPr>
                <w:rFonts w:hint="eastAsia" w:ascii="宋体" w:hAnsi="宋体" w:cs="宋体"/>
                <w:color w:val="auto"/>
                <w:highlight w:val="none"/>
              </w:rPr>
              <w:t>投标申请人委派的项目负责人须具备工程或工程经济类高级专业技术职称或以上职称</w:t>
            </w:r>
            <w:r>
              <w:rPr>
                <w:rFonts w:hint="eastAsia" w:ascii="宋体" w:hAnsi="宋体" w:cs="宋体"/>
                <w:color w:val="auto"/>
                <w:highlight w:val="none"/>
                <w:lang w:eastAsia="zh-CN"/>
              </w:rPr>
              <w:t>、</w:t>
            </w:r>
            <w:r>
              <w:rPr>
                <w:rFonts w:hint="eastAsia" w:ascii="宋体" w:hAnsi="宋体" w:cs="宋体"/>
                <w:color w:val="auto"/>
                <w:highlight w:val="none"/>
              </w:rPr>
              <w:t>注册造价</w:t>
            </w:r>
            <w:r>
              <w:rPr>
                <w:rFonts w:hint="eastAsia" w:ascii="宋体" w:hAnsi="宋体" w:cs="宋体"/>
                <w:color w:val="auto"/>
                <w:highlight w:val="none"/>
                <w:lang w:val="en-US" w:eastAsia="zh-CN"/>
              </w:rPr>
              <w:t>工程</w:t>
            </w:r>
            <w:r>
              <w:rPr>
                <w:rFonts w:hint="eastAsia" w:ascii="宋体" w:hAnsi="宋体" w:cs="宋体"/>
                <w:color w:val="auto"/>
                <w:highlight w:val="none"/>
              </w:rPr>
              <w:t>师资格。</w:t>
            </w:r>
          </w:p>
          <w:p>
            <w:pPr>
              <w:pStyle w:val="15"/>
              <w:widowControl/>
              <w:spacing w:before="100" w:beforeAutospacing="0" w:after="0" w:line="320" w:lineRule="exact"/>
              <w:ind w:left="535" w:right="150" w:hanging="535" w:hangingChars="254"/>
              <w:jc w:val="left"/>
              <w:rPr>
                <w:rFonts w:ascii="宋体" w:hAnsi="宋体" w:cs="宋体"/>
                <w:b/>
                <w:color w:val="auto"/>
                <w:highlight w:val="none"/>
              </w:rPr>
            </w:pPr>
            <w:r>
              <w:rPr>
                <w:rFonts w:hint="eastAsia" w:ascii="宋体" w:hAnsi="宋体" w:cs="宋体"/>
                <w:b/>
                <w:color w:val="auto"/>
                <w:highlight w:val="none"/>
              </w:rPr>
              <w:t>（2）</w:t>
            </w:r>
            <w:r>
              <w:rPr>
                <w:rFonts w:hint="eastAsia" w:ascii="宋体" w:hAnsi="宋体" w:cs="宋体"/>
                <w:b/>
                <w:color w:val="auto"/>
                <w:highlight w:val="none"/>
                <w:lang w:val="en-US" w:eastAsia="zh-CN"/>
              </w:rPr>
              <w:t>造价</w:t>
            </w:r>
            <w:r>
              <w:rPr>
                <w:rFonts w:hint="eastAsia" w:ascii="宋体" w:hAnsi="宋体" w:cs="宋体"/>
                <w:b/>
                <w:color w:val="auto"/>
                <w:highlight w:val="none"/>
              </w:rPr>
              <w:t>专业人员最低配套要求：</w:t>
            </w:r>
          </w:p>
          <w:p>
            <w:pPr>
              <w:spacing w:line="320" w:lineRule="exact"/>
              <w:ind w:right="150"/>
              <w:jc w:val="left"/>
              <w:rPr>
                <w:rFonts w:ascii="宋体" w:hAnsi="宋体" w:eastAsia="宋体" w:cs="宋体"/>
                <w:color w:val="auto"/>
                <w:highlight w:val="none"/>
              </w:rPr>
            </w:pPr>
            <w:r>
              <w:rPr>
                <w:rFonts w:hint="eastAsia" w:ascii="宋体" w:hAnsi="宋体" w:eastAsia="宋体" w:cs="宋体"/>
                <w:color w:val="auto"/>
                <w:szCs w:val="21"/>
                <w:highlight w:val="none"/>
                <w:lang w:val="en-US" w:eastAsia="zh-CN"/>
              </w:rPr>
              <w:t>配</w:t>
            </w:r>
            <w:r>
              <w:rPr>
                <w:rFonts w:hint="eastAsia" w:ascii="宋体" w:hAnsi="宋体" w:eastAsia="宋体" w:cs="宋体"/>
                <w:color w:val="auto"/>
                <w:szCs w:val="21"/>
                <w:highlight w:val="none"/>
              </w:rPr>
              <w:t>备</w:t>
            </w:r>
            <w:r>
              <w:rPr>
                <w:rFonts w:hint="eastAsia" w:ascii="宋体" w:hAnsi="宋体" w:eastAsia="宋体" w:cs="宋体"/>
                <w:color w:val="auto"/>
                <w:szCs w:val="21"/>
                <w:highlight w:val="none"/>
                <w:lang w:val="en-US" w:eastAsia="zh-CN"/>
              </w:rPr>
              <w:t>技术负责人</w:t>
            </w:r>
            <w:r>
              <w:rPr>
                <w:rFonts w:hint="eastAsia" w:ascii="宋体" w:hAnsi="宋体" w:eastAsia="宋体" w:cs="宋体"/>
                <w:color w:val="auto"/>
                <w:szCs w:val="21"/>
                <w:highlight w:val="none"/>
              </w:rPr>
              <w:t>1名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土建、安装</w:t>
            </w:r>
            <w:r>
              <w:rPr>
                <w:rFonts w:hint="eastAsia" w:ascii="宋体" w:hAnsi="宋体" w:eastAsia="宋体" w:cs="宋体"/>
                <w:color w:val="auto"/>
                <w:szCs w:val="21"/>
                <w:highlight w:val="none"/>
              </w:rPr>
              <w:t>造价</w:t>
            </w:r>
            <w:r>
              <w:rPr>
                <w:rFonts w:hint="eastAsia" w:ascii="宋体" w:hAnsi="宋体" w:eastAsia="宋体" w:cs="宋体"/>
                <w:color w:val="auto"/>
                <w:szCs w:val="21"/>
                <w:highlight w:val="none"/>
                <w:lang w:val="en-US" w:eastAsia="zh-CN"/>
              </w:rPr>
              <w:t>工程师各</w:t>
            </w:r>
            <w:r>
              <w:rPr>
                <w:rFonts w:hint="eastAsia" w:ascii="宋体" w:hAnsi="宋体" w:eastAsia="宋体" w:cs="宋体"/>
                <w:color w:val="auto"/>
                <w:szCs w:val="21"/>
                <w:highlight w:val="none"/>
              </w:rPr>
              <w:t>1名，其他专业</w:t>
            </w:r>
            <w:r>
              <w:rPr>
                <w:rFonts w:hint="eastAsia" w:ascii="宋体" w:hAnsi="宋体" w:eastAsia="宋体" w:cs="宋体"/>
                <w:color w:val="auto"/>
                <w:szCs w:val="21"/>
                <w:highlight w:val="none"/>
                <w:lang w:val="en-US" w:eastAsia="zh-CN"/>
              </w:rPr>
              <w:t>及各专业</w:t>
            </w:r>
            <w:r>
              <w:rPr>
                <w:rFonts w:hint="eastAsia" w:ascii="宋体" w:hAnsi="宋体" w:eastAsia="宋体" w:cs="宋体"/>
                <w:color w:val="auto"/>
                <w:szCs w:val="21"/>
                <w:highlight w:val="none"/>
              </w:rPr>
              <w:t>人员</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rPr>
              <w:t>根据项目</w:t>
            </w:r>
            <w:r>
              <w:rPr>
                <w:rFonts w:hint="eastAsia" w:ascii="宋体" w:hAnsi="宋体" w:eastAsia="宋体" w:cs="宋体"/>
                <w:color w:val="auto"/>
                <w:szCs w:val="21"/>
                <w:highlight w:val="none"/>
                <w:lang w:val="en-US" w:eastAsia="zh-CN"/>
              </w:rPr>
              <w:t>实际需求配备</w:t>
            </w:r>
            <w:r>
              <w:rPr>
                <w:rFonts w:hint="eastAsia" w:ascii="宋体" w:hAnsi="宋体" w:eastAsia="宋体" w:cs="宋体"/>
                <w:color w:val="auto"/>
                <w:szCs w:val="21"/>
                <w:highlight w:val="none"/>
              </w:rPr>
              <w:t>。</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eastAsia="宋体" w:cs="宋体"/>
                <w:color w:val="auto"/>
                <w:highlight w:val="none"/>
                <w:lang w:val="en-US" w:eastAsia="zh-CN"/>
              </w:rPr>
            </w:pPr>
            <w:r>
              <w:rPr>
                <w:rFonts w:hint="eastAsia" w:ascii="宋体" w:hAnsi="宋体" w:cs="宋体"/>
                <w:color w:val="auto"/>
                <w:highlight w:val="none"/>
              </w:rPr>
              <w:t>4.</w:t>
            </w:r>
            <w:r>
              <w:rPr>
                <w:rFonts w:hint="eastAsia" w:ascii="宋体" w:hAnsi="宋体" w:cs="宋体"/>
                <w:color w:val="auto"/>
                <w:highlight w:val="none"/>
                <w:lang w:val="en-US" w:eastAsia="zh-CN"/>
              </w:rPr>
              <w:t>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firstLineChars="0"/>
              <w:jc w:val="center"/>
              <w:rPr>
                <w:rFonts w:ascii="宋体" w:hAnsi="宋体" w:cs="宋体"/>
                <w:color w:val="auto"/>
                <w:highlight w:val="none"/>
              </w:rPr>
            </w:pPr>
            <w:r>
              <w:rPr>
                <w:rFonts w:hint="eastAsia" w:ascii="宋体" w:hAnsi="宋体" w:cs="宋体"/>
                <w:color w:val="auto"/>
                <w:highlight w:val="none"/>
              </w:rPr>
              <w:t>资格审查方式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jc w:val="both"/>
              <w:rPr>
                <w:rFonts w:hint="default" w:ascii="宋体" w:hAnsi="宋体" w:eastAsia="宋体" w:cs="宋体"/>
                <w:color w:val="auto"/>
                <w:highlight w:val="none"/>
                <w:lang w:val="en-US" w:eastAsia="zh-CN"/>
              </w:rPr>
            </w:pPr>
            <w:r>
              <w:rPr>
                <w:rFonts w:hint="eastAsia" w:ascii="Times New Roman" w:hAnsi="Times New Roman" w:cs="Times New Roman"/>
              </w:rPr>
              <w:t>不需资格审查</w:t>
            </w:r>
            <w:r>
              <w:rPr>
                <w:rFonts w:hint="eastAsia"/>
                <w:lang w:eastAsia="zh-CN"/>
              </w:rPr>
              <w:t>，</w:t>
            </w:r>
            <w:r>
              <w:rPr>
                <w:rFonts w:hint="eastAsia"/>
                <w:lang w:val="en-US" w:eastAsia="zh-CN"/>
              </w:rPr>
              <w:t>不接受联合体投标</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踏勘现场</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u w:val="single"/>
              </w:rPr>
            </w:pPr>
            <w:r>
              <w:rPr>
                <w:rFonts w:hint="eastAsia" w:ascii="宋体" w:hAnsi="宋体" w:eastAsia="宋体" w:cs="宋体"/>
                <w:color w:val="auto"/>
                <w:szCs w:val="21"/>
                <w:highlight w:val="none"/>
              </w:rPr>
              <w:t>由投标人自行考察。</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8.1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招标答疑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default"/>
                <w:color w:val="auto"/>
                <w:highlight w:val="none"/>
                <w:lang w:val="en-US"/>
              </w:rPr>
            </w:pPr>
            <w:r>
              <w:rPr>
                <w:rFonts w:hint="eastAsia" w:ascii="宋体" w:hAnsi="宋体" w:eastAsia="宋体" w:cs="宋体"/>
                <w:color w:val="auto"/>
                <w:kern w:val="2"/>
                <w:sz w:val="21"/>
                <w:szCs w:val="21"/>
                <w:highlight w:val="none"/>
                <w:lang w:val="en-US" w:eastAsia="zh-CN" w:bidi="ar-SA"/>
              </w:rPr>
              <w:t>投标人若对招标文件中有疑问，可以书面形式提交；提交地点及接收人与投标文件递交方式一致，招标人将以书面形式回复答疑内容，不组织招标答疑会。</w:t>
            </w:r>
          </w:p>
        </w:tc>
      </w:tr>
      <w:tr>
        <w:tblPrEx>
          <w:tblCellMar>
            <w:top w:w="0" w:type="dxa"/>
            <w:left w:w="108" w:type="dxa"/>
            <w:bottom w:w="0" w:type="dxa"/>
            <w:right w:w="108" w:type="dxa"/>
          </w:tblCellMar>
        </w:tblPrEx>
        <w:trPr>
          <w:trHeight w:val="75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before="100" w:beforeAutospacing="0" w:after="0" w:line="440" w:lineRule="exact"/>
              <w:ind w:left="-59" w:leftChars="-28" w:right="-44" w:rightChars="-21" w:firstLine="0"/>
              <w:jc w:val="center"/>
              <w:rPr>
                <w:rFonts w:ascii="宋体" w:hAnsi="宋体" w:cs="宋体"/>
                <w:color w:val="auto"/>
                <w:highlight w:val="none"/>
              </w:rPr>
            </w:pPr>
            <w:r>
              <w:rPr>
                <w:rFonts w:hint="eastAsia" w:ascii="宋体" w:hAnsi="宋体" w:cs="宋体"/>
                <w:color w:val="auto"/>
                <w:highlight w:val="none"/>
              </w:rPr>
              <w:t>报价及结算方式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420" w:firstLineChars="200"/>
              <w:rPr>
                <w:rFonts w:ascii="宋体" w:hAnsi="宋体" w:cs="宋体"/>
                <w:color w:val="auto"/>
                <w:highlight w:val="none"/>
              </w:rPr>
            </w:pPr>
            <w:r>
              <w:rPr>
                <w:rFonts w:hint="eastAsia" w:ascii="宋体" w:hAnsi="宋体" w:cs="宋体"/>
                <w:color w:val="auto"/>
                <w:highlight w:val="none"/>
              </w:rPr>
              <w:t>按照招标文件中规定，投标单位自行报价（投标</w:t>
            </w:r>
            <w:r>
              <w:rPr>
                <w:rFonts w:hint="eastAsia" w:ascii="宋体" w:hAnsi="宋体" w:cs="宋体"/>
                <w:color w:val="auto"/>
                <w:highlight w:val="none"/>
                <w:lang w:val="en-US" w:eastAsia="zh-CN"/>
              </w:rPr>
              <w:t>下浮率</w:t>
            </w:r>
            <w:r>
              <w:rPr>
                <w:rFonts w:hint="eastAsia" w:ascii="宋体" w:hAnsi="宋体" w:cs="宋体"/>
                <w:color w:val="auto"/>
                <w:highlight w:val="none"/>
              </w:rPr>
              <w:t>不</w:t>
            </w:r>
            <w:r>
              <w:rPr>
                <w:rFonts w:hint="eastAsia" w:ascii="宋体" w:hAnsi="宋体" w:cs="宋体"/>
                <w:color w:val="auto"/>
                <w:highlight w:val="none"/>
                <w:lang w:val="en-US" w:eastAsia="zh-CN"/>
              </w:rPr>
              <w:t>得</w:t>
            </w:r>
            <w:r>
              <w:rPr>
                <w:rFonts w:hint="eastAsia" w:ascii="宋体" w:hAnsi="宋体" w:cs="宋体"/>
                <w:color w:val="auto"/>
                <w:highlight w:val="none"/>
              </w:rPr>
              <w:t>超</w:t>
            </w:r>
            <w:r>
              <w:rPr>
                <w:rFonts w:hint="eastAsia" w:ascii="宋体" w:hAnsi="宋体" w:cs="宋体"/>
                <w:color w:val="auto"/>
                <w:highlight w:val="none"/>
                <w:lang w:val="en-US" w:eastAsia="zh-CN"/>
              </w:rPr>
              <w:t>出</w:t>
            </w:r>
            <w:r>
              <w:rPr>
                <w:rFonts w:hint="eastAsia" w:ascii="宋体" w:hAnsi="宋体" w:cs="宋体"/>
                <w:color w:val="auto"/>
                <w:highlight w:val="none"/>
              </w:rPr>
              <w:t>招标控制价</w:t>
            </w:r>
            <w:r>
              <w:rPr>
                <w:rFonts w:hint="eastAsia" w:ascii="宋体" w:hAnsi="宋体" w:cs="宋体"/>
                <w:color w:val="auto"/>
                <w:highlight w:val="none"/>
                <w:lang w:val="en-US" w:eastAsia="zh-CN"/>
              </w:rPr>
              <w:t>范围</w:t>
            </w:r>
            <w:r>
              <w:rPr>
                <w:rFonts w:hint="eastAsia" w:ascii="宋体" w:hAnsi="宋体" w:cs="宋体"/>
                <w:color w:val="auto"/>
                <w:highlight w:val="none"/>
              </w:rPr>
              <w:t>）。（小数点后保留二位小数，第三位小数四舍五入）。</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lang w:val="en-US" w:eastAsia="zh-CN"/>
              </w:rPr>
              <w:t>服务费依据</w:t>
            </w:r>
            <w:r>
              <w:rPr>
                <w:rFonts w:hint="eastAsia" w:ascii="宋体" w:hAnsi="宋体" w:eastAsia="宋体" w:cs="宋体"/>
                <w:color w:val="auto"/>
                <w:sz w:val="21"/>
                <w:szCs w:val="21"/>
                <w:highlight w:val="none"/>
              </w:rPr>
              <w:t>《关于调整我省建设工程造价咨询服务收费的复函》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粤价函【2011】</w:t>
            </w:r>
            <w:r>
              <w:rPr>
                <w:rFonts w:hint="eastAsia" w:ascii="宋体" w:hAnsi="宋体" w:eastAsia="宋体" w:cs="宋体"/>
                <w:color w:val="auto"/>
                <w:sz w:val="21"/>
                <w:szCs w:val="21"/>
                <w:highlight w:val="none"/>
                <w:lang w:eastAsia="zh-CN"/>
              </w:rPr>
              <w:t>742</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以中标服务商的投标下浮率按单个服务项目结算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投标下浮率</w:t>
            </w:r>
            <w:r>
              <w:rPr>
                <w:rFonts w:hint="eastAsia" w:ascii="仿宋_GB2312" w:hAnsi="宋体" w:eastAsia="仿宋_GB2312"/>
                <w:color w:val="auto"/>
                <w:sz w:val="21"/>
                <w:szCs w:val="21"/>
                <w:highlight w:val="none"/>
              </w:rPr>
              <w:t>控制在</w:t>
            </w:r>
            <w:r>
              <w:rPr>
                <w:rFonts w:hint="eastAsia" w:ascii="仿宋_GB2312" w:hAnsi="宋体" w:eastAsia="仿宋_GB2312"/>
                <w:color w:val="auto"/>
                <w:sz w:val="21"/>
                <w:szCs w:val="21"/>
                <w:highlight w:val="none"/>
                <w:lang w:eastAsia="zh-CN"/>
              </w:rPr>
              <w:t>：</w:t>
            </w:r>
            <w:r>
              <w:rPr>
                <w:rFonts w:hint="eastAsia" w:ascii="仿宋_GB2312" w:hAnsi="宋体" w:eastAsia="仿宋_GB2312"/>
                <w:color w:val="auto"/>
                <w:sz w:val="21"/>
                <w:szCs w:val="21"/>
                <w:highlight w:val="none"/>
                <w:lang w:val="en-US" w:eastAsia="zh-CN"/>
              </w:rPr>
              <w:t>0</w:t>
            </w:r>
            <w:r>
              <w:rPr>
                <w:rFonts w:hint="eastAsia" w:ascii="仿宋_GB2312" w:hAnsi="宋体" w:eastAsia="仿宋_GB2312"/>
                <w:color w:val="auto"/>
                <w:sz w:val="21"/>
                <w:szCs w:val="21"/>
                <w:highlight w:val="none"/>
              </w:rPr>
              <w:t>&lt;</w:t>
            </w:r>
            <w:r>
              <w:rPr>
                <w:rFonts w:hint="eastAsia" w:ascii="仿宋_GB2312" w:hAnsi="宋体" w:eastAsia="仿宋_GB2312"/>
                <w:color w:val="auto"/>
                <w:sz w:val="21"/>
                <w:szCs w:val="21"/>
                <w:highlight w:val="none"/>
                <w:lang w:val="en-US" w:eastAsia="zh-CN"/>
              </w:rPr>
              <w:t>投标</w:t>
            </w:r>
            <w:r>
              <w:rPr>
                <w:rFonts w:hint="eastAsia" w:ascii="仿宋_GB2312" w:hAnsi="宋体" w:eastAsia="仿宋_GB2312"/>
                <w:color w:val="auto"/>
                <w:sz w:val="21"/>
                <w:szCs w:val="21"/>
                <w:highlight w:val="none"/>
              </w:rPr>
              <w:t>下浮率≤</w:t>
            </w:r>
            <w:r>
              <w:rPr>
                <w:rFonts w:hint="eastAsia" w:ascii="仿宋_GB2312" w:hAnsi="宋体" w:eastAsia="仿宋_GB2312"/>
                <w:color w:val="auto"/>
                <w:sz w:val="21"/>
                <w:szCs w:val="21"/>
                <w:highlight w:val="none"/>
                <w:lang w:val="en-US" w:eastAsia="zh-CN"/>
              </w:rPr>
              <w:t>2</w:t>
            </w:r>
            <w:r>
              <w:rPr>
                <w:rFonts w:hint="eastAsia" w:ascii="仿宋_GB2312" w:hAnsi="宋体" w:eastAsia="仿宋_GB2312"/>
                <w:color w:val="auto"/>
                <w:sz w:val="21"/>
                <w:szCs w:val="21"/>
                <w:highlight w:val="none"/>
              </w:rPr>
              <w:t>0%</w:t>
            </w:r>
            <w:r>
              <w:rPr>
                <w:rFonts w:hint="eastAsia" w:ascii="仿宋_GB2312" w:hAnsi="宋体" w:eastAsia="仿宋_GB2312"/>
                <w:color w:val="auto"/>
                <w:sz w:val="21"/>
                <w:szCs w:val="21"/>
                <w:highlight w:val="none"/>
                <w:lang w:eastAsia="zh-CN"/>
              </w:rPr>
              <w:t>。</w:t>
            </w:r>
            <w:r>
              <w:rPr>
                <w:rFonts w:hint="eastAsia" w:ascii="宋体" w:hAnsi="宋体" w:cs="宋体"/>
                <w:color w:val="auto"/>
                <w:highlight w:val="none"/>
                <w:u w:val="single"/>
              </w:rPr>
              <w:t>项目数为若干，单个项目</w:t>
            </w:r>
            <w:r>
              <w:rPr>
                <w:rFonts w:hint="eastAsia" w:ascii="宋体" w:hAnsi="宋体" w:cs="宋体"/>
                <w:color w:val="auto"/>
                <w:highlight w:val="none"/>
                <w:u w:val="single"/>
                <w:lang w:val="en-US" w:eastAsia="zh-CN"/>
              </w:rPr>
              <w:t>服务费不超过50万元</w:t>
            </w:r>
            <w:r>
              <w:rPr>
                <w:rFonts w:hint="eastAsia" w:ascii="宋体" w:hAnsi="宋体" w:cs="宋体"/>
                <w:color w:val="auto"/>
                <w:highlight w:val="none"/>
              </w:rPr>
              <w:t>。</w:t>
            </w:r>
          </w:p>
        </w:tc>
      </w:tr>
      <w:tr>
        <w:tblPrEx>
          <w:tblCellMar>
            <w:top w:w="0" w:type="dxa"/>
            <w:left w:w="108" w:type="dxa"/>
            <w:bottom w:w="0" w:type="dxa"/>
            <w:right w:w="108" w:type="dxa"/>
          </w:tblCellMar>
        </w:tblPrEx>
        <w:trPr>
          <w:trHeight w:val="58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投标有效期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90</w:t>
            </w:r>
            <w:r>
              <w:rPr>
                <w:rFonts w:hint="eastAsia" w:ascii="宋体" w:hAnsi="宋体" w:cs="宋体"/>
                <w:color w:val="auto"/>
                <w:highlight w:val="none"/>
              </w:rPr>
              <w:t>日历天（从投标截止之日算起）。</w:t>
            </w:r>
          </w:p>
        </w:tc>
      </w:tr>
      <w:tr>
        <w:tblPrEx>
          <w:tblCellMar>
            <w:top w:w="0" w:type="dxa"/>
            <w:left w:w="108" w:type="dxa"/>
            <w:bottom w:w="0" w:type="dxa"/>
            <w:right w:w="108" w:type="dxa"/>
          </w:tblCellMar>
        </w:tblPrEx>
        <w:trPr>
          <w:trHeight w:val="7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16.1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spacing w:val="-4"/>
                <w:highlight w:val="none"/>
              </w:rPr>
            </w:pPr>
            <w:r>
              <w:rPr>
                <w:rFonts w:hint="eastAsia" w:ascii="宋体" w:hAnsi="宋体" w:cs="宋体"/>
                <w:color w:val="auto"/>
                <w:spacing w:val="-4"/>
                <w:highlight w:val="none"/>
              </w:rPr>
              <w:t>投标保证金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本项目不收投标保证金</w:t>
            </w:r>
          </w:p>
        </w:tc>
      </w:tr>
      <w:tr>
        <w:tblPrEx>
          <w:tblCellMar>
            <w:top w:w="0" w:type="dxa"/>
            <w:left w:w="108" w:type="dxa"/>
            <w:bottom w:w="0" w:type="dxa"/>
            <w:right w:w="108" w:type="dxa"/>
          </w:tblCellMar>
        </w:tblPrEx>
        <w:trPr>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17.1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before="100" w:beforeAutospacing="0" w:after="0" w:line="440" w:lineRule="exact"/>
              <w:ind w:left="-46" w:leftChars="-22" w:right="-59" w:rightChars="-28" w:firstLine="0"/>
              <w:jc w:val="center"/>
              <w:rPr>
                <w:rFonts w:ascii="宋体" w:hAnsi="宋体" w:cs="宋体"/>
                <w:color w:val="auto"/>
                <w:highlight w:val="none"/>
              </w:rPr>
            </w:pPr>
            <w:r>
              <w:rPr>
                <w:rFonts w:hint="eastAsia" w:ascii="宋体" w:hAnsi="宋体" w:cs="宋体"/>
                <w:color w:val="auto"/>
                <w:highlight w:val="none"/>
              </w:rPr>
              <w:t>投标文件份数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ascii="黑体" w:hAnsi="宋体" w:eastAsia="黑体" w:cs="黑体"/>
                <w:color w:val="auto"/>
                <w:highlight w:val="none"/>
              </w:rPr>
            </w:pPr>
            <w:r>
              <w:rPr>
                <w:rFonts w:hint="eastAsia" w:ascii="宋体" w:hAnsi="宋体" w:cs="宋体"/>
                <w:color w:val="auto"/>
                <w:highlight w:val="none"/>
              </w:rPr>
              <w:t>投标文件：1份正本（含电子文件一套），</w:t>
            </w:r>
            <w:r>
              <w:rPr>
                <w:rFonts w:hint="eastAsia" w:ascii="宋体" w:hAnsi="宋体" w:cs="宋体"/>
                <w:color w:val="auto"/>
                <w:highlight w:val="none"/>
                <w:u w:val="single"/>
              </w:rPr>
              <w:t>4</w:t>
            </w:r>
            <w:r>
              <w:rPr>
                <w:rFonts w:hint="eastAsia" w:ascii="宋体" w:hAnsi="宋体" w:cs="宋体"/>
                <w:color w:val="auto"/>
                <w:highlight w:val="none"/>
              </w:rPr>
              <w:t>份副本。</w:t>
            </w:r>
          </w:p>
        </w:tc>
      </w:tr>
      <w:tr>
        <w:tblPrEx>
          <w:tblCellMar>
            <w:top w:w="0" w:type="dxa"/>
            <w:left w:w="108" w:type="dxa"/>
            <w:bottom w:w="0" w:type="dxa"/>
            <w:right w:w="108" w:type="dxa"/>
          </w:tblCellMar>
        </w:tblPrEx>
        <w:trPr>
          <w:trHeight w:val="89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19.1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投标文件</w:t>
            </w:r>
          </w:p>
          <w:p>
            <w:pPr>
              <w:pStyle w:val="15"/>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提交地点及</w:t>
            </w:r>
          </w:p>
          <w:p>
            <w:pPr>
              <w:pStyle w:val="15"/>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截止时间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rPr>
              <w:t>收件人：</w:t>
            </w:r>
            <w:r>
              <w:rPr>
                <w:rFonts w:hint="eastAsia" w:ascii="宋体" w:hAnsi="宋体" w:eastAsia="宋体" w:cs="宋体"/>
                <w:color w:val="auto"/>
                <w:szCs w:val="21"/>
                <w:highlight w:val="none"/>
                <w:u w:val="single"/>
                <w:lang w:val="en-US" w:eastAsia="zh-CN"/>
              </w:rPr>
              <w:t>梁小姐</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66813692</w:t>
            </w:r>
          </w:p>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提交地点：广州南沙区金融大厦</w:t>
            </w:r>
            <w:r>
              <w:rPr>
                <w:rFonts w:hint="eastAsia" w:ascii="宋体" w:hAnsi="宋体" w:eastAsia="宋体" w:cs="宋体"/>
                <w:color w:val="auto"/>
                <w:szCs w:val="21"/>
                <w:highlight w:val="none"/>
                <w:lang w:val="en-US" w:eastAsia="zh-CN"/>
              </w:rPr>
              <w:t>1702</w:t>
            </w:r>
            <w:r>
              <w:rPr>
                <w:rFonts w:hint="eastAsia" w:ascii="宋体" w:hAnsi="宋体" w:eastAsia="宋体" w:cs="宋体"/>
                <w:color w:val="auto"/>
                <w:szCs w:val="21"/>
                <w:highlight w:val="none"/>
              </w:rPr>
              <w:t>室</w:t>
            </w:r>
          </w:p>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提交时间：</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19</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日上午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19</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日上午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p>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投标截止时间：</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7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19</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日上午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p>
          <w:p>
            <w:pPr>
              <w:pStyle w:val="15"/>
              <w:widowControl/>
              <w:spacing w:after="0" w:line="320" w:lineRule="exact"/>
              <w:ind w:firstLine="0"/>
              <w:rPr>
                <w:rFonts w:ascii="宋体" w:hAnsi="宋体" w:cs="宋体"/>
                <w:b/>
                <w:color w:val="auto"/>
                <w:highlight w:val="none"/>
              </w:rPr>
            </w:pPr>
            <w:r>
              <w:rPr>
                <w:rFonts w:hint="eastAsia" w:ascii="宋体" w:hAnsi="宋体" w:cs="宋体"/>
                <w:color w:val="auto"/>
                <w:highlight w:val="none"/>
              </w:rPr>
              <w:t>法定代表人应凭本人身份证和法定代表人证明书原件提交投标文件，委托代理人应凭本人身份证、法定代表人证明书原件和法定代表人授权委托证明书原件提交投标文件。否则其投标文件不被招标人接收。</w:t>
            </w:r>
          </w:p>
        </w:tc>
      </w:tr>
      <w:tr>
        <w:tblPrEx>
          <w:tblCellMar>
            <w:top w:w="0" w:type="dxa"/>
            <w:left w:w="108" w:type="dxa"/>
            <w:bottom w:w="0" w:type="dxa"/>
            <w:right w:w="108" w:type="dxa"/>
          </w:tblCellMar>
        </w:tblPrEx>
        <w:trPr>
          <w:trHeight w:val="154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开标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开标时间：</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19</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日上午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分正</w:t>
            </w:r>
          </w:p>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地点：广州南沙区金融大厦 18</w:t>
            </w:r>
            <w:r>
              <w:rPr>
                <w:rFonts w:hint="eastAsia" w:ascii="宋体" w:hAnsi="宋体" w:eastAsia="宋体" w:cs="宋体"/>
                <w:color w:val="auto"/>
                <w:szCs w:val="21"/>
                <w:highlight w:val="none"/>
                <w:lang w:val="en-US" w:eastAsia="zh-CN"/>
              </w:rPr>
              <w:t>07</w:t>
            </w:r>
            <w:r>
              <w:rPr>
                <w:rFonts w:hint="eastAsia" w:ascii="宋体" w:hAnsi="宋体" w:eastAsia="宋体" w:cs="宋体"/>
                <w:color w:val="auto"/>
                <w:szCs w:val="21"/>
                <w:highlight w:val="none"/>
              </w:rPr>
              <w:t>会议室</w:t>
            </w:r>
          </w:p>
          <w:p>
            <w:pPr>
              <w:spacing w:line="320" w:lineRule="exact"/>
              <w:rPr>
                <w:rFonts w:ascii="宋体" w:hAnsi="宋体" w:eastAsia="宋体" w:cs="宋体"/>
                <w:b/>
                <w:color w:val="auto"/>
                <w:highlight w:val="none"/>
              </w:rPr>
            </w:pPr>
            <w:r>
              <w:rPr>
                <w:rFonts w:hint="eastAsia" w:ascii="宋体" w:hAnsi="宋体" w:eastAsia="宋体" w:cs="宋体"/>
                <w:color w:val="auto"/>
                <w:szCs w:val="21"/>
                <w:highlight w:val="none"/>
              </w:rPr>
              <w:t>请各投标人的法定代表人或其有效授权委托人务必准时出席，并须带本人身份证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以供招标人审查，否则作弃权处理。</w:t>
            </w:r>
          </w:p>
        </w:tc>
      </w:tr>
      <w:tr>
        <w:tblPrEx>
          <w:tblCellMar>
            <w:top w:w="0" w:type="dxa"/>
            <w:left w:w="108" w:type="dxa"/>
            <w:bottom w:w="0" w:type="dxa"/>
            <w:right w:w="108" w:type="dxa"/>
          </w:tblCellMar>
        </w:tblPrEx>
        <w:trPr>
          <w:jc w:val="center"/>
        </w:trPr>
        <w:tc>
          <w:tcPr>
            <w:tcW w:w="720" w:type="dxa"/>
            <w:vMerge w:val="restart"/>
            <w:tcBorders>
              <w:top w:val="single" w:color="auto" w:sz="4" w:space="0"/>
              <w:left w:val="double" w:color="auto" w:sz="2"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20</w:t>
            </w:r>
          </w:p>
        </w:tc>
        <w:tc>
          <w:tcPr>
            <w:tcW w:w="990" w:type="dxa"/>
            <w:vMerge w:val="restart"/>
            <w:tcBorders>
              <w:top w:val="single" w:color="auto" w:sz="4" w:space="0"/>
              <w:left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27.3</w:t>
            </w:r>
          </w:p>
        </w:tc>
        <w:tc>
          <w:tcPr>
            <w:tcW w:w="1706" w:type="dxa"/>
            <w:vMerge w:val="restart"/>
            <w:tcBorders>
              <w:top w:val="single" w:color="auto" w:sz="4" w:space="0"/>
              <w:left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评标方法</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综合评分法</w:t>
            </w:r>
          </w:p>
        </w:tc>
      </w:tr>
      <w:tr>
        <w:tblPrEx>
          <w:tblCellMar>
            <w:top w:w="0" w:type="dxa"/>
            <w:left w:w="108" w:type="dxa"/>
            <w:bottom w:w="0" w:type="dxa"/>
            <w:right w:w="108" w:type="dxa"/>
          </w:tblCellMar>
        </w:tblPrEx>
        <w:trPr>
          <w:jc w:val="center"/>
        </w:trPr>
        <w:tc>
          <w:tcPr>
            <w:tcW w:w="720" w:type="dxa"/>
            <w:vMerge w:val="continue"/>
            <w:tcBorders>
              <w:left w:val="double" w:color="auto" w:sz="2"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cs="宋体"/>
                <w:color w:val="auto"/>
                <w:highlight w:val="none"/>
              </w:rPr>
            </w:pPr>
          </w:p>
        </w:tc>
        <w:tc>
          <w:tcPr>
            <w:tcW w:w="990" w:type="dxa"/>
            <w:vMerge w:val="continue"/>
            <w:tcBorders>
              <w:left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cs="宋体"/>
                <w:color w:val="auto"/>
                <w:highlight w:val="none"/>
              </w:rPr>
            </w:pPr>
          </w:p>
        </w:tc>
        <w:tc>
          <w:tcPr>
            <w:tcW w:w="1706" w:type="dxa"/>
            <w:vMerge w:val="continue"/>
            <w:tcBorders>
              <w:left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cs="宋体"/>
                <w:color w:val="auto"/>
                <w:highlight w:val="none"/>
              </w:rPr>
            </w:pP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szCs w:val="21"/>
                <w:highlight w:val="none"/>
              </w:rPr>
            </w:pPr>
            <w:r>
              <w:rPr>
                <w:rFonts w:hint="eastAsia" w:ascii="宋体" w:hAnsi="宋体" w:cs="宋体"/>
                <w:color w:val="auto"/>
                <w:szCs w:val="21"/>
                <w:highlight w:val="none"/>
                <w:u w:val="none"/>
              </w:rPr>
              <w:t>投标人综合评分由高到低排序前3名作为第一、第二、第三中标候选人，综合得分相等时，以投标报价低的优先；投标报价也相等的，以投标人业绩、信誉及资信情况得分高的优先；如果投标人业绩、信誉及资信情况得分也相等，由评标委员会采用记名投票方式，确定中标候选人的排序。</w:t>
            </w:r>
          </w:p>
        </w:tc>
      </w:tr>
      <w:tr>
        <w:tblPrEx>
          <w:tblCellMar>
            <w:top w:w="0" w:type="dxa"/>
            <w:left w:w="108" w:type="dxa"/>
            <w:bottom w:w="0" w:type="dxa"/>
            <w:right w:w="108" w:type="dxa"/>
          </w:tblCellMar>
        </w:tblPrEx>
        <w:trPr>
          <w:jc w:val="center"/>
        </w:trPr>
        <w:tc>
          <w:tcPr>
            <w:tcW w:w="720" w:type="dxa"/>
            <w:vMerge w:val="continue"/>
            <w:tcBorders>
              <w:left w:val="double" w:color="auto" w:sz="2"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cs="宋体"/>
                <w:color w:val="auto"/>
                <w:highlight w:val="none"/>
              </w:rPr>
            </w:pPr>
          </w:p>
        </w:tc>
        <w:tc>
          <w:tcPr>
            <w:tcW w:w="990" w:type="dxa"/>
            <w:vMerge w:val="continue"/>
            <w:tcBorders>
              <w:left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cs="宋体"/>
                <w:color w:val="auto"/>
                <w:highlight w:val="none"/>
              </w:rPr>
            </w:pPr>
          </w:p>
        </w:tc>
        <w:tc>
          <w:tcPr>
            <w:tcW w:w="1706" w:type="dxa"/>
            <w:vMerge w:val="continue"/>
            <w:tcBorders>
              <w:left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cs="宋体"/>
                <w:color w:val="auto"/>
                <w:highlight w:val="none"/>
              </w:rPr>
            </w:pP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pageBreakBefore w:val="0"/>
              <w:kinsoku/>
              <w:wordWrap/>
              <w:overflowPunct/>
              <w:topLinePunct w:val="0"/>
              <w:bidi w:val="0"/>
              <w:spacing w:line="240" w:lineRule="auto"/>
              <w:jc w:val="both"/>
              <w:textAlignment w:val="auto"/>
              <w:rPr>
                <w:rFonts w:hint="eastAsia"/>
                <w:color w:val="auto"/>
                <w:lang w:eastAsia="zh-CN"/>
              </w:rPr>
            </w:pPr>
            <w:r>
              <w:rPr>
                <w:rFonts w:hint="eastAsia"/>
                <w:color w:val="auto"/>
              </w:rPr>
              <w:t>分值构成(总分 100 分)</w:t>
            </w:r>
            <w:r>
              <w:rPr>
                <w:rFonts w:hint="eastAsia"/>
                <w:color w:val="auto"/>
                <w:lang w:eastAsia="zh-CN"/>
              </w:rPr>
              <w:t>：</w:t>
            </w:r>
            <w:r>
              <w:rPr>
                <w:rFonts w:hint="eastAsia"/>
                <w:color w:val="auto"/>
                <w:highlight w:val="none"/>
              </w:rPr>
              <w:t>1、</w:t>
            </w:r>
            <w:r>
              <w:rPr>
                <w:rFonts w:hint="eastAsia"/>
                <w:color w:val="auto"/>
                <w:highlight w:val="none"/>
                <w:lang w:eastAsia="zh-CN"/>
              </w:rPr>
              <w:t>商务部分</w:t>
            </w:r>
            <w:r>
              <w:rPr>
                <w:rFonts w:hint="eastAsia"/>
                <w:color w:val="auto"/>
                <w:highlight w:val="none"/>
              </w:rPr>
              <w:t>：</w:t>
            </w:r>
            <w:r>
              <w:rPr>
                <w:rFonts w:hint="eastAsia"/>
                <w:color w:val="auto"/>
                <w:highlight w:val="none"/>
                <w:lang w:val="en-US" w:eastAsia="zh-CN"/>
              </w:rPr>
              <w:t>5</w:t>
            </w:r>
            <w:r>
              <w:rPr>
                <w:rFonts w:hint="eastAsia"/>
                <w:color w:val="auto"/>
                <w:highlight w:val="none"/>
              </w:rPr>
              <w:t>0分</w:t>
            </w:r>
            <w:r>
              <w:rPr>
                <w:rFonts w:hint="eastAsia"/>
                <w:color w:val="auto"/>
                <w:highlight w:val="none"/>
                <w:lang w:eastAsia="zh-CN"/>
              </w:rPr>
              <w:t>；</w:t>
            </w:r>
            <w:r>
              <w:rPr>
                <w:rFonts w:hint="eastAsia"/>
                <w:color w:val="auto"/>
                <w:highlight w:val="none"/>
              </w:rPr>
              <w:t>2、</w:t>
            </w:r>
            <w:r>
              <w:rPr>
                <w:rFonts w:hint="eastAsia"/>
                <w:color w:val="auto"/>
                <w:highlight w:val="none"/>
                <w:lang w:eastAsia="zh-CN"/>
              </w:rPr>
              <w:t>技术部分</w:t>
            </w:r>
            <w:r>
              <w:rPr>
                <w:rFonts w:hint="eastAsia"/>
                <w:color w:val="auto"/>
                <w:highlight w:val="none"/>
              </w:rPr>
              <w:t>：</w:t>
            </w:r>
            <w:r>
              <w:rPr>
                <w:rFonts w:hint="eastAsia"/>
                <w:color w:val="auto"/>
                <w:highlight w:val="none"/>
                <w:lang w:val="en-US" w:eastAsia="zh-CN"/>
              </w:rPr>
              <w:t>2</w:t>
            </w:r>
            <w:r>
              <w:rPr>
                <w:rFonts w:hint="eastAsia"/>
                <w:color w:val="auto"/>
                <w:highlight w:val="none"/>
              </w:rPr>
              <w:t>0分</w:t>
            </w:r>
            <w:r>
              <w:rPr>
                <w:rFonts w:hint="eastAsia"/>
                <w:color w:val="auto"/>
                <w:highlight w:val="none"/>
                <w:lang w:eastAsia="zh-CN"/>
              </w:rPr>
              <w:t>；</w:t>
            </w:r>
            <w:r>
              <w:rPr>
                <w:rFonts w:hint="eastAsia"/>
                <w:color w:val="auto"/>
                <w:highlight w:val="none"/>
              </w:rPr>
              <w:t>3、投标报价：</w:t>
            </w:r>
            <w:r>
              <w:rPr>
                <w:rFonts w:hint="eastAsia"/>
                <w:color w:val="auto"/>
                <w:highlight w:val="none"/>
                <w:lang w:val="en-US" w:eastAsia="zh-CN"/>
              </w:rPr>
              <w:t>2</w:t>
            </w:r>
            <w:r>
              <w:rPr>
                <w:rFonts w:hint="eastAsia"/>
                <w:color w:val="auto"/>
                <w:highlight w:val="none"/>
              </w:rPr>
              <w:t>0分</w:t>
            </w:r>
            <w:r>
              <w:rPr>
                <w:rFonts w:hint="eastAsia"/>
                <w:color w:val="auto"/>
                <w:highlight w:val="none"/>
                <w:lang w:eastAsia="zh-CN"/>
              </w:rPr>
              <w:t>；</w:t>
            </w:r>
            <w:r>
              <w:rPr>
                <w:rFonts w:hint="eastAsia" w:ascii="宋体" w:hAnsi="宋体" w:cs="宋体"/>
                <w:color w:val="auto"/>
                <w:szCs w:val="21"/>
                <w:highlight w:val="none"/>
                <w:lang w:val="en-US" w:eastAsia="zh-CN"/>
              </w:rPr>
              <w:t>4、诚信评价：</w:t>
            </w:r>
            <w:r>
              <w:rPr>
                <w:rFonts w:hint="eastAsia" w:ascii="Calibri" w:hAnsi="Calibri" w:cs="Times New Roman"/>
                <w:color w:val="auto"/>
                <w:szCs w:val="24"/>
                <w:highlight w:val="none"/>
                <w:lang w:val="en-US" w:eastAsia="zh-CN"/>
              </w:rPr>
              <w:t>10分</w:t>
            </w:r>
          </w:p>
        </w:tc>
      </w:tr>
      <w:tr>
        <w:tblPrEx>
          <w:tblCellMar>
            <w:top w:w="0" w:type="dxa"/>
            <w:left w:w="108" w:type="dxa"/>
            <w:bottom w:w="0" w:type="dxa"/>
            <w:right w:w="108" w:type="dxa"/>
          </w:tblCellMar>
        </w:tblPrEx>
        <w:trPr>
          <w:jc w:val="center"/>
        </w:trPr>
        <w:tc>
          <w:tcPr>
            <w:tcW w:w="720" w:type="dxa"/>
            <w:vMerge w:val="continue"/>
            <w:tcBorders>
              <w:left w:val="double" w:color="auto" w:sz="2"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cs="宋体"/>
                <w:color w:val="auto"/>
                <w:highlight w:val="none"/>
              </w:rPr>
            </w:pPr>
          </w:p>
        </w:tc>
        <w:tc>
          <w:tcPr>
            <w:tcW w:w="990" w:type="dxa"/>
            <w:vMerge w:val="continue"/>
            <w:tcBorders>
              <w:left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cs="宋体"/>
                <w:color w:val="auto"/>
                <w:highlight w:val="none"/>
              </w:rPr>
            </w:pPr>
          </w:p>
        </w:tc>
        <w:tc>
          <w:tcPr>
            <w:tcW w:w="1706" w:type="dxa"/>
            <w:vMerge w:val="continue"/>
            <w:tcBorders>
              <w:left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cs="宋体"/>
                <w:color w:val="auto"/>
                <w:highlight w:val="none"/>
              </w:rPr>
            </w:pP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rPr>
                <w:rFonts w:hint="eastAsia" w:ascii="宋体" w:hAnsi="宋体" w:eastAsia="宋体"/>
                <w:color w:val="auto"/>
                <w:highlight w:val="none"/>
                <w:u w:val="single"/>
              </w:rPr>
            </w:pPr>
            <w:r>
              <w:rPr>
                <w:rFonts w:hint="eastAsia" w:ascii="宋体" w:hAnsi="宋体" w:eastAsia="宋体"/>
                <w:color w:val="auto"/>
                <w:highlight w:val="none"/>
                <w:u w:val="single"/>
                <w:lang w:val="en-US" w:eastAsia="zh-CN"/>
              </w:rPr>
              <w:t>取</w:t>
            </w:r>
            <w:r>
              <w:rPr>
                <w:rFonts w:ascii="宋体" w:hAnsi="宋体" w:eastAsia="宋体"/>
                <w:color w:val="auto"/>
                <w:highlight w:val="none"/>
                <w:u w:val="single"/>
              </w:rPr>
              <w:t>下浮</w:t>
            </w:r>
            <w:r>
              <w:rPr>
                <w:rFonts w:hint="eastAsia" w:ascii="宋体" w:hAnsi="宋体" w:eastAsia="宋体"/>
                <w:color w:val="auto"/>
                <w:highlight w:val="none"/>
                <w:u w:val="single"/>
                <w:lang w:val="en-US" w:eastAsia="zh-CN"/>
              </w:rPr>
              <w:t>率20</w:t>
            </w:r>
            <w:r>
              <w:rPr>
                <w:rFonts w:ascii="宋体" w:hAnsi="宋体" w:eastAsia="宋体"/>
                <w:color w:val="auto"/>
                <w:highlight w:val="none"/>
                <w:u w:val="single"/>
              </w:rPr>
              <w:t>%</w:t>
            </w:r>
            <w:r>
              <w:rPr>
                <w:rFonts w:hint="eastAsia" w:ascii="宋体" w:hAnsi="宋体" w:eastAsia="宋体"/>
                <w:color w:val="auto"/>
                <w:highlight w:val="none"/>
                <w:u w:val="single"/>
                <w:lang w:val="en-US" w:eastAsia="zh-CN"/>
              </w:rPr>
              <w:t>为</w:t>
            </w:r>
            <w:r>
              <w:rPr>
                <w:rFonts w:ascii="宋体" w:hAnsi="宋体" w:eastAsia="宋体"/>
                <w:color w:val="auto"/>
                <w:highlight w:val="none"/>
                <w:u w:val="single"/>
              </w:rPr>
              <w:t>评</w:t>
            </w:r>
            <w:r>
              <w:rPr>
                <w:rFonts w:hint="eastAsia" w:ascii="宋体" w:hAnsi="宋体" w:eastAsia="宋体"/>
                <w:color w:val="auto"/>
                <w:highlight w:val="none"/>
                <w:u w:val="single"/>
              </w:rPr>
              <w:t>标基准价。</w:t>
            </w:r>
          </w:p>
          <w:p>
            <w:pPr>
              <w:rPr>
                <w:rFonts w:hint="eastAsia" w:asciiTheme="minorEastAsia" w:hAnsiTheme="minorEastAsia" w:eastAsiaTheme="minorEastAsia" w:cstheme="minorEastAsia"/>
                <w:color w:val="auto"/>
                <w:sz w:val="18"/>
                <w:szCs w:val="18"/>
                <w:highlight w:val="none"/>
                <w:lang w:val="en-US" w:eastAsia="zh-CN"/>
              </w:rPr>
            </w:pPr>
            <w:r>
              <w:rPr>
                <w:rFonts w:ascii="宋体" w:hAnsi="宋体" w:eastAsia="宋体"/>
                <w:color w:val="auto"/>
                <w:highlight w:val="none"/>
                <w:u w:val="single"/>
              </w:rPr>
              <w:t>评标委员会对</w:t>
            </w:r>
            <w:r>
              <w:rPr>
                <w:rFonts w:hint="eastAsia" w:ascii="宋体" w:hAnsi="宋体" w:eastAsia="宋体"/>
                <w:color w:val="auto"/>
                <w:highlight w:val="none"/>
                <w:u w:val="single"/>
              </w:rPr>
              <w:t>通过初步评审</w:t>
            </w:r>
            <w:r>
              <w:rPr>
                <w:rFonts w:ascii="宋体" w:hAnsi="宋体" w:eastAsia="宋体"/>
                <w:color w:val="auto"/>
                <w:highlight w:val="none"/>
                <w:u w:val="single"/>
              </w:rPr>
              <w:t>的投标人的投标价格进行修正得出评标价。</w:t>
            </w:r>
            <w:r>
              <w:rPr>
                <w:rFonts w:hint="eastAsia" w:ascii="宋体" w:hAnsi="宋体" w:eastAsia="宋体"/>
                <w:color w:val="auto"/>
                <w:highlight w:val="none"/>
                <w:u w:val="single"/>
              </w:rPr>
              <w:t>当投标报价等于评标基准价时得</w:t>
            </w:r>
            <w:r>
              <w:rPr>
                <w:rFonts w:hint="eastAsia" w:ascii="宋体" w:hAnsi="宋体" w:eastAsia="宋体"/>
                <w:color w:val="auto"/>
                <w:highlight w:val="none"/>
                <w:u w:val="single"/>
                <w:lang w:val="en-US" w:eastAsia="zh-CN"/>
              </w:rPr>
              <w:t>2</w:t>
            </w:r>
            <w:r>
              <w:rPr>
                <w:rFonts w:hint="eastAsia" w:ascii="宋体" w:hAnsi="宋体" w:eastAsia="宋体"/>
                <w:color w:val="auto"/>
                <w:highlight w:val="none"/>
                <w:u w:val="single"/>
              </w:rPr>
              <w:t>0分，投标报价每比评标基准价低1%扣0.</w:t>
            </w:r>
            <w:r>
              <w:rPr>
                <w:rFonts w:hint="eastAsia" w:ascii="宋体" w:hAnsi="宋体" w:eastAsia="宋体"/>
                <w:color w:val="auto"/>
                <w:highlight w:val="none"/>
                <w:u w:val="single"/>
                <w:lang w:val="en-US" w:eastAsia="zh-CN"/>
              </w:rPr>
              <w:t>2</w:t>
            </w:r>
            <w:r>
              <w:rPr>
                <w:rFonts w:hint="eastAsia" w:ascii="宋体" w:hAnsi="宋体" w:eastAsia="宋体"/>
                <w:color w:val="auto"/>
                <w:highlight w:val="none"/>
                <w:u w:val="single"/>
              </w:rPr>
              <w:t>分。（</w:t>
            </w:r>
            <w:r>
              <w:rPr>
                <w:rFonts w:hint="eastAsia" w:ascii="宋体" w:hAnsi="宋体" w:eastAsia="宋体"/>
                <w:color w:val="auto"/>
                <w:highlight w:val="none"/>
                <w:u w:val="single"/>
                <w:lang w:val="en-US" w:eastAsia="zh-CN"/>
              </w:rPr>
              <w:t>如：投标报价为下浮15%，报价得分为：20-（20%-15%）</w:t>
            </w:r>
            <w:r>
              <w:rPr>
                <w:rFonts w:hint="default" w:ascii="宋体" w:hAnsi="宋体" w:eastAsia="宋体"/>
                <w:color w:val="auto"/>
                <w:highlight w:val="none"/>
                <w:u w:val="single"/>
                <w:lang w:val="en-US" w:eastAsia="zh-CN"/>
              </w:rPr>
              <w:t>÷</w:t>
            </w:r>
            <w:r>
              <w:rPr>
                <w:rFonts w:hint="eastAsia" w:ascii="宋体" w:hAnsi="宋体" w:eastAsia="宋体"/>
                <w:color w:val="auto"/>
                <w:highlight w:val="none"/>
                <w:u w:val="single"/>
                <w:lang w:val="en-US" w:eastAsia="zh-CN"/>
              </w:rPr>
              <w:t>20%</w:t>
            </w:r>
            <w:r>
              <w:rPr>
                <w:rFonts w:hint="default" w:ascii="宋体" w:hAnsi="宋体" w:eastAsia="宋体"/>
                <w:color w:val="auto"/>
                <w:highlight w:val="none"/>
                <w:u w:val="single"/>
                <w:lang w:val="en-US" w:eastAsia="zh-CN"/>
              </w:rPr>
              <w:t>÷</w:t>
            </w:r>
            <w:r>
              <w:rPr>
                <w:rFonts w:hint="eastAsia" w:ascii="宋体" w:hAnsi="宋体" w:eastAsia="宋体"/>
                <w:color w:val="auto"/>
                <w:highlight w:val="none"/>
                <w:u w:val="single"/>
                <w:lang w:val="en-US" w:eastAsia="zh-CN"/>
              </w:rPr>
              <w:t>1%</w:t>
            </w:r>
            <w:r>
              <w:rPr>
                <w:rFonts w:hint="default" w:ascii="宋体" w:hAnsi="宋体" w:eastAsia="宋体"/>
                <w:color w:val="auto"/>
                <w:highlight w:val="none"/>
                <w:u w:val="single"/>
                <w:lang w:val="en-US" w:eastAsia="zh-CN"/>
              </w:rPr>
              <w:t>×</w:t>
            </w:r>
            <w:r>
              <w:rPr>
                <w:rFonts w:hint="eastAsia" w:ascii="宋体" w:hAnsi="宋体" w:eastAsia="宋体"/>
                <w:color w:val="auto"/>
                <w:highlight w:val="none"/>
                <w:u w:val="single"/>
                <w:lang w:val="en-US" w:eastAsia="zh-CN"/>
              </w:rPr>
              <w:t>0.2=15.00分，保留2位小数）</w:t>
            </w:r>
          </w:p>
          <w:p>
            <w:pPr>
              <w:rPr>
                <w:rFonts w:hint="eastAsia"/>
                <w:color w:val="auto"/>
              </w:rPr>
            </w:pPr>
          </w:p>
        </w:tc>
      </w:tr>
    </w:tbl>
    <w:p>
      <w:pPr>
        <w:rPr>
          <w:rFonts w:ascii="宋体" w:hAnsi="宋体" w:eastAsia="宋体" w:cs="宋体"/>
          <w:color w:val="auto"/>
          <w:highlight w:val="none"/>
        </w:rPr>
      </w:pPr>
      <w:r>
        <w:rPr>
          <w:rFonts w:hint="eastAsia" w:ascii="宋体" w:hAnsi="宋体" w:eastAsia="宋体" w:cs="宋体"/>
          <w:color w:val="auto"/>
          <w:szCs w:val="21"/>
          <w:highlight w:val="none"/>
        </w:rPr>
        <w:t xml:space="preserve"> </w:t>
      </w:r>
    </w:p>
    <w:p>
      <w:pPr>
        <w:spacing w:line="360" w:lineRule="auto"/>
        <w:jc w:val="center"/>
        <w:rPr>
          <w:b/>
          <w:color w:val="auto"/>
          <w:highlight w:val="none"/>
        </w:rPr>
      </w:pPr>
      <w:r>
        <w:rPr>
          <w:b/>
          <w:color w:val="auto"/>
          <w:highlight w:val="none"/>
        </w:rPr>
        <w:br w:type="page"/>
      </w:r>
    </w:p>
    <w:p>
      <w:pPr>
        <w:spacing w:line="360" w:lineRule="auto"/>
        <w:jc w:val="center"/>
        <w:outlineLvl w:val="1"/>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二、投标须知</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（一）总则</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1．定义</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本招标文件使用的下列词语具有如下规定的意义：</w:t>
      </w:r>
    </w:p>
    <w:p>
      <w:pPr>
        <w:spacing w:line="360" w:lineRule="auto"/>
        <w:ind w:firstLine="480" w:firstLineChars="200"/>
        <w:rPr>
          <w:rFonts w:ascii="宋体" w:hAnsi="宋体" w:eastAsia="宋体" w:cs="宋体"/>
          <w:b/>
          <w:color w:val="auto"/>
          <w:sz w:val="24"/>
          <w:highlight w:val="none"/>
          <w:u w:val="single"/>
        </w:rPr>
      </w:pPr>
      <w:r>
        <w:rPr>
          <w:rFonts w:hint="eastAsia" w:ascii="宋体" w:hAnsi="宋体" w:eastAsia="宋体" w:cs="宋体"/>
          <w:color w:val="auto"/>
          <w:sz w:val="24"/>
          <w:highlight w:val="none"/>
        </w:rPr>
        <w:t>1.1 “招标人”（即委托人）指</w:t>
      </w:r>
      <w:r>
        <w:rPr>
          <w:rFonts w:hint="eastAsia" w:ascii="宋体" w:hAnsi="宋体" w:eastAsia="宋体" w:cs="宋体"/>
          <w:color w:val="auto"/>
          <w:sz w:val="24"/>
          <w:highlight w:val="none"/>
          <w:u w:val="single"/>
        </w:rPr>
        <w:t>广州南沙</w:t>
      </w:r>
      <w:r>
        <w:rPr>
          <w:rFonts w:hint="eastAsia" w:ascii="宋体" w:hAnsi="宋体" w:eastAsia="宋体" w:cs="宋体"/>
          <w:color w:val="auto"/>
          <w:sz w:val="24"/>
          <w:highlight w:val="none"/>
          <w:u w:val="single"/>
          <w:lang w:val="en-US" w:eastAsia="zh-CN"/>
        </w:rPr>
        <w:t>资产经营集团</w:t>
      </w:r>
      <w:r>
        <w:rPr>
          <w:rFonts w:hint="eastAsia" w:ascii="宋体" w:hAnsi="宋体" w:eastAsia="宋体" w:cs="宋体"/>
          <w:color w:val="auto"/>
          <w:sz w:val="24"/>
          <w:highlight w:val="none"/>
          <w:u w:val="single"/>
        </w:rPr>
        <w:t>有限公司</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1.2 “项目建设管理单位”指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 “投标人”指向招标人提交投标文件的当事人。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 “承包商”指被招标人接受并与其签订工程承包合同的当事人；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 “招标代理”指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shd w:val="clear" w:color="auto" w:fill="FFFF00"/>
        </w:rPr>
      </w:pPr>
      <w:r>
        <w:rPr>
          <w:rFonts w:hint="eastAsia" w:ascii="宋体" w:hAnsi="宋体" w:eastAsia="宋体" w:cs="宋体"/>
          <w:color w:val="auto"/>
          <w:sz w:val="24"/>
          <w:highlight w:val="none"/>
        </w:rPr>
        <w:t>1.6 “设计人”指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 “招标文件”指由招标代理发出的本文件（包括全部章节、附件）及澄清补充文件。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 “投标文件”指投标人根据本招标文件向招标人提交的全部文件。</w:t>
      </w:r>
    </w:p>
    <w:p>
      <w:pPr>
        <w:pStyle w:val="15"/>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 “书面函件”指打字或印刷的函件，包括电传、电报和传真。</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2、招标说明</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2.1本招标工程项目按照《中华人民共和国招标投标法》等有关法律、行政法规和部门规章，采取邀请招标的办法，选择有经验、有实力、社会信誉好的</w:t>
      </w:r>
      <w:r>
        <w:rPr>
          <w:rFonts w:hint="eastAsia" w:ascii="宋体" w:hAnsi="宋体" w:eastAsia="宋体" w:cs="宋体"/>
          <w:color w:val="auto"/>
          <w:sz w:val="24"/>
          <w:highlight w:val="none"/>
          <w:lang w:val="en-US" w:eastAsia="zh-CN"/>
        </w:rPr>
        <w:t>造价</w:t>
      </w:r>
      <w:r>
        <w:rPr>
          <w:rFonts w:hint="eastAsia" w:ascii="宋体" w:hAnsi="宋体" w:eastAsia="宋体" w:cs="宋体"/>
          <w:color w:val="auto"/>
          <w:sz w:val="24"/>
          <w:highlight w:val="none"/>
        </w:rPr>
        <w:t>咨询单位承担</w:t>
      </w:r>
      <w:r>
        <w:rPr>
          <w:rFonts w:hint="eastAsia" w:ascii="宋体" w:hAnsi="宋体" w:eastAsia="宋体" w:cs="宋体"/>
          <w:color w:val="auto"/>
          <w:sz w:val="24"/>
          <w:highlight w:val="none"/>
          <w:lang w:val="en-US" w:eastAsia="zh-CN"/>
        </w:rPr>
        <w:t>造价</w:t>
      </w:r>
      <w:r>
        <w:rPr>
          <w:rFonts w:hint="eastAsia" w:ascii="宋体" w:hAnsi="宋体" w:eastAsia="宋体" w:cs="宋体"/>
          <w:color w:val="auto"/>
          <w:sz w:val="24"/>
          <w:highlight w:val="none"/>
        </w:rPr>
        <w:t>咨询服务，确保本工程能按期、优质、经济地完成。</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2.2工程概况：</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2.2.1工程名称：见投标须知前附表第1项。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地点：见投标须知前附表第2项。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规模：见投标须知前附表第3项。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2.2.4投资概算：见投标须知前附表第4项。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2.2.5服务目标：见投标须知前附表第5项。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2.3招标范围及服务期及专业配套要求</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2.3.1 本招标项目的招标范围：见投标须知前附表第6项。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2.3.2 本招标项目的</w:t>
      </w:r>
      <w:r>
        <w:rPr>
          <w:rFonts w:hint="eastAsia" w:ascii="宋体" w:hAnsi="宋体" w:eastAsia="宋体" w:cs="宋体"/>
          <w:color w:val="auto"/>
          <w:sz w:val="24"/>
          <w:highlight w:val="none"/>
          <w:lang w:val="en-US" w:eastAsia="zh-CN"/>
        </w:rPr>
        <w:t>造价</w:t>
      </w:r>
      <w:r>
        <w:rPr>
          <w:rFonts w:hint="eastAsia" w:ascii="宋体" w:hAnsi="宋体" w:eastAsia="宋体" w:cs="宋体"/>
          <w:color w:val="auto"/>
          <w:sz w:val="24"/>
          <w:highlight w:val="none"/>
        </w:rPr>
        <w:t>咨询服务期要求：见投标须知前附表第7项。</w:t>
      </w:r>
    </w:p>
    <w:p>
      <w:pPr>
        <w:spacing w:line="500" w:lineRule="exact"/>
        <w:ind w:left="-1" w:firstLine="482" w:firstLineChars="200"/>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3．资金来源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3.1</w:t>
      </w:r>
      <w:r>
        <w:rPr>
          <w:rFonts w:hint="eastAsia" w:ascii="宋体" w:hAnsi="宋体" w:eastAsia="宋体" w:cs="宋体"/>
          <w:color w:val="auto"/>
          <w:sz w:val="24"/>
          <w:highlight w:val="none"/>
        </w:rPr>
        <w:t>本招标工程项目资金来源见投标须知前附表第8项。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4．合格投标人的条件</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4.1投标人资格要求：</w:t>
      </w:r>
      <w:r>
        <w:rPr>
          <w:rFonts w:hint="eastAsia" w:ascii="宋体" w:hAnsi="宋体" w:eastAsia="宋体" w:cs="宋体"/>
          <w:color w:val="auto"/>
          <w:sz w:val="24"/>
          <w:highlight w:val="none"/>
        </w:rPr>
        <w:t>详见投标须知前附表第9项</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w:t>
      </w:r>
      <w:r>
        <w:rPr>
          <w:rFonts w:hint="eastAsia" w:ascii="宋体" w:hAnsi="宋体" w:eastAsia="宋体" w:cs="宋体"/>
          <w:color w:val="auto"/>
          <w:sz w:val="24"/>
          <w:highlight w:val="none"/>
        </w:rPr>
        <w:t>服务人员的专业配套</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详见投标须知前附表第10项。</w:t>
      </w:r>
    </w:p>
    <w:p>
      <w:pPr>
        <w:pStyle w:val="2"/>
        <w:rPr>
          <w:rFonts w:hint="default" w:eastAsia="宋体"/>
          <w:lang w:val="en-US" w:eastAsia="zh-CN"/>
        </w:rPr>
      </w:pPr>
      <w:r>
        <w:rPr>
          <w:rFonts w:hint="eastAsia" w:ascii="宋体" w:hAnsi="宋体" w:cs="宋体"/>
          <w:color w:val="auto"/>
          <w:sz w:val="24"/>
          <w:highlight w:val="none"/>
          <w:lang w:val="en-US" w:eastAsia="zh-CN"/>
        </w:rPr>
        <w:t xml:space="preserve">    4.3资格审查方式：</w:t>
      </w:r>
      <w:r>
        <w:rPr>
          <w:rFonts w:hint="eastAsia" w:ascii="宋体" w:hAnsi="宋体" w:eastAsia="宋体" w:cs="宋体"/>
          <w:color w:val="auto"/>
          <w:sz w:val="24"/>
          <w:highlight w:val="none"/>
        </w:rPr>
        <w:t>详见投标须知前附表第1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项</w:t>
      </w:r>
      <w:r>
        <w:rPr>
          <w:rFonts w:hint="eastAsia" w:ascii="宋体" w:hAnsi="宋体" w:cs="宋体"/>
          <w:color w:val="auto"/>
          <w:sz w:val="24"/>
          <w:highlight w:val="none"/>
          <w:lang w:val="en-US" w:eastAsia="zh-CN"/>
        </w:rPr>
        <w:t>。</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5．踏勘现场</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5.1投标人应对</w:t>
      </w:r>
      <w:r>
        <w:rPr>
          <w:rFonts w:hint="eastAsia" w:ascii="宋体" w:hAnsi="宋体" w:eastAsia="宋体" w:cs="宋体"/>
          <w:color w:val="auto"/>
          <w:sz w:val="24"/>
          <w:highlight w:val="none"/>
          <w:lang w:val="en-US" w:eastAsia="zh-CN"/>
        </w:rPr>
        <w:t>招标人、</w:t>
      </w:r>
      <w:r>
        <w:rPr>
          <w:rFonts w:hint="eastAsia" w:ascii="宋体" w:hAnsi="宋体" w:eastAsia="宋体" w:cs="宋体"/>
          <w:color w:val="auto"/>
          <w:sz w:val="24"/>
          <w:highlight w:val="none"/>
        </w:rPr>
        <w:t>项目现场及周围环境自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5.2招标人向投标人提供的有关</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的数据和资料，是招标人现有的能被投标人利用的资料，招标人对投标人做出的任何推论、理解和结论均不负责任。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5.3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投标人不得因此使招标人承担有关的责任和蒙受损失。投标人应承担踏勘现场的责任和风险。</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6．投标费用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6.1不论投标结果如何，投标人应承担购买招标文件等相关资料及其投标文件编制与递交所涉及的一切费用。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6.2投标人应承担其参加本招标活动自身所发生的其他一切费用，招标人对上述费用均不负任何责任。</w:t>
      </w:r>
    </w:p>
    <w:p>
      <w:pPr>
        <w:spacing w:line="360" w:lineRule="auto"/>
        <w:ind w:firstLine="241" w:firstLineChars="1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（二）招标文件</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7.招标文件的组成</w:t>
      </w:r>
    </w:p>
    <w:p>
      <w:pPr>
        <w:pStyle w:val="15"/>
        <w:widowControl/>
        <w:spacing w:after="0"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7.1本招标文件包括下列文件，以及所有按本须知第8条发出的招标答疑会会议纪要和按本须知第9条发出的澄清或修改：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（1）投标须知及前附表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 w:val="0"/>
          <w:color w:val="auto"/>
          <w:sz w:val="24"/>
          <w:highlight w:val="none"/>
        </w:rPr>
        <w:t>项目需求书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（3）投标文件格式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评标办法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（5）附件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（6）服务合同</w:t>
      </w:r>
    </w:p>
    <w:p>
      <w:pPr>
        <w:pStyle w:val="15"/>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7.2除7.1内容外，招标人在提交投标文件截止时间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天前，以书面形式发出的对招标文件的澄清或修改内容，均为招标文件的组成部分，对招标人和投标人起约束作用。</w:t>
      </w:r>
    </w:p>
    <w:p>
      <w:pPr>
        <w:pStyle w:val="15"/>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实质上没有响应招标文件的要求，招标人将有权予以拒绝，并且不允许投标人通过修改或撤消其不符合要求的差异或保留使之成为具有响应性的投标文件。</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8．招标答疑</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8.1投标人若对招标文件中有疑问，可以书面形式提交或传真给招标人或招标代理人，提交或传真地点见投标须知前附表第13项要求。招标人或招标代理人将于投标须知前附表第13项指定的</w:t>
      </w:r>
      <w:r>
        <w:rPr>
          <w:rFonts w:hint="eastAsia" w:ascii="宋体" w:hAnsi="宋体" w:cs="宋体"/>
          <w:color w:val="auto"/>
          <w:sz w:val="24"/>
          <w:szCs w:val="24"/>
          <w:highlight w:val="none"/>
          <w:lang w:val="en-US" w:eastAsia="zh-CN"/>
        </w:rPr>
        <w:t>方式</w:t>
      </w:r>
      <w:r>
        <w:rPr>
          <w:rFonts w:hint="eastAsia" w:ascii="宋体" w:hAnsi="宋体" w:cs="宋体"/>
          <w:color w:val="auto"/>
          <w:sz w:val="24"/>
          <w:szCs w:val="24"/>
          <w:highlight w:val="none"/>
        </w:rPr>
        <w:t>对疑问进行答复。</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8.2招标答疑</w:t>
      </w:r>
      <w:r>
        <w:rPr>
          <w:rFonts w:hint="eastAsia" w:ascii="宋体" w:hAnsi="宋体" w:cs="宋体"/>
          <w:color w:val="auto"/>
          <w:sz w:val="24"/>
          <w:szCs w:val="24"/>
          <w:highlight w:val="none"/>
          <w:lang w:val="en-US" w:eastAsia="zh-CN"/>
        </w:rPr>
        <w:t>纪要</w:t>
      </w:r>
      <w:r>
        <w:rPr>
          <w:rFonts w:hint="eastAsia" w:ascii="宋体" w:hAnsi="宋体" w:cs="宋体"/>
          <w:color w:val="auto"/>
          <w:sz w:val="24"/>
          <w:szCs w:val="24"/>
          <w:highlight w:val="none"/>
        </w:rPr>
        <w:t>将在提交投标文件截止时间3日前以书面形式答复给所有投标人，投标人收到答疑纪要后24小时内以书面形式确认收到。如投标人届时无书面确认，招标人将在合适的第三方见证下再次发出招标答疑纪要，并以发出时间作为送达时间。</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8.3答疑纪要为招标文件的一部分。</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8.4若招标答疑纪要与招标文件有矛盾，以答疑纪要最后发出的书面文件为准。</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9.招标文件的澄清与修改</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9.1招标文件发出后,在提交投标文件截止时间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日前，招标人可对招标文件进行必要的澄清或修改。</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9.2招标文件的修改将以</w:t>
      </w:r>
      <w:r>
        <w:rPr>
          <w:rFonts w:hint="eastAsia" w:ascii="宋体" w:hAnsi="宋体" w:cs="宋体"/>
          <w:color w:val="auto"/>
          <w:sz w:val="24"/>
          <w:szCs w:val="24"/>
          <w:highlight w:val="none"/>
          <w:lang w:val="en-US" w:eastAsia="zh-CN"/>
        </w:rPr>
        <w:t>在招标人官网公示的方式</w:t>
      </w:r>
      <w:r>
        <w:rPr>
          <w:rFonts w:hint="eastAsia" w:ascii="宋体" w:hAnsi="宋体" w:cs="宋体"/>
          <w:color w:val="auto"/>
          <w:sz w:val="24"/>
          <w:szCs w:val="24"/>
          <w:highlight w:val="none"/>
        </w:rPr>
        <w:t>发送给所有投标人，投标人应于收到该修改文件后24小时内，以书面形式给予确认，招标文件的修改内容作为招标文件的组成部分，具有约束作用。</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9.3招标文件的澄清、修改、补充等内容均以书面形式明确的内容为准。当招标文件的澄清、修改、补充等在同一内容的表述不一致时，以最后发出的书面文件为准。</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15"/>
        <w:widowControl/>
        <w:spacing w:beforeAutospacing="0" w:after="0" w:line="360" w:lineRule="auto"/>
        <w:ind w:firstLine="482" w:firstLineChars="200"/>
        <w:outlineLvl w:val="2"/>
        <w:rPr>
          <w:rFonts w:ascii="宋体" w:hAnsi="宋体" w:cs="宋体"/>
          <w:b/>
          <w:color w:val="auto"/>
          <w:sz w:val="24"/>
          <w:szCs w:val="24"/>
          <w:highlight w:val="none"/>
        </w:rPr>
      </w:pPr>
      <w:r>
        <w:rPr>
          <w:rFonts w:hint="eastAsia" w:ascii="宋体" w:hAnsi="宋体" w:cs="宋体"/>
          <w:b/>
          <w:color w:val="auto"/>
          <w:sz w:val="24"/>
          <w:szCs w:val="24"/>
          <w:highlight w:val="none"/>
        </w:rPr>
        <w:t>（三）投标文件的编制</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10．投标文件的语言及度量衡单位</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 投标文件和与投标有关的所有文件均应使用</w:t>
      </w:r>
      <w:r>
        <w:rPr>
          <w:rFonts w:hint="eastAsia" w:ascii="宋体" w:hAnsi="宋体" w:cs="宋体"/>
          <w:color w:val="auto"/>
          <w:sz w:val="24"/>
          <w:szCs w:val="24"/>
          <w:highlight w:val="none"/>
          <w:u w:val="single"/>
        </w:rPr>
        <w:t>中文</w:t>
      </w:r>
      <w:r>
        <w:rPr>
          <w:rFonts w:hint="eastAsia" w:ascii="宋体" w:hAnsi="宋体" w:cs="宋体"/>
          <w:color w:val="auto"/>
          <w:sz w:val="24"/>
          <w:szCs w:val="24"/>
          <w:highlight w:val="none"/>
        </w:rPr>
        <w:t>。</w:t>
      </w:r>
    </w:p>
    <w:p>
      <w:pPr>
        <w:pStyle w:val="15"/>
        <w:keepNext w:val="0"/>
        <w:keepLines w:val="0"/>
        <w:pageBreakBefore w:val="0"/>
        <w:widowControl/>
        <w:kinsoku/>
        <w:wordWrap/>
        <w:overflowPunct/>
        <w:topLinePunct w:val="0"/>
        <w:autoSpaceDE/>
        <w:autoSpaceDN/>
        <w:bidi w:val="0"/>
        <w:adjustRightInd/>
        <w:snapToGrid/>
        <w:spacing w:beforeAutospacing="0" w:after="0"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10.2 除工程规范另有规定外，投标文件使用的度量衡单位，均采用中华人民共和国法定计量单位。</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11．投标文件的组成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11.1投标文件目录。</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11.2★投标函（按招标文件第3章格式填写）</w:t>
      </w:r>
      <w:r>
        <w:rPr>
          <w:rFonts w:hint="eastAsia" w:ascii="宋体" w:hAnsi="宋体" w:eastAsia="宋体" w:cs="宋体"/>
          <w:color w:val="auto"/>
          <w:sz w:val="24"/>
          <w:highlight w:val="none"/>
          <w:lang w:eastAsia="zh-CN"/>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11.3★服务承诺书（按招标文件第3章格式填写）。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11.4企业法定代表人证明书及法定代表人授权委托证明书（按招标文件第3章格式填写，或使用从工商管理部门购买的版本填写）。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11.5★公司法人营业执照复印件</w:t>
      </w:r>
      <w:r>
        <w:rPr>
          <w:rFonts w:hint="eastAsia" w:ascii="宋体" w:hAnsi="宋体" w:eastAsia="宋体" w:cs="宋体"/>
          <w:color w:val="auto"/>
          <w:sz w:val="24"/>
          <w:highlight w:val="none"/>
          <w:lang w:val="en-US" w:eastAsia="zh-CN"/>
        </w:rPr>
        <w:t>及造价咨询资质证书复印件（满足</w:t>
      </w:r>
      <w:r>
        <w:rPr>
          <w:rFonts w:hint="eastAsia" w:ascii="宋体" w:hAnsi="宋体" w:eastAsia="宋体" w:cs="宋体"/>
          <w:color w:val="auto"/>
          <w:sz w:val="24"/>
          <w:highlight w:val="none"/>
        </w:rPr>
        <w:t>投标须知前附表第9项</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11.6★项目负责人职称证</w:t>
      </w:r>
      <w:r>
        <w:rPr>
          <w:rFonts w:hint="eastAsia" w:ascii="宋体" w:hAnsi="宋体" w:eastAsia="宋体" w:cs="宋体"/>
          <w:color w:val="auto"/>
          <w:sz w:val="24"/>
          <w:highlight w:val="none"/>
          <w:lang w:val="en-US" w:eastAsia="zh-CN"/>
        </w:rPr>
        <w:t>、资格证、注册证书</w:t>
      </w:r>
      <w:r>
        <w:rPr>
          <w:rFonts w:hint="eastAsia" w:ascii="宋体" w:hAnsi="宋体" w:eastAsia="宋体" w:cs="宋体"/>
          <w:color w:val="auto"/>
          <w:sz w:val="24"/>
          <w:highlight w:val="none"/>
        </w:rPr>
        <w:t>复印件</w:t>
      </w:r>
      <w:r>
        <w:rPr>
          <w:rFonts w:hint="eastAsia" w:ascii="宋体" w:hAnsi="宋体" w:eastAsia="宋体" w:cs="宋体"/>
          <w:color w:val="auto"/>
          <w:sz w:val="24"/>
          <w:highlight w:val="none"/>
          <w:lang w:val="en-US" w:eastAsia="zh-CN"/>
        </w:rPr>
        <w:t>（满足</w:t>
      </w:r>
      <w:r>
        <w:rPr>
          <w:rFonts w:hint="eastAsia" w:ascii="宋体" w:hAnsi="宋体" w:eastAsia="宋体" w:cs="宋体"/>
          <w:color w:val="auto"/>
          <w:sz w:val="24"/>
          <w:highlight w:val="none"/>
        </w:rPr>
        <w:t>投标须知前附表第</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11.7★现场</w:t>
      </w:r>
      <w:r>
        <w:rPr>
          <w:rFonts w:hint="eastAsia" w:ascii="宋体" w:hAnsi="宋体" w:eastAsia="宋体" w:cs="宋体"/>
          <w:color w:val="auto"/>
          <w:sz w:val="24"/>
          <w:highlight w:val="none"/>
          <w:lang w:val="en-US" w:eastAsia="zh-CN"/>
        </w:rPr>
        <w:t>造价</w:t>
      </w:r>
      <w:r>
        <w:rPr>
          <w:rFonts w:hint="eastAsia" w:ascii="宋体" w:hAnsi="宋体" w:eastAsia="宋体" w:cs="宋体"/>
          <w:color w:val="auto"/>
          <w:sz w:val="24"/>
          <w:highlight w:val="none"/>
        </w:rPr>
        <w:t>人员到位承诺书（按招标文件第3章格式填写）</w:t>
      </w:r>
      <w:r>
        <w:rPr>
          <w:rFonts w:hint="eastAsia" w:ascii="宋体" w:hAnsi="宋体" w:eastAsia="宋体" w:cs="宋体"/>
          <w:color w:val="auto"/>
          <w:sz w:val="24"/>
          <w:highlight w:val="none"/>
          <w:lang w:eastAsia="zh-CN"/>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11.8投标人综合概况（按招标文件第3章格式填写）</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11.9企业自201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年1月至今企业承担的项目</w:t>
      </w:r>
      <w:r>
        <w:rPr>
          <w:rFonts w:hint="eastAsia" w:ascii="宋体" w:hAnsi="宋体" w:eastAsia="宋体" w:cs="宋体"/>
          <w:color w:val="auto"/>
          <w:sz w:val="24"/>
          <w:highlight w:val="none"/>
          <w:lang w:val="en-US" w:eastAsia="zh-CN"/>
        </w:rPr>
        <w:t>业绩</w:t>
      </w:r>
      <w:r>
        <w:rPr>
          <w:rFonts w:hint="eastAsia" w:ascii="宋体" w:hAnsi="宋体" w:eastAsia="宋体" w:cs="宋体"/>
          <w:color w:val="auto"/>
          <w:sz w:val="24"/>
          <w:highlight w:val="none"/>
        </w:rPr>
        <w:t>（按招标文件第3章格式填写）</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11.10参与本项目的人员一览表及证明文件（按招标文件第3章格式填写）</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11.11项目负责人相关经验及业绩（按招标文件第3章格式填写）</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报价表</w:t>
      </w:r>
      <w:r>
        <w:rPr>
          <w:rFonts w:hint="eastAsia" w:ascii="宋体" w:hAnsi="宋体" w:eastAsia="宋体" w:cs="宋体"/>
          <w:color w:val="auto"/>
          <w:sz w:val="24"/>
          <w:highlight w:val="none"/>
        </w:rPr>
        <w:t>（按招标文件第3章格式填写）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分公司报价的，提供具有法人资格的总公司的营业执照副本复印件及授权书，授权书须加盖总公司公章</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实质性响应条款一览表</w:t>
      </w:r>
      <w:r>
        <w:rPr>
          <w:rFonts w:hint="eastAsia" w:ascii="宋体" w:hAnsi="宋体" w:eastAsia="宋体" w:cs="宋体"/>
          <w:color w:val="auto"/>
          <w:sz w:val="24"/>
          <w:highlight w:val="none"/>
        </w:rPr>
        <w:t>（按招标文件第3章格式填写）</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其它需要提交的资料。</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特别提醒：</w:t>
      </w:r>
      <w:r>
        <w:rPr>
          <w:rFonts w:hint="eastAsia" w:ascii="宋体" w:hAnsi="宋体" w:eastAsia="宋体" w:cs="宋体"/>
          <w:color w:val="auto"/>
          <w:sz w:val="24"/>
          <w:highlight w:val="none"/>
        </w:rPr>
        <w:t>带★号为重要文件，投标人必须有效、完整地提供，所有证书类文件必须在有效期内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否则将按无效处理。</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12．投标文件格式</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 投标文件包括本须知第11条中规定的内容，投标人提交的投标文件应当使用招标文件所提供的投标格式文件的格式（表格可以按同样格式扩展）。</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13．投标报价</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本工程的投标报价采用投标须知前附表第14项所规定的方式。</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投标人的投标报价，应是完成本须知第2.3款和合同条款所列招标项目服务范围的全部内容为计算投标报价基础。</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13.3投标报价方式：投标单位自行报价（投标报价不能超过招标控制价）。（小数点后保留二位小数，第三位小数四舍五入）</w:t>
      </w:r>
    </w:p>
    <w:p>
      <w:pPr>
        <w:pStyle w:val="15"/>
        <w:widowControl/>
        <w:spacing w:beforeAutospacing="0"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13.4本项目依据广东省建设工程造价咨询服务收费标准：粤价函【2011】</w:t>
      </w:r>
      <w:r>
        <w:rPr>
          <w:rFonts w:hint="eastAsia" w:ascii="宋体" w:hAnsi="宋体" w:cs="宋体"/>
          <w:color w:val="auto"/>
          <w:sz w:val="24"/>
          <w:szCs w:val="24"/>
          <w:highlight w:val="none"/>
          <w:lang w:eastAsia="zh-CN"/>
        </w:rPr>
        <w:t>742</w:t>
      </w:r>
      <w:r>
        <w:rPr>
          <w:rFonts w:hint="eastAsia" w:ascii="宋体" w:hAnsi="宋体" w:cs="宋体"/>
          <w:color w:val="auto"/>
          <w:sz w:val="24"/>
          <w:szCs w:val="24"/>
          <w:highlight w:val="none"/>
        </w:rPr>
        <w:t>号文</w:t>
      </w:r>
      <w:r>
        <w:rPr>
          <w:rFonts w:hint="eastAsia" w:ascii="宋体" w:hAnsi="宋体" w:cs="宋体"/>
          <w:color w:val="auto"/>
          <w:sz w:val="24"/>
          <w:szCs w:val="24"/>
          <w:highlight w:val="none"/>
          <w:lang w:val="en-US" w:eastAsia="zh-CN"/>
        </w:rPr>
        <w:t>计算服务费</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本次</w:t>
      </w:r>
      <w:r>
        <w:rPr>
          <w:rFonts w:hint="eastAsia" w:ascii="宋体" w:hAnsi="宋体" w:cs="宋体"/>
          <w:color w:val="auto"/>
          <w:sz w:val="24"/>
          <w:szCs w:val="24"/>
          <w:highlight w:val="none"/>
        </w:rPr>
        <w:t>招标控制价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下浮率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&lt;</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下浮率≤</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0%。</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14．投标货币</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 本工程投标报价采用的币种为</w:t>
      </w:r>
      <w:r>
        <w:rPr>
          <w:rFonts w:hint="eastAsia" w:ascii="宋体" w:hAnsi="宋体" w:cs="宋体"/>
          <w:b/>
          <w:color w:val="auto"/>
          <w:sz w:val="24"/>
          <w:szCs w:val="24"/>
          <w:highlight w:val="none"/>
        </w:rPr>
        <w:t>人民币</w:t>
      </w:r>
      <w:r>
        <w:rPr>
          <w:rFonts w:hint="eastAsia" w:ascii="宋体" w:hAnsi="宋体" w:cs="宋体"/>
          <w:color w:val="auto"/>
          <w:sz w:val="24"/>
          <w:szCs w:val="24"/>
          <w:highlight w:val="none"/>
        </w:rPr>
        <w:t>。</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15．投标有效期</w:t>
      </w:r>
    </w:p>
    <w:p>
      <w:pPr>
        <w:pStyle w:val="15"/>
        <w:keepNext w:val="0"/>
        <w:keepLines w:val="0"/>
        <w:pageBreakBefore w:val="0"/>
        <w:widowControl/>
        <w:kinsoku/>
        <w:wordWrap/>
        <w:overflowPunct/>
        <w:topLinePunct w:val="0"/>
        <w:autoSpaceDE/>
        <w:autoSpaceDN/>
        <w:bidi w:val="0"/>
        <w:adjustRightInd/>
        <w:snapToGrid/>
        <w:spacing w:beforeAutospacing="0"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15.1 投标有效期见投标须知前附表第15项所规定的期限，在此期限内，凡符合本招标文件要求的投标文件均保持有效。</w:t>
      </w:r>
    </w:p>
    <w:p>
      <w:pPr>
        <w:pStyle w:val="15"/>
        <w:keepNext w:val="0"/>
        <w:keepLines w:val="0"/>
        <w:pageBreakBefore w:val="0"/>
        <w:widowControl/>
        <w:kinsoku/>
        <w:wordWrap/>
        <w:overflowPunct/>
        <w:topLinePunct w:val="0"/>
        <w:autoSpaceDE/>
        <w:autoSpaceDN/>
        <w:bidi w:val="0"/>
        <w:adjustRightInd/>
        <w:snapToGrid/>
        <w:spacing w:beforeAutospacing="0" w:after="0"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16．投标保证金</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本项目不要求递交投标保证金。</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17．投标文件的份数和签署</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17.1 投标人应按投标须知前附表第17项规定的份数提交投标文件。</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17.2 投标文件的正本和副本均需打印或使用不褪色的蓝、黑墨水笔书写，副本可以是正本的复印件，字迹应清晰易于辨认，并应在投标文件封面的右上角清楚地注明“正本”或“副本”。正本和副本如有不一致之处，以正本为准。</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17.3 投标文件封面必须有法定代表人或其委托代理人签字（或盖章）并加盖投标单位公章。由委托代理人签字（或盖章）的投标文件中须同时提交法定代表人签署授权委托书。投标文件中递交的法定代表人证明书、授权委托证明书格式、签字、盖章及内容均应符合要求，否则证明书无效。</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17.4 除投标人对错误处须修改外，全套投标文件应无涂改或行间插字和增删。如有修改，修改处应盖校对章或法定代表人签字（或盖私章）或委托代理人签字（或盖私章），并加盖单位公章。</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17.5投标文件的规格：统一A4印刷本，纸质封面，可双面或单面打印。封面标明招标项目名称、编号、投标人、投标时间，右上角打上正本（或副本）。使用书式装订，装订时书订不外露；不能使用塑料面或塑料胶条装订。</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17.6投标文件的页码：必须按每本逐页从1开始，按照流水号编号（包括附图、证件、图片等），页号编在右下角，若双面打印的页号编在左下角（空白页面不编号）。</w:t>
      </w:r>
    </w:p>
    <w:p>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（四）投标文件的提交</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18．投标文件的包封、密封和标记</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18.1 投标文件的包封要求：正本（1本）、副本（4本）一起包封；</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18.2投标文件的密封要求：投标人应确保密闭封装、并加盖骑缝公章。</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18.3投标文件的标记要求：每个包封上应具有以下标记：</w:t>
      </w:r>
    </w:p>
    <w:p>
      <w:pPr>
        <w:snapToGrid w:val="0"/>
        <w:spacing w:line="360" w:lineRule="auto"/>
        <w:ind w:left="1" w:hanging="1"/>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18.3.1招标人的名称和地址：</w:t>
      </w:r>
      <w:r>
        <w:rPr>
          <w:rFonts w:hint="eastAsia" w:ascii="宋体" w:hAnsi="宋体" w:eastAsia="宋体" w:cs="宋体"/>
          <w:color w:val="auto"/>
          <w:sz w:val="24"/>
          <w:highlight w:val="none"/>
          <w:u w:val="single"/>
        </w:rPr>
        <w:t xml:space="preserve">                     </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18.3.2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前不得开封（填入前附表第19项所述日期及时间）</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18.4在包封上应写明投标人的名称与地址，以便投标被宣布迟到时，能原封退回。</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18.5如果包封上没有按上述规定密封并加写标志，招标人将不承担投标文件错放或提前开封的责任，由此造成的提前开封的投标文件，招标人予以拒绝，并退还给投标人。</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19．投标</w:t>
      </w:r>
      <w:r>
        <w:rPr>
          <w:rFonts w:hint="eastAsia" w:ascii="宋体" w:hAnsi="宋体" w:cs="宋体"/>
          <w:b/>
          <w:color w:val="auto"/>
          <w:sz w:val="24"/>
          <w:szCs w:val="24"/>
          <w:highlight w:val="none"/>
        </w:rPr>
        <w:t>文件</w:t>
      </w:r>
      <w:r>
        <w:rPr>
          <w:rFonts w:hint="eastAsia" w:ascii="宋体" w:hAnsi="宋体" w:cs="宋体"/>
          <w:b/>
          <w:color w:val="auto"/>
          <w:sz w:val="24"/>
          <w:highlight w:val="none"/>
        </w:rPr>
        <w:t>的提交</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19.1 投标人应按投标须知前附表第1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项所规定的地点，于截止时间前提交投标文件，并办理好送达签认手续。</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19.2投标文件提交人在提交投标文件时应出示法定代表人证明书（原件）、法定代表人授权委托证明书（原件）及本人身份证（原件）提交投标文件。</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20．投标文件提交的截止时间</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20.1投标人应按前附表第18项所述的地点、日期和时间将投标文件提交给招标人。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20.2招标人可按本须知第9条规定以修改补充通知的方式，酌情延长提交投标文件的截止时间。在此情况下，投标人的所有权利和义务以及投标人受制约的截止时间，均以延长后新的投标截止时间为准。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20.3 到投标截止时间止，招标人收到的投标文件少于3家的，招标人将依法重新选择邀请单位重新组织招标，三次招标仍少于三家投标单位则由</w:t>
      </w:r>
      <w:r>
        <w:rPr>
          <w:rFonts w:hint="eastAsia" w:ascii="宋体" w:hAnsi="宋体" w:eastAsia="宋体" w:cs="宋体"/>
          <w:color w:val="auto"/>
          <w:sz w:val="24"/>
          <w:highlight w:val="none"/>
          <w:lang w:val="en-US" w:eastAsia="zh-CN"/>
        </w:rPr>
        <w:t>招</w:t>
      </w:r>
      <w:r>
        <w:rPr>
          <w:rFonts w:hint="eastAsia" w:ascii="宋体" w:hAnsi="宋体" w:eastAsia="宋体" w:cs="宋体"/>
          <w:color w:val="auto"/>
          <w:sz w:val="24"/>
          <w:highlight w:val="none"/>
        </w:rPr>
        <w:t>标人自行指定服务单位承接该项目。</w:t>
      </w:r>
    </w:p>
    <w:p>
      <w:pPr>
        <w:pStyle w:val="15"/>
        <w:widowControl/>
        <w:spacing w:beforeAutospacing="0" w:after="0" w:line="360" w:lineRule="auto"/>
        <w:ind w:firstLine="482" w:firstLineChars="200"/>
        <w:outlineLvl w:val="3"/>
        <w:rPr>
          <w:rFonts w:ascii="宋体" w:hAnsi="宋体" w:cs="宋体"/>
          <w:color w:val="auto"/>
          <w:sz w:val="24"/>
          <w:highlight w:val="none"/>
        </w:rPr>
      </w:pPr>
      <w:r>
        <w:rPr>
          <w:rFonts w:hint="eastAsia" w:ascii="宋体" w:hAnsi="宋体" w:cs="宋体"/>
          <w:b/>
          <w:color w:val="auto"/>
          <w:sz w:val="24"/>
          <w:highlight w:val="none"/>
        </w:rPr>
        <w:t>21．迟交的投标文件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21.1 招标人在本须知第19条规定的投标截止时间以后收到的投标文件，将被拒绝并退回给投标人。</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22．投标文件的补充、修改与撤回</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 投标人在提交投标文件以后，在规定的投标截止时间之前，可以以书面形式补充修改或撤回已提交的投标文件，并以书面形式通知招标人。补充、修改的内容为投标文件的组成部分。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 投标人对投标文件的补充、修改，应按本须知第18条有关规定密封、标记和提交，并在投标文件密封袋上清楚标明“补充、修改”或“撤回”字样。</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 在投标截止时间之后，投标人不得补充、修改投标文件。</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22.4根据本须知第16条的规定，在投标截止期与招标人在招标文件中规定的有效期终止日之间的这段时期内，投标人不能撤回投标文件，否则其投标保证金将被没收。</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（五）开标</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24．开标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24.1 招标人按投标须知前附表第19项所规定的时间和地点公开开标，并邀请所有投标人参加。请各投标人的法定代表人或其有效授权委托代理人届时务必带本人身份证出席开标会，否则作弃权处理。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24.2 按规定提交合格的撤回通知的投标文件不予开封，并退回给投标人</w:t>
      </w:r>
      <w:r>
        <w:rPr>
          <w:rFonts w:hint="eastAsia" w:ascii="宋体" w:hAnsi="宋体" w:eastAsia="宋体" w:cs="宋体"/>
          <w:color w:val="auto"/>
          <w:sz w:val="24"/>
          <w:highlight w:val="none"/>
          <w:lang w:eastAsia="zh-CN"/>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24.3 招标人在招标文件要求提交投标文件的截止时间前收到的投标文件，开标时都当众予以拆封、宣读。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24.4开标程序：</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1）开标由招标人主持；</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2）宣读投标人名称，由投标人或其推选的代表检查投标文件的密封情况，投标人出示本人身份证原件（身份证件应与投标文件中的法定代表人或其委托人一致，无身份证原件的作弃权处理）；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3）经确认无误后，由有关工作人员公布下列内容：a.法定代表人证明及授权委托；b.标书密封情况；c.投标报价；d.服务期；e. 质量目标；f.项目负责人等主要内容。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24.5 招标人对开标过程进行记录，并存档备查，投标人在开标记录上签字，以确认对所宣读的内容没有任何异议。</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24.6 投标文件有下列情形之一的，招标人不予受理：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24.6.1逾期送达的或者未送达指定地点的；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24.6.2未按招标文件要求密封的。</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24.7招标人将上述符合要求的投标文件，送至评标委员会进行评审的。</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（六） 评标</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25．评标过程的保密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25.1 开标后，直至授予中标人合同为止，凡属于对投标文件的审查、澄清、评价和比较有关的资料以及中标候选人的推荐情况，与评标有关的其他任何情况均严格保密。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25.2 在投标文件的评审和比较、中标候选人推荐以及授予合同的过程中，投标人向招标人和评标委员会施加影响的任何行为，都将会导致其投标被拒绝。</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25.3 中标人确定后，招标人不对未中标人就评标过程以及未能中标原因作出任何解释。未中标人不得向评标委员会组成人员或其他有关人员索问评标过程的情况和材料。</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26．投标文件的澄清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26.1 为有助于投标文件的审查、评价和比较，评标委员会可以以书面形式要求投标人对投标文件含义不明确的内容作必要的澄清或说明，投标人应书面形式进行澄清或说明，但不得超出投标文件的范围或改变投标文件的实质性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26.2 如果投标文件实质上不响应招标文件的各项要求，评标委员会将予以拒绝，并且不允许投标人通过修改或撤销其不符合要求的差异或保留，使之成为具有响应性的投标。</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27．投标文件的评审、比较和否决</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27.1 评标委员会将按照本须知第26条规定，仅对在实质上响应招标文件要求的投标文件进行评审和比较。</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27.2 在评审过程中，评标委员会可以以书面形式要求投标人就投标文件中含义不明确的内容进行书面说明并提供相关材料。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评标委员会依据投标须知前附表第20项规定的评标标准和方法，详见本招标文件《评标办法》，对投标文件进行评审和比较，向招标人提出书面评标报告，并推荐经评审</w:t>
      </w:r>
      <w:r>
        <w:rPr>
          <w:rFonts w:hint="eastAsia" w:ascii="宋体" w:hAnsi="宋体" w:eastAsia="宋体" w:cs="宋体"/>
          <w:color w:val="auto"/>
          <w:sz w:val="24"/>
          <w:highlight w:val="none"/>
          <w:lang w:val="en-US" w:eastAsia="zh-CN"/>
        </w:rPr>
        <w:t>综合评分</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高</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lang w:val="en-US" w:eastAsia="zh-CN"/>
        </w:rPr>
        <w:t>低</w:t>
      </w:r>
      <w:r>
        <w:rPr>
          <w:rFonts w:hint="eastAsia" w:ascii="宋体" w:hAnsi="宋体" w:eastAsia="宋体" w:cs="宋体"/>
          <w:color w:val="auto"/>
          <w:sz w:val="24"/>
          <w:highlight w:val="none"/>
        </w:rPr>
        <w:t>排序的前一～三名为第一、第二和第三中标候选人。招标人根据评标委员会提出的书面评标报告和推荐的中标候选人中，按排序依法确定中标人。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27.4 </w:t>
      </w:r>
      <w:r>
        <w:rPr>
          <w:rFonts w:hint="eastAsia" w:ascii="宋体" w:hAnsi="宋体" w:eastAsia="宋体" w:cs="宋体"/>
          <w:color w:val="auto"/>
          <w:sz w:val="24"/>
          <w:highlight w:val="none"/>
        </w:rPr>
        <w:t>投标人与其他投标人加密打包投标文件电脑特征码一致的（以广州公共资源交易中心评标系统的检索信息为准）将被否决。</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28．评标委员会依据有关法律、法规和招标文件的规定对投标文件进行评审，经评定的有效投标人不足三名时，招标人应当依法重新组织招标。</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（七）合同的授予</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29．合同授予标准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29.1 本招标(项目)的</w:t>
      </w:r>
      <w:r>
        <w:rPr>
          <w:rFonts w:hint="eastAsia" w:ascii="宋体" w:hAnsi="宋体" w:eastAsia="宋体" w:cs="宋体"/>
          <w:color w:val="auto"/>
          <w:sz w:val="24"/>
          <w:highlight w:val="none"/>
          <w:lang w:val="en-US" w:eastAsia="zh-CN"/>
        </w:rPr>
        <w:t>造价</w:t>
      </w:r>
      <w:r>
        <w:rPr>
          <w:rFonts w:hint="eastAsia" w:ascii="宋体" w:hAnsi="宋体" w:eastAsia="宋体" w:cs="宋体"/>
          <w:color w:val="auto"/>
          <w:sz w:val="24"/>
          <w:highlight w:val="none"/>
        </w:rPr>
        <w:t>咨询合同将授予按本须知第27.3款所确定的中标人。</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30．招标人保留接受或拒绝任何某一投标或所有投标的权力</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30.1 招标人不承诺将合同授予报价最低的投标人。招标人在发出中标通知书前，有权依据评标委员会的评标报告拒绝不合格的投标。</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30.2招标人保留接受或拒绝任何某一投标或所有投标的权力。尽管有本须知第27.3款的规定，但是招标人在授予合同前任何时候有权接受或拒绝任何投标书，宣布招标程序无效并拒绝所有投标书，而且对由此引起的对投标人的影响不承担任何责任，也无须将这样做的理由通知受影响的投标人。</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31．中标通知书</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31.1中标通知书经招标人及招标代理机构确认，并由招标人颁发。</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31.2中标人必须在收到中标通知书后24小时之内以书面形式回复招标人，确认收到。</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32．合同协议书的签订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32.1 招标人与中标人将于中标通知书发出之日起30日内，按照招标文件和中标人的投标文件商定合同和签订合同，招标人和中标人不得再行订立背离合同实质性内容的其他协议。</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32.2中标人放弃中标资格的，无正当理由不按投标须知第32.1款的规定不与招标人签订合同的，在签订合同时向招标人提出附加条件或者更改合同实质性内容的，招标人可取消其中标资格，并没收其投标保证金；给招标人的损失超过投标保证金数额的，中标人应当对超过部分予以赔偿；没有提交投标保证金的，应当对招标人的损失承担赔偿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32.3中标人在投标过程使用的投标人名称、银行名称和账号至完成竣工结算不得变更，否则，招标人有权停止工程款项的拨付及至解除合同，由此造成的一切责任由中标人承担。</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33．合同生效</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sz w:val="24"/>
          <w:highlight w:val="none"/>
        </w:rPr>
        <w:t>33.1在合同双方全权代表在合同协议书上签字，并分别加盖双方单位的公章，合同正式生效。</w:t>
      </w:r>
    </w:p>
    <w:p>
      <w:pPr>
        <w:rPr>
          <w:rFonts w:ascii="黑体" w:hAnsi="宋体" w:cs="黑体"/>
          <w:b/>
          <w:color w:val="auto"/>
          <w:kern w:val="44"/>
          <w:sz w:val="44"/>
          <w:szCs w:val="44"/>
          <w:highlight w:val="none"/>
        </w:rPr>
      </w:pPr>
      <w:bookmarkStart w:id="5" w:name="_Toc374128473"/>
      <w:bookmarkEnd w:id="5"/>
      <w:r>
        <w:rPr>
          <w:rFonts w:hint="eastAsia" w:ascii="黑体" w:hAnsi="宋体" w:cs="黑体"/>
          <w:b/>
          <w:color w:val="auto"/>
          <w:kern w:val="44"/>
          <w:sz w:val="44"/>
          <w:szCs w:val="44"/>
          <w:highlight w:val="none"/>
        </w:rPr>
        <w:br w:type="page"/>
      </w:r>
    </w:p>
    <w:p>
      <w:pPr>
        <w:keepNext/>
        <w:keepLines/>
        <w:widowControl/>
        <w:adjustRightInd w:val="0"/>
        <w:spacing w:line="360" w:lineRule="auto"/>
        <w:jc w:val="center"/>
        <w:rPr>
          <w:rFonts w:ascii="黑体" w:hAnsi="宋体" w:cs="黑体"/>
          <w:b/>
          <w:color w:val="auto"/>
          <w:kern w:val="44"/>
          <w:sz w:val="44"/>
          <w:szCs w:val="44"/>
          <w:highlight w:val="none"/>
        </w:rPr>
      </w:pPr>
    </w:p>
    <w:p>
      <w:pPr>
        <w:keepNext/>
        <w:keepLines/>
        <w:widowControl/>
        <w:adjustRightInd w:val="0"/>
        <w:spacing w:line="360" w:lineRule="auto"/>
        <w:jc w:val="center"/>
        <w:rPr>
          <w:rFonts w:ascii="黑体" w:hAnsi="宋体" w:cs="黑体"/>
          <w:b/>
          <w:color w:val="auto"/>
          <w:kern w:val="44"/>
          <w:sz w:val="44"/>
          <w:szCs w:val="44"/>
          <w:highlight w:val="none"/>
        </w:rPr>
      </w:pPr>
    </w:p>
    <w:p>
      <w:pPr>
        <w:keepNext/>
        <w:keepLines/>
        <w:widowControl/>
        <w:adjustRightInd w:val="0"/>
        <w:spacing w:line="360" w:lineRule="auto"/>
        <w:jc w:val="center"/>
        <w:rPr>
          <w:rFonts w:ascii="黑体" w:hAnsi="宋体" w:cs="黑体"/>
          <w:b/>
          <w:color w:val="auto"/>
          <w:kern w:val="44"/>
          <w:sz w:val="44"/>
          <w:szCs w:val="44"/>
          <w:highlight w:val="none"/>
        </w:rPr>
      </w:pPr>
    </w:p>
    <w:p>
      <w:pPr>
        <w:keepNext/>
        <w:keepLines/>
        <w:widowControl/>
        <w:adjustRightInd w:val="0"/>
        <w:spacing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bookmarkStart w:id="6" w:name="_Toc1632"/>
      <w:r>
        <w:rPr>
          <w:rFonts w:hint="eastAsia" w:ascii="黑体" w:hAnsi="宋体" w:cs="黑体"/>
          <w:b/>
          <w:color w:val="auto"/>
          <w:kern w:val="44"/>
          <w:sz w:val="44"/>
          <w:szCs w:val="44"/>
          <w:highlight w:val="none"/>
        </w:rPr>
        <w:t>第2章 项目需求书</w:t>
      </w:r>
      <w:bookmarkEnd w:id="6"/>
    </w:p>
    <w:p>
      <w:pPr>
        <w:spacing w:line="500" w:lineRule="exact"/>
        <w:ind w:firstLine="301" w:firstLineChars="100"/>
        <w:rPr>
          <w:rFonts w:ascii="宋体" w:hAnsi="宋体" w:eastAsia="宋体" w:cs="宋体"/>
          <w:b/>
          <w:color w:val="auto"/>
          <w:sz w:val="30"/>
          <w:szCs w:val="30"/>
          <w:highlight w:val="none"/>
        </w:rPr>
      </w:pPr>
    </w:p>
    <w:p>
      <w:pP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2" w:firstLineChars="200"/>
        <w:textAlignment w:val="auto"/>
        <w:outlineLvl w:val="1"/>
        <w:rPr>
          <w:rFonts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highlight w:val="none"/>
          <w:u w:val="single"/>
        </w:rPr>
      </w:pPr>
      <w:r>
        <w:rPr>
          <w:rFonts w:hint="eastAsia" w:ascii="宋体" w:hAnsi="宋体" w:eastAsia="宋体" w:cs="宋体"/>
          <w:b/>
          <w:bCs/>
          <w:color w:val="auto"/>
          <w:sz w:val="24"/>
          <w:highlight w:val="none"/>
          <w:lang w:val="en-US" w:eastAsia="zh-CN"/>
        </w:rPr>
        <w:t>发包</w:t>
      </w:r>
      <w:r>
        <w:rPr>
          <w:rFonts w:hint="eastAsia" w:ascii="宋体" w:hAnsi="宋体" w:eastAsia="宋体" w:cs="宋体"/>
          <w:b/>
          <w:bCs/>
          <w:color w:val="auto"/>
          <w:sz w:val="24"/>
          <w:highlight w:val="none"/>
        </w:rPr>
        <w:t>单位：</w:t>
      </w:r>
      <w:r>
        <w:rPr>
          <w:rFonts w:hint="eastAsia" w:ascii="宋体" w:hAnsi="宋体" w:eastAsia="宋体" w:cs="宋体"/>
          <w:color w:val="auto"/>
          <w:sz w:val="24"/>
          <w:highlight w:val="none"/>
          <w:u w:val="single"/>
        </w:rPr>
        <w:t>广州南沙</w:t>
      </w:r>
      <w:r>
        <w:rPr>
          <w:rFonts w:hint="eastAsia" w:ascii="宋体" w:hAnsi="宋体" w:eastAsia="宋体" w:cs="宋体"/>
          <w:color w:val="auto"/>
          <w:sz w:val="24"/>
          <w:highlight w:val="none"/>
          <w:u w:val="single"/>
          <w:lang w:val="en-US" w:eastAsia="zh-CN"/>
        </w:rPr>
        <w:t>资产经营集团</w:t>
      </w:r>
      <w:r>
        <w:rPr>
          <w:rFonts w:hint="eastAsia" w:ascii="宋体" w:hAnsi="宋体" w:eastAsia="宋体" w:cs="宋体"/>
          <w:color w:val="auto"/>
          <w:sz w:val="24"/>
          <w:highlight w:val="none"/>
          <w:u w:val="single"/>
        </w:rPr>
        <w:t>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项目</w:t>
      </w:r>
      <w:r>
        <w:rPr>
          <w:rFonts w:hint="eastAsia" w:ascii="宋体" w:hAnsi="宋体" w:eastAsia="宋体" w:cs="宋体"/>
          <w:b/>
          <w:bCs/>
          <w:color w:val="auto"/>
          <w:sz w:val="24"/>
          <w:highlight w:val="none"/>
        </w:rPr>
        <w:t>名称：</w:t>
      </w:r>
      <w:r>
        <w:rPr>
          <w:rFonts w:hint="eastAsia" w:ascii="宋体" w:hAnsi="宋体" w:eastAsia="宋体" w:cs="宋体"/>
          <w:color w:val="auto"/>
          <w:sz w:val="24"/>
          <w:highlight w:val="none"/>
          <w:lang w:val="en-US" w:eastAsia="zh-CN"/>
        </w:rPr>
        <w:t>广州南沙</w:t>
      </w:r>
      <w:r>
        <w:rPr>
          <w:rFonts w:hint="eastAsia" w:ascii="宋体" w:hAnsi="宋体" w:eastAsia="宋体" w:cs="宋体"/>
          <w:color w:val="auto"/>
          <w:sz w:val="24"/>
          <w:highlight w:val="none"/>
        </w:rPr>
        <w:t>资产经营集团</w:t>
      </w:r>
      <w:r>
        <w:rPr>
          <w:rFonts w:hint="eastAsia" w:ascii="宋体" w:hAnsi="宋体" w:eastAsia="宋体" w:cs="宋体"/>
          <w:color w:val="auto"/>
          <w:sz w:val="24"/>
          <w:highlight w:val="none"/>
          <w:lang w:val="en-US" w:eastAsia="zh-CN"/>
        </w:rPr>
        <w:t>有限公司工程</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年度造价咨询</w:t>
      </w:r>
      <w:r>
        <w:rPr>
          <w:rFonts w:hint="eastAsia" w:ascii="宋体" w:hAnsi="宋体" w:eastAsia="宋体" w:cs="宋体"/>
          <w:color w:val="auto"/>
          <w:sz w:val="24"/>
          <w:highlight w:val="none"/>
        </w:rPr>
        <w:t>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项目</w:t>
      </w:r>
      <w:r>
        <w:rPr>
          <w:rFonts w:hint="eastAsia" w:ascii="宋体" w:hAnsi="宋体" w:eastAsia="宋体" w:cs="宋体"/>
          <w:b/>
          <w:bCs/>
          <w:color w:val="auto"/>
          <w:sz w:val="24"/>
          <w:highlight w:val="none"/>
        </w:rPr>
        <w:t>地点：</w:t>
      </w:r>
      <w:r>
        <w:rPr>
          <w:rFonts w:hint="eastAsia" w:ascii="宋体" w:hAnsi="宋体" w:eastAsia="宋体" w:cs="宋体"/>
          <w:color w:val="auto"/>
          <w:sz w:val="24"/>
          <w:highlight w:val="none"/>
        </w:rPr>
        <w:t>广州市南沙区</w:t>
      </w:r>
    </w:p>
    <w:p>
      <w:pPr>
        <w:keepNext w:val="0"/>
        <w:keepLines w:val="0"/>
        <w:pageBreakBefore w:val="0"/>
        <w:widowControl w:val="0"/>
        <w:kinsoku/>
        <w:wordWrap/>
        <w:overflowPunct/>
        <w:topLinePunct w:val="0"/>
        <w:autoSpaceDE/>
        <w:autoSpaceDN/>
        <w:bidi w:val="0"/>
        <w:adjustRightInd/>
        <w:snapToGrid/>
        <w:spacing w:line="360" w:lineRule="auto"/>
        <w:ind w:left="1205" w:leftChars="0" w:hanging="1205" w:hangingChars="5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项目内容</w:t>
      </w:r>
      <w:r>
        <w:rPr>
          <w:rFonts w:hint="eastAsia" w:ascii="宋体" w:hAnsi="宋体" w:eastAsia="宋体" w:cs="宋体"/>
          <w:b/>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1199" w:leftChars="228" w:hanging="720" w:hangingChars="3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val="en-US" w:eastAsia="zh-CN"/>
        </w:rPr>
        <w:t>单个年度工程结算（包括EPC项目预算审核)咨询费用累计总额为小于</w:t>
      </w:r>
      <w:r>
        <w:rPr>
          <w:rFonts w:hint="eastAsia" w:ascii="宋体" w:hAnsi="宋体" w:eastAsia="宋体" w:cs="宋体"/>
          <w:color w:val="auto"/>
          <w:sz w:val="24"/>
          <w:highlight w:val="none"/>
          <w:lang w:eastAsia="zh-CN"/>
        </w:rPr>
        <w:t>100万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元，项目数量</w:t>
      </w:r>
      <w:r>
        <w:rPr>
          <w:rFonts w:hint="eastAsia" w:ascii="宋体" w:hAnsi="宋体" w:eastAsia="宋体" w:cs="宋体"/>
          <w:color w:val="auto"/>
          <w:sz w:val="24"/>
          <w:highlight w:val="none"/>
        </w:rPr>
        <w:t>若干，单个项</w:t>
      </w:r>
      <w:r>
        <w:rPr>
          <w:rFonts w:hint="eastAsia" w:ascii="宋体" w:hAnsi="宋体" w:eastAsia="宋体" w:cs="宋体"/>
          <w:color w:val="auto"/>
          <w:sz w:val="24"/>
          <w:highlight w:val="none"/>
          <w:lang w:val="en-US" w:eastAsia="zh-CN"/>
        </w:rPr>
        <w:t>不超过50万元，咨询服务费用以投标人报价（下浮率）结合最新版《广东省建设工程造价咨询服务收费标准表》计算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首个服务期限为</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月至202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年度，</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val="en-US" w:eastAsia="zh-CN"/>
        </w:rPr>
        <w:t>年度累计</w:t>
      </w:r>
      <w:r>
        <w:rPr>
          <w:rFonts w:hint="eastAsia" w:ascii="宋体" w:hAnsi="宋体" w:eastAsia="宋体" w:cs="宋体"/>
          <w:color w:val="auto"/>
          <w:sz w:val="24"/>
          <w:highlight w:val="none"/>
        </w:rPr>
        <w:t>服务费接近100万为止</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1199" w:leftChars="228" w:hanging="720" w:hanging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服务期限实行“1+1”管理模式，即：当服务时间或总费用额度任意一项达到委托合同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范围时，当期年度服务合同自行终止；但在发包人投资运营管理部对其服务评价为优良的情况下，年度造价咨询单位可顺延下一年度服务合同，当该期合同的服务时间或总费用额度任意一项也达到委托合同范围时，年度服务合同立即终止，不再续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highlight w:val="none"/>
        </w:rPr>
      </w:pPr>
      <w:r>
        <w:rPr>
          <w:rFonts w:hint="eastAsia" w:ascii="宋体" w:hAnsi="宋体" w:cs="宋体"/>
          <w:b/>
          <w:bCs/>
          <w:color w:val="auto"/>
          <w:sz w:val="24"/>
          <w:szCs w:val="24"/>
          <w:highlight w:val="none"/>
          <w:lang w:val="en-US" w:eastAsia="zh-CN"/>
        </w:rPr>
        <w:t>计划费用总额</w:t>
      </w:r>
      <w:r>
        <w:rPr>
          <w:rFonts w:hint="eastAsia" w:ascii="宋体" w:hAnsi="宋体" w:eastAsia="宋体" w:cs="宋体"/>
          <w:b/>
          <w:bCs/>
          <w:color w:val="auto"/>
          <w:sz w:val="24"/>
          <w:szCs w:val="24"/>
          <w:highlight w:val="none"/>
        </w:rPr>
        <w:t>：</w:t>
      </w:r>
      <w:r>
        <w:rPr>
          <w:rFonts w:hint="eastAsia" w:ascii="宋体" w:hAnsi="宋体" w:eastAsia="宋体" w:cs="宋体"/>
          <w:color w:val="auto"/>
          <w:sz w:val="24"/>
          <w:highlight w:val="none"/>
          <w:lang w:val="en-US" w:eastAsia="zh-CN"/>
        </w:rPr>
        <w:t>单个年度累计咨询费用总额小于</w:t>
      </w:r>
      <w:r>
        <w:rPr>
          <w:rFonts w:hint="eastAsia" w:ascii="宋体" w:hAnsi="宋体" w:eastAsia="宋体" w:cs="宋体"/>
          <w:color w:val="auto"/>
          <w:sz w:val="24"/>
          <w:highlight w:val="none"/>
        </w:rPr>
        <w:t>100万元</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2" w:firstLineChars="200"/>
        <w:textAlignment w:val="auto"/>
        <w:outlineLvl w:val="1"/>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lang w:val="en-US" w:eastAsia="zh-CN"/>
        </w:rPr>
        <w:t>需求</w:t>
      </w:r>
    </w:p>
    <w:p>
      <w:pPr>
        <w:keepNext w:val="0"/>
        <w:keepLines w:val="0"/>
        <w:pageBreakBefore w:val="0"/>
        <w:widowControl w:val="0"/>
        <w:numPr>
          <w:ilvl w:val="0"/>
          <w:numId w:val="2"/>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业绩要求</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Chars="0" w:firstLine="482" w:firstLineChars="200"/>
        <w:textAlignment w:val="auto"/>
        <w:outlineLvl w:val="9"/>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近三年成功独立</w:t>
      </w:r>
      <w:r>
        <w:rPr>
          <w:rFonts w:hint="eastAsia" w:ascii="宋体" w:hAnsi="宋体" w:eastAsia="宋体" w:cs="宋体"/>
          <w:b/>
          <w:bCs/>
          <w:color w:val="auto"/>
          <w:sz w:val="24"/>
          <w:highlight w:val="none"/>
          <w:lang w:val="en-US" w:eastAsia="zh-CN"/>
        </w:rPr>
        <w:t>承担</w:t>
      </w:r>
      <w:r>
        <w:rPr>
          <w:rFonts w:hint="eastAsia" w:ascii="宋体" w:hAnsi="宋体" w:eastAsia="宋体" w:cs="宋体"/>
          <w:b/>
          <w:bCs/>
          <w:color w:val="auto"/>
          <w:sz w:val="24"/>
          <w:highlight w:val="none"/>
        </w:rPr>
        <w:t>以下业绩：至少</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个以上</w:t>
      </w:r>
      <w:r>
        <w:rPr>
          <w:rFonts w:hint="eastAsia" w:ascii="宋体" w:hAnsi="宋体" w:eastAsia="宋体" w:cs="宋体"/>
          <w:b/>
          <w:bCs/>
          <w:color w:val="auto"/>
          <w:sz w:val="24"/>
          <w:highlight w:val="none"/>
          <w:lang w:val="en-US" w:eastAsia="zh-CN"/>
        </w:rPr>
        <w:t>工程</w:t>
      </w:r>
      <w:r>
        <w:rPr>
          <w:rFonts w:hint="eastAsia" w:ascii="宋体" w:hAnsi="宋体" w:eastAsia="宋体" w:cs="宋体"/>
          <w:b/>
          <w:bCs/>
          <w:color w:val="auto"/>
          <w:sz w:val="24"/>
          <w:highlight w:val="none"/>
        </w:rPr>
        <w:t>项目</w:t>
      </w:r>
      <w:r>
        <w:rPr>
          <w:rFonts w:hint="eastAsia" w:ascii="宋体" w:hAnsi="宋体" w:eastAsia="宋体" w:cs="宋体"/>
          <w:b/>
          <w:bCs/>
          <w:color w:val="auto"/>
          <w:sz w:val="24"/>
          <w:highlight w:val="none"/>
          <w:lang w:val="en-US" w:eastAsia="zh-CN"/>
        </w:rPr>
        <w:t>结算或EPC预算审核</w:t>
      </w:r>
      <w:r>
        <w:rPr>
          <w:rFonts w:hint="eastAsia" w:ascii="宋体" w:hAnsi="宋体" w:eastAsia="宋体" w:cs="宋体"/>
          <w:b/>
          <w:bCs/>
          <w:color w:val="auto"/>
          <w:sz w:val="24"/>
          <w:highlight w:val="none"/>
        </w:rPr>
        <w:t>咨询服务工作，且其中至少</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个项目造价金额在2亿元以上。</w:t>
      </w:r>
      <w:r>
        <w:rPr>
          <w:rFonts w:hint="eastAsia" w:ascii="宋体" w:hAnsi="宋体" w:eastAsia="宋体" w:cs="宋体"/>
          <w:b/>
          <w:bCs/>
          <w:color w:val="auto"/>
          <w:sz w:val="24"/>
          <w:highlight w:val="none"/>
          <w:lang w:val="en-US" w:eastAsia="zh-CN"/>
        </w:rPr>
        <w:t>具体如下：</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1.近三年指201</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年1月1日至投标文件递交之日。</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投标人所列业绩应提供：①中标通知书（如有）；②合同协议书：合同协议书应至少包含合同主体、项目名称、工作内容、签订日期等关键信息，或委托函：委托函至少包含委托主体、项目名称、工作内容及委托日期等关键信息”；③项目业绩的界定时间</w:t>
      </w:r>
      <w:r>
        <w:rPr>
          <w:rFonts w:hint="eastAsia" w:ascii="宋体" w:hAnsi="宋体" w:eastAsia="宋体" w:cs="宋体"/>
          <w:color w:val="auto"/>
          <w:sz w:val="24"/>
          <w:highlight w:val="none"/>
        </w:rPr>
        <w:t>以造价咨询合同（委托函）或造价咨询成果文件为准(时间在业绩证明材料中有不同表述的，以时间靠后的业绩证明材料表述的为准)；</w:t>
      </w:r>
      <w:r>
        <w:rPr>
          <w:rFonts w:hint="eastAsia" w:ascii="宋体" w:hAnsi="宋体" w:eastAsia="宋体" w:cs="宋体"/>
          <w:b w:val="0"/>
          <w:bCs w:val="0"/>
          <w:color w:val="auto"/>
          <w:sz w:val="24"/>
          <w:szCs w:val="24"/>
          <w:highlight w:val="none"/>
        </w:rPr>
        <w:t>④</w:t>
      </w:r>
      <w:r>
        <w:rPr>
          <w:rFonts w:hint="eastAsia" w:ascii="宋体" w:hAnsi="宋体" w:eastAsia="宋体" w:cs="宋体"/>
          <w:color w:val="auto"/>
          <w:sz w:val="24"/>
          <w:highlight w:val="none"/>
        </w:rPr>
        <w:t>业绩金额以咨询服务合同或委托函载明的项目投资金额或项目批复概算金额或经成果文件金额或委托单位的其它证明材料为准(业绩金额在业绩证明材料中有不同表述的，以时间靠后的业绩证明材料表述的为准)：</w:t>
      </w:r>
      <w:r>
        <w:rPr>
          <w:rFonts w:hint="eastAsia" w:ascii="宋体" w:hAnsi="宋体" w:eastAsia="宋体" w:cs="宋体"/>
          <w:b w:val="0"/>
          <w:bCs w:val="0"/>
          <w:color w:val="auto"/>
          <w:sz w:val="24"/>
          <w:szCs w:val="24"/>
          <w:highlight w:val="none"/>
        </w:rPr>
        <w:t>⑤同一项目不同标段可以累加计算金额：⑥如一个合同中含多个项目造价咨询服务，可按多个项目独立计算业绩。</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3.如近年来，投标人法人机构发生合法变更或重组时，应提供相关部门的合法批件或其他相关证明材料以证明其所附业绩的继承性。</w:t>
      </w:r>
    </w:p>
    <w:p>
      <w:pPr>
        <w:keepNext w:val="0"/>
        <w:keepLines w:val="0"/>
        <w:pageBreakBefore w:val="0"/>
        <w:widowControl w:val="0"/>
        <w:numPr>
          <w:ilvl w:val="0"/>
          <w:numId w:val="2"/>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人员资格要求</w:t>
      </w:r>
    </w:p>
    <w:tbl>
      <w:tblPr>
        <w:tblStyle w:val="17"/>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15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419" w:type="dxa"/>
            <w:vAlign w:val="center"/>
          </w:tcPr>
          <w:p>
            <w:pPr>
              <w:adjustRightInd w:val="0"/>
              <w:snapToGrid w:val="0"/>
              <w:spacing w:line="360" w:lineRule="auto"/>
              <w:jc w:val="center"/>
              <w:rPr>
                <w:rFonts w:ascii="宋体" w:hAnsi="宋体"/>
                <w:color w:val="auto"/>
                <w:szCs w:val="21"/>
                <w:highlight w:val="none"/>
              </w:rPr>
            </w:pPr>
            <w:r>
              <w:rPr>
                <w:rFonts w:ascii="宋体" w:hAnsi="宋体"/>
                <w:color w:val="auto"/>
                <w:szCs w:val="21"/>
                <w:highlight w:val="none"/>
              </w:rPr>
              <w:t>人  员</w:t>
            </w:r>
          </w:p>
        </w:tc>
        <w:tc>
          <w:tcPr>
            <w:tcW w:w="1150" w:type="dxa"/>
            <w:vAlign w:val="center"/>
          </w:tcPr>
          <w:p>
            <w:pPr>
              <w:adjustRightInd w:val="0"/>
              <w:snapToGrid w:val="0"/>
              <w:spacing w:line="360" w:lineRule="auto"/>
              <w:jc w:val="center"/>
              <w:rPr>
                <w:rFonts w:ascii="宋体" w:hAnsi="宋体"/>
                <w:color w:val="auto"/>
                <w:szCs w:val="21"/>
                <w:highlight w:val="none"/>
              </w:rPr>
            </w:pPr>
            <w:r>
              <w:rPr>
                <w:rFonts w:ascii="宋体" w:hAnsi="宋体"/>
                <w:color w:val="auto"/>
                <w:szCs w:val="21"/>
                <w:highlight w:val="none"/>
              </w:rPr>
              <w:t>数  量</w:t>
            </w:r>
          </w:p>
        </w:tc>
        <w:tc>
          <w:tcPr>
            <w:tcW w:w="5954" w:type="dxa"/>
            <w:vAlign w:val="center"/>
          </w:tcPr>
          <w:p>
            <w:pPr>
              <w:adjustRightInd w:val="0"/>
              <w:snapToGrid w:val="0"/>
              <w:spacing w:line="360" w:lineRule="auto"/>
              <w:jc w:val="center"/>
              <w:rPr>
                <w:rFonts w:ascii="宋体" w:hAnsi="宋体"/>
                <w:color w:val="auto"/>
                <w:szCs w:val="21"/>
                <w:highlight w:val="none"/>
              </w:rPr>
            </w:pPr>
            <w:r>
              <w:rPr>
                <w:rFonts w:ascii="宋体" w:hAnsi="宋体"/>
                <w:color w:val="auto"/>
                <w:szCs w:val="21"/>
                <w:highlight w:val="none"/>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jc w:val="center"/>
        </w:trPr>
        <w:tc>
          <w:tcPr>
            <w:tcW w:w="1419" w:type="dxa"/>
            <w:vAlign w:val="center"/>
          </w:tcPr>
          <w:p>
            <w:pPr>
              <w:spacing w:line="360" w:lineRule="auto"/>
              <w:jc w:val="center"/>
              <w:rPr>
                <w:rFonts w:ascii="宋体" w:hAnsi="宋体"/>
                <w:color w:val="auto"/>
                <w:szCs w:val="21"/>
                <w:highlight w:val="none"/>
              </w:rPr>
            </w:pPr>
            <w:r>
              <w:rPr>
                <w:rFonts w:hint="eastAsia" w:ascii="宋体"/>
                <w:color w:val="auto"/>
                <w:szCs w:val="21"/>
                <w:highlight w:val="none"/>
              </w:rPr>
              <w:t>项目负责人</w:t>
            </w:r>
          </w:p>
        </w:tc>
        <w:tc>
          <w:tcPr>
            <w:tcW w:w="1150" w:type="dxa"/>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954" w:type="dxa"/>
            <w:vAlign w:val="center"/>
          </w:tcPr>
          <w:p>
            <w:pPr>
              <w:adjustRightInd w:val="0"/>
              <w:snapToGrid w:val="0"/>
              <w:spacing w:line="360" w:lineRule="auto"/>
              <w:jc w:val="both"/>
              <w:rPr>
                <w:rFonts w:ascii="宋体" w:hAnsi="宋体"/>
                <w:color w:val="auto"/>
                <w:szCs w:val="21"/>
                <w:highlight w:val="none"/>
              </w:rPr>
            </w:pPr>
            <w:r>
              <w:rPr>
                <w:rFonts w:hint="eastAsia"/>
                <w:color w:val="auto"/>
                <w:szCs w:val="21"/>
                <w:highlight w:val="none"/>
              </w:rPr>
              <w:t>工程或工程经济类高级专业技术职称，</w:t>
            </w:r>
            <w:r>
              <w:rPr>
                <w:rFonts w:hint="eastAsia" w:ascii="宋体"/>
                <w:color w:val="auto"/>
                <w:szCs w:val="21"/>
                <w:highlight w:val="none"/>
              </w:rPr>
              <w:t>具备住房建设部注册造价师资格，</w:t>
            </w:r>
            <w:r>
              <w:rPr>
                <w:rFonts w:hint="eastAsia" w:ascii="宋体" w:hAnsi="宋体"/>
                <w:color w:val="auto"/>
                <w:szCs w:val="21"/>
                <w:highlight w:val="none"/>
              </w:rPr>
              <w:t>1</w:t>
            </w:r>
            <w:r>
              <w:rPr>
                <w:rFonts w:ascii="宋体" w:hAnsi="宋体"/>
                <w:color w:val="auto"/>
                <w:szCs w:val="21"/>
                <w:highlight w:val="none"/>
              </w:rPr>
              <w:t>5</w:t>
            </w:r>
            <w:r>
              <w:rPr>
                <w:rFonts w:hint="eastAsia" w:ascii="宋体" w:hAnsi="宋体"/>
                <w:color w:val="auto"/>
                <w:szCs w:val="21"/>
                <w:highlight w:val="none"/>
              </w:rPr>
              <w:t>年以上工程造价工作经验，至少担任</w:t>
            </w:r>
            <w:r>
              <w:rPr>
                <w:rFonts w:ascii="宋体" w:hAnsi="宋体"/>
                <w:color w:val="auto"/>
                <w:szCs w:val="21"/>
                <w:highlight w:val="none"/>
              </w:rPr>
              <w:t>过</w:t>
            </w:r>
            <w:r>
              <w:rPr>
                <w:rFonts w:hint="eastAsia" w:ascii="宋体" w:hAnsi="宋体"/>
                <w:color w:val="auto"/>
                <w:szCs w:val="21"/>
                <w:highlight w:val="none"/>
                <w:u w:val="single"/>
              </w:rPr>
              <w:t>1个国有投资项目的招标清单预算审查</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结算编制或竣工决算报告编制</w:t>
            </w:r>
            <w:r>
              <w:rPr>
                <w:rFonts w:hint="eastAsia" w:ascii="宋体" w:hAnsi="宋体"/>
                <w:color w:val="auto"/>
                <w:szCs w:val="21"/>
                <w:highlight w:val="none"/>
              </w:rPr>
              <w:t>工作的项目负责人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1419" w:type="dxa"/>
            <w:vAlign w:val="center"/>
          </w:tcPr>
          <w:p>
            <w:pPr>
              <w:spacing w:line="360" w:lineRule="auto"/>
              <w:jc w:val="center"/>
              <w:rPr>
                <w:rFonts w:ascii="宋体"/>
                <w:color w:val="auto"/>
                <w:szCs w:val="21"/>
                <w:highlight w:val="none"/>
              </w:rPr>
            </w:pPr>
            <w:r>
              <w:rPr>
                <w:rFonts w:hint="eastAsia" w:ascii="宋体"/>
                <w:color w:val="auto"/>
                <w:szCs w:val="21"/>
                <w:highlight w:val="none"/>
                <w:lang w:val="en-US" w:eastAsia="zh-CN"/>
              </w:rPr>
              <w:t>各专业</w:t>
            </w:r>
            <w:r>
              <w:rPr>
                <w:rFonts w:hint="eastAsia" w:ascii="宋体"/>
                <w:color w:val="auto"/>
                <w:szCs w:val="21"/>
                <w:highlight w:val="none"/>
              </w:rPr>
              <w:t>负责人</w:t>
            </w:r>
          </w:p>
        </w:tc>
        <w:tc>
          <w:tcPr>
            <w:tcW w:w="1150" w:type="dxa"/>
            <w:vAlign w:val="center"/>
          </w:tcPr>
          <w:p>
            <w:pPr>
              <w:spacing w:line="360" w:lineRule="auto"/>
              <w:jc w:val="center"/>
              <w:rPr>
                <w:rFonts w:hint="eastAsia" w:ascii="宋体" w:eastAsiaTheme="minorEastAsia"/>
                <w:color w:val="auto"/>
                <w:szCs w:val="21"/>
                <w:highlight w:val="none"/>
                <w:lang w:eastAsia="zh-CN"/>
              </w:rPr>
            </w:pPr>
            <w:r>
              <w:rPr>
                <w:rFonts w:hint="eastAsia" w:ascii="宋体"/>
                <w:color w:val="auto"/>
                <w:szCs w:val="21"/>
                <w:highlight w:val="none"/>
                <w:lang w:val="en-US" w:eastAsia="zh-CN"/>
              </w:rPr>
              <w:t>2</w:t>
            </w:r>
          </w:p>
        </w:tc>
        <w:tc>
          <w:tcPr>
            <w:tcW w:w="5954" w:type="dxa"/>
            <w:vAlign w:val="center"/>
          </w:tcPr>
          <w:p>
            <w:pPr>
              <w:spacing w:line="360" w:lineRule="auto"/>
              <w:rPr>
                <w:rFonts w:ascii="宋体"/>
                <w:color w:val="auto"/>
                <w:szCs w:val="21"/>
                <w:highlight w:val="none"/>
              </w:rPr>
            </w:pPr>
            <w:r>
              <w:rPr>
                <w:rFonts w:hint="eastAsia" w:ascii="宋体"/>
                <w:color w:val="auto"/>
                <w:szCs w:val="21"/>
                <w:highlight w:val="none"/>
              </w:rPr>
              <w:t>具备住房建设部注册造价师资格，8年及以上工程造价工作经验。</w:t>
            </w:r>
            <w:r>
              <w:rPr>
                <w:rFonts w:hint="eastAsia" w:ascii="宋体" w:hAnsi="宋体"/>
                <w:color w:val="auto"/>
                <w:szCs w:val="21"/>
                <w:highlight w:val="none"/>
              </w:rPr>
              <w:t>至少从事</w:t>
            </w:r>
            <w:r>
              <w:rPr>
                <w:rFonts w:ascii="宋体" w:hAnsi="宋体"/>
                <w:color w:val="auto"/>
                <w:szCs w:val="21"/>
                <w:highlight w:val="none"/>
              </w:rPr>
              <w:t>过</w:t>
            </w:r>
            <w:r>
              <w:rPr>
                <w:rFonts w:hint="eastAsia" w:ascii="宋体" w:hAnsi="宋体"/>
                <w:color w:val="auto"/>
                <w:szCs w:val="21"/>
                <w:highlight w:val="none"/>
                <w:u w:val="single"/>
              </w:rPr>
              <w:t>1个国有投资</w:t>
            </w:r>
            <w:r>
              <w:rPr>
                <w:rFonts w:hint="eastAsia"/>
                <w:color w:val="auto"/>
                <w:szCs w:val="21"/>
                <w:highlight w:val="none"/>
                <w:u w:val="single"/>
              </w:rPr>
              <w:t>项目</w:t>
            </w:r>
            <w:r>
              <w:rPr>
                <w:rFonts w:hint="eastAsia"/>
                <w:color w:val="auto"/>
                <w:szCs w:val="21"/>
                <w:highlight w:val="none"/>
                <w:u w:val="single"/>
                <w:lang w:val="en-US" w:eastAsia="zh-CN"/>
              </w:rPr>
              <w:t>结算</w:t>
            </w:r>
            <w:r>
              <w:rPr>
                <w:rFonts w:hint="eastAsia"/>
                <w:color w:val="auto"/>
                <w:szCs w:val="21"/>
                <w:highlight w:val="none"/>
                <w:u w:val="single"/>
              </w:rPr>
              <w:t>造价咨询</w:t>
            </w:r>
            <w:r>
              <w:rPr>
                <w:rFonts w:hint="eastAsia"/>
                <w:color w:val="auto"/>
                <w:szCs w:val="21"/>
                <w:highlight w:val="none"/>
              </w:rPr>
              <w:t>工作，或全过程造价咨询管理工作经验</w:t>
            </w:r>
            <w:r>
              <w:rPr>
                <w:rFonts w:hint="eastAsia"/>
                <w:color w:val="auto"/>
                <w:szCs w:val="21"/>
                <w:highlight w:val="none"/>
                <w:lang w:eastAsia="zh-CN"/>
              </w:rPr>
              <w:t>，</w:t>
            </w:r>
            <w:r>
              <w:rPr>
                <w:rFonts w:hint="eastAsia"/>
                <w:color w:val="auto"/>
                <w:szCs w:val="21"/>
                <w:highlight w:val="none"/>
                <w:lang w:val="en-US" w:eastAsia="zh-CN"/>
              </w:rPr>
              <w:t>土建、安装专业至少各1人</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419" w:type="dxa"/>
            <w:vAlign w:val="center"/>
          </w:tcPr>
          <w:p>
            <w:pPr>
              <w:spacing w:line="360" w:lineRule="auto"/>
              <w:jc w:val="center"/>
              <w:rPr>
                <w:rFonts w:ascii="宋体"/>
                <w:color w:val="auto"/>
                <w:szCs w:val="21"/>
                <w:highlight w:val="none"/>
              </w:rPr>
            </w:pPr>
            <w:r>
              <w:rPr>
                <w:rFonts w:hint="eastAsia" w:ascii="宋体"/>
                <w:color w:val="auto"/>
                <w:szCs w:val="21"/>
                <w:highlight w:val="none"/>
              </w:rPr>
              <w:t>造价人员</w:t>
            </w:r>
          </w:p>
        </w:tc>
        <w:tc>
          <w:tcPr>
            <w:tcW w:w="1150" w:type="dxa"/>
            <w:vAlign w:val="center"/>
          </w:tcPr>
          <w:p>
            <w:pPr>
              <w:spacing w:line="360" w:lineRule="auto"/>
              <w:jc w:val="center"/>
              <w:rPr>
                <w:rFonts w:ascii="宋体"/>
                <w:color w:val="auto"/>
                <w:szCs w:val="21"/>
                <w:highlight w:val="none"/>
              </w:rPr>
            </w:pPr>
            <w:r>
              <w:rPr>
                <w:rFonts w:hint="eastAsia" w:ascii="宋体"/>
                <w:color w:val="auto"/>
                <w:szCs w:val="21"/>
                <w:highlight w:val="none"/>
              </w:rPr>
              <w:t>满足项目规模需要</w:t>
            </w:r>
          </w:p>
        </w:tc>
        <w:tc>
          <w:tcPr>
            <w:tcW w:w="5954" w:type="dxa"/>
            <w:vAlign w:val="center"/>
          </w:tcPr>
          <w:p>
            <w:pPr>
              <w:adjustRightInd w:val="0"/>
              <w:snapToGrid w:val="0"/>
              <w:spacing w:line="360" w:lineRule="auto"/>
              <w:rPr>
                <w:rFonts w:ascii="宋体"/>
                <w:color w:val="auto"/>
                <w:szCs w:val="21"/>
                <w:highlight w:val="none"/>
              </w:rPr>
            </w:pPr>
            <w:r>
              <w:rPr>
                <w:rFonts w:hint="eastAsia"/>
                <w:color w:val="auto"/>
                <w:szCs w:val="21"/>
                <w:highlight w:val="none"/>
              </w:rPr>
              <w:t>工程或工程经济类中级及以上专业技术职称，</w:t>
            </w:r>
            <w:r>
              <w:rPr>
                <w:rFonts w:hint="eastAsia" w:ascii="宋体" w:hAnsi="宋体"/>
                <w:color w:val="auto"/>
                <w:szCs w:val="21"/>
                <w:highlight w:val="none"/>
              </w:rPr>
              <w:t>5年以上工程造价工作经验。</w:t>
            </w:r>
          </w:p>
        </w:tc>
      </w:tr>
    </w:tbl>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说明：要求项目负责人须提供相应业绩的有效证明材料，否则视为无效业绩。</w:t>
      </w:r>
    </w:p>
    <w:p>
      <w:pPr>
        <w:keepNext w:val="0"/>
        <w:keepLines w:val="0"/>
        <w:pageBreakBefore w:val="0"/>
        <w:widowControl w:val="0"/>
        <w:numPr>
          <w:ilvl w:val="0"/>
          <w:numId w:val="2"/>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服务费计算依据</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广东省建设工程造价咨询服务收费标准：《关于调整我省建设工程造价咨询服务收费的复函》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粤价函【2011】</w:t>
      </w:r>
      <w:r>
        <w:rPr>
          <w:rFonts w:hint="eastAsia" w:ascii="宋体" w:hAnsi="宋体" w:eastAsia="宋体" w:cs="宋体"/>
          <w:color w:val="auto"/>
          <w:sz w:val="24"/>
          <w:highlight w:val="none"/>
          <w:lang w:eastAsia="zh-CN"/>
        </w:rPr>
        <w:t>742</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下浮率以投标下浮率为准。</w:t>
      </w: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highlight w:val="none"/>
        </w:rPr>
      </w:pP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highlight w:val="none"/>
        </w:rPr>
      </w:pP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highlight w:val="none"/>
        </w:rPr>
      </w:pP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spacing w:line="360" w:lineRule="auto"/>
        <w:jc w:val="both"/>
        <w:rPr>
          <w:rFonts w:ascii="黑体" w:hAnsi="宋体" w:cs="黑体"/>
          <w:b/>
          <w:color w:val="auto"/>
          <w:kern w:val="44"/>
          <w:sz w:val="44"/>
          <w:szCs w:val="44"/>
          <w:highlight w:val="none"/>
        </w:rPr>
      </w:pPr>
      <w:bookmarkStart w:id="7" w:name="_Toc264562491"/>
      <w:bookmarkEnd w:id="7"/>
    </w:p>
    <w:p>
      <w:pPr>
        <w:pStyle w:val="3"/>
        <w:widowControl/>
        <w:spacing w:before="0" w:after="0" w:line="360" w:lineRule="auto"/>
        <w:jc w:val="center"/>
        <w:rPr>
          <w:rFonts w:ascii="黑体" w:hAnsi="宋体" w:cs="黑体"/>
          <w:b/>
          <w:color w:val="auto"/>
          <w:kern w:val="44"/>
          <w:sz w:val="44"/>
          <w:szCs w:val="44"/>
          <w:highlight w:val="none"/>
        </w:rPr>
      </w:pPr>
      <w:bookmarkStart w:id="8" w:name="_Toc27492"/>
      <w:r>
        <w:rPr>
          <w:rFonts w:hint="eastAsia" w:ascii="黑体" w:hAnsi="宋体" w:cs="黑体"/>
          <w:b/>
          <w:color w:val="auto"/>
          <w:kern w:val="44"/>
          <w:sz w:val="44"/>
          <w:szCs w:val="44"/>
          <w:highlight w:val="none"/>
        </w:rPr>
        <w:t>第3章  投标格式文件</w:t>
      </w:r>
      <w:bookmarkEnd w:id="8"/>
    </w:p>
    <w:p>
      <w:pPr>
        <w:snapToGrid w:val="0"/>
        <w:rPr>
          <w:rFonts w:ascii="黑体" w:hAnsi="宋体" w:eastAsia="黑体" w:cs="黑体"/>
          <w:b/>
          <w:color w:val="auto"/>
          <w:kern w:val="44"/>
          <w:sz w:val="44"/>
          <w:szCs w:val="44"/>
          <w:highlight w:val="none"/>
        </w:rPr>
      </w:pPr>
      <w:r>
        <w:rPr>
          <w:rFonts w:hint="eastAsia" w:ascii="黑体" w:hAnsi="宋体" w:eastAsia="黑体" w:cs="黑体"/>
          <w:b/>
          <w:color w:val="auto"/>
          <w:kern w:val="44"/>
          <w:sz w:val="44"/>
          <w:szCs w:val="44"/>
          <w:highlight w:val="none"/>
        </w:rPr>
        <w:t xml:space="preserve"> </w:t>
      </w:r>
    </w:p>
    <w:p>
      <w:pPr>
        <w:snapToGrid w:val="0"/>
        <w:outlineLvl w:val="1"/>
        <w:rPr>
          <w:rFonts w:ascii="宋体" w:hAnsi="宋体" w:eastAsia="宋体" w:cs="宋体"/>
          <w:b/>
          <w:color w:val="auto"/>
          <w:sz w:val="28"/>
          <w:szCs w:val="28"/>
          <w:highlight w:val="none"/>
        </w:rPr>
      </w:pPr>
      <w:r>
        <w:rPr>
          <w:rFonts w:hint="eastAsia" w:ascii="宋体" w:hAnsi="宋体" w:eastAsia="宋体" w:cs="黑体"/>
          <w:b/>
          <w:color w:val="auto"/>
          <w:spacing w:val="20"/>
          <w:sz w:val="28"/>
          <w:szCs w:val="28"/>
          <w:highlight w:val="none"/>
        </w:rPr>
        <w:br w:type="page"/>
      </w:r>
      <w:r>
        <w:rPr>
          <w:rFonts w:hint="eastAsia" w:ascii="宋体" w:hAnsi="宋体" w:eastAsia="宋体" w:cs="黑体"/>
          <w:b/>
          <w:color w:val="auto"/>
          <w:spacing w:val="20"/>
          <w:sz w:val="28"/>
          <w:szCs w:val="28"/>
          <w:highlight w:val="none"/>
        </w:rPr>
        <w:t>格式一：</w:t>
      </w:r>
    </w:p>
    <w:p>
      <w:pPr>
        <w:spacing w:line="360" w:lineRule="auto"/>
        <w:jc w:val="center"/>
        <w:outlineLvl w:val="2"/>
        <w:rPr>
          <w:rFonts w:ascii="宋体" w:hAnsi="宋体" w:eastAsia="宋体" w:cs="宋体"/>
          <w:b/>
          <w:color w:val="auto"/>
          <w:sz w:val="36"/>
          <w:szCs w:val="36"/>
          <w:highlight w:val="none"/>
        </w:rPr>
      </w:pPr>
      <w:r>
        <w:rPr>
          <w:rFonts w:hint="eastAsia" w:ascii="宋体" w:hAnsi="宋体" w:eastAsia="宋体" w:cs="宋体"/>
          <w:b/>
          <w:color w:val="auto"/>
          <w:spacing w:val="34"/>
          <w:sz w:val="36"/>
          <w:szCs w:val="36"/>
          <w:highlight w:val="none"/>
        </w:rPr>
        <w:t>投标函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lang w:eastAsia="zh-CN"/>
        </w:rPr>
        <w:t>广州南沙资产经营集团有限公司</w:t>
      </w:r>
      <w:r>
        <w:rPr>
          <w:rFonts w:hint="eastAsia" w:ascii="宋体" w:hAnsi="宋体" w:eastAsia="宋体" w:cs="Times New Roman"/>
          <w:b w:val="0"/>
          <w:bCs w:val="0"/>
          <w:color w:val="auto"/>
          <w:spacing w:val="2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我方决定参加贵方的</w:t>
      </w:r>
      <w:r>
        <w:rPr>
          <w:rFonts w:hint="eastAsia" w:ascii="宋体" w:hAnsi="宋体" w:eastAsia="宋体" w:cs="Times New Roman"/>
          <w:b w:val="0"/>
          <w:bCs w:val="0"/>
          <w:color w:val="auto"/>
          <w:spacing w:val="20"/>
          <w:sz w:val="24"/>
          <w:szCs w:val="24"/>
          <w:highlight w:val="none"/>
          <w:lang w:val="en-US" w:eastAsia="zh-CN"/>
        </w:rPr>
        <w:t>工程</w:t>
      </w:r>
      <w:r>
        <w:rPr>
          <w:rFonts w:hint="eastAsia" w:ascii="宋体" w:hAnsi="宋体" w:eastAsia="宋体" w:cs="Times New Roman"/>
          <w:b w:val="0"/>
          <w:bCs w:val="0"/>
          <w:color w:val="auto"/>
          <w:spacing w:val="20"/>
          <w:sz w:val="24"/>
          <w:szCs w:val="24"/>
          <w:highlight w:val="none"/>
        </w:rPr>
        <w:t>项目</w:t>
      </w:r>
      <w:r>
        <w:rPr>
          <w:rFonts w:hint="eastAsia" w:ascii="宋体" w:hAnsi="宋体" w:eastAsia="宋体" w:cs="Times New Roman"/>
          <w:b w:val="0"/>
          <w:bCs w:val="0"/>
          <w:color w:val="auto"/>
          <w:spacing w:val="20"/>
          <w:sz w:val="24"/>
          <w:szCs w:val="24"/>
          <w:highlight w:val="none"/>
          <w:lang w:val="en-US" w:eastAsia="zh-CN"/>
        </w:rPr>
        <w:t>年度造价</w:t>
      </w:r>
      <w:r>
        <w:rPr>
          <w:rFonts w:hint="eastAsia" w:ascii="宋体" w:hAnsi="宋体" w:eastAsia="宋体" w:cs="Times New Roman"/>
          <w:b w:val="0"/>
          <w:bCs w:val="0"/>
          <w:color w:val="auto"/>
          <w:spacing w:val="20"/>
          <w:sz w:val="24"/>
          <w:szCs w:val="24"/>
          <w:highlight w:val="none"/>
        </w:rPr>
        <w:t>咨询服务单位选定的竞标，并完全接受贵方发出的招标文件及澄清文件中的所有内容。为此，我方作出如下承诺：</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1、我方经分析研究了贵方提供上述工程的招标文件中的项目介绍、投标人须知、合同条件以及本次招标答疑或澄清文件后，我公司愿意以投标报价表中承诺报价，完成贵方202</w:t>
      </w:r>
      <w:r>
        <w:rPr>
          <w:rFonts w:hint="eastAsia" w:ascii="宋体" w:hAnsi="宋体" w:eastAsia="宋体" w:cs="Times New Roman"/>
          <w:b w:val="0"/>
          <w:bCs w:val="0"/>
          <w:color w:val="auto"/>
          <w:spacing w:val="20"/>
          <w:sz w:val="24"/>
          <w:szCs w:val="24"/>
          <w:highlight w:val="none"/>
          <w:lang w:val="en-US" w:eastAsia="zh-CN"/>
        </w:rPr>
        <w:t>1-2022</w:t>
      </w:r>
      <w:r>
        <w:rPr>
          <w:rFonts w:hint="eastAsia" w:ascii="宋体" w:hAnsi="宋体" w:eastAsia="宋体" w:cs="Times New Roman"/>
          <w:b w:val="0"/>
          <w:bCs w:val="0"/>
          <w:color w:val="auto"/>
          <w:spacing w:val="20"/>
          <w:sz w:val="24"/>
          <w:szCs w:val="24"/>
          <w:highlight w:val="none"/>
        </w:rPr>
        <w:t>年度多个</w:t>
      </w:r>
      <w:r>
        <w:rPr>
          <w:rFonts w:hint="eastAsia" w:ascii="宋体" w:hAnsi="宋体" w:eastAsia="宋体" w:cs="Times New Roman"/>
          <w:b w:val="0"/>
          <w:bCs w:val="0"/>
          <w:color w:val="auto"/>
          <w:spacing w:val="20"/>
          <w:sz w:val="24"/>
          <w:szCs w:val="24"/>
          <w:highlight w:val="none"/>
          <w:lang w:val="en-US" w:eastAsia="zh-CN"/>
        </w:rPr>
        <w:t>造价咨询</w:t>
      </w:r>
      <w:r>
        <w:rPr>
          <w:rFonts w:hint="eastAsia" w:ascii="宋体" w:hAnsi="宋体" w:eastAsia="宋体" w:cs="Times New Roman"/>
          <w:b w:val="0"/>
          <w:bCs w:val="0"/>
          <w:color w:val="auto"/>
          <w:spacing w:val="20"/>
          <w:sz w:val="24"/>
          <w:szCs w:val="24"/>
          <w:highlight w:val="none"/>
        </w:rPr>
        <w:t>任务，并提供增值税专业发票税率为</w:t>
      </w:r>
      <w:r>
        <w:rPr>
          <w:rFonts w:hint="eastAsia" w:ascii="宋体" w:hAnsi="宋体" w:eastAsia="宋体" w:cs="Times New Roman"/>
          <w:b w:val="0"/>
          <w:bCs w:val="0"/>
          <w:color w:val="auto"/>
          <w:spacing w:val="23"/>
          <w:sz w:val="24"/>
          <w:szCs w:val="24"/>
          <w:highlight w:val="none"/>
          <w:u w:val="single"/>
        </w:rPr>
        <w:t xml:space="preserve">   </w:t>
      </w:r>
      <w:r>
        <w:rPr>
          <w:rFonts w:hint="eastAsia" w:ascii="宋体" w:hAnsi="宋体" w:eastAsia="宋体" w:cs="Times New Roman"/>
          <w:b w:val="0"/>
          <w:bCs w:val="0"/>
          <w:color w:val="auto"/>
          <w:spacing w:val="20"/>
          <w:sz w:val="24"/>
          <w:szCs w:val="24"/>
          <w:highlight w:val="none"/>
        </w:rPr>
        <w:t>%，并按合同条件的要求，承担并完成上述工程的</w:t>
      </w:r>
      <w:r>
        <w:rPr>
          <w:rFonts w:hint="eastAsia" w:ascii="宋体" w:hAnsi="宋体" w:eastAsia="宋体" w:cs="Times New Roman"/>
          <w:b w:val="0"/>
          <w:bCs w:val="0"/>
          <w:color w:val="auto"/>
          <w:spacing w:val="20"/>
          <w:sz w:val="24"/>
          <w:szCs w:val="24"/>
          <w:highlight w:val="none"/>
          <w:lang w:val="en-US" w:eastAsia="zh-CN"/>
        </w:rPr>
        <w:t>造价咨询</w:t>
      </w:r>
      <w:r>
        <w:rPr>
          <w:rFonts w:hint="eastAsia" w:ascii="宋体" w:hAnsi="宋体" w:eastAsia="宋体" w:cs="Times New Roman"/>
          <w:b w:val="0"/>
          <w:bCs w:val="0"/>
          <w:color w:val="auto"/>
          <w:spacing w:val="20"/>
          <w:sz w:val="24"/>
          <w:szCs w:val="24"/>
          <w:highlight w:val="none"/>
        </w:rPr>
        <w:t>服务任务。</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2、完全理解和接受全部招标文件（包括修改文件、参考资料和有关附件）的一切规定和要求。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3、我方同意在规定的投标截止之日起</w:t>
      </w:r>
      <w:r>
        <w:rPr>
          <w:rFonts w:hint="eastAsia" w:ascii="宋体" w:hAnsi="宋体" w:eastAsia="宋体" w:cs="Times New Roman"/>
          <w:b w:val="0"/>
          <w:bCs w:val="0"/>
          <w:color w:val="auto"/>
          <w:spacing w:val="23"/>
          <w:sz w:val="24"/>
          <w:szCs w:val="24"/>
          <w:highlight w:val="none"/>
          <w:u w:val="single"/>
          <w:lang w:val="en-US" w:eastAsia="zh-CN"/>
        </w:rPr>
        <w:t>90</w:t>
      </w:r>
      <w:r>
        <w:rPr>
          <w:rFonts w:hint="eastAsia" w:ascii="宋体" w:hAnsi="宋体" w:eastAsia="宋体" w:cs="Times New Roman"/>
          <w:b w:val="0"/>
          <w:bCs w:val="0"/>
          <w:color w:val="auto"/>
          <w:spacing w:val="20"/>
          <w:sz w:val="24"/>
          <w:szCs w:val="24"/>
          <w:highlight w:val="none"/>
        </w:rPr>
        <w:t>日历天内遵守本投标。在该期限满期之前，本投标书对我单位始终具有约束力，并可随时被接受。</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4、在正式签订</w:t>
      </w:r>
      <w:r>
        <w:rPr>
          <w:rFonts w:hint="eastAsia" w:ascii="宋体" w:hAnsi="宋体" w:eastAsia="宋体" w:cs="Times New Roman"/>
          <w:b w:val="0"/>
          <w:bCs w:val="0"/>
          <w:color w:val="auto"/>
          <w:spacing w:val="20"/>
          <w:sz w:val="24"/>
          <w:szCs w:val="24"/>
          <w:highlight w:val="none"/>
          <w:lang w:val="en-US" w:eastAsia="zh-CN"/>
        </w:rPr>
        <w:t>造价</w:t>
      </w:r>
      <w:r>
        <w:rPr>
          <w:rFonts w:hint="eastAsia" w:ascii="宋体" w:hAnsi="宋体" w:eastAsia="宋体" w:cs="Times New Roman"/>
          <w:b w:val="0"/>
          <w:bCs w:val="0"/>
          <w:color w:val="auto"/>
          <w:spacing w:val="20"/>
          <w:sz w:val="24"/>
          <w:szCs w:val="24"/>
          <w:highlight w:val="none"/>
        </w:rPr>
        <w:t>咨询服务协议书之前，本投标书连同贵方的中标通知书应成为约束贵、我双方的合同文件。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5、在整个招、投标过程中及招、投标结束后，未经招标人书面同意，我方保证不向任何第三方泄露本次招、投标的任何信息、资料及内容。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6、投标文件中所有关于投标人资格的文件、证明、陈述均是真实的、准确的。若有违背，我方承担由此而产生的一切后果。</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投标人：（盖章）</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0"/>
          <w:sz w:val="24"/>
          <w:szCs w:val="24"/>
          <w:highlight w:val="none"/>
        </w:rPr>
        <w:tab/>
      </w:r>
      <w:r>
        <w:rPr>
          <w:rFonts w:hint="eastAsia" w:ascii="宋体" w:hAnsi="宋体" w:eastAsia="宋体" w:cs="Times New Roman"/>
          <w:b w:val="0"/>
          <w:bCs w:val="0"/>
          <w:color w:val="auto"/>
          <w:spacing w:val="20"/>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3"/>
          <w:sz w:val="24"/>
          <w:szCs w:val="24"/>
          <w:highlight w:val="none"/>
          <w:u w:val="single"/>
        </w:rPr>
      </w:pPr>
      <w:r>
        <w:rPr>
          <w:rFonts w:hint="eastAsia" w:ascii="宋体" w:hAnsi="宋体" w:eastAsia="宋体" w:cs="Times New Roman"/>
          <w:b w:val="0"/>
          <w:bCs w:val="0"/>
          <w:color w:val="auto"/>
          <w:spacing w:val="20"/>
          <w:sz w:val="24"/>
          <w:szCs w:val="24"/>
          <w:highlight w:val="none"/>
        </w:rPr>
        <w:t>法定代表人或被授权人（代理人）(签字或签章):</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地    址：</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0"/>
          <w:sz w:val="24"/>
          <w:szCs w:val="24"/>
          <w:highlight w:val="none"/>
        </w:rPr>
        <w:tab/>
      </w:r>
      <w:r>
        <w:rPr>
          <w:rFonts w:hint="eastAsia" w:ascii="宋体" w:hAnsi="宋体" w:eastAsia="宋体" w:cs="Times New Roman"/>
          <w:b w:val="0"/>
          <w:bCs w:val="0"/>
          <w:color w:val="auto"/>
          <w:spacing w:val="20"/>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电    话：</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0"/>
          <w:sz w:val="24"/>
          <w:szCs w:val="24"/>
          <w:highlight w:val="none"/>
        </w:rPr>
        <w:tab/>
      </w:r>
      <w:r>
        <w:rPr>
          <w:rFonts w:hint="eastAsia" w:ascii="宋体" w:hAnsi="宋体" w:eastAsia="宋体" w:cs="Times New Roman"/>
          <w:b w:val="0"/>
          <w:bCs w:val="0"/>
          <w:color w:val="auto"/>
          <w:spacing w:val="20"/>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日    期：</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color w:val="auto"/>
          <w:spacing w:val="20"/>
          <w:sz w:val="24"/>
          <w:szCs w:val="24"/>
          <w:highlight w:val="none"/>
        </w:rPr>
        <w:tab/>
      </w: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格式二：</w:t>
      </w:r>
    </w:p>
    <w:p>
      <w:pPr>
        <w:snapToGrid w:val="0"/>
        <w:spacing w:line="480" w:lineRule="auto"/>
        <w:jc w:val="center"/>
        <w:outlineLvl w:val="2"/>
        <w:rPr>
          <w:b/>
          <w:color w:val="auto"/>
          <w:sz w:val="28"/>
          <w:szCs w:val="28"/>
          <w:highlight w:val="none"/>
        </w:rPr>
      </w:pPr>
      <w:r>
        <w:rPr>
          <w:rFonts w:hint="eastAsia" w:ascii="宋体" w:hAnsi="宋体" w:eastAsia="宋体" w:cs="宋体"/>
          <w:b/>
          <w:color w:val="auto"/>
          <w:sz w:val="36"/>
          <w:szCs w:val="36"/>
          <w:highlight w:val="none"/>
        </w:rPr>
        <w:t>服务承诺书（格式）</w:t>
      </w:r>
    </w:p>
    <w:p>
      <w:pPr>
        <w:snapToGrid w:val="0"/>
        <w:spacing w:line="48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一旦我方中标，我方愿意做出如下承诺：</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我方同意投标文件自投标人须知规定的投标截止日期开始对我方有约束力，并自投标人须知的投标有效截止日期前一直对我方有约束力且随时可能按此投标文件中标。</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如果我方投标文件中存在计算或表达错误的，我方理解并接受评标委员会按照招标文件规定的原则进行修正，这种修正对我方具有约束力，且不需要我方确认。</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在签署合同协议书之前，你方的中标通知书和本投标承诺书将构成约束我们双方的契约。</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ind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投 标 人： (盖公章)</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授权代表： (签  字)</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pPr>
        <w:spacing w:line="360" w:lineRule="auto"/>
        <w:ind w:firstLine="3240" w:firstLineChars="1350"/>
        <w:rPr>
          <w:rFonts w:ascii="宋体" w:hAnsi="宋体" w:eastAsia="宋体" w:cs="宋体"/>
          <w:b/>
          <w:color w:val="auto"/>
          <w:spacing w:val="20"/>
          <w:sz w:val="28"/>
          <w:szCs w:val="28"/>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pStyle w:val="22"/>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br w:type="page"/>
      </w:r>
      <w:bookmarkStart w:id="9" w:name="_Toc216145749"/>
      <w:bookmarkEnd w:id="9"/>
      <w:bookmarkStart w:id="10" w:name="_Toc223342668"/>
      <w:bookmarkEnd w:id="10"/>
      <w:r>
        <w:rPr>
          <w:rFonts w:hint="eastAsia" w:ascii="宋体" w:hAnsi="宋体" w:eastAsia="宋体" w:cs="黑体"/>
          <w:color w:val="auto"/>
          <w:sz w:val="28"/>
          <w:szCs w:val="28"/>
          <w:highlight w:val="none"/>
        </w:rPr>
        <w:t>格式三：</w:t>
      </w:r>
    </w:p>
    <w:p>
      <w:pPr>
        <w:pStyle w:val="24"/>
        <w:widowControl/>
        <w:ind w:firstLine="0" w:firstLineChars="0"/>
        <w:jc w:val="center"/>
        <w:outlineLvl w:val="2"/>
        <w:rPr>
          <w:color w:val="auto"/>
          <w:kern w:val="44"/>
          <w:highlight w:val="none"/>
        </w:rPr>
      </w:pPr>
      <w:bookmarkStart w:id="11" w:name="_Toc172416501"/>
      <w:bookmarkEnd w:id="11"/>
      <w:r>
        <w:rPr>
          <w:rFonts w:hint="eastAsia" w:ascii="宋体" w:hAnsi="宋体" w:cs="宋体"/>
          <w:b/>
          <w:color w:val="auto"/>
          <w:sz w:val="30"/>
          <w:szCs w:val="30"/>
          <w:highlight w:val="none"/>
        </w:rPr>
        <w:t>法定代表人证明书</w:t>
      </w:r>
    </w:p>
    <w:p>
      <w:pPr>
        <w:pStyle w:val="24"/>
        <w:widowControl/>
        <w:ind w:firstLine="496"/>
        <w:jc w:val="right"/>
        <w:rPr>
          <w:b/>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24"/>
        <w:widowControl/>
        <w:ind w:firstLine="0" w:firstLineChars="0"/>
        <w:rPr>
          <w:color w:val="auto"/>
          <w:sz w:val="30"/>
          <w:szCs w:val="30"/>
          <w:highlight w:val="none"/>
        </w:rPr>
      </w:pPr>
      <w:r>
        <w:rPr>
          <w:color w:val="auto"/>
          <w:highlight w:val="none"/>
        </w:rPr>
        <w:drawing>
          <wp:inline distT="0" distB="0" distL="114300" distR="114300">
            <wp:extent cx="5543550" cy="27908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cstate="print"/>
                    <a:stretch>
                      <a:fillRect/>
                    </a:stretch>
                  </pic:blipFill>
                  <pic:spPr>
                    <a:xfrm>
                      <a:off x="0" y="0"/>
                      <a:ext cx="5543550" cy="2790825"/>
                    </a:xfrm>
                    <a:prstGeom prst="rect">
                      <a:avLst/>
                    </a:prstGeom>
                    <a:noFill/>
                    <a:ln w="9525">
                      <a:noFill/>
                    </a:ln>
                  </pic:spPr>
                </pic:pic>
              </a:graphicData>
            </a:graphic>
          </wp:inline>
        </w:drawing>
      </w:r>
    </w:p>
    <w:p>
      <w:pPr>
        <w:pStyle w:val="24"/>
        <w:widowControl/>
        <w:ind w:firstLine="618"/>
        <w:rPr>
          <w:b/>
          <w:color w:val="auto"/>
          <w:sz w:val="30"/>
          <w:szCs w:val="30"/>
          <w:highlight w:val="none"/>
        </w:rPr>
      </w:pPr>
      <w:r>
        <w:rPr>
          <w:b/>
          <w:color w:val="auto"/>
          <w:sz w:val="30"/>
          <w:szCs w:val="30"/>
          <w:highlight w:val="none"/>
        </w:rPr>
        <w:t xml:space="preserve"> </w:t>
      </w:r>
    </w:p>
    <w:p>
      <w:pPr>
        <w:pStyle w:val="24"/>
        <w:widowControl/>
        <w:ind w:firstLine="0" w:firstLineChars="0"/>
        <w:jc w:val="center"/>
        <w:outlineLvl w:val="2"/>
        <w:rPr>
          <w:b/>
          <w:color w:val="auto"/>
          <w:sz w:val="30"/>
          <w:szCs w:val="30"/>
          <w:highlight w:val="none"/>
        </w:rPr>
      </w:pPr>
      <w:r>
        <w:rPr>
          <w:rFonts w:hint="eastAsia" w:ascii="宋体" w:hAnsi="宋体" w:cs="宋体"/>
          <w:b/>
          <w:color w:val="auto"/>
          <w:sz w:val="30"/>
          <w:szCs w:val="30"/>
          <w:highlight w:val="none"/>
        </w:rPr>
        <w:t>授权委托证明书</w:t>
      </w:r>
    </w:p>
    <w:p>
      <w:pPr>
        <w:pStyle w:val="24"/>
        <w:widowControl/>
        <w:ind w:firstLine="496"/>
        <w:jc w:val="right"/>
        <w:rPr>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24"/>
        <w:widowControl/>
        <w:ind w:firstLine="0" w:firstLineChars="0"/>
        <w:rPr>
          <w:b/>
          <w:color w:val="auto"/>
          <w:highlight w:val="none"/>
        </w:rPr>
      </w:pPr>
      <w:r>
        <w:rPr>
          <w:color w:val="auto"/>
          <w:highlight w:val="none"/>
        </w:rPr>
        <w:drawing>
          <wp:inline distT="0" distB="0" distL="114300" distR="114300">
            <wp:extent cx="5543550" cy="28384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r:link="rId9" cstate="print"/>
                    <a:stretch>
                      <a:fillRect/>
                    </a:stretch>
                  </pic:blipFill>
                  <pic:spPr>
                    <a:xfrm>
                      <a:off x="0" y="0"/>
                      <a:ext cx="5543550" cy="2838450"/>
                    </a:xfrm>
                    <a:prstGeom prst="rect">
                      <a:avLst/>
                    </a:prstGeom>
                    <a:noFill/>
                    <a:ln w="9525">
                      <a:noFill/>
                    </a:ln>
                  </pic:spPr>
                </pic:pic>
              </a:graphicData>
            </a:graphic>
          </wp:inline>
        </w:drawing>
      </w:r>
    </w:p>
    <w:p>
      <w:pPr>
        <w:pStyle w:val="22"/>
        <w:widowControl/>
        <w:spacing w:before="142"/>
        <w:jc w:val="both"/>
        <w:outlineLvl w:val="9"/>
        <w:rPr>
          <w:rFonts w:ascii="黑体" w:hAnsi="宋体" w:cs="宋体"/>
          <w:b w:val="0"/>
          <w:color w:val="auto"/>
          <w:highlight w:val="none"/>
        </w:rPr>
      </w:pPr>
      <w:r>
        <w:rPr>
          <w:rFonts w:hint="eastAsia" w:ascii="黑体" w:hAnsi="宋体" w:cs="宋体"/>
          <w:b w:val="0"/>
          <w:color w:val="auto"/>
          <w:highlight w:val="none"/>
        </w:rPr>
        <w:t>备注：也可使用从工商管理部门购买的格式填写</w:t>
      </w:r>
      <w:bookmarkStart w:id="12" w:name="_Toc216145759"/>
      <w:bookmarkEnd w:id="12"/>
      <w:bookmarkStart w:id="13" w:name="_Toc223342677"/>
    </w:p>
    <w:p>
      <w:pPr>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br w:type="page"/>
      </w:r>
    </w:p>
    <w:p>
      <w:pPr>
        <w:pStyle w:val="22"/>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t>格式四：</w:t>
      </w:r>
      <w:bookmarkEnd w:id="13"/>
      <w:r>
        <w:rPr>
          <w:rFonts w:hint="eastAsia" w:ascii="宋体" w:hAnsi="宋体" w:eastAsia="宋体" w:cs="宋体"/>
          <w:color w:val="auto"/>
          <w:sz w:val="28"/>
          <w:szCs w:val="28"/>
          <w:highlight w:val="none"/>
        </w:rPr>
        <w:t xml:space="preserve"> </w:t>
      </w:r>
    </w:p>
    <w:p>
      <w:pPr>
        <w:pStyle w:val="24"/>
        <w:widowControl/>
        <w:ind w:firstLine="0" w:firstLineChars="0"/>
        <w:jc w:val="center"/>
        <w:rPr>
          <w:b/>
          <w:color w:val="auto"/>
          <w:sz w:val="28"/>
          <w:szCs w:val="28"/>
          <w:highlight w:val="none"/>
        </w:rPr>
      </w:pPr>
      <w:r>
        <w:rPr>
          <w:b/>
          <w:color w:val="auto"/>
          <w:sz w:val="28"/>
          <w:szCs w:val="28"/>
          <w:highlight w:val="none"/>
        </w:rPr>
        <w:t xml:space="preserve"> </w:t>
      </w:r>
    </w:p>
    <w:p>
      <w:pPr>
        <w:snapToGrid w:val="0"/>
        <w:spacing w:after="120" w:line="440" w:lineRule="exact"/>
        <w:jc w:val="center"/>
        <w:outlineLvl w:val="2"/>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现场人员到位承诺书</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val="en-US" w:eastAsia="zh-CN"/>
        </w:rPr>
        <w:t>发包</w:t>
      </w: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lang w:eastAsia="zh-CN"/>
        </w:rPr>
        <w:t>广州南沙资产经营集团有限公司</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投标工程名称：</w:t>
      </w:r>
      <w:r>
        <w:rPr>
          <w:rFonts w:hint="eastAsia" w:ascii="宋体" w:hAnsi="宋体" w:eastAsia="宋体" w:cs="宋体"/>
          <w:color w:val="auto"/>
          <w:sz w:val="24"/>
          <w:highlight w:val="none"/>
          <w:u w:val="single"/>
          <w:lang w:val="en-US" w:eastAsia="zh-CN"/>
        </w:rPr>
        <w:t>广州南沙</w:t>
      </w:r>
      <w:r>
        <w:rPr>
          <w:rFonts w:hint="eastAsia" w:ascii="宋体" w:hAnsi="宋体" w:eastAsia="宋体" w:cs="宋体"/>
          <w:color w:val="auto"/>
          <w:sz w:val="24"/>
          <w:highlight w:val="none"/>
          <w:u w:val="single"/>
        </w:rPr>
        <w:t>资产经营集团</w:t>
      </w:r>
      <w:r>
        <w:rPr>
          <w:rFonts w:hint="eastAsia" w:ascii="宋体" w:hAnsi="宋体" w:eastAsia="宋体" w:cs="宋体"/>
          <w:color w:val="auto"/>
          <w:sz w:val="24"/>
          <w:highlight w:val="none"/>
          <w:u w:val="single"/>
          <w:lang w:val="en-US" w:eastAsia="zh-CN"/>
        </w:rPr>
        <w:t>有限公司工程</w:t>
      </w:r>
      <w:r>
        <w:rPr>
          <w:rFonts w:hint="eastAsia" w:ascii="宋体" w:hAnsi="宋体" w:eastAsia="宋体" w:cs="宋体"/>
          <w:color w:val="auto"/>
          <w:sz w:val="24"/>
          <w:highlight w:val="none"/>
          <w:u w:val="single"/>
        </w:rPr>
        <w:t>项目</w:t>
      </w:r>
      <w:r>
        <w:rPr>
          <w:rFonts w:hint="eastAsia" w:ascii="宋体" w:hAnsi="宋体" w:eastAsia="宋体" w:cs="宋体"/>
          <w:color w:val="auto"/>
          <w:sz w:val="24"/>
          <w:highlight w:val="none"/>
          <w:u w:val="single"/>
          <w:lang w:val="en-US" w:eastAsia="zh-CN"/>
        </w:rPr>
        <w:t>年度造价</w:t>
      </w:r>
      <w:r>
        <w:rPr>
          <w:rFonts w:hint="eastAsia" w:ascii="宋体" w:hAnsi="宋体" w:eastAsia="宋体" w:cs="宋体"/>
          <w:color w:val="auto"/>
          <w:sz w:val="24"/>
          <w:highlight w:val="none"/>
          <w:u w:val="single"/>
        </w:rPr>
        <w:t>咨询服务</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我方如果中标，承诺现场人员的配备不得低于招标人要求（不包括项目负责人）；</w:t>
      </w:r>
      <w:r>
        <w:rPr>
          <w:rFonts w:hint="eastAsia" w:ascii="宋体" w:hAnsi="宋体" w:eastAsia="宋体" w:cs="宋体"/>
          <w:color w:val="auto"/>
          <w:sz w:val="24"/>
          <w:szCs w:val="24"/>
          <w:highlight w:val="none"/>
          <w:lang w:val="en-US" w:eastAsia="zh-CN"/>
        </w:rPr>
        <w:t>技术负责人</w:t>
      </w:r>
      <w:r>
        <w:rPr>
          <w:rFonts w:hint="eastAsia" w:ascii="宋体" w:hAnsi="宋体" w:eastAsia="宋体" w:cs="宋体"/>
          <w:color w:val="auto"/>
          <w:sz w:val="24"/>
          <w:szCs w:val="24"/>
          <w:highlight w:val="none"/>
        </w:rPr>
        <w:t>1名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土建、安装</w:t>
      </w:r>
      <w:r>
        <w:rPr>
          <w:rFonts w:hint="eastAsia" w:ascii="宋体" w:hAnsi="宋体" w:eastAsia="宋体" w:cs="宋体"/>
          <w:color w:val="auto"/>
          <w:sz w:val="24"/>
          <w:szCs w:val="24"/>
          <w:highlight w:val="none"/>
        </w:rPr>
        <w:t>造价</w:t>
      </w:r>
      <w:r>
        <w:rPr>
          <w:rFonts w:hint="eastAsia" w:ascii="宋体" w:hAnsi="宋体" w:eastAsia="宋体" w:cs="宋体"/>
          <w:color w:val="auto"/>
          <w:sz w:val="24"/>
          <w:szCs w:val="24"/>
          <w:highlight w:val="none"/>
          <w:lang w:val="en-US" w:eastAsia="zh-CN"/>
        </w:rPr>
        <w:t>工程师各</w:t>
      </w:r>
      <w:r>
        <w:rPr>
          <w:rFonts w:hint="eastAsia" w:ascii="宋体" w:hAnsi="宋体" w:eastAsia="宋体" w:cs="宋体"/>
          <w:color w:val="auto"/>
          <w:sz w:val="24"/>
          <w:szCs w:val="24"/>
          <w:highlight w:val="none"/>
        </w:rPr>
        <w:t>1名，</w:t>
      </w:r>
      <w:r>
        <w:rPr>
          <w:rFonts w:hint="eastAsia" w:ascii="宋体" w:hAnsi="宋体" w:eastAsia="宋体" w:cs="宋体"/>
          <w:color w:val="auto"/>
          <w:sz w:val="24"/>
          <w:highlight w:val="none"/>
        </w:rPr>
        <w:t>各专业人员根据工程进度派驻驻地完成</w:t>
      </w:r>
      <w:r>
        <w:rPr>
          <w:rFonts w:hint="eastAsia" w:ascii="宋体" w:hAnsi="宋体" w:eastAsia="宋体" w:cs="宋体"/>
          <w:color w:val="auto"/>
          <w:sz w:val="24"/>
          <w:highlight w:val="none"/>
          <w:lang w:val="en-US" w:eastAsia="zh-CN"/>
        </w:rPr>
        <w:t>造价咨询</w:t>
      </w:r>
      <w:r>
        <w:rPr>
          <w:rFonts w:hint="eastAsia" w:ascii="宋体" w:hAnsi="宋体" w:eastAsia="宋体" w:cs="宋体"/>
          <w:color w:val="auto"/>
          <w:sz w:val="24"/>
          <w:highlight w:val="none"/>
        </w:rPr>
        <w:t>任务。</w:t>
      </w:r>
    </w:p>
    <w:p>
      <w:pPr>
        <w:snapToGrid w:val="0"/>
        <w:spacing w:after="120" w:line="440" w:lineRule="exact"/>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投标单位名称（盖法人公章）：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ind w:firstLine="240" w:firstLineChars="100"/>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法定代表人或受委托人（签字或盖章）：</w:t>
      </w:r>
      <w:r>
        <w:rPr>
          <w:rFonts w:hint="eastAsia" w:ascii="宋体" w:hAnsi="宋体" w:eastAsia="宋体" w:cs="宋体"/>
          <w:color w:val="auto"/>
          <w:sz w:val="24"/>
          <w:highlight w:val="none"/>
          <w:u w:val="singl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日期：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w:t>
      </w:r>
    </w:p>
    <w:p>
      <w:pPr>
        <w:snapToGrid w:val="0"/>
        <w:spacing w:after="120"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outlineLvl w:val="1"/>
        <w:rPr>
          <w:rFonts w:ascii="宋体" w:hAnsi="宋体" w:eastAsia="宋体" w:cs="宋体"/>
          <w:b/>
          <w:color w:val="auto"/>
          <w:sz w:val="28"/>
          <w:szCs w:val="28"/>
          <w:highlight w:val="none"/>
        </w:rPr>
      </w:pPr>
      <w:r>
        <w:rPr>
          <w:rFonts w:ascii="Times New Roman" w:hAnsi="Times New Roman" w:eastAsia="宋体" w:cs="Times New Roman"/>
          <w:color w:val="auto"/>
          <w:spacing w:val="18"/>
          <w:szCs w:val="21"/>
          <w:highlight w:val="none"/>
        </w:rPr>
        <w:br w:type="page"/>
      </w:r>
      <w:bookmarkStart w:id="14" w:name="_Toc196130013"/>
      <w:bookmarkEnd w:id="14"/>
      <w:bookmarkStart w:id="15" w:name="_Toc196130110"/>
      <w:bookmarkEnd w:id="15"/>
      <w:bookmarkStart w:id="16" w:name="_Toc196036941"/>
      <w:bookmarkEnd w:id="16"/>
      <w:bookmarkStart w:id="17" w:name="_Toc415833503"/>
      <w:bookmarkEnd w:id="17"/>
      <w:bookmarkStart w:id="18" w:name="_Toc196037097"/>
      <w:bookmarkEnd w:id="18"/>
      <w:bookmarkStart w:id="19" w:name="_Toc459403394"/>
      <w:bookmarkEnd w:id="19"/>
      <w:bookmarkStart w:id="20" w:name="_Toc197235848"/>
      <w:bookmarkEnd w:id="20"/>
      <w:bookmarkStart w:id="21" w:name="_Toc415728297"/>
      <w:bookmarkEnd w:id="21"/>
      <w:bookmarkStart w:id="22" w:name="_Toc41822703"/>
      <w:bookmarkEnd w:id="22"/>
      <w:bookmarkStart w:id="23" w:name="_Toc199647675"/>
      <w:bookmarkEnd w:id="23"/>
      <w:bookmarkStart w:id="24" w:name="_Toc326909213"/>
      <w:bookmarkEnd w:id="24"/>
      <w:bookmarkStart w:id="25" w:name="_Toc462911098"/>
      <w:r>
        <w:rPr>
          <w:rFonts w:hint="eastAsia" w:ascii="宋体" w:hAnsi="宋体" w:eastAsia="宋体" w:cs="黑体"/>
          <w:b/>
          <w:color w:val="auto"/>
          <w:spacing w:val="4"/>
          <w:kern w:val="0"/>
          <w:sz w:val="28"/>
          <w:szCs w:val="28"/>
          <w:highlight w:val="none"/>
        </w:rPr>
        <w:t>格式五</w:t>
      </w:r>
      <w:bookmarkEnd w:id="25"/>
      <w:r>
        <w:rPr>
          <w:rFonts w:hint="eastAsia" w:ascii="宋体" w:hAnsi="宋体" w:eastAsia="宋体" w:cs="宋体"/>
          <w:color w:val="auto"/>
          <w:sz w:val="28"/>
          <w:szCs w:val="28"/>
          <w:highlight w:val="none"/>
        </w:rPr>
        <w:t>：</w:t>
      </w:r>
    </w:p>
    <w:p>
      <w:pPr>
        <w:spacing w:line="360" w:lineRule="auto"/>
        <w:jc w:val="center"/>
        <w:outlineLvl w:val="2"/>
        <w:rPr>
          <w:rFonts w:ascii="仿宋" w:hAnsi="仿宋" w:eastAsia="仿宋" w:cs="仿宋"/>
          <w:b/>
          <w:bCs/>
          <w:color w:val="auto"/>
          <w:sz w:val="36"/>
          <w:szCs w:val="36"/>
          <w:highlight w:val="none"/>
        </w:rPr>
      </w:pPr>
      <w:bookmarkStart w:id="26" w:name="_Toc41822704"/>
      <w:bookmarkEnd w:id="26"/>
      <w:r>
        <w:rPr>
          <w:rFonts w:hint="eastAsia" w:ascii="仿宋" w:hAnsi="仿宋" w:eastAsia="仿宋" w:cs="仿宋"/>
          <w:b/>
          <w:bCs/>
          <w:color w:val="auto"/>
          <w:sz w:val="36"/>
          <w:szCs w:val="36"/>
          <w:highlight w:val="none"/>
        </w:rPr>
        <w:t>投标人综合概况</w:t>
      </w:r>
    </w:p>
    <w:tbl>
      <w:tblPr>
        <w:tblStyle w:val="17"/>
        <w:tblW w:w="93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870"/>
        <w:gridCol w:w="59"/>
        <w:gridCol w:w="2312"/>
        <w:gridCol w:w="318"/>
        <w:gridCol w:w="1302"/>
        <w:gridCol w:w="677"/>
        <w:gridCol w:w="223"/>
        <w:gridCol w:w="1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组织机构代码</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注册登记号</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单位性质</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pacing w:val="30"/>
                <w:sz w:val="24"/>
                <w:highlight w:val="none"/>
              </w:rPr>
            </w:pPr>
            <w:r>
              <w:rPr>
                <w:rFonts w:hint="eastAsia" w:ascii="仿宋" w:hAnsi="仿宋" w:eastAsia="仿宋" w:cs="仿宋"/>
                <w:color w:val="auto"/>
                <w:sz w:val="24"/>
                <w:highlight w:val="none"/>
              </w:rPr>
              <w:t>税务登记证号</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pacing w:val="34"/>
                <w:sz w:val="24"/>
                <w:highlight w:val="none"/>
              </w:rPr>
              <w:t>注册资本</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分支机构地址</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营业期限</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工程资质证号、范围和等级</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ISO9000认证号、范围</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vMerge w:val="restart"/>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其他资质证号、范围和等级</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rPr>
                <w:rFonts w:ascii="Times New Roman" w:hAnsi="Times New Roman" w:cs="Times New Roman"/>
                <w:color w:val="auto"/>
                <w:sz w:val="20"/>
                <w:szCs w:val="20"/>
                <w:highlight w:val="none"/>
              </w:rPr>
            </w:pP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rPr>
                <w:rFonts w:ascii="Times New Roman" w:hAnsi="Times New Roman" w:cs="Times New Roman"/>
                <w:color w:val="auto"/>
                <w:sz w:val="20"/>
                <w:szCs w:val="20"/>
                <w:highlight w:val="none"/>
              </w:rPr>
            </w:pP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员工数量</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人，其中，高级职称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人，中级职称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联络人</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手机号码</w:t>
            </w:r>
          </w:p>
        </w:tc>
        <w:tc>
          <w:tcPr>
            <w:tcW w:w="2778" w:type="dxa"/>
            <w:gridSpan w:val="3"/>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2778" w:type="dxa"/>
            <w:gridSpan w:val="3"/>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332" w:type="dxa"/>
            <w:gridSpan w:val="9"/>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4398" w:type="dxa"/>
            <w:gridSpan w:val="5"/>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务</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90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 历</w:t>
            </w:r>
          </w:p>
        </w:tc>
        <w:tc>
          <w:tcPr>
            <w:tcW w:w="1878"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5" w:hRule="atLeast"/>
          <w:jc w:val="center"/>
        </w:trPr>
        <w:tc>
          <w:tcPr>
            <w:tcW w:w="9332" w:type="dxa"/>
            <w:gridSpan w:val="9"/>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投标单位简介（请简要说明单位情况，包括成立时间、业务范围、专业构成、规模）：</w:t>
            </w:r>
          </w:p>
          <w:p>
            <w:pPr>
              <w:spacing w:line="360" w:lineRule="auto"/>
              <w:ind w:firstLine="6960" w:firstLineChars="2900"/>
              <w:rPr>
                <w:rFonts w:ascii="仿宋" w:hAnsi="仿宋" w:eastAsia="仿宋" w:cs="仿宋"/>
                <w:color w:val="auto"/>
                <w:sz w:val="24"/>
                <w:highlight w:val="none"/>
              </w:rPr>
            </w:pPr>
            <w:r>
              <w:rPr>
                <w:rFonts w:hint="eastAsia" w:ascii="仿宋" w:hAnsi="仿宋" w:eastAsia="仿宋" w:cs="仿宋"/>
                <w:color w:val="auto"/>
                <w:sz w:val="24"/>
                <w:highlight w:val="none"/>
              </w:rPr>
              <w:t>（单位盖章）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5" w:hRule="atLeast"/>
          <w:jc w:val="center"/>
        </w:trPr>
        <w:tc>
          <w:tcPr>
            <w:tcW w:w="9332" w:type="dxa"/>
            <w:gridSpan w:val="9"/>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投标单位完成本项目所独有的有利条件及相关</w:t>
            </w:r>
            <w:r>
              <w:rPr>
                <w:rFonts w:hint="eastAsia" w:ascii="仿宋" w:hAnsi="仿宋" w:eastAsia="仿宋" w:cs="仿宋"/>
                <w:color w:val="auto"/>
                <w:sz w:val="24"/>
                <w:highlight w:val="none"/>
                <w:lang w:val="en-US" w:eastAsia="zh-CN"/>
              </w:rPr>
              <w:t>造价</w:t>
            </w:r>
            <w:r>
              <w:rPr>
                <w:rFonts w:hint="eastAsia" w:ascii="仿宋" w:hAnsi="仿宋" w:eastAsia="仿宋" w:cs="仿宋"/>
                <w:color w:val="auto"/>
                <w:sz w:val="24"/>
                <w:highlight w:val="none"/>
              </w:rPr>
              <w:t>的专业特长：</w:t>
            </w:r>
          </w:p>
        </w:tc>
      </w:tr>
    </w:tbl>
    <w:p>
      <w:pPr>
        <w:rPr>
          <w:rFonts w:ascii="仿宋" w:hAnsi="仿宋" w:eastAsia="仿宋" w:cs="仿宋"/>
          <w:color w:val="auto"/>
          <w:highlight w:val="none"/>
        </w:rPr>
      </w:pPr>
      <w:r>
        <w:rPr>
          <w:rFonts w:hint="eastAsia" w:ascii="仿宋" w:hAnsi="仿宋" w:eastAsia="仿宋" w:cs="仿宋"/>
          <w:color w:val="auto"/>
          <w:szCs w:val="21"/>
          <w:highlight w:val="none"/>
        </w:rPr>
        <w:t>注：企业资质、营业执照需要附上复印件。</w:t>
      </w:r>
    </w:p>
    <w:p>
      <w:pPr>
        <w:rPr>
          <w:rFonts w:ascii="仿宋" w:hAnsi="仿宋" w:eastAsia="仿宋" w:cs="仿宋"/>
          <w:color w:val="auto"/>
          <w:highlight w:val="none"/>
        </w:rPr>
      </w:pPr>
      <w:r>
        <w:rPr>
          <w:rFonts w:hint="eastAsia" w:ascii="仿宋" w:hAnsi="仿宋" w:eastAsia="仿宋" w:cs="仿宋"/>
          <w:color w:val="auto"/>
          <w:szCs w:val="21"/>
          <w:highlight w:val="none"/>
        </w:rPr>
        <w:t xml:space="preserve">  </w:t>
      </w:r>
    </w:p>
    <w:p>
      <w:pPr>
        <w:outlineLvl w:val="1"/>
        <w:rPr>
          <w:rFonts w:ascii="仿宋" w:hAnsi="仿宋" w:eastAsia="仿宋" w:cs="仿宋"/>
          <w:color w:val="auto"/>
          <w:kern w:val="24"/>
          <w:sz w:val="28"/>
          <w:szCs w:val="28"/>
          <w:highlight w:val="none"/>
        </w:rPr>
      </w:pPr>
      <w:bookmarkStart w:id="27" w:name="_Toc415833504"/>
      <w:bookmarkEnd w:id="27"/>
      <w:bookmarkStart w:id="28" w:name="_Toc415728298"/>
      <w:bookmarkEnd w:id="28"/>
      <w:bookmarkStart w:id="29" w:name="_Toc196037098"/>
      <w:bookmarkEnd w:id="29"/>
      <w:bookmarkStart w:id="30" w:name="_Toc197235849"/>
      <w:bookmarkEnd w:id="30"/>
      <w:bookmarkStart w:id="31" w:name="_Toc459403395"/>
      <w:bookmarkEnd w:id="31"/>
      <w:bookmarkStart w:id="32" w:name="_Toc326909214"/>
      <w:bookmarkEnd w:id="32"/>
      <w:bookmarkStart w:id="33" w:name="_Toc196036942"/>
      <w:bookmarkEnd w:id="33"/>
      <w:bookmarkStart w:id="34" w:name="_Toc196130014"/>
      <w:bookmarkEnd w:id="34"/>
      <w:bookmarkStart w:id="35" w:name="_Toc199647676"/>
      <w:bookmarkEnd w:id="35"/>
      <w:bookmarkStart w:id="36" w:name="_Toc196130111"/>
      <w:bookmarkEnd w:id="36"/>
      <w:bookmarkStart w:id="37" w:name="_Toc462911099"/>
      <w:r>
        <w:rPr>
          <w:rFonts w:hint="eastAsia" w:ascii="宋体" w:hAnsi="宋体" w:eastAsia="宋体" w:cs="黑体"/>
          <w:b/>
          <w:color w:val="auto"/>
          <w:spacing w:val="4"/>
          <w:kern w:val="0"/>
          <w:sz w:val="28"/>
          <w:szCs w:val="28"/>
          <w:highlight w:val="none"/>
        </w:rPr>
        <w:t>格式六</w:t>
      </w:r>
      <w:bookmarkEnd w:id="37"/>
      <w:r>
        <w:rPr>
          <w:rFonts w:hint="eastAsia" w:ascii="仿宋" w:hAnsi="仿宋" w:eastAsia="仿宋" w:cs="仿宋"/>
          <w:color w:val="auto"/>
          <w:kern w:val="24"/>
          <w:sz w:val="28"/>
          <w:szCs w:val="28"/>
          <w:highlight w:val="none"/>
        </w:rPr>
        <w:t>：</w:t>
      </w:r>
    </w:p>
    <w:p>
      <w:pPr>
        <w:ind w:firstLine="480" w:firstLineChars="200"/>
        <w:rPr>
          <w:rFonts w:ascii="仿宋" w:hAnsi="仿宋" w:eastAsia="仿宋" w:cs="仿宋"/>
          <w:color w:val="auto"/>
          <w:kern w:val="24"/>
          <w:sz w:val="24"/>
          <w:highlight w:val="none"/>
        </w:rPr>
      </w:pPr>
      <w:r>
        <w:rPr>
          <w:rFonts w:hint="eastAsia" w:ascii="仿宋" w:hAnsi="仿宋" w:eastAsia="仿宋" w:cs="仿宋"/>
          <w:color w:val="auto"/>
          <w:kern w:val="24"/>
          <w:sz w:val="24"/>
          <w:highlight w:val="none"/>
        </w:rPr>
        <w:t>20</w:t>
      </w:r>
      <w:r>
        <w:rPr>
          <w:rFonts w:hint="eastAsia" w:ascii="仿宋" w:hAnsi="仿宋" w:eastAsia="仿宋" w:cs="仿宋"/>
          <w:color w:val="auto"/>
          <w:kern w:val="24"/>
          <w:sz w:val="24"/>
          <w:highlight w:val="none"/>
          <w:lang w:val="en-US" w:eastAsia="zh-CN"/>
        </w:rPr>
        <w:t>18</w:t>
      </w:r>
      <w:r>
        <w:rPr>
          <w:rFonts w:hint="eastAsia" w:ascii="仿宋" w:hAnsi="仿宋" w:eastAsia="仿宋" w:cs="仿宋"/>
          <w:color w:val="auto"/>
          <w:kern w:val="24"/>
          <w:sz w:val="24"/>
          <w:highlight w:val="none"/>
        </w:rPr>
        <w:t>年至</w:t>
      </w:r>
      <w:r>
        <w:rPr>
          <w:rFonts w:hint="eastAsia" w:ascii="仿宋" w:hAnsi="仿宋" w:eastAsia="仿宋" w:cs="仿宋"/>
          <w:color w:val="auto"/>
          <w:kern w:val="24"/>
          <w:sz w:val="24"/>
          <w:highlight w:val="none"/>
          <w:lang w:val="en-US" w:eastAsia="zh-CN"/>
        </w:rPr>
        <w:t>今</w:t>
      </w:r>
      <w:r>
        <w:rPr>
          <w:rFonts w:hint="eastAsia" w:ascii="仿宋" w:hAnsi="仿宋" w:eastAsia="仿宋" w:cs="仿宋"/>
          <w:color w:val="auto"/>
          <w:kern w:val="24"/>
          <w:sz w:val="24"/>
          <w:highlight w:val="none"/>
        </w:rPr>
        <w:t>企业承担的同类项目（</w:t>
      </w:r>
      <w:r>
        <w:rPr>
          <w:rFonts w:hint="eastAsia" w:ascii="仿宋" w:hAnsi="仿宋" w:eastAsia="仿宋" w:cs="仿宋"/>
          <w:color w:val="auto"/>
          <w:kern w:val="24"/>
          <w:sz w:val="24"/>
          <w:highlight w:val="none"/>
          <w:lang w:val="en-US" w:eastAsia="zh-CN"/>
        </w:rPr>
        <w:t>造价咨询服务</w:t>
      </w:r>
      <w:r>
        <w:rPr>
          <w:rFonts w:hint="eastAsia" w:ascii="仿宋" w:hAnsi="仿宋" w:eastAsia="仿宋" w:cs="仿宋"/>
          <w:color w:val="auto"/>
          <w:kern w:val="24"/>
          <w:sz w:val="24"/>
          <w:highlight w:val="none"/>
        </w:rPr>
        <w:t>）</w:t>
      </w:r>
    </w:p>
    <w:p>
      <w:pPr>
        <w:spacing w:before="85" w:beforeLines="30" w:line="360" w:lineRule="auto"/>
        <w:jc w:val="center"/>
        <w:outlineLvl w:val="2"/>
        <w:rPr>
          <w:rFonts w:ascii="仿宋" w:hAnsi="仿宋" w:eastAsia="仿宋" w:cs="仿宋"/>
          <w:color w:val="auto"/>
          <w:kern w:val="24"/>
          <w:sz w:val="28"/>
          <w:szCs w:val="28"/>
          <w:highlight w:val="none"/>
        </w:rPr>
      </w:pPr>
      <w:bookmarkStart w:id="38" w:name="_Toc196130112"/>
      <w:bookmarkEnd w:id="38"/>
      <w:bookmarkStart w:id="39" w:name="_Toc197235850"/>
      <w:bookmarkEnd w:id="39"/>
      <w:bookmarkStart w:id="40" w:name="_Toc199647677"/>
      <w:bookmarkEnd w:id="40"/>
      <w:bookmarkStart w:id="41" w:name="_Toc196037099"/>
      <w:bookmarkEnd w:id="41"/>
      <w:bookmarkStart w:id="42" w:name="_Toc41822705"/>
      <w:bookmarkEnd w:id="42"/>
      <w:bookmarkStart w:id="43" w:name="_Toc196036943"/>
      <w:bookmarkEnd w:id="43"/>
      <w:bookmarkStart w:id="44" w:name="_Toc196130015"/>
      <w:bookmarkEnd w:id="44"/>
      <w:bookmarkStart w:id="45" w:name="_Toc326909215"/>
      <w:r>
        <w:rPr>
          <w:rFonts w:hint="eastAsia" w:ascii="仿宋" w:hAnsi="仿宋" w:eastAsia="仿宋" w:cs="仿宋"/>
          <w:b/>
          <w:bCs/>
          <w:color w:val="auto"/>
          <w:kern w:val="24"/>
          <w:sz w:val="36"/>
          <w:szCs w:val="36"/>
          <w:highlight w:val="none"/>
        </w:rPr>
        <w:t>业绩一览表</w:t>
      </w:r>
      <w:bookmarkEnd w:id="45"/>
    </w:p>
    <w:p>
      <w:pPr>
        <w:adjustRightInd w:val="0"/>
        <w:snapToGrid w:val="0"/>
        <w:spacing w:before="85"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7"/>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969"/>
        <w:gridCol w:w="1134"/>
        <w:gridCol w:w="1701"/>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adjustRightInd w:val="0"/>
              <w:snapToGrid w:val="0"/>
              <w:spacing w:line="400" w:lineRule="atLeas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序号</w:t>
            </w:r>
          </w:p>
        </w:tc>
        <w:tc>
          <w:tcPr>
            <w:tcW w:w="3969" w:type="dxa"/>
            <w:tcBorders>
              <w:top w:val="single" w:color="auto" w:sz="4" w:space="0"/>
              <w:left w:val="single" w:color="auto" w:sz="4" w:space="0"/>
              <w:bottom w:val="single" w:color="auto" w:sz="4" w:space="0"/>
              <w:right w:val="single" w:color="auto" w:sz="4" w:space="0"/>
            </w:tcBorders>
            <w:vAlign w:val="center"/>
          </w:tcPr>
          <w:p>
            <w:pPr>
              <w:spacing w:beforeLines="50" w:line="320" w:lineRule="exac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委托人</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Lines="50" w:line="320" w:lineRule="exac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主要服务内容</w:t>
            </w:r>
          </w:p>
        </w:tc>
        <w:tc>
          <w:tcPr>
            <w:tcW w:w="1701" w:type="dxa"/>
            <w:vAlign w:val="center"/>
          </w:tcPr>
          <w:p>
            <w:pPr>
              <w:adjustRightInd w:val="0"/>
              <w:snapToGrid w:val="0"/>
              <w:spacing w:line="400" w:lineRule="atLeas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主要造价服务合同额</w:t>
            </w:r>
          </w:p>
          <w:p>
            <w:pPr>
              <w:adjustRightInd w:val="0"/>
              <w:snapToGrid w:val="0"/>
              <w:spacing w:line="400" w:lineRule="atLeas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（万元）</w:t>
            </w:r>
          </w:p>
        </w:tc>
        <w:tc>
          <w:tcPr>
            <w:tcW w:w="1134" w:type="dxa"/>
            <w:vAlign w:val="center"/>
          </w:tcPr>
          <w:p>
            <w:pPr>
              <w:adjustRightInd w:val="0"/>
              <w:snapToGrid w:val="0"/>
              <w:spacing w:line="400" w:lineRule="atLeas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签定时间</w:t>
            </w:r>
          </w:p>
        </w:tc>
        <w:tc>
          <w:tcPr>
            <w:tcW w:w="1134" w:type="dxa"/>
          </w:tcPr>
          <w:p>
            <w:pPr>
              <w:adjustRightInd w:val="0"/>
              <w:snapToGrid w:val="0"/>
              <w:spacing w:line="400" w:lineRule="atLeas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是否为国有投资项目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w:t>
            </w:r>
          </w:p>
        </w:tc>
        <w:tc>
          <w:tcPr>
            <w:tcW w:w="3969"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vAlign w:val="center"/>
          </w:tcPr>
          <w:p>
            <w:pPr>
              <w:jc w:val="center"/>
              <w:rPr>
                <w:rFonts w:hint="eastAsia" w:asciiTheme="minorEastAsia" w:hAnsiTheme="minorEastAsia" w:eastAsiaTheme="minorEastAsia" w:cstheme="minorEastAsia"/>
                <w:color w:val="auto"/>
                <w:sz w:val="28"/>
                <w:szCs w:val="28"/>
                <w:highlight w:val="none"/>
              </w:rPr>
            </w:pPr>
          </w:p>
        </w:tc>
        <w:tc>
          <w:tcPr>
            <w:tcW w:w="1701"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p>
        </w:tc>
        <w:tc>
          <w:tcPr>
            <w:tcW w:w="3969"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vAlign w:val="center"/>
          </w:tcPr>
          <w:p>
            <w:pPr>
              <w:snapToGrid w:val="0"/>
              <w:spacing w:beforeLines="50" w:line="260" w:lineRule="exact"/>
              <w:jc w:val="center"/>
              <w:rPr>
                <w:rFonts w:hint="eastAsia" w:asciiTheme="minorEastAsia" w:hAnsiTheme="minorEastAsia" w:eastAsiaTheme="minorEastAsia" w:cstheme="minorEastAsia"/>
                <w:color w:val="auto"/>
                <w:sz w:val="28"/>
                <w:szCs w:val="28"/>
                <w:highlight w:val="none"/>
              </w:rPr>
            </w:pPr>
          </w:p>
        </w:tc>
        <w:tc>
          <w:tcPr>
            <w:tcW w:w="1701"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w:t>
            </w:r>
          </w:p>
        </w:tc>
        <w:tc>
          <w:tcPr>
            <w:tcW w:w="3969"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vAlign w:val="center"/>
          </w:tcPr>
          <w:p>
            <w:pPr>
              <w:snapToGrid w:val="0"/>
              <w:spacing w:beforeLines="50" w:line="260" w:lineRule="exact"/>
              <w:jc w:val="center"/>
              <w:rPr>
                <w:rFonts w:hint="eastAsia" w:asciiTheme="minorEastAsia" w:hAnsiTheme="minorEastAsia" w:eastAsiaTheme="minorEastAsia" w:cstheme="minorEastAsia"/>
                <w:color w:val="auto"/>
                <w:sz w:val="28"/>
                <w:szCs w:val="28"/>
                <w:highlight w:val="none"/>
              </w:rPr>
            </w:pPr>
          </w:p>
        </w:tc>
        <w:tc>
          <w:tcPr>
            <w:tcW w:w="1701"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w:t>
            </w:r>
          </w:p>
        </w:tc>
        <w:tc>
          <w:tcPr>
            <w:tcW w:w="3969"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vAlign w:val="center"/>
          </w:tcPr>
          <w:p>
            <w:pPr>
              <w:snapToGrid w:val="0"/>
              <w:spacing w:beforeLines="50" w:line="260" w:lineRule="exact"/>
              <w:jc w:val="center"/>
              <w:rPr>
                <w:rFonts w:hint="eastAsia" w:asciiTheme="minorEastAsia" w:hAnsiTheme="minorEastAsia" w:eastAsiaTheme="minorEastAsia" w:cstheme="minorEastAsia"/>
                <w:color w:val="auto"/>
                <w:sz w:val="28"/>
                <w:szCs w:val="28"/>
                <w:highlight w:val="none"/>
              </w:rPr>
            </w:pPr>
          </w:p>
        </w:tc>
        <w:tc>
          <w:tcPr>
            <w:tcW w:w="1701"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w:t>
            </w:r>
          </w:p>
        </w:tc>
        <w:tc>
          <w:tcPr>
            <w:tcW w:w="3969"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vAlign w:val="center"/>
          </w:tcPr>
          <w:p>
            <w:pPr>
              <w:spacing w:beforeLines="50" w:line="260" w:lineRule="exact"/>
              <w:jc w:val="center"/>
              <w:rPr>
                <w:rFonts w:hint="eastAsia" w:asciiTheme="minorEastAsia" w:hAnsiTheme="minorEastAsia" w:eastAsiaTheme="minorEastAsia" w:cstheme="minorEastAsia"/>
                <w:color w:val="auto"/>
                <w:sz w:val="28"/>
                <w:szCs w:val="28"/>
                <w:highlight w:val="none"/>
              </w:rPr>
            </w:pPr>
          </w:p>
        </w:tc>
        <w:tc>
          <w:tcPr>
            <w:tcW w:w="1701"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w:t>
            </w:r>
          </w:p>
        </w:tc>
        <w:tc>
          <w:tcPr>
            <w:tcW w:w="3969"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701"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beforeLines="5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w:t>
            </w:r>
          </w:p>
        </w:tc>
        <w:tc>
          <w:tcPr>
            <w:tcW w:w="3969"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vAlign w:val="center"/>
          </w:tcPr>
          <w:p>
            <w:pPr>
              <w:spacing w:beforeLines="50"/>
              <w:ind w:firstLine="140" w:firstLineChars="50"/>
              <w:jc w:val="center"/>
              <w:rPr>
                <w:rFonts w:hint="eastAsia" w:asciiTheme="minorEastAsia" w:hAnsiTheme="minorEastAsia" w:eastAsiaTheme="minorEastAsia" w:cstheme="minorEastAsia"/>
                <w:color w:val="auto"/>
                <w:sz w:val="28"/>
                <w:szCs w:val="28"/>
                <w:highlight w:val="none"/>
              </w:rPr>
            </w:pPr>
          </w:p>
        </w:tc>
        <w:tc>
          <w:tcPr>
            <w:tcW w:w="1701" w:type="dxa"/>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tcPr>
          <w:p>
            <w:pPr>
              <w:spacing w:beforeLines="50"/>
              <w:jc w:val="left"/>
              <w:rPr>
                <w:rFonts w:hint="eastAsia" w:asciiTheme="minorEastAsia" w:hAnsiTheme="minorEastAsia" w:eastAsiaTheme="minorEastAsia" w:cstheme="minorEastAsia"/>
                <w:color w:val="auto"/>
                <w:sz w:val="28"/>
                <w:szCs w:val="28"/>
                <w:highlight w:val="none"/>
              </w:rPr>
            </w:pPr>
          </w:p>
        </w:tc>
        <w:tc>
          <w:tcPr>
            <w:tcW w:w="1134" w:type="dxa"/>
          </w:tcPr>
          <w:p>
            <w:pPr>
              <w:spacing w:beforeLines="50"/>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beforeLines="5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w:t>
            </w:r>
          </w:p>
        </w:tc>
        <w:tc>
          <w:tcPr>
            <w:tcW w:w="3969"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vAlign w:val="center"/>
          </w:tcPr>
          <w:p>
            <w:pPr>
              <w:spacing w:beforeLines="50"/>
              <w:ind w:firstLine="140" w:firstLineChars="50"/>
              <w:jc w:val="center"/>
              <w:rPr>
                <w:rFonts w:hint="eastAsia" w:asciiTheme="minorEastAsia" w:hAnsiTheme="minorEastAsia" w:eastAsiaTheme="minorEastAsia" w:cstheme="minorEastAsia"/>
                <w:color w:val="auto"/>
                <w:sz w:val="28"/>
                <w:szCs w:val="28"/>
                <w:highlight w:val="none"/>
              </w:rPr>
            </w:pPr>
          </w:p>
        </w:tc>
        <w:tc>
          <w:tcPr>
            <w:tcW w:w="1701" w:type="dxa"/>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tcPr>
          <w:p>
            <w:pPr>
              <w:spacing w:beforeLines="50"/>
              <w:jc w:val="left"/>
              <w:rPr>
                <w:rFonts w:hint="eastAsia" w:asciiTheme="minorEastAsia" w:hAnsiTheme="minorEastAsia" w:eastAsiaTheme="minorEastAsia" w:cstheme="minorEastAsia"/>
                <w:color w:val="auto"/>
                <w:sz w:val="28"/>
                <w:szCs w:val="28"/>
                <w:highlight w:val="none"/>
              </w:rPr>
            </w:pPr>
          </w:p>
        </w:tc>
        <w:tc>
          <w:tcPr>
            <w:tcW w:w="1134" w:type="dxa"/>
          </w:tcPr>
          <w:p>
            <w:pPr>
              <w:spacing w:beforeLines="50"/>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68" w:type="dxa"/>
          </w:tcPr>
          <w:p>
            <w:pPr>
              <w:spacing w:beforeLines="50"/>
              <w:jc w:val="center"/>
              <w:rPr>
                <w:rFonts w:hint="eastAsia" w:asciiTheme="minorEastAsia" w:hAnsiTheme="minorEastAsia" w:eastAsiaTheme="minorEastAsia" w:cstheme="minorEastAsia"/>
                <w:color w:val="auto"/>
                <w:sz w:val="28"/>
                <w:szCs w:val="28"/>
                <w:highlight w:val="none"/>
              </w:rPr>
            </w:pPr>
          </w:p>
        </w:tc>
        <w:tc>
          <w:tcPr>
            <w:tcW w:w="3969"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701" w:type="dxa"/>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tcPr>
          <w:p>
            <w:pPr>
              <w:spacing w:beforeLines="50"/>
              <w:jc w:val="left"/>
              <w:rPr>
                <w:rFonts w:hint="eastAsia" w:asciiTheme="minorEastAsia" w:hAnsiTheme="minorEastAsia" w:eastAsiaTheme="minorEastAsia" w:cstheme="minorEastAsia"/>
                <w:color w:val="auto"/>
                <w:sz w:val="28"/>
                <w:szCs w:val="28"/>
                <w:highlight w:val="none"/>
              </w:rPr>
            </w:pPr>
          </w:p>
        </w:tc>
        <w:tc>
          <w:tcPr>
            <w:tcW w:w="1134" w:type="dxa"/>
          </w:tcPr>
          <w:p>
            <w:pPr>
              <w:spacing w:beforeLines="50"/>
              <w:jc w:val="left"/>
              <w:rPr>
                <w:rFonts w:hint="eastAsia" w:asciiTheme="minorEastAsia" w:hAnsiTheme="minorEastAsia" w:eastAsiaTheme="minorEastAsia" w:cstheme="minorEastAsia"/>
                <w:color w:val="auto"/>
                <w:sz w:val="28"/>
                <w:szCs w:val="28"/>
                <w:highlight w:val="none"/>
              </w:rPr>
            </w:pPr>
          </w:p>
        </w:tc>
      </w:tr>
    </w:tbl>
    <w:p>
      <w:pPr>
        <w:spacing w:line="360" w:lineRule="auto"/>
        <w:ind w:firstLine="359" w:firstLineChars="171"/>
        <w:rPr>
          <w:rFonts w:ascii="仿宋" w:hAnsi="仿宋" w:eastAsia="仿宋" w:cs="仿宋"/>
          <w:color w:val="auto"/>
          <w:highlight w:val="none"/>
        </w:rPr>
      </w:pPr>
      <w:r>
        <w:rPr>
          <w:rFonts w:hint="eastAsia" w:ascii="仿宋" w:hAnsi="仿宋" w:eastAsia="仿宋" w:cs="仿宋"/>
          <w:color w:val="auto"/>
          <w:szCs w:val="21"/>
          <w:highlight w:val="none"/>
        </w:rPr>
        <w:t>注：1、投标人提供的同类工程业绩证明资料附于该表后面。业绩证明资料须提供：（1）合同；相关证明资料必须能反映出评标所需指标，否则相应子项不予计分；时间以合同文件签订时间为准。</w:t>
      </w:r>
    </w:p>
    <w:p>
      <w:pPr>
        <w:keepNext w:val="0"/>
        <w:keepLines w:val="0"/>
        <w:pageBreakBefore w:val="0"/>
        <w:widowControl w:val="0"/>
        <w:kinsoku/>
        <w:wordWrap/>
        <w:overflowPunct/>
        <w:topLinePunct w:val="0"/>
        <w:autoSpaceDE/>
        <w:autoSpaceDN/>
        <w:bidi w:val="0"/>
        <w:adjustRightInd/>
        <w:snapToGrid/>
        <w:spacing w:line="360" w:lineRule="auto"/>
        <w:ind w:firstLine="779" w:firstLineChars="371"/>
        <w:textAlignment w:val="auto"/>
        <w:outlineLvl w:val="9"/>
        <w:rPr>
          <w:rFonts w:ascii="仿宋" w:hAnsi="仿宋" w:eastAsia="仿宋" w:cs="仿宋"/>
          <w:color w:val="auto"/>
          <w:sz w:val="24"/>
          <w:highlight w:val="none"/>
        </w:rPr>
      </w:pPr>
      <w:r>
        <w:rPr>
          <w:rFonts w:hint="eastAsia" w:ascii="仿宋" w:hAnsi="仿宋" w:eastAsia="仿宋" w:cs="仿宋"/>
          <w:color w:val="auto"/>
          <w:szCs w:val="21"/>
          <w:highlight w:val="none"/>
        </w:rPr>
        <w:t>2、如有获奖，请附获奖证书复印件。</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spacing w:line="600" w:lineRule="exact"/>
        <w:rPr>
          <w:rFonts w:ascii="仿宋" w:hAnsi="仿宋" w:eastAsia="仿宋" w:cs="宋体"/>
          <w:color w:val="auto"/>
          <w:sz w:val="28"/>
          <w:szCs w:val="28"/>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宋体"/>
          <w:color w:val="auto"/>
          <w:sz w:val="28"/>
          <w:szCs w:val="28"/>
          <w:highlight w:val="none"/>
        </w:rPr>
      </w:pPr>
      <w:r>
        <w:rPr>
          <w:rFonts w:hint="eastAsia" w:ascii="宋体" w:hAnsi="宋体" w:eastAsia="宋体" w:cs="黑体"/>
          <w:b/>
          <w:color w:val="auto"/>
          <w:spacing w:val="4"/>
          <w:kern w:val="0"/>
          <w:sz w:val="28"/>
          <w:szCs w:val="28"/>
          <w:highlight w:val="none"/>
        </w:rPr>
        <w:t>格式七</w:t>
      </w:r>
      <w:r>
        <w:rPr>
          <w:rFonts w:hint="eastAsia" w:ascii="仿宋" w:hAnsi="仿宋" w:eastAsia="仿宋" w:cs="宋体"/>
          <w:color w:val="auto"/>
          <w:sz w:val="28"/>
          <w:szCs w:val="28"/>
          <w:highlight w:val="none"/>
        </w:rPr>
        <w:t>：</w:t>
      </w:r>
    </w:p>
    <w:p>
      <w:pPr>
        <w:adjustRightInd w:val="0"/>
        <w:snapToGrid w:val="0"/>
        <w:spacing w:before="85" w:beforeLines="30" w:line="360" w:lineRule="auto"/>
        <w:ind w:firstLine="542" w:firstLineChars="150"/>
        <w:jc w:val="center"/>
        <w:outlineLvl w:val="2"/>
        <w:rPr>
          <w:rFonts w:ascii="仿宋" w:hAnsi="仿宋" w:eastAsia="仿宋" w:cs="仿宋"/>
          <w:color w:val="auto"/>
          <w:sz w:val="24"/>
          <w:highlight w:val="none"/>
        </w:rPr>
      </w:pPr>
      <w:r>
        <w:rPr>
          <w:rFonts w:hint="eastAsia" w:ascii="仿宋" w:hAnsi="仿宋" w:eastAsia="仿宋" w:cs="宋体"/>
          <w:b/>
          <w:color w:val="auto"/>
          <w:sz w:val="36"/>
          <w:szCs w:val="36"/>
          <w:highlight w:val="none"/>
        </w:rPr>
        <w:t>参与本项目的人员一览表</w:t>
      </w:r>
    </w:p>
    <w:p>
      <w:pPr>
        <w:adjustRightInd w:val="0"/>
        <w:snapToGrid w:val="0"/>
        <w:spacing w:before="85"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7"/>
        <w:tblW w:w="10209" w:type="dxa"/>
        <w:jc w:val="center"/>
        <w:tblLayout w:type="fixed"/>
        <w:tblCellMar>
          <w:top w:w="0" w:type="dxa"/>
          <w:left w:w="108" w:type="dxa"/>
          <w:bottom w:w="0" w:type="dxa"/>
          <w:right w:w="108" w:type="dxa"/>
        </w:tblCellMar>
      </w:tblPr>
      <w:tblGrid>
        <w:gridCol w:w="552"/>
        <w:gridCol w:w="915"/>
        <w:gridCol w:w="887"/>
        <w:gridCol w:w="887"/>
        <w:gridCol w:w="1066"/>
        <w:gridCol w:w="886"/>
        <w:gridCol w:w="884"/>
        <w:gridCol w:w="1250"/>
        <w:gridCol w:w="715"/>
        <w:gridCol w:w="2167"/>
      </w:tblGrid>
      <w:tr>
        <w:tblPrEx>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最高学历</w:t>
            </w: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相关注</w:t>
            </w:r>
          </w:p>
          <w:p>
            <w:pPr>
              <w:snapToGrid w:val="0"/>
              <w:spacing w:line="360" w:lineRule="auto"/>
              <w:jc w:val="center"/>
              <w:rPr>
                <w:rFonts w:ascii="仿宋" w:hAnsi="仿宋" w:eastAsia="仿宋" w:cs="仿宋"/>
                <w:color w:val="auto"/>
                <w:sz w:val="24"/>
                <w:highlight w:val="none"/>
              </w:rPr>
            </w:pPr>
            <w:r>
              <w:rPr>
                <w:rFonts w:hint="eastAsia" w:ascii="仿宋" w:hAnsi="仿宋" w:eastAsia="仿宋" w:cs="宋体"/>
                <w:color w:val="auto"/>
                <w:spacing w:val="20"/>
                <w:kern w:val="0"/>
                <w:sz w:val="24"/>
                <w:highlight w:val="none"/>
              </w:rPr>
              <w:t>册资格</w:t>
            </w: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经验年限</w:t>
            </w: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拟承担工作</w:t>
            </w:r>
          </w:p>
        </w:tc>
      </w:tr>
      <w:tr>
        <w:tblPrEx>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bl>
    <w:p>
      <w:pPr>
        <w:spacing w:line="360" w:lineRule="auto"/>
        <w:rPr>
          <w:rFonts w:ascii="仿宋" w:hAnsi="仿宋" w:eastAsia="仿宋" w:cs="仿宋"/>
          <w:color w:val="auto"/>
          <w:highlight w:val="none"/>
        </w:rPr>
      </w:pPr>
      <w:r>
        <w:rPr>
          <w:rFonts w:hint="eastAsia" w:ascii="仿宋" w:hAnsi="仿宋" w:eastAsia="仿宋" w:cs="仿宋"/>
          <w:color w:val="auto"/>
          <w:szCs w:val="21"/>
          <w:highlight w:val="none"/>
        </w:rPr>
        <w:t>注：1、“拟承担工作”栏，应注明主要</w:t>
      </w:r>
      <w:r>
        <w:rPr>
          <w:rFonts w:hint="eastAsia" w:ascii="仿宋" w:hAnsi="仿宋" w:eastAsia="仿宋" w:cs="仿宋"/>
          <w:color w:val="auto"/>
          <w:szCs w:val="21"/>
          <w:highlight w:val="none"/>
          <w:lang w:val="en-US" w:eastAsia="zh-CN"/>
        </w:rPr>
        <w:t>造价</w:t>
      </w:r>
      <w:r>
        <w:rPr>
          <w:rFonts w:hint="eastAsia" w:ascii="仿宋" w:hAnsi="仿宋" w:eastAsia="仿宋" w:cs="仿宋"/>
          <w:color w:val="auto"/>
          <w:szCs w:val="21"/>
          <w:highlight w:val="none"/>
        </w:rPr>
        <w:t>咨询人员（须注明项目负责人、</w:t>
      </w:r>
      <w:r>
        <w:rPr>
          <w:rFonts w:hint="eastAsia" w:ascii="仿宋" w:hAnsi="仿宋" w:eastAsia="仿宋" w:cs="仿宋"/>
          <w:color w:val="auto"/>
          <w:szCs w:val="21"/>
          <w:highlight w:val="none"/>
          <w:lang w:val="en-US" w:eastAsia="zh-CN"/>
        </w:rPr>
        <w:t>技术</w:t>
      </w:r>
      <w:r>
        <w:rPr>
          <w:rFonts w:hint="eastAsia" w:ascii="仿宋" w:hAnsi="仿宋" w:eastAsia="仿宋" w:cs="仿宋"/>
          <w:color w:val="auto"/>
          <w:szCs w:val="21"/>
          <w:highlight w:val="none"/>
        </w:rPr>
        <w:t>负责人）等。</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2、项目负责人应按格式八表格及备注的规定附相关证明文件。</w:t>
      </w:r>
    </w:p>
    <w:p>
      <w:pPr>
        <w:adjustRightInd w:val="0"/>
        <w:snapToGrid w:val="0"/>
        <w:spacing w:before="85" w:beforeLines="30"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3、其他人员应附上个人注册执业资格证、职称证等文件（复印件，加盖单位公章）。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rPr>
          <w:rFonts w:ascii="仿宋" w:hAnsi="仿宋" w:eastAsia="仿宋" w:cs="仿宋"/>
          <w:color w:val="auto"/>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仿宋"/>
          <w:color w:val="auto"/>
          <w:szCs w:val="21"/>
          <w:highlight w:val="none"/>
        </w:rPr>
      </w:pPr>
      <w:r>
        <w:rPr>
          <w:rFonts w:hint="eastAsia" w:ascii="仿宋" w:hAnsi="仿宋" w:eastAsia="仿宋" w:cs="仿宋"/>
          <w:color w:val="auto"/>
          <w:szCs w:val="21"/>
          <w:highlight w:val="none"/>
        </w:rPr>
        <w:t xml:space="preserve"> </w:t>
      </w:r>
      <w:r>
        <w:rPr>
          <w:rFonts w:hint="eastAsia" w:ascii="宋体" w:hAnsi="宋体" w:eastAsia="宋体" w:cs="黑体"/>
          <w:b/>
          <w:color w:val="auto"/>
          <w:spacing w:val="4"/>
          <w:kern w:val="0"/>
          <w:sz w:val="28"/>
          <w:szCs w:val="28"/>
          <w:highlight w:val="none"/>
        </w:rPr>
        <w:t>格式八</w:t>
      </w:r>
      <w:r>
        <w:rPr>
          <w:rFonts w:hint="eastAsia" w:ascii="仿宋" w:hAnsi="仿宋" w:eastAsia="仿宋" w:cs="宋体"/>
          <w:color w:val="auto"/>
          <w:sz w:val="28"/>
          <w:szCs w:val="28"/>
          <w:highlight w:val="none"/>
        </w:rPr>
        <w:t>：</w:t>
      </w:r>
    </w:p>
    <w:p>
      <w:pPr>
        <w:spacing w:line="360" w:lineRule="auto"/>
        <w:jc w:val="center"/>
        <w:outlineLvl w:val="2"/>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项目负责人相关经验及业绩</w:t>
      </w:r>
    </w:p>
    <w:p>
      <w:pPr>
        <w:adjustRightInd w:val="0"/>
        <w:snapToGrid w:val="0"/>
        <w:spacing w:before="85" w:beforeLines="30"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p>
        </w:tc>
        <w:tc>
          <w:tcPr>
            <w:tcW w:w="3420" w:type="dxa"/>
            <w:gridSpan w:val="4"/>
            <w:vAlign w:val="center"/>
          </w:tcPr>
          <w:p>
            <w:pPr>
              <w:spacing w:line="460" w:lineRule="exact"/>
              <w:jc w:val="left"/>
              <w:rPr>
                <w:rFonts w:ascii="宋体" w:hAnsi="宋体" w:eastAsia="宋体" w:cs="宋体"/>
                <w:color w:val="auto"/>
                <w:szCs w:val="21"/>
                <w:highlight w:val="none"/>
              </w:rPr>
            </w:pPr>
          </w:p>
        </w:tc>
        <w:tc>
          <w:tcPr>
            <w:tcW w:w="1261" w:type="dxa"/>
            <w:vAlign w:val="center"/>
          </w:tcPr>
          <w:p>
            <w:pPr>
              <w:spacing w:line="460" w:lineRule="exact"/>
              <w:jc w:val="left"/>
              <w:rPr>
                <w:rFonts w:ascii="宋体" w:hAnsi="宋体" w:eastAsia="宋体" w:cs="宋体"/>
                <w:color w:val="auto"/>
                <w:szCs w:val="21"/>
                <w:highlight w:val="none"/>
              </w:rPr>
            </w:pPr>
          </w:p>
        </w:tc>
        <w:tc>
          <w:tcPr>
            <w:tcW w:w="2296" w:type="dxa"/>
            <w:gridSpan w:val="2"/>
            <w:vAlign w:val="center"/>
          </w:tcPr>
          <w:p>
            <w:pPr>
              <w:spacing w:line="460" w:lineRule="exact"/>
              <w:jc w:val="left"/>
              <w:rPr>
                <w:rFonts w:ascii="宋体" w:hAnsi="宋体" w:eastAsia="宋体" w:cs="宋体"/>
                <w:color w:val="auto"/>
                <w:szCs w:val="21"/>
                <w:highlight w:val="none"/>
              </w:rPr>
            </w:pPr>
          </w:p>
        </w:tc>
      </w:tr>
    </w:tbl>
    <w:p>
      <w:pPr>
        <w:rPr>
          <w:rFonts w:ascii="仿宋" w:hAnsi="仿宋" w:eastAsia="仿宋" w:cs="仿宋"/>
          <w:color w:val="auto"/>
          <w:szCs w:val="21"/>
          <w:highlight w:val="none"/>
        </w:rPr>
      </w:pPr>
    </w:p>
    <w:p>
      <w:pPr>
        <w:rPr>
          <w:rFonts w:ascii="仿宋" w:hAnsi="仿宋" w:eastAsia="仿宋" w:cs="Arial"/>
          <w:color w:val="auto"/>
          <w:highlight w:val="none"/>
        </w:rPr>
      </w:pPr>
      <w:r>
        <w:rPr>
          <w:rFonts w:hint="eastAsia" w:ascii="仿宋" w:hAnsi="仿宋" w:eastAsia="仿宋" w:cs="仿宋"/>
          <w:color w:val="auto"/>
          <w:szCs w:val="21"/>
          <w:highlight w:val="none"/>
        </w:rPr>
        <w:t>注：1、</w:t>
      </w:r>
      <w:r>
        <w:rPr>
          <w:rFonts w:hint="eastAsia" w:ascii="仿宋" w:hAnsi="仿宋" w:eastAsia="仿宋" w:cs="Arial"/>
          <w:color w:val="auto"/>
          <w:szCs w:val="21"/>
          <w:highlight w:val="none"/>
        </w:rPr>
        <w:t>本格式仅供参考，投标人可根据实际情况自定。</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2、项目负责人必须附执业证书及资格证书（项目负责人提供）、身份证、职称证书及业绩等证明材料（复印件，加盖单位公章）。</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3、业绩证明资料须提供：（1）合同；相关证明资料中必须能反映出评标所需指标、人员姓名和岗位等，否则相应子项不予计分。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4"/>
        <w:widowControl/>
        <w:ind w:firstLine="0" w:firstLineChars="0"/>
        <w:rPr>
          <w:color w:val="auto"/>
          <w:spacing w:val="18"/>
          <w:highlight w:val="none"/>
        </w:rPr>
      </w:pPr>
      <w:r>
        <w:rPr>
          <w:color w:val="auto"/>
          <w:spacing w:val="18"/>
          <w:highlight w:val="none"/>
        </w:rPr>
        <w:t xml:space="preserve"> </w:t>
      </w:r>
    </w:p>
    <w:p>
      <w:pPr>
        <w:widowControl/>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sectPr>
          <w:footerReference r:id="rId3" w:type="default"/>
          <w:pgSz w:w="11915" w:h="16840"/>
          <w:pgMar w:top="1247" w:right="1135" w:bottom="1247" w:left="1361" w:header="720" w:footer="720" w:gutter="0"/>
          <w:pgBorders>
            <w:top w:val="none" w:sz="0" w:space="0"/>
            <w:left w:val="none" w:sz="0" w:space="0"/>
            <w:bottom w:val="none" w:sz="0" w:space="0"/>
            <w:right w:val="none" w:sz="0" w:space="0"/>
          </w:pgBorders>
          <w:pgNumType w:start="1"/>
          <w:cols w:space="425" w:num="1"/>
          <w:docGrid w:type="lines" w:linePitch="285"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 w:hAnsi="仿宋" w:eastAsia="仿宋" w:cs="宋体"/>
          <w:color w:val="auto"/>
          <w:sz w:val="28"/>
          <w:szCs w:val="28"/>
          <w:highlight w:val="none"/>
        </w:rPr>
      </w:pPr>
      <w:r>
        <w:rPr>
          <w:rFonts w:hint="eastAsia" w:ascii="宋体" w:hAnsi="宋体" w:eastAsia="宋体" w:cs="黑体"/>
          <w:b/>
          <w:color w:val="auto"/>
          <w:spacing w:val="4"/>
          <w:kern w:val="0"/>
          <w:sz w:val="28"/>
          <w:szCs w:val="28"/>
          <w:highlight w:val="none"/>
        </w:rPr>
        <w:t>格式九：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ascii="宋体" w:hAnsi="宋体" w:eastAsia="宋体" w:cs="宋体"/>
          <w:color w:val="auto"/>
          <w:sz w:val="24"/>
          <w:highlight w:val="none"/>
        </w:rPr>
      </w:pPr>
      <w:r>
        <w:rPr>
          <w:rFonts w:hint="eastAsia" w:ascii="仿宋" w:hAnsi="仿宋" w:eastAsia="仿宋" w:cs="宋体"/>
          <w:b/>
          <w:color w:val="auto"/>
          <w:sz w:val="36"/>
          <w:szCs w:val="36"/>
          <w:highlight w:val="none"/>
        </w:rPr>
        <w:t>报价表</w:t>
      </w:r>
    </w:p>
    <w:p>
      <w:pPr>
        <w:jc w:val="right"/>
        <w:rPr>
          <w:rFonts w:hint="eastAsia" w:ascii="仿宋" w:hAnsi="仿宋" w:eastAsia="仿宋" w:cs="仿宋"/>
          <w:color w:val="auto"/>
          <w:sz w:val="28"/>
          <w:szCs w:val="28"/>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 w:val="28"/>
          <w:szCs w:val="28"/>
          <w:highlight w:val="none"/>
        </w:rPr>
        <w:t>货币单位：人民币元</w:t>
      </w:r>
    </w:p>
    <w:tbl>
      <w:tblPr>
        <w:tblStyle w:val="17"/>
        <w:tblW w:w="9047" w:type="dxa"/>
        <w:tblInd w:w="0" w:type="dxa"/>
        <w:tblLayout w:type="fixed"/>
        <w:tblCellMar>
          <w:top w:w="0" w:type="dxa"/>
          <w:left w:w="30" w:type="dxa"/>
          <w:bottom w:w="0" w:type="dxa"/>
          <w:right w:w="30" w:type="dxa"/>
        </w:tblCellMar>
      </w:tblPr>
      <w:tblGrid>
        <w:gridCol w:w="5467"/>
        <w:gridCol w:w="3580"/>
      </w:tblGrid>
      <w:tr>
        <w:tblPrEx>
          <w:tblCellMar>
            <w:top w:w="0" w:type="dxa"/>
            <w:left w:w="30" w:type="dxa"/>
            <w:bottom w:w="0" w:type="dxa"/>
            <w:right w:w="30" w:type="dxa"/>
          </w:tblCellMar>
        </w:tblPrEx>
        <w:trPr>
          <w:cantSplit/>
          <w:trHeight w:val="454" w:hRule="atLeast"/>
        </w:trPr>
        <w:tc>
          <w:tcPr>
            <w:tcW w:w="5467" w:type="dxa"/>
            <w:tcBorders>
              <w:top w:val="single" w:color="auto" w:sz="4" w:space="0"/>
              <w:left w:val="single" w:color="auto" w:sz="4" w:space="0"/>
              <w:bottom w:val="single" w:color="auto" w:sz="4" w:space="0"/>
              <w:right w:val="single" w:color="auto" w:sz="6" w:space="0"/>
            </w:tcBorders>
            <w:vAlign w:val="center"/>
          </w:tcPr>
          <w:p>
            <w:pPr>
              <w:pStyle w:val="35"/>
              <w:autoSpaceDE w:val="0"/>
              <w:autoSpaceDN w:val="0"/>
              <w:adjustRightInd w:val="0"/>
              <w:spacing w:line="276" w:lineRule="auto"/>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分项</w:t>
            </w:r>
          </w:p>
        </w:tc>
        <w:tc>
          <w:tcPr>
            <w:tcW w:w="3580" w:type="dxa"/>
            <w:tcBorders>
              <w:top w:val="single" w:color="auto" w:sz="4" w:space="0"/>
              <w:left w:val="single" w:color="auto" w:sz="6" w:space="0"/>
              <w:bottom w:val="single" w:color="auto" w:sz="4" w:space="0"/>
              <w:right w:val="single" w:color="auto" w:sz="4" w:space="0"/>
            </w:tcBorders>
            <w:vAlign w:val="center"/>
          </w:tcPr>
          <w:p>
            <w:pPr>
              <w:pStyle w:val="35"/>
              <w:autoSpaceDE w:val="0"/>
              <w:autoSpaceDN w:val="0"/>
              <w:adjustRightInd w:val="0"/>
              <w:spacing w:line="276" w:lineRule="auto"/>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分项内容</w:t>
            </w:r>
          </w:p>
        </w:tc>
      </w:tr>
      <w:tr>
        <w:tblPrEx>
          <w:tblCellMar>
            <w:top w:w="0" w:type="dxa"/>
            <w:left w:w="30" w:type="dxa"/>
            <w:bottom w:w="0" w:type="dxa"/>
            <w:right w:w="30" w:type="dxa"/>
          </w:tblCellMar>
        </w:tblPrEx>
        <w:trPr>
          <w:cantSplit/>
          <w:trHeight w:val="454" w:hRule="atLeast"/>
        </w:trPr>
        <w:tc>
          <w:tcPr>
            <w:tcW w:w="5467" w:type="dxa"/>
            <w:tcBorders>
              <w:top w:val="single" w:color="auto" w:sz="4" w:space="0"/>
              <w:left w:val="single" w:color="auto" w:sz="4" w:space="0"/>
              <w:bottom w:val="single" w:color="auto" w:sz="6" w:space="0"/>
              <w:right w:val="single" w:color="auto" w:sz="6" w:space="0"/>
            </w:tcBorders>
            <w:vAlign w:val="center"/>
          </w:tcPr>
          <w:p>
            <w:pPr>
              <w:pStyle w:val="35"/>
              <w:autoSpaceDE w:val="0"/>
              <w:autoSpaceDN w:val="0"/>
              <w:adjustRightInd w:val="0"/>
              <w:spacing w:line="276" w:lineRule="auto"/>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依据广东省建设工程造价咨询服务收费标准：粤价函【2011】</w:t>
            </w:r>
            <w:r>
              <w:rPr>
                <w:rFonts w:hint="eastAsia" w:ascii="仿宋_GB2312" w:hAnsi="宋体" w:eastAsia="仿宋_GB2312"/>
                <w:color w:val="auto"/>
                <w:sz w:val="28"/>
                <w:szCs w:val="28"/>
                <w:highlight w:val="none"/>
                <w:lang w:eastAsia="zh-CN"/>
              </w:rPr>
              <w:t>742</w:t>
            </w:r>
            <w:r>
              <w:rPr>
                <w:rFonts w:hint="eastAsia" w:ascii="仿宋_GB2312" w:hAnsi="宋体" w:eastAsia="仿宋_GB2312"/>
                <w:color w:val="auto"/>
                <w:sz w:val="28"/>
                <w:szCs w:val="28"/>
                <w:highlight w:val="none"/>
              </w:rPr>
              <w:t>号文，投标下浮率</w:t>
            </w:r>
          </w:p>
        </w:tc>
        <w:tc>
          <w:tcPr>
            <w:tcW w:w="3580" w:type="dxa"/>
            <w:tcBorders>
              <w:top w:val="single" w:color="auto" w:sz="4" w:space="0"/>
              <w:left w:val="single" w:color="auto" w:sz="6" w:space="0"/>
              <w:bottom w:val="single" w:color="auto" w:sz="6" w:space="0"/>
              <w:right w:val="single" w:color="auto" w:sz="4" w:space="0"/>
            </w:tcBorders>
            <w:vAlign w:val="center"/>
          </w:tcPr>
          <w:p>
            <w:pPr>
              <w:pStyle w:val="35"/>
              <w:autoSpaceDE w:val="0"/>
              <w:autoSpaceDN w:val="0"/>
              <w:adjustRightInd w:val="0"/>
              <w:spacing w:line="276" w:lineRule="auto"/>
              <w:jc w:val="righ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w:t>
            </w:r>
            <w:r>
              <w:rPr>
                <w:rFonts w:ascii="仿宋_GB2312" w:hAnsi="宋体" w:eastAsia="仿宋_GB2312"/>
                <w:color w:val="auto"/>
                <w:sz w:val="28"/>
                <w:szCs w:val="28"/>
                <w:highlight w:val="none"/>
              </w:rPr>
              <w:t xml:space="preserve"> </w:t>
            </w:r>
          </w:p>
        </w:tc>
      </w:tr>
    </w:tbl>
    <w:p>
      <w:pPr>
        <w:rPr>
          <w:rFonts w:hint="eastAsia" w:ascii="仿宋" w:hAnsi="仿宋" w:eastAsia="仿宋" w:cs="仿宋"/>
          <w:color w:val="auto"/>
          <w:sz w:val="28"/>
          <w:szCs w:val="28"/>
          <w:highlight w:val="none"/>
        </w:rPr>
      </w:pP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pPr>
        <w:pStyle w:val="34"/>
        <w:keepNext w:val="0"/>
        <w:keepLines w:val="0"/>
        <w:pageBreakBefore w:val="0"/>
        <w:widowControl w:val="0"/>
        <w:numPr>
          <w:ilvl w:val="0"/>
          <w:numId w:val="3"/>
        </w:numPr>
        <w:kinsoku/>
        <w:wordWrap/>
        <w:overflowPunct/>
        <w:topLinePunct w:val="0"/>
        <w:autoSpaceDE/>
        <w:autoSpaceDN/>
        <w:bidi w:val="0"/>
        <w:adjustRightInd/>
        <w:snapToGrid/>
        <w:ind w:left="568" w:leftChars="0" w:hanging="568" w:hangingChars="200"/>
        <w:textAlignment w:val="auto"/>
        <w:rPr>
          <w:rFonts w:ascii="仿宋" w:hAnsi="仿宋" w:eastAsia="仿宋" w:cs="仿宋"/>
          <w:color w:val="auto"/>
          <w:highlight w:val="none"/>
        </w:rPr>
      </w:pPr>
      <w:r>
        <w:rPr>
          <w:rFonts w:hint="eastAsia" w:ascii="仿宋" w:hAnsi="仿宋" w:eastAsia="仿宋" w:cs="仿宋"/>
          <w:color w:val="auto"/>
          <w:sz w:val="28"/>
          <w:szCs w:val="28"/>
          <w:highlight w:val="none"/>
        </w:rPr>
        <w:t>投标人应根据企业自身能力报出“招标人需求”中计费标准的下浮率，下浮率不得为区间值（如：1%～3%）且控制在</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&lt;下浮率≤</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0%。</w:t>
      </w:r>
    </w:p>
    <w:p>
      <w:pPr>
        <w:adjustRightInd w:val="0"/>
        <w:snapToGrid w:val="0"/>
        <w:spacing w:before="85" w:beforeLines="30" w:line="360" w:lineRule="auto"/>
        <w:rPr>
          <w:rFonts w:hint="eastAsia" w:ascii="仿宋" w:hAnsi="仿宋" w:eastAsia="仿宋" w:cs="仿宋"/>
          <w:color w:val="auto"/>
          <w:sz w:val="28"/>
          <w:szCs w:val="28"/>
          <w:highlight w:val="none"/>
        </w:rPr>
      </w:pPr>
    </w:p>
    <w:p>
      <w:pPr>
        <w:adjustRightInd w:val="0"/>
        <w:snapToGrid w:val="0"/>
        <w:spacing w:before="85" w:beforeLines="30" w:line="360" w:lineRule="auto"/>
        <w:rPr>
          <w:rFonts w:hint="eastAsia" w:ascii="仿宋" w:hAnsi="仿宋" w:eastAsia="仿宋" w:cs="仿宋"/>
          <w:color w:val="auto"/>
          <w:sz w:val="28"/>
          <w:szCs w:val="28"/>
          <w:highlight w:val="none"/>
        </w:rPr>
      </w:pPr>
    </w:p>
    <w:p>
      <w:pPr>
        <w:adjustRightInd w:val="0"/>
        <w:snapToGrid w:val="0"/>
        <w:spacing w:before="85" w:beforeLines="3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投标人名称（盖章）：</w:t>
      </w:r>
    </w:p>
    <w:p>
      <w:pPr>
        <w:adjustRightInd w:val="0"/>
        <w:snapToGrid w:val="0"/>
        <w:spacing w:before="85" w:beforeLines="3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授权代表（签名）：</w:t>
      </w:r>
      <w:r>
        <w:rPr>
          <w:rFonts w:hint="eastAsia" w:ascii="仿宋" w:hAnsi="仿宋" w:eastAsia="仿宋" w:cs="仿宋"/>
          <w:color w:val="auto"/>
          <w:sz w:val="28"/>
          <w:szCs w:val="28"/>
          <w:highlight w:val="none"/>
          <w:u w:val="none"/>
        </w:rPr>
        <w:t xml:space="preserve">       </w:t>
      </w:r>
    </w:p>
    <w:p>
      <w:pPr>
        <w:adjustRightInd w:val="0"/>
        <w:snapToGrid w:val="0"/>
        <w:spacing w:before="85" w:beforeLines="3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    务：</w:t>
      </w:r>
      <w:r>
        <w:rPr>
          <w:rFonts w:hint="eastAsia" w:ascii="仿宋" w:hAnsi="仿宋" w:eastAsia="仿宋" w:cs="仿宋"/>
          <w:color w:val="auto"/>
          <w:sz w:val="28"/>
          <w:szCs w:val="28"/>
          <w:highlight w:val="none"/>
          <w:u w:val="none"/>
        </w:rPr>
        <w:t xml:space="preserve">       </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rPr>
        <w:t xml:space="preserve"> 年</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rPr>
        <w:t>日</w:t>
      </w:r>
    </w:p>
    <w:p>
      <w:pPr>
        <w:rPr>
          <w:rFonts w:ascii="宋体" w:hAnsi="宋体" w:eastAsia="宋体" w:cs="宋体"/>
          <w:color w:val="auto"/>
          <w:sz w:val="24"/>
          <w:highlight w:val="none"/>
        </w:rPr>
      </w:pPr>
      <w:r>
        <w:rPr>
          <w:rFonts w:ascii="宋体" w:hAnsi="宋体" w:eastAsia="宋体" w:cs="宋体"/>
          <w:color w:val="auto"/>
          <w:sz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 w:hAnsi="仿宋" w:eastAsia="仿宋" w:cs="宋体"/>
          <w:color w:val="auto"/>
          <w:sz w:val="28"/>
          <w:szCs w:val="28"/>
          <w:highlight w:val="none"/>
        </w:rPr>
      </w:pPr>
      <w:r>
        <w:rPr>
          <w:rFonts w:hint="eastAsia" w:ascii="宋体" w:hAnsi="宋体" w:eastAsia="宋体" w:cs="黑体"/>
          <w:b/>
          <w:color w:val="auto"/>
          <w:spacing w:val="4"/>
          <w:kern w:val="0"/>
          <w:sz w:val="28"/>
          <w:szCs w:val="28"/>
          <w:highlight w:val="none"/>
        </w:rPr>
        <w:t>格式</w:t>
      </w:r>
      <w:r>
        <w:rPr>
          <w:rFonts w:hint="eastAsia" w:ascii="宋体" w:hAnsi="宋体" w:eastAsia="宋体" w:cs="黑体"/>
          <w:b/>
          <w:color w:val="auto"/>
          <w:spacing w:val="4"/>
          <w:kern w:val="0"/>
          <w:sz w:val="28"/>
          <w:szCs w:val="28"/>
          <w:highlight w:val="none"/>
          <w:lang w:val="en-US" w:eastAsia="zh-CN"/>
        </w:rPr>
        <w:t>十</w:t>
      </w:r>
      <w:r>
        <w:rPr>
          <w:rFonts w:hint="eastAsia" w:ascii="宋体" w:hAnsi="宋体" w:eastAsia="宋体" w:cs="黑体"/>
          <w:b/>
          <w:color w:val="auto"/>
          <w:spacing w:val="4"/>
          <w:kern w:val="0"/>
          <w:sz w:val="28"/>
          <w:szCs w:val="28"/>
          <w:highlight w:val="none"/>
        </w:rPr>
        <w:t>：</w:t>
      </w:r>
    </w:p>
    <w:p>
      <w:pPr>
        <w:spacing w:line="360" w:lineRule="auto"/>
        <w:rPr>
          <w:rFonts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宋体"/>
          <w:b/>
          <w:color w:val="auto"/>
          <w:sz w:val="36"/>
          <w:szCs w:val="36"/>
          <w:highlight w:val="none"/>
        </w:rPr>
      </w:pPr>
      <w:r>
        <w:rPr>
          <w:rFonts w:hint="eastAsia" w:ascii="仿宋" w:hAnsi="仿宋" w:eastAsia="仿宋" w:cs="宋体"/>
          <w:b/>
          <w:color w:val="auto"/>
          <w:sz w:val="36"/>
          <w:szCs w:val="36"/>
          <w:highlight w:val="none"/>
        </w:rPr>
        <w:t>实质性响应条款一览表</w:t>
      </w:r>
    </w:p>
    <w:tbl>
      <w:tblPr>
        <w:tblStyle w:val="17"/>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4760"/>
        <w:gridCol w:w="242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276" w:lineRule="auto"/>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序号</w:t>
            </w:r>
          </w:p>
        </w:tc>
        <w:tc>
          <w:tcPr>
            <w:tcW w:w="47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276" w:lineRule="auto"/>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实质性响应条款</w:t>
            </w:r>
          </w:p>
        </w:tc>
        <w:tc>
          <w:tcPr>
            <w:tcW w:w="2422"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276" w:lineRule="auto"/>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投标人响应情况</w:t>
            </w:r>
          </w:p>
        </w:tc>
        <w:tc>
          <w:tcPr>
            <w:tcW w:w="1559"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276" w:lineRule="auto"/>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276" w:lineRule="auto"/>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w:t>
            </w:r>
          </w:p>
        </w:tc>
        <w:tc>
          <w:tcPr>
            <w:tcW w:w="47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276" w:lineRule="auto"/>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★投标人应根据企业自身能力报出上述计费标准的下浮率，下浮率不得为区间值（如：1%～3%），且控制在</w:t>
            </w:r>
            <w:r>
              <w:rPr>
                <w:rFonts w:hint="eastAsia" w:ascii="仿宋_GB2312" w:hAnsi="宋体" w:eastAsia="仿宋_GB2312"/>
                <w:color w:val="auto"/>
                <w:sz w:val="28"/>
                <w:szCs w:val="28"/>
                <w:highlight w:val="none"/>
                <w:lang w:val="en-US" w:eastAsia="zh-CN"/>
              </w:rPr>
              <w:t>0</w:t>
            </w:r>
            <w:r>
              <w:rPr>
                <w:rFonts w:hint="eastAsia" w:ascii="仿宋_GB2312" w:hAnsi="宋体" w:eastAsia="仿宋_GB2312"/>
                <w:color w:val="auto"/>
                <w:sz w:val="28"/>
                <w:szCs w:val="28"/>
                <w:highlight w:val="none"/>
              </w:rPr>
              <w:t>&lt;下浮率≤</w:t>
            </w:r>
            <w:r>
              <w:rPr>
                <w:rFonts w:hint="eastAsia" w:ascii="仿宋_GB2312" w:hAnsi="宋体" w:eastAsia="仿宋_GB2312"/>
                <w:color w:val="auto"/>
                <w:sz w:val="28"/>
                <w:szCs w:val="28"/>
                <w:highlight w:val="none"/>
                <w:lang w:val="en-US" w:eastAsia="zh-CN"/>
              </w:rPr>
              <w:t>2</w:t>
            </w:r>
            <w:r>
              <w:rPr>
                <w:rFonts w:hint="eastAsia" w:ascii="仿宋_GB2312" w:hAnsi="宋体" w:eastAsia="仿宋_GB2312"/>
                <w:color w:val="auto"/>
                <w:sz w:val="28"/>
                <w:szCs w:val="28"/>
                <w:highlight w:val="none"/>
              </w:rPr>
              <w:t>0%。</w:t>
            </w:r>
          </w:p>
        </w:tc>
        <w:tc>
          <w:tcPr>
            <w:tcW w:w="2422"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276" w:lineRule="auto"/>
              <w:jc w:val="center"/>
              <w:rPr>
                <w:rFonts w:hint="eastAsia" w:ascii="仿宋_GB2312" w:hAnsi="宋体" w:eastAsia="仿宋_GB2312"/>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276" w:lineRule="auto"/>
              <w:jc w:val="center"/>
              <w:rPr>
                <w:rFonts w:hint="eastAsia" w:ascii="仿宋_GB2312" w:hAnsi="宋体" w:eastAsia="仿宋_GB2312"/>
                <w:color w:val="auto"/>
                <w:sz w:val="28"/>
                <w:szCs w:val="28"/>
                <w:highlight w:val="none"/>
              </w:rPr>
            </w:pPr>
          </w:p>
        </w:tc>
      </w:tr>
    </w:tbl>
    <w:p>
      <w:pPr>
        <w:pStyle w:val="37"/>
        <w:spacing w:line="276" w:lineRule="auto"/>
        <w:rPr>
          <w:rFonts w:ascii="仿宋_GB2312" w:eastAsia="仿宋_GB2312"/>
          <w:color w:val="auto"/>
          <w:sz w:val="28"/>
          <w:szCs w:val="28"/>
          <w:highlight w:val="none"/>
        </w:rPr>
      </w:pPr>
      <w:r>
        <w:rPr>
          <w:rFonts w:hint="eastAsia" w:ascii="仿宋" w:hAnsi="仿宋" w:eastAsia="仿宋" w:cs="仿宋"/>
          <w:color w:val="auto"/>
          <w:kern w:val="2"/>
          <w:sz w:val="28"/>
          <w:szCs w:val="28"/>
          <w:highlight w:val="none"/>
          <w:lang w:val="en-US" w:eastAsia="zh-CN" w:bidi="ar-SA"/>
        </w:rPr>
        <w:t>说明：</w:t>
      </w:r>
    </w:p>
    <w:p>
      <w:pPr>
        <w:pStyle w:val="37"/>
        <w:numPr>
          <w:ilvl w:val="0"/>
          <w:numId w:val="4"/>
        </w:numPr>
        <w:spacing w:line="276"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本表所列条款必须一一予以响应，“</w:t>
      </w:r>
      <w:r>
        <w:rPr>
          <w:rFonts w:hint="eastAsia" w:ascii="仿宋_GB2312" w:hAnsi="仿宋_GB2312" w:eastAsia="仿宋_GB2312" w:cs="仿宋_GB2312"/>
          <w:color w:val="auto"/>
          <w:sz w:val="28"/>
          <w:szCs w:val="28"/>
          <w:highlight w:val="none"/>
        </w:rPr>
        <w:t>投标人</w:t>
      </w:r>
      <w:r>
        <w:rPr>
          <w:rFonts w:hint="eastAsia" w:ascii="仿宋_GB2312" w:eastAsia="仿宋_GB2312"/>
          <w:color w:val="auto"/>
          <w:sz w:val="28"/>
          <w:szCs w:val="28"/>
          <w:highlight w:val="none"/>
        </w:rPr>
        <w:t>响应情况”一栏应</w:t>
      </w:r>
      <w:r>
        <w:rPr>
          <w:rFonts w:hint="eastAsia" w:ascii="仿宋_GB2312" w:eastAsia="仿宋_GB2312"/>
          <w:b/>
          <w:color w:val="auto"/>
          <w:sz w:val="28"/>
          <w:szCs w:val="28"/>
          <w:highlight w:val="none"/>
        </w:rPr>
        <w:t>填写具体的响应内容，有差异的</w:t>
      </w:r>
      <w:r>
        <w:rPr>
          <w:rFonts w:hint="eastAsia" w:ascii="仿宋_GB2312" w:eastAsia="仿宋_GB2312"/>
          <w:color w:val="auto"/>
          <w:sz w:val="28"/>
          <w:szCs w:val="28"/>
          <w:highlight w:val="none"/>
        </w:rPr>
        <w:t>要具体说明。</w:t>
      </w:r>
    </w:p>
    <w:p>
      <w:pPr>
        <w:pStyle w:val="37"/>
        <w:numPr>
          <w:ilvl w:val="0"/>
          <w:numId w:val="4"/>
        </w:numPr>
        <w:spacing w:line="276"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请</w:t>
      </w:r>
      <w:r>
        <w:rPr>
          <w:rFonts w:hint="eastAsia" w:ascii="仿宋_GB2312" w:hAnsi="仿宋_GB2312" w:eastAsia="仿宋_GB2312" w:cs="仿宋_GB2312"/>
          <w:color w:val="auto"/>
          <w:sz w:val="28"/>
          <w:szCs w:val="28"/>
          <w:highlight w:val="none"/>
        </w:rPr>
        <w:t>投标人</w:t>
      </w:r>
      <w:r>
        <w:rPr>
          <w:rFonts w:hint="eastAsia" w:ascii="仿宋_GB2312" w:eastAsia="仿宋_GB2312"/>
          <w:color w:val="auto"/>
          <w:sz w:val="28"/>
          <w:szCs w:val="28"/>
          <w:highlight w:val="none"/>
        </w:rPr>
        <w:t>认真填写本表内容，如填写错误将可能导致报价无效。</w:t>
      </w:r>
    </w:p>
    <w:p>
      <w:pPr>
        <w:spacing w:line="360" w:lineRule="auto"/>
        <w:rPr>
          <w:rFonts w:hint="eastAsia" w:ascii="仿宋_GB2312" w:hAnsi="Times New Roman" w:eastAsia="仿宋_GB2312" w:cs="Times New Roman"/>
          <w:color w:val="auto"/>
          <w:sz w:val="28"/>
          <w:szCs w:val="28"/>
          <w:highlight w:val="none"/>
        </w:rPr>
      </w:pPr>
    </w:p>
    <w:p>
      <w:pPr>
        <w:adjustRightInd w:val="0"/>
        <w:snapToGrid w:val="0"/>
        <w:spacing w:before="85" w:beforeLines="30" w:line="360" w:lineRule="auto"/>
        <w:rPr>
          <w:rFonts w:hint="eastAsia" w:ascii="仿宋_GB2312" w:hAnsi="Times New Roman" w:eastAsia="仿宋_GB2312" w:cs="Times New Roman"/>
          <w:color w:val="auto"/>
          <w:sz w:val="28"/>
          <w:szCs w:val="28"/>
          <w:highlight w:val="none"/>
        </w:rPr>
      </w:pPr>
    </w:p>
    <w:p>
      <w:pPr>
        <w:adjustRightInd w:val="0"/>
        <w:snapToGrid w:val="0"/>
        <w:spacing w:before="85" w:beforeLines="30" w:line="360" w:lineRule="auto"/>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投标人名称（盖章）：</w:t>
      </w:r>
    </w:p>
    <w:p>
      <w:pPr>
        <w:adjustRightInd w:val="0"/>
        <w:snapToGrid w:val="0"/>
        <w:spacing w:before="85" w:beforeLines="30" w:line="360" w:lineRule="auto"/>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授权代表（签名）：</w:t>
      </w:r>
      <w:r>
        <w:rPr>
          <w:rFonts w:hint="eastAsia" w:ascii="仿宋_GB2312" w:hAnsi="Times New Roman" w:eastAsia="仿宋_GB2312" w:cs="Times New Roman"/>
          <w:color w:val="auto"/>
          <w:sz w:val="28"/>
          <w:szCs w:val="28"/>
          <w:highlight w:val="none"/>
          <w:u w:val="none"/>
        </w:rPr>
        <w:t xml:space="preserve">       </w:t>
      </w:r>
    </w:p>
    <w:p>
      <w:pPr>
        <w:adjustRightInd w:val="0"/>
        <w:snapToGrid w:val="0"/>
        <w:spacing w:before="85" w:beforeLines="30" w:line="360" w:lineRule="auto"/>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职    务：</w:t>
      </w:r>
      <w:r>
        <w:rPr>
          <w:rFonts w:hint="eastAsia" w:ascii="仿宋_GB2312" w:hAnsi="Times New Roman" w:eastAsia="仿宋_GB2312" w:cs="Times New Roman"/>
          <w:color w:val="auto"/>
          <w:sz w:val="28"/>
          <w:szCs w:val="28"/>
          <w:highlight w:val="none"/>
          <w:u w:val="none"/>
        </w:rPr>
        <w:t xml:space="preserve">       </w:t>
      </w:r>
    </w:p>
    <w:p>
      <w:pPr>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日    期：</w:t>
      </w:r>
      <w:r>
        <w:rPr>
          <w:rFonts w:hint="eastAsia" w:ascii="仿宋_GB2312" w:hAnsi="Times New Roman" w:eastAsia="仿宋_GB2312" w:cs="Times New Roman"/>
          <w:color w:val="auto"/>
          <w:sz w:val="28"/>
          <w:szCs w:val="28"/>
          <w:highlight w:val="none"/>
          <w:u w:val="none"/>
        </w:rPr>
        <w:t xml:space="preserve">     </w:t>
      </w:r>
      <w:r>
        <w:rPr>
          <w:rFonts w:hint="eastAsia" w:ascii="仿宋_GB2312" w:hAnsi="Times New Roman" w:eastAsia="仿宋_GB2312" w:cs="Times New Roman"/>
          <w:color w:val="auto"/>
          <w:sz w:val="28"/>
          <w:szCs w:val="28"/>
          <w:highlight w:val="none"/>
        </w:rPr>
        <w:t xml:space="preserve"> 年</w:t>
      </w:r>
      <w:r>
        <w:rPr>
          <w:rFonts w:hint="eastAsia" w:ascii="仿宋_GB2312" w:hAnsi="Times New Roman" w:eastAsia="仿宋_GB2312" w:cs="Times New Roman"/>
          <w:color w:val="auto"/>
          <w:sz w:val="28"/>
          <w:szCs w:val="28"/>
          <w:highlight w:val="none"/>
          <w:u w:val="none"/>
        </w:rPr>
        <w:t xml:space="preserve">   </w:t>
      </w:r>
      <w:r>
        <w:rPr>
          <w:rFonts w:hint="eastAsia" w:ascii="仿宋_GB2312" w:hAnsi="Times New Roman" w:eastAsia="仿宋_GB2312" w:cs="Times New Roman"/>
          <w:color w:val="auto"/>
          <w:sz w:val="28"/>
          <w:szCs w:val="28"/>
          <w:highlight w:val="none"/>
        </w:rPr>
        <w:t>月</w:t>
      </w:r>
      <w:r>
        <w:rPr>
          <w:rFonts w:hint="eastAsia" w:ascii="仿宋_GB2312" w:hAnsi="Times New Roman" w:eastAsia="仿宋_GB2312" w:cs="Times New Roman"/>
          <w:color w:val="auto"/>
          <w:sz w:val="28"/>
          <w:szCs w:val="28"/>
          <w:highlight w:val="none"/>
          <w:u w:val="none"/>
        </w:rPr>
        <w:t xml:space="preserve">  </w:t>
      </w:r>
      <w:r>
        <w:rPr>
          <w:rFonts w:hint="eastAsia" w:ascii="仿宋_GB2312" w:hAnsi="Times New Roman" w:eastAsia="仿宋_GB2312" w:cs="Times New Roman"/>
          <w:color w:val="auto"/>
          <w:sz w:val="28"/>
          <w:szCs w:val="28"/>
          <w:highlight w:val="none"/>
        </w:rPr>
        <w:t>日</w:t>
      </w: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3"/>
        <w:widowControl/>
        <w:spacing w:before="0" w:after="0" w:line="360" w:lineRule="auto"/>
        <w:outlineLvl w:val="9"/>
        <w:rPr>
          <w:rFonts w:ascii="黑体" w:hAnsi="宋体" w:cs="黑体"/>
          <w:b/>
          <w:color w:val="auto"/>
          <w:kern w:val="44"/>
          <w:sz w:val="44"/>
          <w:szCs w:val="44"/>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0" w:num="1"/>
          <w:rtlGutter w:val="0"/>
          <w:docGrid w:type="linesAndChars" w:linePitch="285" w:charSpace="833"/>
        </w:sectPr>
      </w:pPr>
      <w:bookmarkStart w:id="46" w:name="_Toc374128477"/>
      <w:bookmarkEnd w:id="46"/>
    </w:p>
    <w:p>
      <w:pPr>
        <w:pStyle w:val="3"/>
        <w:widowControl/>
        <w:spacing w:before="0" w:after="0" w:line="360" w:lineRule="auto"/>
        <w:jc w:val="center"/>
        <w:rPr>
          <w:rFonts w:ascii="黑体" w:hAnsi="宋体" w:cs="黑体"/>
          <w:b/>
          <w:color w:val="auto"/>
          <w:kern w:val="44"/>
          <w:sz w:val="44"/>
          <w:szCs w:val="44"/>
          <w:highlight w:val="none"/>
        </w:rPr>
      </w:pPr>
      <w:bookmarkStart w:id="47" w:name="_Toc30913"/>
      <w:r>
        <w:rPr>
          <w:rFonts w:hint="eastAsia" w:ascii="黑体" w:hAnsi="宋体" w:cs="黑体"/>
          <w:b/>
          <w:color w:val="auto"/>
          <w:kern w:val="44"/>
          <w:sz w:val="44"/>
          <w:szCs w:val="44"/>
          <w:highlight w:val="none"/>
        </w:rPr>
        <w:t>第4章 评标办法</w:t>
      </w:r>
      <w:bookmarkEnd w:id="47"/>
    </w:p>
    <w:p>
      <w:pPr>
        <w:spacing w:after="120" w:afterLines="50"/>
        <w:jc w:val="center"/>
        <w:rPr>
          <w:rFonts w:eastAsia="黑体"/>
          <w:color w:val="auto"/>
          <w:sz w:val="36"/>
          <w:szCs w:val="36"/>
          <w:highlight w:val="none"/>
        </w:rPr>
      </w:pPr>
      <w:r>
        <w:rPr>
          <w:rFonts w:ascii="Times New Roman" w:hAnsi="Times New Roman" w:eastAsia="黑体" w:cs="Times New Roman"/>
          <w:color w:val="auto"/>
          <w:sz w:val="36"/>
          <w:szCs w:val="36"/>
          <w:highlight w:val="none"/>
        </w:rPr>
        <w:t xml:space="preserve"> </w:t>
      </w:r>
    </w:p>
    <w:p>
      <w:pPr>
        <w:spacing w:line="500" w:lineRule="exact"/>
        <w:jc w:val="center"/>
        <w:outlineLvl w:val="9"/>
        <w:rPr>
          <w:rFonts w:ascii="Times New Roman" w:hAnsi="Times New Roman" w:eastAsia="宋体" w:cs="Times New Roman"/>
          <w:color w:val="auto"/>
          <w:szCs w:val="21"/>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linePitch="285" w:charSpace="0"/>
        </w:sectPr>
      </w:pPr>
      <w:r>
        <w:rPr>
          <w:rFonts w:ascii="Times New Roman" w:hAnsi="Times New Roman" w:eastAsia="宋体" w:cs="Times New Roman"/>
          <w:color w:val="auto"/>
          <w:szCs w:val="21"/>
          <w:highlight w:val="none"/>
        </w:rPr>
        <w:br w:type="page"/>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一、前言</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1.1本项目采取邀请招标选择</w:t>
      </w:r>
      <w:r>
        <w:rPr>
          <w:rFonts w:hint="eastAsia" w:ascii="仿宋" w:hAnsi="仿宋" w:eastAsia="仿宋" w:cs="仿宋"/>
          <w:color w:val="auto"/>
          <w:sz w:val="28"/>
          <w:szCs w:val="28"/>
          <w:highlight w:val="none"/>
          <w:lang w:val="en-US" w:eastAsia="zh-CN"/>
        </w:rPr>
        <w:t>造价</w:t>
      </w:r>
      <w:r>
        <w:rPr>
          <w:rFonts w:hint="eastAsia" w:ascii="仿宋" w:hAnsi="仿宋" w:eastAsia="仿宋" w:cs="仿宋"/>
          <w:color w:val="auto"/>
          <w:sz w:val="28"/>
          <w:szCs w:val="28"/>
          <w:highlight w:val="none"/>
        </w:rPr>
        <w:t>咨询单位，为保证招标“公开、公平、公正”，根据国家有关工程建设招标投标的法律、法规和方针、政策，制定本评标细则，实行评标的规范化、标准化、科学化。</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  本评标办法仅适用本次</w:t>
      </w:r>
      <w:r>
        <w:rPr>
          <w:rFonts w:hint="eastAsia" w:ascii="仿宋" w:hAnsi="仿宋" w:eastAsia="仿宋" w:cs="仿宋"/>
          <w:color w:val="auto"/>
          <w:sz w:val="28"/>
          <w:szCs w:val="28"/>
          <w:highlight w:val="none"/>
          <w:lang w:val="en-US" w:eastAsia="zh-CN"/>
        </w:rPr>
        <w:t>造价</w:t>
      </w:r>
      <w:r>
        <w:rPr>
          <w:rFonts w:hint="eastAsia" w:ascii="仿宋" w:hAnsi="仿宋" w:eastAsia="仿宋" w:cs="仿宋"/>
          <w:color w:val="auto"/>
          <w:sz w:val="28"/>
          <w:szCs w:val="28"/>
          <w:highlight w:val="none"/>
        </w:rPr>
        <w:t>咨询招标。</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  本评标办法的解释和修订权属本工程建设招标人。</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二、评标依据</w:t>
      </w:r>
    </w:p>
    <w:p>
      <w:pPr>
        <w:spacing w:line="50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评标工作严格执行国家颁布的有关法规，招标文件是投标单位编制投标文件的基础和评标的依据。主要资料和文件包括：</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2.1《中华人民共和国合同法》；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2.2《中华人民共和国招标投标法》；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2.3《中华人民共和国招标投标法实施条例》</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2.4七部委第12号令《评标委员会和评标方法暂行规定》；</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2.5《广东省实施〈中华人民共和国招标投标法〉办法》；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2.6《广东省加强建设工程招标投标监督管理的若干规定》；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2.7本招标工程项目的招标文件、评标办法及其补充通知；</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2.8投标文件及澄清问题书面资料；</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2.9国家、省、市各级行政主管部门颁发的其他有关招投标相关法律法规。</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三、评标人员守则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所有参加评标人员必须遵守国家、地方政府制定的有关工程招标投标的法则、规定，遵守有关工程招标投标的保密制度；如果发现评标专家徇私，违反纪律，则取消其评标资格，并报市公共资源交易中心备案；情节严重，构成犯罪的，由司法机关依法追究其刑事责任。</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全体参与评标人员：</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必须遵守评标纪律、不得泄密；</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必须公正、不得循私；</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必须科学、不得草率；</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必须客观、不得带有成见；</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必须平等、不得强加于人；</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必须严谨、不得随意马虎。</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四、评标机构</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招标人依法组建评标委员会。</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五、开标、评标、定标办法</w:t>
      </w:r>
    </w:p>
    <w:p>
      <w:pPr>
        <w:pStyle w:val="9"/>
        <w:keepNext w:val="0"/>
        <w:keepLines w:val="0"/>
        <w:pageBreakBefore w:val="0"/>
        <w:widowControl/>
        <w:kinsoku/>
        <w:wordWrap/>
        <w:overflowPunct/>
        <w:topLinePunct w:val="0"/>
        <w:autoSpaceDE/>
        <w:autoSpaceDN/>
        <w:bidi w:val="0"/>
        <w:adjustRightInd/>
        <w:snapToGrid/>
        <w:spacing w:line="500" w:lineRule="exact"/>
        <w:ind w:left="0" w:firstLine="562" w:firstLineChars="200"/>
        <w:textAlignment w:val="auto"/>
        <w:rPr>
          <w:rFonts w:hint="default" w:ascii="仿宋" w:hAnsi="仿宋" w:eastAsia="仿宋" w:cs="仿宋"/>
          <w:b/>
          <w:color w:val="auto"/>
          <w:sz w:val="28"/>
          <w:szCs w:val="28"/>
          <w:highlight w:val="none"/>
        </w:rPr>
      </w:pPr>
      <w:r>
        <w:rPr>
          <w:rFonts w:ascii="仿宋" w:hAnsi="仿宋" w:eastAsia="仿宋" w:cs="仿宋"/>
          <w:b/>
          <w:color w:val="auto"/>
          <w:sz w:val="28"/>
          <w:szCs w:val="28"/>
          <w:highlight w:val="none"/>
        </w:rPr>
        <w:t>5.1评标委员会</w:t>
      </w:r>
    </w:p>
    <w:p>
      <w:pPr>
        <w:pStyle w:val="9"/>
        <w:keepNext w:val="0"/>
        <w:keepLines w:val="0"/>
        <w:pageBreakBefore w:val="0"/>
        <w:widowControl/>
        <w:kinsoku/>
        <w:wordWrap/>
        <w:overflowPunct/>
        <w:topLinePunct w:val="0"/>
        <w:autoSpaceDE/>
        <w:autoSpaceDN/>
        <w:bidi w:val="0"/>
        <w:adjustRightInd/>
        <w:snapToGrid/>
        <w:spacing w:line="500" w:lineRule="exact"/>
        <w:ind w:left="0" w:firstLine="560" w:firstLineChars="200"/>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5.1.1  评标委员会由招标人依法组建的5名专家组成。</w:t>
      </w:r>
    </w:p>
    <w:p>
      <w:pPr>
        <w:pStyle w:val="9"/>
        <w:keepNext w:val="0"/>
        <w:keepLines w:val="0"/>
        <w:pageBreakBefore w:val="0"/>
        <w:widowControl/>
        <w:kinsoku/>
        <w:wordWrap/>
        <w:overflowPunct/>
        <w:topLinePunct w:val="0"/>
        <w:autoSpaceDE/>
        <w:autoSpaceDN/>
        <w:bidi w:val="0"/>
        <w:adjustRightInd/>
        <w:snapToGrid/>
        <w:spacing w:line="500" w:lineRule="exact"/>
        <w:ind w:left="0" w:firstLine="560" w:firstLineChars="200"/>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5.1.2  评标委员会随机产生1名负责人，主持评审工作，负责人与其他成员有同等表决权。</w:t>
      </w:r>
    </w:p>
    <w:p>
      <w:pPr>
        <w:pStyle w:val="9"/>
        <w:widowControl/>
        <w:spacing w:line="500" w:lineRule="exac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5.2 评标原则</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5.2.1 评标委员会根据招标文件规定的评标标准和方法，对投标文件进行评审和比较，招标文件中没有规定的标准和方法不得作为评标的依据。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5.2.2 在符合招标文件规定的前提下，评标委员会主要对投标文件进行评议。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5.2.3 开标、评标过程发现的问题和产生的纠纷，由评标委员会负责裁决。裁决前，评标委员会应认真阅读招标文件的规定。投标文件中全部符合附件1《有效性审查表》中任一种情形的，为有效标书，否则其投标文件将被否决。若本项目通过有效性审查的投标人不足3名时，应重新招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5.2.4 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5.2.5 如果少数投标人超越招标文件要求提交了模型、演示动画、特殊规格展示图纸或发生其他特殊情况，评标委员会对超越招标文件要求的内容不进行评审，只评审该投标文件符合要求的内容。</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5.3 评标办法 采用</w:t>
      </w:r>
      <w:r>
        <w:rPr>
          <w:rFonts w:hint="eastAsia" w:ascii="仿宋" w:hAnsi="仿宋" w:eastAsia="仿宋" w:cs="仿宋"/>
          <w:b/>
          <w:color w:val="auto"/>
          <w:sz w:val="28"/>
          <w:szCs w:val="28"/>
          <w:highlight w:val="none"/>
          <w:u w:val="single"/>
        </w:rPr>
        <w:t>综合评分法评标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5.3.1 开标评标程序</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（1）投标人递交投标文件。</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（2）对投标文件公开开标。</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（3）对投标文件进行有效性审查，并对通过有效性审查的投标文件进行综合评分。</w:t>
      </w:r>
    </w:p>
    <w:p>
      <w:pPr>
        <w:spacing w:line="500" w:lineRule="exact"/>
        <w:ind w:firstLine="560" w:firstLineChars="20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（4）汇总投标人的综合得分，推荐中标候选人并编写评审报告。</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5.3.2 详细评审步骤</w:t>
      </w:r>
    </w:p>
    <w:p>
      <w:pPr>
        <w:snapToGrid w:val="0"/>
        <w:spacing w:line="500" w:lineRule="exact"/>
        <w:ind w:left="779" w:leftChars="170" w:hanging="422" w:hangingChars="15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 评标委员会专家首先按附件1《有效性审查表》对各投标文件进行评审，只有通过有效性审查的投标文件方可进入下一阶段的评审。如果有有效性审查不通过提议，则评标委员会成员共同表决，按照少数服从多数的原则决定是否通过有效性审查。</w:t>
      </w:r>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(d) 评标委员会专家计算各投标人的综合得分.</w:t>
      </w:r>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(f) 评标委员会编写、签署评标报告，向招标人推荐综合得分最高的前三名中标候选方案（中标候选人）并标明排列顺序，评标报告由评标委员会全体成员签名，对评标结论持有异议的评标委员会成员可以书面方式阐述其不同意见和理由。</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jc w:val="left"/>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5.4 定标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5.4.1 招标人在评标委员会推荐的候选方案中确定中标方案。但是，招标人认为评标委员会推荐的候选方案不能最大限度满足招标文件规定的要求的，依法重新招标。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5.4.2 招标人采用下面方法确定中标人：</w:t>
      </w:r>
    </w:p>
    <w:p>
      <w:pPr>
        <w:spacing w:line="500" w:lineRule="exact"/>
        <w:ind w:left="958" w:hanging="957" w:hangingChars="3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□（a）招标人委托评标委员会直接确定中标人；</w:t>
      </w:r>
    </w:p>
    <w:p>
      <w:pPr>
        <w:spacing w:line="500" w:lineRule="exact"/>
        <w:ind w:left="961" w:hanging="961" w:hangingChars="342"/>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w:t>
      </w:r>
      <w:r>
        <w:rPr>
          <w:rFonts w:hint="eastAsia" w:ascii="仿宋" w:hAnsi="仿宋" w:eastAsia="仿宋" w:cs="仿宋"/>
          <w:color w:val="auto"/>
          <w:sz w:val="28"/>
          <w:szCs w:val="28"/>
          <w:highlight w:val="none"/>
        </w:rPr>
        <w:t>（b）确定评标委员会推荐的排名第一的中标候选人为中标人。如排名第一的中标候选人放弃中标或因不可抗力提出不能履行合同、招标文件规定应当提交履约保证金而在规定的期限内未提交的，或者存在违法行为被有关部门依法查处且其违法行为影响中标结果的，则确定排名第二的中标候选人为中标人。如排名第二的中标候选人也发生上述问题，则确定排名第三的中标候选人为中标人。</w:t>
      </w:r>
    </w:p>
    <w:p>
      <w:pPr>
        <w:spacing w:line="500" w:lineRule="exact"/>
        <w:ind w:left="958" w:hanging="957" w:hangingChars="3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5.5 发生下列情形之一的，招标人将重新组织招标：</w:t>
      </w:r>
    </w:p>
    <w:p>
      <w:pPr>
        <w:pStyle w:val="9"/>
        <w:keepNext w:val="0"/>
        <w:keepLines w:val="0"/>
        <w:pageBreakBefore w:val="0"/>
        <w:widowControl/>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若本项目经评审有效的投标人不足3名时，本次招标失败，招标人应当依法重新组织招标。</w:t>
      </w:r>
    </w:p>
    <w:p>
      <w:pPr>
        <w:keepNext w:val="0"/>
        <w:keepLines w:val="0"/>
        <w:pageBreakBefore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5.6 授予合同</w:t>
      </w:r>
    </w:p>
    <w:p>
      <w:pPr>
        <w:pStyle w:val="9"/>
        <w:keepNext w:val="0"/>
        <w:keepLines w:val="0"/>
        <w:pageBreakBefore w:val="0"/>
        <w:widowControl/>
        <w:kinsoku/>
        <w:wordWrap/>
        <w:overflowPunct/>
        <w:topLinePunct w:val="0"/>
        <w:autoSpaceDE/>
        <w:autoSpaceDN/>
        <w:bidi w:val="0"/>
        <w:adjustRightInd/>
        <w:snapToGrid/>
        <w:spacing w:line="500" w:lineRule="exact"/>
        <w:ind w:left="0" w:firstLine="560" w:firstLineChars="200"/>
        <w:jc w:val="left"/>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5.6.1 招标人一般将合同授予中标人，合同在投标有效期或投标人接受的延长期内授出。</w:t>
      </w:r>
    </w:p>
    <w:p>
      <w:pPr>
        <w:pStyle w:val="9"/>
        <w:keepNext w:val="0"/>
        <w:keepLines w:val="0"/>
        <w:pageBreakBefore w:val="0"/>
        <w:widowControl/>
        <w:kinsoku/>
        <w:wordWrap/>
        <w:overflowPunct/>
        <w:topLinePunct w:val="0"/>
        <w:autoSpaceDE/>
        <w:autoSpaceDN/>
        <w:bidi w:val="0"/>
        <w:adjustRightInd/>
        <w:snapToGrid/>
        <w:spacing w:line="500" w:lineRule="exact"/>
        <w:ind w:left="0" w:firstLine="560" w:firstLineChars="200"/>
        <w:jc w:val="left"/>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5.6.2 中标人必须签署并执行招标文件规定的合同条件。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六、开标细则</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开标由招标人或招标代理机构主持；</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15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 由投标人或其推选的代表检查投标文件的密封情况，也可以由招标人委托的公证机构检查并公证；</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 投标截止期前，各投标人递交投标文件至招标文件规定的投标地点。有关投标文件提交的事项详见招标文件第一章“投标须知”。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6.4 开标时，由招标人或招标代理机构在监督人员的见证下当众拆封，宣读a、投标人名称；b、标书密封情况；c、法定代表人证明及授权委托；d、项目负责人名称；e、投标报价等主要内容以及开标记录表中的其他必要内容，并予以记录，记录提交评标委员会评审。</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 招标人对开标过程进行记录，并存档备查，投标人在开标记录上签字。唱标结束后如未签字确认，则视为对开标结果无异议。</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6.6 招标人将上述符合要求的投标文件，送至评标委员会进行评审。</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七、评标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7.1 评标过程</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本次招标评标分“有效性审查”、“综合评分”两部分进行评审。收标后，全部评标过程将按以下阶段和步骤进行：</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1）第一步：进行投标文件有效性审查；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评标委员会依据有关法律、法规和招标文件的规定对投标文件进行评审，若本项目经评审有效的投标人不足3名时，本次招标失败，招标人应当依法重新组织招标。</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2）第二步：专家对综合评分表进行打分；</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3）第三步：评标委员会完成评标报告，向招标人推荐中标候选人。</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7.2 投标文件的有效性审查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委员会根据附件1“有效性审查表”进行评审。投标文件中没有任一种列于附件1《有效性审查表》中情形的，为通过有效性审查。否则其投标文件将被否决。如评标委员会成员的评审意见不一致时，以评标委员会过半数成员的意见作为评标委员会对该情形的认定结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评标委员会对所有投标作否决处理的，招标人应当重新招标。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w:t>
      </w: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 xml:space="preserve"> 计算投标人总得分（满分为100分） </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w:t>
      </w: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 xml:space="preserve"> 推荐中标候选人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以上评审完成后，按以下规定推荐第一中标候选人、第二中标候选人和第三中标候选人：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.1按投标人总得分高低进行先后排序，取评分最高者为第一中标候选人，次高者为第二中标候选人，依次类推。</w:t>
      </w:r>
    </w:p>
    <w:p>
      <w:pPr>
        <w:snapToGrid w:val="0"/>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投标人综合评分由高到低排序前3名作为第一、第二、第三中标候选人，综合得分相等时，以投标报价低的优先；投标报价也相等的，以投标人业绩、信誉及资信情况得分高的优先；如果投标人业绩、信誉及资信情况得分也相等，由评标委员会采用记名投票方式，确定中标候选人的排序。</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w:t>
      </w: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 xml:space="preserve"> 确定中标人</w:t>
      </w:r>
    </w:p>
    <w:p>
      <w:pPr>
        <w:snapToGrid w:val="0"/>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1）招标人依据评标报告审定本项目的中标人。</w:t>
      </w:r>
    </w:p>
    <w:p>
      <w:pPr>
        <w:snapToGrid w:val="0"/>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2）虽然经招标人审定为中标人，但在签订合同前的任何时候，招标人、评标专家以及其他人员发现投标人在招标投标过程有弄虚作假行为、虚报资料情况，一经查实，立即取消其中标人资格。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8"/>
          <w:szCs w:val="28"/>
          <w:highlight w:val="none"/>
          <w:lang w:val="en-US" w:eastAsia="zh-CN"/>
        </w:rPr>
        <w:t>7.6招标人将参照以下原则进行本项目中标人的替换：</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若中标人在实际工作中服务质量存在问题，未能表现出符合要求的造价咨询水平，经招标人研究确定，可解除与中标人的合同关系，并按照中标候选人顺序依次选取新的中标人。</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firstLine="425" w:firstLineChars="0"/>
        <w:textAlignment w:val="auto"/>
        <w:rPr>
          <w:rFonts w:ascii="仿宋" w:hAnsi="仿宋" w:eastAsia="仿宋" w:cs="仿宋"/>
          <w:color w:val="auto"/>
          <w:sz w:val="24"/>
          <w:highlight w:val="none"/>
        </w:rPr>
      </w:pPr>
      <w:r>
        <w:rPr>
          <w:rFonts w:hint="eastAsia" w:ascii="仿宋" w:hAnsi="仿宋" w:eastAsia="仿宋" w:cs="仿宋"/>
          <w:color w:val="auto"/>
          <w:sz w:val="28"/>
          <w:szCs w:val="28"/>
          <w:highlight w:val="none"/>
          <w:lang w:val="en-US" w:eastAsia="zh-CN"/>
        </w:rPr>
        <w:t>当中标人服务费累计接近100万时（服务年限未到一年），招标人可按相关条款约定解除与中标人的合同关系，并按照中标候选人顺序依次选取新的中标人。</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firstLine="425" w:firstLineChars="0"/>
        <w:textAlignment w:val="auto"/>
        <w:rPr>
          <w:rFonts w:ascii="仿宋" w:hAnsi="仿宋" w:eastAsia="仿宋" w:cs="仿宋"/>
          <w:color w:val="auto"/>
          <w:sz w:val="24"/>
          <w:highlight w:val="none"/>
        </w:rPr>
      </w:pPr>
      <w:r>
        <w:rPr>
          <w:rFonts w:hint="eastAsia" w:ascii="仿宋" w:hAnsi="仿宋" w:eastAsia="仿宋" w:cs="仿宋"/>
          <w:color w:val="auto"/>
          <w:sz w:val="28"/>
          <w:szCs w:val="28"/>
          <w:highlight w:val="none"/>
          <w:lang w:val="en-US" w:eastAsia="zh-CN"/>
        </w:rPr>
        <w:t>当中标人以正式的书面函件形式申请放弃中标资格时，招标人可取消</w:t>
      </w:r>
      <w:r>
        <w:rPr>
          <w:rFonts w:hint="eastAsia" w:ascii="仿宋" w:hAnsi="仿宋" w:eastAsia="仿宋" w:cs="仿宋"/>
          <w:color w:val="auto"/>
          <w:sz w:val="28"/>
          <w:szCs w:val="28"/>
          <w:highlight w:val="none"/>
        </w:rPr>
        <w:t>其中标人资格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解除与中标人的合同关系，并按照中标候选人顺序依次选取新的中标人。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3"/>
        <w:widowControl/>
        <w:spacing w:before="0" w:after="0" w:line="360" w:lineRule="auto"/>
        <w:jc w:val="center"/>
        <w:rPr>
          <w:rFonts w:ascii="黑体" w:hAnsi="宋体" w:cs="黑体"/>
          <w:b/>
          <w:color w:val="auto"/>
          <w:kern w:val="44"/>
          <w:sz w:val="44"/>
          <w:szCs w:val="44"/>
          <w:highlight w:val="none"/>
        </w:rPr>
      </w:pPr>
      <w:bookmarkStart w:id="48" w:name="_Toc462911104"/>
      <w:bookmarkEnd w:id="48"/>
      <w:bookmarkStart w:id="49" w:name="_Toc26593"/>
      <w:r>
        <w:rPr>
          <w:rFonts w:hint="eastAsia" w:ascii="黑体" w:hAnsi="宋体" w:cs="黑体"/>
          <w:b/>
          <w:color w:val="auto"/>
          <w:kern w:val="44"/>
          <w:sz w:val="44"/>
          <w:szCs w:val="44"/>
          <w:highlight w:val="none"/>
        </w:rPr>
        <w:t>第5章</w:t>
      </w:r>
      <w:r>
        <w:rPr>
          <w:rFonts w:hint="eastAsia" w:ascii="黑体" w:hAnsi="宋体" w:cs="黑体"/>
          <w:b/>
          <w:color w:val="auto"/>
          <w:kern w:val="44"/>
          <w:sz w:val="44"/>
          <w:szCs w:val="44"/>
          <w:highlight w:val="none"/>
          <w:lang w:val="en-US" w:eastAsia="zh-CN"/>
        </w:rPr>
        <w:t xml:space="preserve"> </w:t>
      </w:r>
      <w:r>
        <w:rPr>
          <w:rFonts w:hint="eastAsia" w:ascii="黑体" w:hAnsi="宋体" w:cs="黑体"/>
          <w:b/>
          <w:color w:val="auto"/>
          <w:kern w:val="44"/>
          <w:sz w:val="44"/>
          <w:szCs w:val="44"/>
          <w:highlight w:val="none"/>
        </w:rPr>
        <w:t>附件</w:t>
      </w:r>
      <w:bookmarkEnd w:id="49"/>
    </w:p>
    <w:p>
      <w:pPr>
        <w:pStyle w:val="21"/>
        <w:keepNext w:val="0"/>
        <w:keepLines w:val="0"/>
        <w:pageBreakBefore w:val="0"/>
        <w:widowControl/>
        <w:kinsoku/>
        <w:wordWrap/>
        <w:overflowPunct/>
        <w:topLinePunct w:val="0"/>
        <w:autoSpaceDE/>
        <w:autoSpaceDN/>
        <w:bidi w:val="0"/>
        <w:adjustRightInd/>
        <w:snapToGrid/>
        <w:ind w:firstLine="562"/>
        <w:textAlignment w:val="auto"/>
        <w:outlineLvl w:val="9"/>
        <w:rPr>
          <w:rFonts w:hint="default" w:ascii="仿宋" w:hAnsi="仿宋" w:eastAsia="仿宋" w:cs="仿宋"/>
          <w:b/>
          <w:color w:val="auto"/>
          <w:sz w:val="28"/>
          <w:szCs w:val="28"/>
          <w:highlight w:val="none"/>
          <w:u w:val="single"/>
        </w:rPr>
      </w:pPr>
      <w:r>
        <w:rPr>
          <w:rFonts w:ascii="仿宋" w:hAnsi="仿宋" w:eastAsia="仿宋" w:cs="仿宋"/>
          <w:b/>
          <w:color w:val="auto"/>
          <w:sz w:val="28"/>
          <w:szCs w:val="28"/>
          <w:highlight w:val="none"/>
          <w:u w:val="single"/>
        </w:rPr>
        <w:t>附件1 有效性审查表</w:t>
      </w:r>
    </w:p>
    <w:p>
      <w:pPr>
        <w:pStyle w:val="21"/>
        <w:keepNext w:val="0"/>
        <w:keepLines w:val="0"/>
        <w:pageBreakBefore w:val="0"/>
        <w:widowControl/>
        <w:kinsoku/>
        <w:wordWrap/>
        <w:overflowPunct/>
        <w:topLinePunct w:val="0"/>
        <w:autoSpaceDE/>
        <w:autoSpaceDN/>
        <w:bidi w:val="0"/>
        <w:adjustRightInd/>
        <w:snapToGrid/>
        <w:ind w:firstLine="562"/>
        <w:textAlignment w:val="auto"/>
        <w:outlineLvl w:val="9"/>
        <w:rPr>
          <w:rFonts w:hint="default" w:ascii="仿宋" w:hAnsi="仿宋" w:eastAsia="仿宋" w:cs="仿宋"/>
          <w:b/>
          <w:color w:val="auto"/>
          <w:sz w:val="28"/>
          <w:szCs w:val="28"/>
          <w:highlight w:val="none"/>
          <w:u w:val="single"/>
        </w:rPr>
      </w:pPr>
      <w:bookmarkStart w:id="50" w:name="OLE_LINK3"/>
      <w:bookmarkEnd w:id="50"/>
      <w:r>
        <w:rPr>
          <w:rFonts w:ascii="仿宋" w:hAnsi="仿宋" w:eastAsia="仿宋" w:cs="仿宋"/>
          <w:b/>
          <w:color w:val="auto"/>
          <w:sz w:val="28"/>
          <w:szCs w:val="28"/>
          <w:highlight w:val="none"/>
          <w:u w:val="single"/>
        </w:rPr>
        <w:t>附件2 综合评分表</w:t>
      </w:r>
    </w:p>
    <w:p>
      <w:pPr>
        <w:snapToGrid w:val="0"/>
        <w:spacing w:line="300" w:lineRule="auto"/>
        <w:outlineLvl w:val="0"/>
        <w:rPr>
          <w:rFonts w:ascii="仿宋" w:hAnsi="仿宋" w:eastAsia="仿宋" w:cs="仿宋"/>
          <w:color w:val="auto"/>
          <w:sz w:val="28"/>
          <w:szCs w:val="28"/>
          <w:highlight w:val="none"/>
        </w:rPr>
      </w:pPr>
      <w:r>
        <w:rPr>
          <w:rFonts w:hint="eastAsia" w:ascii="仿宋" w:hAnsi="仿宋" w:eastAsia="仿宋" w:cs="Times New Roman"/>
          <w:color w:val="auto"/>
          <w:sz w:val="28"/>
          <w:szCs w:val="28"/>
          <w:highlight w:val="none"/>
        </w:rPr>
        <w:br w:type="page"/>
      </w:r>
      <w:bookmarkStart w:id="51" w:name="_Toc12170"/>
      <w:r>
        <w:rPr>
          <w:rFonts w:hint="eastAsia" w:ascii="仿宋" w:hAnsi="仿宋" w:eastAsia="仿宋" w:cs="仿宋"/>
          <w:color w:val="auto"/>
          <w:sz w:val="28"/>
          <w:szCs w:val="28"/>
          <w:highlight w:val="none"/>
        </w:rPr>
        <w:t>附件1：有效性审查表</w:t>
      </w:r>
      <w:bookmarkEnd w:id="51"/>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有效性审查表</w:t>
      </w:r>
    </w:p>
    <w:tbl>
      <w:tblPr>
        <w:tblStyle w:val="17"/>
        <w:tblW w:w="8930" w:type="dxa"/>
        <w:tblInd w:w="108" w:type="dxa"/>
        <w:tblLayout w:type="fixed"/>
        <w:tblCellMar>
          <w:top w:w="0" w:type="dxa"/>
          <w:left w:w="108" w:type="dxa"/>
          <w:bottom w:w="0" w:type="dxa"/>
          <w:right w:w="108" w:type="dxa"/>
        </w:tblCellMar>
      </w:tblPr>
      <w:tblGrid>
        <w:gridCol w:w="720"/>
        <w:gridCol w:w="3533"/>
        <w:gridCol w:w="1559"/>
        <w:gridCol w:w="1559"/>
        <w:gridCol w:w="1559"/>
      </w:tblGrid>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107" w:leftChars="-51" w:firstLine="1"/>
              <w:jc w:val="center"/>
              <w:rPr>
                <w:rFonts w:ascii="仿宋" w:hAnsi="仿宋" w:eastAsia="仿宋" w:cs="仿宋"/>
                <w:b/>
                <w:color w:val="auto"/>
                <w:highlight w:val="none"/>
              </w:rPr>
            </w:pPr>
            <w:r>
              <w:rPr>
                <w:rFonts w:hint="eastAsia" w:ascii="仿宋" w:hAnsi="仿宋" w:eastAsia="仿宋" w:cs="仿宋"/>
                <w:b/>
                <w:color w:val="auto"/>
                <w:szCs w:val="21"/>
                <w:highlight w:val="none"/>
              </w:rPr>
              <w:t>序号</w:t>
            </w:r>
          </w:p>
        </w:tc>
        <w:tc>
          <w:tcPr>
            <w:tcW w:w="3533"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 xml:space="preserve">   投标人</w:t>
            </w:r>
          </w:p>
          <w:p>
            <w:pPr>
              <w:spacing w:before="120" w:beforeLines="50" w:after="120" w:afterLines="50" w:line="240" w:lineRule="exact"/>
              <w:ind w:left="105" w:leftChars="50" w:right="105" w:rightChars="50"/>
              <w:jc w:val="center"/>
              <w:rPr>
                <w:rFonts w:ascii="仿宋" w:hAnsi="仿宋" w:eastAsia="仿宋" w:cs="仿宋"/>
                <w:b/>
                <w:color w:val="auto"/>
                <w:highlight w:val="none"/>
              </w:rPr>
            </w:pPr>
          </w:p>
          <w:p>
            <w:pPr>
              <w:spacing w:before="120" w:beforeLines="50" w:after="120" w:afterLines="50" w:line="240" w:lineRule="exact"/>
              <w:ind w:left="105" w:leftChars="50" w:right="105" w:rightChars="50"/>
              <w:rPr>
                <w:rFonts w:ascii="仿宋" w:hAnsi="仿宋" w:eastAsia="仿宋" w:cs="仿宋"/>
                <w:b/>
                <w:color w:val="auto"/>
                <w:highlight w:val="none"/>
              </w:rPr>
            </w:pPr>
            <w:r>
              <w:rPr>
                <w:rFonts w:hint="eastAsia" w:ascii="仿宋" w:hAnsi="仿宋" w:eastAsia="仿宋" w:cs="仿宋"/>
                <w:b/>
                <w:color w:val="auto"/>
                <w:szCs w:val="21"/>
                <w:highlight w:val="none"/>
              </w:rPr>
              <w:t>评审项目</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投标人1</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投标人2</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投标人3</w:t>
            </w:r>
          </w:p>
        </w:tc>
      </w:tr>
      <w:tr>
        <w:tblPrEx>
          <w:tblCellMar>
            <w:top w:w="0" w:type="dxa"/>
            <w:left w:w="108" w:type="dxa"/>
            <w:bottom w:w="0" w:type="dxa"/>
            <w:right w:w="108" w:type="dxa"/>
          </w:tblCellMar>
        </w:tblPrEx>
        <w:trPr>
          <w:trHeight w:val="77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1</w:t>
            </w:r>
          </w:p>
        </w:tc>
        <w:tc>
          <w:tcPr>
            <w:tcW w:w="3533"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ind w:right="105" w:rightChars="50" w:firstLine="18" w:firstLineChars="9"/>
              <w:jc w:val="left"/>
              <w:rPr>
                <w:rFonts w:ascii="仿宋" w:hAnsi="仿宋" w:eastAsia="仿宋" w:cs="仿宋"/>
                <w:color w:val="auto"/>
                <w:highlight w:val="none"/>
              </w:rPr>
            </w:pPr>
            <w:r>
              <w:rPr>
                <w:rFonts w:hint="eastAsia" w:ascii="仿宋" w:hAnsi="仿宋" w:eastAsia="仿宋" w:cs="仿宋"/>
                <w:color w:val="auto"/>
                <w:szCs w:val="21"/>
                <w:highlight w:val="none"/>
              </w:rPr>
              <w:t>投标函签名、并加盖公章有效，且内容与招标文件相同</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125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2</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投标文件中附有有效的法定代表人证明书原件，或由委托代理人签字的投标文件中有法定代表人授权书原件</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708"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4</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投标文件封面加盖投标人的法定印章并经投标人代表签字（或盖签章）</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5</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有盖章、签署要求的带★格式文件已按要求盖章、签署</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eastAsia="zh-CN"/>
              </w:rPr>
              <w:t>下浮率在指定范围内且符合要求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投标文件提供的带★号条款的材料 满足招标文件要求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p>
        </w:tc>
        <w:tc>
          <w:tcPr>
            <w:tcW w:w="3533" w:type="dxa"/>
            <w:tcBorders>
              <w:top w:val="single" w:color="auto" w:sz="4" w:space="0"/>
              <w:left w:val="nil"/>
              <w:bottom w:val="single" w:color="auto" w:sz="4" w:space="0"/>
              <w:right w:val="single" w:color="auto" w:sz="4" w:space="0"/>
            </w:tcBorders>
            <w:shd w:val="clear" w:color="auto" w:fill="auto"/>
            <w:vAlign w:val="center"/>
          </w:tcPr>
          <w:p>
            <w:pPr>
              <w:ind w:left="105" w:leftChars="50" w:right="105" w:rightChars="50"/>
              <w:jc w:val="center"/>
              <w:rPr>
                <w:rFonts w:ascii="仿宋" w:hAnsi="仿宋" w:eastAsia="仿宋" w:cs="仿宋"/>
                <w:color w:val="auto"/>
                <w:highlight w:val="none"/>
              </w:rPr>
            </w:pPr>
            <w:r>
              <w:rPr>
                <w:rFonts w:hint="eastAsia" w:ascii="仿宋" w:hAnsi="仿宋" w:eastAsia="仿宋" w:cs="仿宋"/>
                <w:color w:val="auto"/>
                <w:szCs w:val="21"/>
                <w:highlight w:val="none"/>
              </w:rPr>
              <w:t>结论</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bl>
    <w:p>
      <w:pPr>
        <w:snapToGrid w:val="0"/>
        <w:spacing w:line="300" w:lineRule="auto"/>
        <w:jc w:val="left"/>
        <w:rPr>
          <w:rFonts w:ascii="仿宋" w:hAnsi="仿宋" w:eastAsia="仿宋" w:cs="Courier New"/>
          <w:color w:val="auto"/>
          <w:sz w:val="24"/>
          <w:highlight w:val="none"/>
        </w:rPr>
      </w:pPr>
      <w:r>
        <w:rPr>
          <w:rFonts w:hint="eastAsia" w:ascii="仿宋" w:hAnsi="仿宋" w:eastAsia="仿宋" w:cs="Courier New"/>
          <w:color w:val="auto"/>
          <w:sz w:val="24"/>
          <w:highlight w:val="none"/>
        </w:rPr>
        <w:t>注：</w:t>
      </w:r>
    </w:p>
    <w:p>
      <w:pPr>
        <w:snapToGrid w:val="0"/>
        <w:ind w:left="74"/>
        <w:rPr>
          <w:rFonts w:ascii="仿宋" w:hAnsi="仿宋" w:eastAsia="仿宋" w:cs="Courier New"/>
          <w:color w:val="auto"/>
          <w:sz w:val="24"/>
          <w:highlight w:val="none"/>
        </w:rPr>
      </w:pPr>
      <w:r>
        <w:rPr>
          <w:rFonts w:hint="eastAsia" w:ascii="仿宋" w:hAnsi="仿宋" w:eastAsia="仿宋" w:cs="Courier New"/>
          <w:color w:val="auto"/>
          <w:sz w:val="24"/>
          <w:highlight w:val="none"/>
        </w:rPr>
        <w:t>1.符合以上情形打“〇”，不符合以上任一情形打“×”，全部为“〇”结论均为“通过”，否则就为“不通过”。</w:t>
      </w:r>
    </w:p>
    <w:p>
      <w:pPr>
        <w:snapToGrid w:val="0"/>
        <w:spacing w:line="300" w:lineRule="auto"/>
        <w:ind w:firstLine="120" w:firstLineChars="50"/>
        <w:rPr>
          <w:rFonts w:ascii="仿宋" w:hAnsi="仿宋" w:eastAsia="仿宋" w:cs="仿宋"/>
          <w:color w:val="auto"/>
          <w:sz w:val="28"/>
          <w:szCs w:val="28"/>
          <w:highlight w:val="none"/>
        </w:rPr>
      </w:pPr>
      <w:r>
        <w:rPr>
          <w:rFonts w:hint="eastAsia" w:ascii="仿宋" w:hAnsi="仿宋" w:eastAsia="仿宋" w:cs="Courier New"/>
          <w:color w:val="auto"/>
          <w:sz w:val="24"/>
          <w:highlight w:val="none"/>
        </w:rPr>
        <w:t>2.如对本表中某种情形的评审意见不一致时，以专家组过半数成员的意见作为专家组对该情形的认定结论。</w:t>
      </w:r>
      <w:r>
        <w:rPr>
          <w:rFonts w:hint="eastAsia" w:ascii="仿宋" w:hAnsi="仿宋" w:eastAsia="仿宋" w:cs="Courier New"/>
          <w:color w:val="auto"/>
          <w:sz w:val="28"/>
          <w:szCs w:val="28"/>
          <w:highlight w:val="none"/>
        </w:rPr>
        <w:t xml:space="preserve"> </w:t>
      </w:r>
      <w:r>
        <w:rPr>
          <w:rFonts w:hint="eastAsia" w:ascii="仿宋" w:hAnsi="仿宋" w:eastAsia="仿宋" w:cs="仿宋"/>
          <w:color w:val="auto"/>
          <w:sz w:val="28"/>
          <w:szCs w:val="28"/>
          <w:highlight w:val="none"/>
        </w:rPr>
        <w:t xml:space="preserve">    </w:t>
      </w:r>
    </w:p>
    <w:p>
      <w:pPr>
        <w:snapToGrid w:val="0"/>
        <w:ind w:left="74"/>
        <w:rPr>
          <w:rFonts w:hint="eastAsia" w:ascii="仿宋" w:hAnsi="仿宋" w:eastAsia="仿宋" w:cs="Courier New"/>
          <w:color w:val="auto"/>
          <w:sz w:val="28"/>
          <w:szCs w:val="28"/>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Courier New"/>
          <w:color w:val="auto"/>
          <w:sz w:val="28"/>
          <w:szCs w:val="28"/>
          <w:highlight w:val="none"/>
        </w:rPr>
        <w:t>评标专家签名：                     日期：</w:t>
      </w:r>
    </w:p>
    <w:p>
      <w:pPr>
        <w:snapToGrid w:val="0"/>
        <w:ind w:left="74"/>
        <w:rPr>
          <w:rFonts w:hint="eastAsia" w:ascii="仿宋" w:hAnsi="仿宋" w:eastAsia="仿宋" w:cs="Courier New"/>
          <w:color w:val="auto"/>
          <w:sz w:val="28"/>
          <w:szCs w:val="28"/>
          <w:highlight w:val="none"/>
        </w:rPr>
      </w:pPr>
    </w:p>
    <w:p>
      <w:pPr>
        <w:snapToGrid w:val="0"/>
        <w:ind w:left="74"/>
        <w:outlineLvl w:val="0"/>
        <w:rPr>
          <w:rFonts w:hint="eastAsia" w:ascii="仿宋" w:hAnsi="仿宋" w:eastAsia="仿宋" w:cs="仿宋"/>
          <w:b/>
          <w:color w:val="auto"/>
          <w:sz w:val="24"/>
          <w:highlight w:val="none"/>
        </w:rPr>
        <w:sectPr>
          <w:footerReference r:id="rId4" w:type="default"/>
          <w:pgSz w:w="12240" w:h="15840"/>
          <w:pgMar w:top="1440" w:right="1797" w:bottom="1440" w:left="1797" w:header="720" w:footer="720" w:gutter="0"/>
          <w:pgBorders>
            <w:top w:val="none" w:sz="0" w:space="0"/>
            <w:left w:val="none" w:sz="0" w:space="0"/>
            <w:bottom w:val="none" w:sz="0" w:space="0"/>
            <w:right w:val="none" w:sz="0" w:space="0"/>
          </w:pgBorders>
          <w:pgNumType w:fmt="decimal"/>
          <w:cols w:space="425" w:num="1"/>
          <w:docGrid w:linePitch="312" w:charSpace="0"/>
        </w:sectPr>
      </w:pPr>
      <w:bookmarkStart w:id="52" w:name="_Toc18783"/>
    </w:p>
    <w:p>
      <w:pPr>
        <w:snapToGrid w:val="0"/>
        <w:ind w:left="74"/>
        <w:outlineLvl w:val="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附件2综合评分表</w:t>
      </w:r>
      <w:bookmarkEnd w:id="52"/>
    </w:p>
    <w:p>
      <w:pPr>
        <w:snapToGrid w:val="0"/>
        <w:ind w:left="74"/>
        <w:jc w:val="center"/>
        <w:outlineLvl w:val="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6"/>
          <w:szCs w:val="36"/>
          <w:highlight w:val="none"/>
        </w:rPr>
        <w:t>综合评分表</w:t>
      </w:r>
    </w:p>
    <w:tbl>
      <w:tblPr>
        <w:tblStyle w:val="17"/>
        <w:tblW w:w="9211" w:type="dxa"/>
        <w:jc w:val="center"/>
        <w:shd w:val="clear" w:color="auto" w:fill="FFFFFF"/>
        <w:tblLayout w:type="fixed"/>
        <w:tblCellMar>
          <w:top w:w="0" w:type="dxa"/>
          <w:left w:w="0" w:type="dxa"/>
          <w:bottom w:w="0" w:type="dxa"/>
          <w:right w:w="0" w:type="dxa"/>
        </w:tblCellMar>
      </w:tblPr>
      <w:tblGrid>
        <w:gridCol w:w="1201"/>
        <w:gridCol w:w="1965"/>
        <w:gridCol w:w="6045"/>
      </w:tblGrid>
      <w:tr>
        <w:tblPrEx>
          <w:shd w:val="clear" w:color="auto" w:fill="FFFFFF"/>
        </w:tblPrEx>
        <w:trPr>
          <w:trHeight w:val="665" w:hRule="atLeast"/>
          <w:jc w:val="center"/>
        </w:trPr>
        <w:tc>
          <w:tcPr>
            <w:tcW w:w="120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分值</w:t>
            </w:r>
          </w:p>
        </w:tc>
        <w:tc>
          <w:tcPr>
            <w:tcW w:w="19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评分因素</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评分标准</w:t>
            </w:r>
          </w:p>
        </w:tc>
      </w:tr>
      <w:tr>
        <w:tblPrEx>
          <w:shd w:val="clear" w:color="auto" w:fill="FFFFFF"/>
          <w:tblCellMar>
            <w:top w:w="0" w:type="dxa"/>
            <w:left w:w="0" w:type="dxa"/>
            <w:bottom w:w="0" w:type="dxa"/>
            <w:right w:w="0" w:type="dxa"/>
          </w:tblCellMar>
        </w:tblPrEx>
        <w:trPr>
          <w:trHeight w:val="23" w:hRule="atLeast"/>
          <w:jc w:val="center"/>
        </w:trPr>
        <w:tc>
          <w:tcPr>
            <w:tcW w:w="1201"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商务部分评分标准</w:t>
            </w: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rPr>
              <w:t>（</w:t>
            </w:r>
            <w:r>
              <w:rPr>
                <w:rFonts w:hint="eastAsia" w:asciiTheme="minorEastAsia" w:hAnsiTheme="minorEastAsia" w:cstheme="minorEastAsia"/>
                <w:color w:val="auto"/>
                <w:kern w:val="0"/>
                <w:sz w:val="18"/>
                <w:szCs w:val="18"/>
                <w:highlight w:val="none"/>
                <w:lang w:val="en-US" w:eastAsia="zh-CN"/>
              </w:rPr>
              <w:t>5</w:t>
            </w:r>
            <w:r>
              <w:rPr>
                <w:rFonts w:hint="eastAsia" w:asciiTheme="minorEastAsia" w:hAnsiTheme="minorEastAsia" w:eastAsiaTheme="minorEastAsia" w:cstheme="minorEastAsia"/>
                <w:color w:val="auto"/>
                <w:kern w:val="0"/>
                <w:sz w:val="18"/>
                <w:szCs w:val="18"/>
                <w:highlight w:val="none"/>
                <w:lang w:val="en-US" w:eastAsia="zh-CN"/>
              </w:rPr>
              <w:t>0</w:t>
            </w:r>
            <w:r>
              <w:rPr>
                <w:rFonts w:hint="eastAsia" w:asciiTheme="minorEastAsia" w:hAnsiTheme="minorEastAsia" w:eastAsiaTheme="minorEastAsia" w:cstheme="minorEastAsia"/>
                <w:color w:val="auto"/>
                <w:kern w:val="0"/>
                <w:sz w:val="18"/>
                <w:szCs w:val="18"/>
                <w:highlight w:val="none"/>
              </w:rPr>
              <w:t>分）</w:t>
            </w:r>
          </w:p>
        </w:tc>
        <w:tc>
          <w:tcPr>
            <w:tcW w:w="1965" w:type="dxa"/>
            <w:tcBorders>
              <w:top w:val="single" w:color="auto" w:sz="8" w:space="0"/>
              <w:left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720"/>
              </w:tabs>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“守合同、重信用”情况（1</w:t>
            </w:r>
            <w:r>
              <w:rPr>
                <w:rFonts w:hint="eastAsia" w:asciiTheme="minorEastAsia" w:hAnsiTheme="minorEastAsia" w:eastAsiaTheme="minorEastAsia" w:cstheme="minorEastAsia"/>
                <w:color w:val="auto"/>
                <w:sz w:val="18"/>
                <w:szCs w:val="18"/>
                <w:highlight w:val="none"/>
                <w:lang w:val="en-US" w:eastAsia="zh-CN"/>
              </w:rPr>
              <w:t>0</w:t>
            </w:r>
            <w:r>
              <w:rPr>
                <w:rFonts w:hint="eastAsia" w:asciiTheme="minorEastAsia" w:hAnsiTheme="minorEastAsia" w:eastAsiaTheme="minorEastAsia" w:cstheme="minorEastAsia"/>
                <w:color w:val="auto"/>
                <w:sz w:val="18"/>
                <w:szCs w:val="18"/>
                <w:highlight w:val="none"/>
              </w:rPr>
              <w:t>分）</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15"/>
              <w:keepNext w:val="0"/>
              <w:keepLines w:val="0"/>
              <w:pageBreakBefore w:val="0"/>
              <w:kinsoku/>
              <w:wordWrap/>
              <w:overflowPunct/>
              <w:topLinePunct w:val="0"/>
              <w:autoSpaceDE/>
              <w:autoSpaceDN/>
              <w:bidi w:val="0"/>
              <w:adjustRightInd/>
              <w:spacing w:line="400" w:lineRule="exact"/>
              <w:ind w:left="0" w:leftChars="0" w:firstLine="0" w:firstLineChars="0"/>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各投标人连续获得“守合同重信用”证书连续年份长短由高至低排名比较，排名1-3名得10分，排名4-6名得7分，排名7-9名得4分，排名10名及以后得2分，没有提供不得分。</w:t>
            </w:r>
          </w:p>
          <w:p>
            <w:pPr>
              <w:pStyle w:val="15"/>
              <w:keepNext w:val="0"/>
              <w:keepLines w:val="0"/>
              <w:pageBreakBefore w:val="0"/>
              <w:kinsoku/>
              <w:wordWrap/>
              <w:overflowPunct/>
              <w:topLinePunct w:val="0"/>
              <w:autoSpaceDE/>
              <w:autoSpaceDN/>
              <w:bidi w:val="0"/>
              <w:adjustRightInd/>
              <w:spacing w:line="400" w:lineRule="exact"/>
              <w:ind w:left="0" w:leftChars="0" w:firstLine="0" w:firstLineChars="0"/>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【注：1.提供 “守合同重信用”证书原件扫描件。“守合同重信用情况”证书以（市场）监督部门或由工商（市场）监督部门主管的行业协会颁发的为准，行业协会须在民政管理部门登记备案，其他证明文件不得分。</w:t>
            </w:r>
          </w:p>
          <w:p>
            <w:pPr>
              <w:keepNext w:val="0"/>
              <w:keepLines w:val="0"/>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color w:val="auto"/>
                <w:sz w:val="18"/>
                <w:szCs w:val="18"/>
                <w:highlight w:val="none"/>
              </w:rPr>
              <w:t>2.评分标准中名次并列情况：如M名投标人的“守合同重信用”证书连续年份长短排名相同，则为并列第N名，影响后续投标人排名，即其下一名投标人为第N+M名。如当第一名并列有2名时，则第二名实际按第三名计算得分,依此类推。</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b/>
                <w:color w:val="auto"/>
                <w:sz w:val="18"/>
                <w:szCs w:val="18"/>
                <w:highlight w:val="none"/>
              </w:rPr>
              <w:t xml:space="preserve"> </w:t>
            </w:r>
          </w:p>
        </w:tc>
      </w:tr>
      <w:tr>
        <w:tblPrEx>
          <w:shd w:val="clear" w:color="auto" w:fill="FFFFFF"/>
          <w:tblCellMar>
            <w:top w:w="0" w:type="dxa"/>
            <w:left w:w="0" w:type="dxa"/>
            <w:bottom w:w="0" w:type="dxa"/>
            <w:right w:w="0" w:type="dxa"/>
          </w:tblCellMar>
        </w:tblPrEx>
        <w:trPr>
          <w:trHeight w:val="2120" w:hRule="atLeast"/>
          <w:jc w:val="center"/>
        </w:trPr>
        <w:tc>
          <w:tcPr>
            <w:tcW w:w="1201"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1965" w:type="dxa"/>
            <w:tcBorders>
              <w:top w:val="single" w:color="auto" w:sz="8" w:space="0"/>
              <w:left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720"/>
              </w:tabs>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诚信纳税情况（10分）</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76" w:lineRule="auto"/>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投标人</w:t>
            </w:r>
            <w:r>
              <w:rPr>
                <w:rFonts w:hint="eastAsia" w:asciiTheme="minorEastAsia" w:hAnsiTheme="minorEastAsia" w:eastAsiaTheme="minorEastAsia" w:cstheme="minorEastAsia"/>
                <w:color w:val="000000"/>
                <w:sz w:val="18"/>
                <w:szCs w:val="18"/>
                <w:highlight w:val="none"/>
                <w:lang w:eastAsia="zh-CN"/>
              </w:rPr>
              <w:t>（</w:t>
            </w:r>
            <w:r>
              <w:rPr>
                <w:rFonts w:hint="eastAsia" w:asciiTheme="minorEastAsia" w:hAnsiTheme="minorEastAsia" w:eastAsiaTheme="minorEastAsia" w:cstheme="minorEastAsia"/>
                <w:color w:val="000000"/>
                <w:sz w:val="18"/>
                <w:szCs w:val="18"/>
                <w:highlight w:val="none"/>
                <w:lang w:val="en-US" w:eastAsia="zh-CN"/>
              </w:rPr>
              <w:t>不含分支机构</w:t>
            </w:r>
            <w:r>
              <w:rPr>
                <w:rFonts w:hint="eastAsia" w:asciiTheme="minorEastAsia" w:hAnsiTheme="minorEastAsia" w:eastAsiaTheme="minorEastAsia" w:cstheme="minorEastAsia"/>
                <w:color w:val="000000"/>
                <w:sz w:val="18"/>
                <w:szCs w:val="18"/>
                <w:highlight w:val="none"/>
                <w:lang w:eastAsia="zh-CN"/>
              </w:rPr>
              <w:t>）</w:t>
            </w:r>
            <w:r>
              <w:rPr>
                <w:rFonts w:hint="eastAsia" w:asciiTheme="minorEastAsia" w:hAnsiTheme="minorEastAsia" w:eastAsiaTheme="minorEastAsia" w:cstheme="minorEastAsia"/>
                <w:color w:val="000000"/>
                <w:sz w:val="18"/>
                <w:szCs w:val="18"/>
                <w:highlight w:val="none"/>
              </w:rPr>
              <w:t>至今（须含最近评</w:t>
            </w:r>
            <w:r>
              <w:rPr>
                <w:rFonts w:hint="eastAsia" w:asciiTheme="minorEastAsia" w:hAnsiTheme="minorEastAsia" w:eastAsiaTheme="minorEastAsia" w:cstheme="minorEastAsia"/>
                <w:color w:val="000000"/>
                <w:sz w:val="18"/>
                <w:szCs w:val="18"/>
                <w:highlight w:val="none"/>
                <w:lang w:val="en-US" w:eastAsia="zh-CN"/>
              </w:rPr>
              <w:t>价年度2020</w:t>
            </w:r>
            <w:r>
              <w:rPr>
                <w:rFonts w:hint="eastAsia" w:asciiTheme="minorEastAsia" w:hAnsiTheme="minorEastAsia" w:eastAsiaTheme="minorEastAsia" w:cstheme="minorEastAsia"/>
                <w:color w:val="000000"/>
                <w:sz w:val="18"/>
                <w:szCs w:val="18"/>
                <w:highlight w:val="none"/>
              </w:rPr>
              <w:t>年）曾被国家税务主管部门评为纳税信用A级或以上等级的：连续获得过</w:t>
            </w:r>
            <w:r>
              <w:rPr>
                <w:rFonts w:hint="eastAsia" w:asciiTheme="minorEastAsia" w:hAnsiTheme="minorEastAsia" w:eastAsiaTheme="minorEastAsia" w:cstheme="minorEastAsia"/>
                <w:color w:val="000000"/>
                <w:sz w:val="18"/>
                <w:szCs w:val="18"/>
                <w:highlight w:val="none"/>
                <w:lang w:val="en-US" w:eastAsia="zh-CN"/>
              </w:rPr>
              <w:t>7</w:t>
            </w:r>
            <w:r>
              <w:rPr>
                <w:rFonts w:hint="eastAsia" w:asciiTheme="minorEastAsia" w:hAnsiTheme="minorEastAsia" w:eastAsiaTheme="minorEastAsia" w:cstheme="minorEastAsia"/>
                <w:color w:val="000000"/>
                <w:sz w:val="18"/>
                <w:szCs w:val="18"/>
                <w:highlight w:val="none"/>
              </w:rPr>
              <w:t>次及以上的，得10分；连续获得过</w:t>
            </w:r>
            <w:r>
              <w:rPr>
                <w:rFonts w:hint="eastAsia" w:asciiTheme="minorEastAsia" w:hAnsiTheme="minorEastAsia" w:eastAsiaTheme="minorEastAsia" w:cstheme="minorEastAsia"/>
                <w:color w:val="000000"/>
                <w:sz w:val="18"/>
                <w:szCs w:val="18"/>
                <w:highlight w:val="none"/>
                <w:lang w:val="en-US" w:eastAsia="zh-CN"/>
              </w:rPr>
              <w:t>6</w:t>
            </w:r>
            <w:r>
              <w:rPr>
                <w:rFonts w:hint="eastAsia" w:asciiTheme="minorEastAsia" w:hAnsiTheme="minorEastAsia" w:eastAsiaTheme="minorEastAsia" w:cstheme="minorEastAsia"/>
                <w:color w:val="000000"/>
                <w:sz w:val="18"/>
                <w:szCs w:val="18"/>
                <w:highlight w:val="none"/>
              </w:rPr>
              <w:t>次的，得</w:t>
            </w:r>
            <w:r>
              <w:rPr>
                <w:rFonts w:hint="eastAsia" w:asciiTheme="minorEastAsia" w:hAnsiTheme="minorEastAsia" w:eastAsiaTheme="minorEastAsia" w:cstheme="minorEastAsia"/>
                <w:color w:val="000000"/>
                <w:sz w:val="18"/>
                <w:szCs w:val="18"/>
                <w:highlight w:val="none"/>
                <w:lang w:val="en-US" w:eastAsia="zh-CN"/>
              </w:rPr>
              <w:t>7</w:t>
            </w:r>
            <w:r>
              <w:rPr>
                <w:rFonts w:hint="eastAsia" w:asciiTheme="minorEastAsia" w:hAnsiTheme="minorEastAsia" w:eastAsiaTheme="minorEastAsia" w:cstheme="minorEastAsia"/>
                <w:color w:val="000000"/>
                <w:sz w:val="18"/>
                <w:szCs w:val="18"/>
                <w:highlight w:val="none"/>
              </w:rPr>
              <w:t>分；连续获得过</w:t>
            </w:r>
            <w:r>
              <w:rPr>
                <w:rFonts w:hint="eastAsia" w:asciiTheme="minorEastAsia" w:hAnsiTheme="minorEastAsia" w:eastAsiaTheme="minorEastAsia" w:cstheme="minorEastAsia"/>
                <w:color w:val="000000"/>
                <w:sz w:val="18"/>
                <w:szCs w:val="18"/>
                <w:highlight w:val="none"/>
                <w:lang w:val="en-US" w:eastAsia="zh-CN"/>
              </w:rPr>
              <w:t>5</w:t>
            </w:r>
            <w:r>
              <w:rPr>
                <w:rFonts w:hint="eastAsia" w:asciiTheme="minorEastAsia" w:hAnsiTheme="minorEastAsia" w:eastAsiaTheme="minorEastAsia" w:cstheme="minorEastAsia"/>
                <w:color w:val="000000"/>
                <w:sz w:val="18"/>
                <w:szCs w:val="18"/>
                <w:highlight w:val="none"/>
              </w:rPr>
              <w:t>次的，得4分；连续获得过</w:t>
            </w:r>
            <w:r>
              <w:rPr>
                <w:rFonts w:hint="eastAsia" w:asciiTheme="minorEastAsia" w:hAnsiTheme="minorEastAsia" w:eastAsiaTheme="minorEastAsia" w:cstheme="minorEastAsia"/>
                <w:color w:val="000000"/>
                <w:sz w:val="18"/>
                <w:szCs w:val="18"/>
                <w:highlight w:val="none"/>
                <w:lang w:val="en-US" w:eastAsia="zh-CN"/>
              </w:rPr>
              <w:t>4</w:t>
            </w:r>
            <w:r>
              <w:rPr>
                <w:rFonts w:hint="eastAsia" w:asciiTheme="minorEastAsia" w:hAnsiTheme="minorEastAsia" w:eastAsiaTheme="minorEastAsia" w:cstheme="minorEastAsia"/>
                <w:color w:val="000000"/>
                <w:sz w:val="18"/>
                <w:szCs w:val="18"/>
                <w:highlight w:val="none"/>
              </w:rPr>
              <w:t>次及以下的，得</w:t>
            </w:r>
            <w:r>
              <w:rPr>
                <w:rFonts w:hint="eastAsia" w:asciiTheme="minorEastAsia" w:hAnsiTheme="minorEastAsia" w:eastAsiaTheme="minorEastAsia" w:cstheme="minorEastAsia"/>
                <w:color w:val="000000"/>
                <w:sz w:val="18"/>
                <w:szCs w:val="18"/>
                <w:highlight w:val="none"/>
                <w:lang w:val="en-US" w:eastAsia="zh-CN"/>
              </w:rPr>
              <w:t>2</w:t>
            </w:r>
            <w:r>
              <w:rPr>
                <w:rFonts w:hint="eastAsia" w:asciiTheme="minorEastAsia" w:hAnsiTheme="minorEastAsia" w:eastAsiaTheme="minorEastAsia" w:cstheme="minorEastAsia"/>
                <w:color w:val="000000"/>
                <w:sz w:val="18"/>
                <w:szCs w:val="18"/>
                <w:highlight w:val="none"/>
              </w:rPr>
              <w:t>分；没有获得过的，得0分。</w:t>
            </w:r>
          </w:p>
          <w:p>
            <w:pPr>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sz w:val="18"/>
                <w:szCs w:val="18"/>
                <w:lang w:val="en-US" w:eastAsia="zh-CN"/>
              </w:rPr>
              <w:t>【注：</w:t>
            </w:r>
            <w:r>
              <w:rPr>
                <w:rFonts w:hint="eastAsia" w:asciiTheme="minorEastAsia" w:hAnsiTheme="minorEastAsia" w:eastAsiaTheme="minorEastAsia" w:cstheme="minorEastAsia"/>
                <w:sz w:val="18"/>
                <w:szCs w:val="18"/>
              </w:rPr>
              <w:t>以税务部门颁发的证书或电子证书或以“国家税务总局”官网（http://www.chinatax.gov.cn/index.html）的查询结果</w:t>
            </w:r>
            <w:r>
              <w:rPr>
                <w:rFonts w:hint="eastAsia" w:asciiTheme="minorEastAsia" w:hAnsiTheme="minorEastAsia" w:eastAsiaTheme="minorEastAsia" w:cstheme="minorEastAsia"/>
                <w:sz w:val="18"/>
                <w:szCs w:val="18"/>
                <w:lang w:val="en-US" w:eastAsia="zh-CN"/>
              </w:rPr>
              <w:t>截图</w:t>
            </w:r>
            <w:r>
              <w:rPr>
                <w:rFonts w:hint="eastAsia" w:asciiTheme="minorEastAsia" w:hAnsiTheme="minorEastAsia" w:eastAsiaTheme="minorEastAsia" w:cstheme="minorEastAsia"/>
                <w:sz w:val="18"/>
                <w:szCs w:val="18"/>
              </w:rPr>
              <w:t>为准，以获得年度为准，其他证明文件不得分。</w:t>
            </w:r>
            <w:r>
              <w:rPr>
                <w:rFonts w:hint="eastAsia" w:asciiTheme="minorEastAsia" w:hAnsiTheme="minorEastAsia" w:eastAsiaTheme="minorEastAsia" w:cstheme="minorEastAsia"/>
                <w:sz w:val="18"/>
                <w:szCs w:val="18"/>
                <w:lang w:eastAsia="zh-CN"/>
              </w:rPr>
              <w:t>】</w:t>
            </w:r>
          </w:p>
        </w:tc>
      </w:tr>
      <w:tr>
        <w:tblPrEx>
          <w:tblCellMar>
            <w:top w:w="0" w:type="dxa"/>
            <w:left w:w="0" w:type="dxa"/>
            <w:bottom w:w="0" w:type="dxa"/>
            <w:right w:w="0" w:type="dxa"/>
          </w:tblCellMar>
        </w:tblPrEx>
        <w:trPr>
          <w:trHeight w:val="3850" w:hRule="atLeast"/>
          <w:jc w:val="center"/>
        </w:trPr>
        <w:tc>
          <w:tcPr>
            <w:tcW w:w="1201"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p>
        </w:tc>
        <w:tc>
          <w:tcPr>
            <w:tcW w:w="196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企业获奖</w:t>
            </w: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w:t>
            </w:r>
            <w:r>
              <w:rPr>
                <w:rFonts w:hint="eastAsia" w:asciiTheme="minorEastAsia" w:hAnsiTheme="minorEastAsia" w:eastAsiaTheme="minorEastAsia" w:cstheme="minorEastAsia"/>
                <w:color w:val="auto"/>
                <w:sz w:val="18"/>
                <w:szCs w:val="18"/>
                <w:highlight w:val="none"/>
                <w:lang w:val="en-US" w:eastAsia="zh-CN"/>
              </w:rPr>
              <w:t>0</w:t>
            </w:r>
            <w:r>
              <w:rPr>
                <w:rFonts w:hint="eastAsia" w:asciiTheme="minorEastAsia" w:hAnsiTheme="minorEastAsia" w:eastAsiaTheme="minorEastAsia" w:cstheme="minorEastAsia"/>
                <w:color w:val="auto"/>
                <w:sz w:val="18"/>
                <w:szCs w:val="18"/>
                <w:highlight w:val="none"/>
              </w:rPr>
              <w:t>分）</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15"/>
              <w:keepNext w:val="0"/>
              <w:keepLines w:val="0"/>
              <w:pageBreakBefore w:val="0"/>
              <w:kinsoku/>
              <w:wordWrap/>
              <w:overflowPunct/>
              <w:topLinePunct w:val="0"/>
              <w:autoSpaceDE/>
              <w:autoSpaceDN/>
              <w:bidi w:val="0"/>
              <w:adjustRightInd/>
              <w:spacing w:line="400" w:lineRule="exact"/>
              <w:ind w:left="0" w:leftChars="0" w:firstLine="0" w:firstLineChars="0"/>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2015年1月1日至今投标人获得省级或以上的相关机构颁发的优秀工程造价成果奖数量：排名1-3名得10分，排名4-6名得7分，排名7-9名得4分，排名10名及以后得2分，没有提供不得分。</w:t>
            </w:r>
          </w:p>
          <w:p>
            <w:pPr>
              <w:pStyle w:val="15"/>
              <w:keepNext w:val="0"/>
              <w:keepLines w:val="0"/>
              <w:pageBreakBefore w:val="0"/>
              <w:kinsoku/>
              <w:wordWrap/>
              <w:overflowPunct/>
              <w:topLinePunct w:val="0"/>
              <w:autoSpaceDE/>
              <w:autoSpaceDN/>
              <w:bidi w:val="0"/>
              <w:adjustRightInd/>
              <w:spacing w:line="400" w:lineRule="exact"/>
              <w:ind w:left="0" w:leftChars="0" w:firstLine="0" w:firstLineChars="0"/>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【注：1、提供省级或以上相关机构颁发的优秀造价成果证书原件扫描件。</w:t>
            </w:r>
          </w:p>
          <w:p>
            <w:pPr>
              <w:pStyle w:val="15"/>
              <w:keepNext w:val="0"/>
              <w:keepLines w:val="0"/>
              <w:pageBreakBefore w:val="0"/>
              <w:kinsoku/>
              <w:wordWrap/>
              <w:overflowPunct/>
              <w:topLinePunct w:val="0"/>
              <w:autoSpaceDE/>
              <w:autoSpaceDN/>
              <w:bidi w:val="0"/>
              <w:adjustRightInd/>
              <w:spacing w:line="400" w:lineRule="exact"/>
              <w:ind w:left="0" w:leftChars="0" w:firstLine="0" w:firstLineChars="0"/>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2、评分标准中名次并列情况：如M名投标人的优秀工程造价成果奖项数量排名相同，则为并列第N名，影响后续投标人排名，即其下一名投标人为第N+M名。如当第一名并列有2名时，则第二名实际按第三名计算得分,依此类推。】</w:t>
            </w:r>
          </w:p>
        </w:tc>
      </w:tr>
      <w:tr>
        <w:tblPrEx>
          <w:shd w:val="clear" w:color="auto" w:fill="FFFFFF"/>
          <w:tblCellMar>
            <w:top w:w="0" w:type="dxa"/>
            <w:left w:w="0" w:type="dxa"/>
            <w:bottom w:w="0" w:type="dxa"/>
            <w:right w:w="0" w:type="dxa"/>
          </w:tblCellMar>
        </w:tblPrEx>
        <w:trPr>
          <w:trHeight w:val="1032" w:hRule="atLeast"/>
          <w:jc w:val="center"/>
        </w:trPr>
        <w:tc>
          <w:tcPr>
            <w:tcW w:w="1201"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p>
        </w:tc>
        <w:tc>
          <w:tcPr>
            <w:tcW w:w="196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体系认证（</w:t>
            </w:r>
            <w:r>
              <w:rPr>
                <w:rFonts w:hint="eastAsia" w:asciiTheme="minorEastAsia" w:hAnsi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rPr>
              <w:t>分）</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投标人同时具备ISO</w:t>
            </w:r>
            <w:r>
              <w:rPr>
                <w:rFonts w:hint="eastAsia" w:asciiTheme="minorEastAsia" w:hAnsiTheme="minorEastAsia" w:eastAsiaTheme="minorEastAsia" w:cstheme="minorEastAsia"/>
                <w:color w:val="auto"/>
                <w:sz w:val="18"/>
                <w:szCs w:val="18"/>
                <w:highlight w:val="none"/>
                <w:lang w:val="en-US" w:eastAsia="zh-CN"/>
              </w:rPr>
              <w:t>系列</w:t>
            </w:r>
            <w:r>
              <w:rPr>
                <w:rFonts w:hint="eastAsia" w:asciiTheme="minorEastAsia" w:hAnsiTheme="minorEastAsia" w:eastAsiaTheme="minorEastAsia" w:cstheme="minorEastAsia"/>
                <w:color w:val="auto"/>
                <w:sz w:val="18"/>
                <w:szCs w:val="18"/>
                <w:highlight w:val="none"/>
              </w:rPr>
              <w:t>质量管理体系、环境管理体系、职业健康安全管理体系、信息安全管理体系认证且在有效期内，</w:t>
            </w:r>
            <w:r>
              <w:rPr>
                <w:rFonts w:hint="eastAsia" w:asciiTheme="minorEastAsia" w:hAnsiTheme="minorEastAsia" w:eastAsiaTheme="minorEastAsia" w:cstheme="minorEastAsia"/>
                <w:color w:val="auto"/>
                <w:sz w:val="18"/>
                <w:szCs w:val="18"/>
                <w:highlight w:val="none"/>
                <w:lang w:eastAsia="zh-CN"/>
              </w:rPr>
              <w:t>每</w:t>
            </w:r>
            <w:r>
              <w:rPr>
                <w:rFonts w:hint="eastAsia" w:asciiTheme="minorEastAsia" w:hAnsiTheme="minorEastAsia" w:eastAsiaTheme="minorEastAsia" w:cstheme="minorEastAsia"/>
                <w:color w:val="auto"/>
                <w:sz w:val="18"/>
                <w:szCs w:val="18"/>
                <w:highlight w:val="none"/>
              </w:rPr>
              <w:t>具备上述中一项体系认证且在有效期内得</w:t>
            </w:r>
            <w:r>
              <w:rPr>
                <w:rFonts w:hint="eastAsia" w:asciiTheme="minorEastAsia" w:hAnsiTheme="minorEastAsia" w:cstheme="minorEastAsia"/>
                <w:color w:val="auto"/>
                <w:sz w:val="18"/>
                <w:szCs w:val="18"/>
                <w:highlight w:val="none"/>
                <w:lang w:val="en-US" w:eastAsia="zh-CN"/>
              </w:rPr>
              <w:t>0.5</w:t>
            </w:r>
            <w:r>
              <w:rPr>
                <w:rFonts w:hint="eastAsia" w:asciiTheme="minorEastAsia" w:hAnsiTheme="minorEastAsia" w:eastAsiaTheme="minorEastAsia" w:cstheme="minorEastAsia"/>
                <w:color w:val="auto"/>
                <w:sz w:val="18"/>
                <w:szCs w:val="18"/>
                <w:highlight w:val="none"/>
              </w:rPr>
              <w:t>分。未通过认证或不在有效期内的得0分。</w:t>
            </w:r>
          </w:p>
          <w:p>
            <w:pPr>
              <w:keepNext w:val="0"/>
              <w:keepLines w:val="0"/>
              <w:pageBreakBefore w:val="0"/>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注：提供有效证书</w:t>
            </w:r>
            <w:r>
              <w:rPr>
                <w:rFonts w:hint="eastAsia" w:asciiTheme="minorEastAsia" w:hAnsiTheme="minorEastAsia" w:eastAsiaTheme="minorEastAsia" w:cstheme="minorEastAsia"/>
                <w:color w:val="auto"/>
                <w:sz w:val="18"/>
                <w:szCs w:val="18"/>
                <w:highlight w:val="none"/>
                <w:lang w:eastAsia="zh-CN"/>
              </w:rPr>
              <w:t>原件扫描件</w:t>
            </w:r>
            <w:r>
              <w:rPr>
                <w:rFonts w:hint="eastAsia" w:asciiTheme="minorEastAsia" w:hAnsiTheme="minorEastAsia" w:eastAsiaTheme="minorEastAsia" w:cstheme="minorEastAsia"/>
                <w:color w:val="auto"/>
                <w:sz w:val="18"/>
                <w:szCs w:val="18"/>
                <w:highlight w:val="none"/>
              </w:rPr>
              <w:t>并加盖公章。</w:t>
            </w:r>
          </w:p>
        </w:tc>
      </w:tr>
      <w:tr>
        <w:tblPrEx>
          <w:shd w:val="clear" w:color="auto" w:fill="FFFFFF"/>
          <w:tblCellMar>
            <w:top w:w="0" w:type="dxa"/>
            <w:left w:w="0" w:type="dxa"/>
            <w:bottom w:w="0" w:type="dxa"/>
            <w:right w:w="0" w:type="dxa"/>
          </w:tblCellMar>
        </w:tblPrEx>
        <w:trPr>
          <w:trHeight w:val="1829" w:hRule="atLeast"/>
          <w:jc w:val="center"/>
        </w:trPr>
        <w:tc>
          <w:tcPr>
            <w:tcW w:w="1201"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p>
        </w:tc>
        <w:tc>
          <w:tcPr>
            <w:tcW w:w="196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工程造价咨询业绩（</w:t>
            </w:r>
            <w:r>
              <w:rPr>
                <w:rFonts w:hint="eastAsia" w:asciiTheme="minorEastAsia" w:hAnsiTheme="minorEastAsia" w:cstheme="minorEastAsia"/>
                <w:color w:val="auto"/>
                <w:sz w:val="18"/>
                <w:szCs w:val="18"/>
                <w:highlight w:val="none"/>
                <w:lang w:val="en-US" w:eastAsia="zh-CN"/>
              </w:rPr>
              <w:t>9</w:t>
            </w:r>
            <w:r>
              <w:rPr>
                <w:rFonts w:hint="eastAsia" w:asciiTheme="minorEastAsia" w:hAnsiTheme="minorEastAsia" w:eastAsiaTheme="minorEastAsia" w:cstheme="minorEastAsia"/>
                <w:color w:val="auto"/>
                <w:sz w:val="18"/>
                <w:szCs w:val="18"/>
                <w:highlight w:val="none"/>
              </w:rPr>
              <w:t>分）</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numPr>
                <w:ilvl w:val="-1"/>
                <w:numId w:val="0"/>
              </w:numPr>
              <w:kinsoku/>
              <w:wordWrap/>
              <w:overflowPunct/>
              <w:topLinePunct w:val="0"/>
              <w:autoSpaceDE/>
              <w:autoSpaceDN/>
              <w:bidi w:val="0"/>
              <w:adjustRightInd/>
              <w:spacing w:line="400" w:lineRule="exact"/>
              <w:ind w:right="0" w:rightChars="0"/>
              <w:jc w:val="left"/>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投标人自201</w:t>
            </w:r>
            <w:r>
              <w:rPr>
                <w:rFonts w:hint="eastAsia" w:asciiTheme="minorEastAsia" w:hAnsiTheme="minorEastAsia" w:eastAsiaTheme="minorEastAsia" w:cstheme="minorEastAsia"/>
                <w:color w:val="auto"/>
                <w:kern w:val="0"/>
                <w:sz w:val="18"/>
                <w:szCs w:val="18"/>
                <w:highlight w:val="none"/>
                <w:lang w:val="en-US" w:eastAsia="zh-CN"/>
              </w:rPr>
              <w:t>8</w:t>
            </w:r>
            <w:r>
              <w:rPr>
                <w:rFonts w:hint="eastAsia" w:asciiTheme="minorEastAsia" w:hAnsiTheme="minorEastAsia" w:eastAsiaTheme="minorEastAsia" w:cstheme="minorEastAsia"/>
                <w:color w:val="auto"/>
                <w:kern w:val="0"/>
                <w:sz w:val="18"/>
                <w:szCs w:val="18"/>
                <w:highlight w:val="none"/>
              </w:rPr>
              <w:t>年1月1日至今</w:t>
            </w:r>
            <w:r>
              <w:rPr>
                <w:rFonts w:hint="eastAsia" w:asciiTheme="minorEastAsia" w:hAnsiTheme="minorEastAsia" w:eastAsiaTheme="minorEastAsia" w:cstheme="minorEastAsia"/>
                <w:color w:val="auto"/>
                <w:kern w:val="0"/>
                <w:sz w:val="18"/>
                <w:szCs w:val="18"/>
                <w:highlight w:val="none"/>
                <w:lang w:eastAsia="zh-CN"/>
              </w:rPr>
              <w:t>完成</w:t>
            </w:r>
            <w:r>
              <w:rPr>
                <w:rFonts w:hint="eastAsia" w:asciiTheme="minorEastAsia" w:hAnsiTheme="minorEastAsia" w:eastAsiaTheme="minorEastAsia" w:cstheme="minorEastAsia"/>
                <w:color w:val="auto"/>
                <w:kern w:val="0"/>
                <w:sz w:val="18"/>
                <w:szCs w:val="18"/>
                <w:highlight w:val="none"/>
              </w:rPr>
              <w:t>过</w:t>
            </w:r>
            <w:r>
              <w:rPr>
                <w:rFonts w:hint="eastAsia" w:asciiTheme="minorEastAsia" w:hAnsiTheme="minorEastAsia" w:eastAsiaTheme="minorEastAsia" w:cstheme="minorEastAsia"/>
                <w:color w:val="auto"/>
                <w:kern w:val="0"/>
                <w:sz w:val="18"/>
                <w:szCs w:val="18"/>
                <w:highlight w:val="none"/>
                <w:lang w:val="en-US" w:eastAsia="zh-CN"/>
              </w:rPr>
              <w:t>政府投资</w:t>
            </w:r>
            <w:r>
              <w:rPr>
                <w:rFonts w:hint="eastAsia" w:asciiTheme="minorEastAsia" w:hAnsiTheme="minorEastAsia" w:eastAsiaTheme="minorEastAsia" w:cstheme="minorEastAsia"/>
                <w:color w:val="auto"/>
                <w:kern w:val="0"/>
                <w:sz w:val="18"/>
                <w:szCs w:val="18"/>
                <w:highlight w:val="none"/>
                <w:lang w:eastAsia="zh-CN"/>
              </w:rPr>
              <w:t>项目工程</w:t>
            </w:r>
            <w:r>
              <w:rPr>
                <w:rFonts w:hint="eastAsia" w:asciiTheme="minorEastAsia" w:hAnsiTheme="minorEastAsia" w:eastAsiaTheme="minorEastAsia" w:cstheme="minorEastAsia"/>
                <w:color w:val="auto"/>
                <w:kern w:val="0"/>
                <w:sz w:val="18"/>
                <w:szCs w:val="18"/>
                <w:highlight w:val="none"/>
              </w:rPr>
              <w:t>造价咨询服务</w:t>
            </w:r>
            <w:r>
              <w:rPr>
                <w:rFonts w:hint="eastAsia" w:asciiTheme="minorEastAsia" w:hAnsiTheme="minorEastAsia" w:cstheme="minorEastAsia"/>
                <w:color w:val="auto"/>
                <w:kern w:val="0"/>
                <w:sz w:val="18"/>
                <w:szCs w:val="18"/>
                <w:highlight w:val="none"/>
                <w:lang w:val="en-US" w:eastAsia="zh-CN"/>
              </w:rPr>
              <w:t>预算或</w:t>
            </w:r>
            <w:r>
              <w:rPr>
                <w:rFonts w:hint="eastAsia" w:asciiTheme="minorEastAsia" w:hAnsiTheme="minorEastAsia" w:eastAsiaTheme="minorEastAsia" w:cstheme="minorEastAsia"/>
                <w:color w:val="auto"/>
                <w:kern w:val="0"/>
                <w:sz w:val="18"/>
                <w:szCs w:val="18"/>
                <w:highlight w:val="none"/>
                <w:lang w:val="en-US" w:eastAsia="zh-CN"/>
              </w:rPr>
              <w:t>结算</w:t>
            </w:r>
            <w:r>
              <w:rPr>
                <w:rFonts w:hint="eastAsia" w:asciiTheme="minorEastAsia" w:hAnsiTheme="minorEastAsia" w:eastAsiaTheme="minorEastAsia" w:cstheme="minorEastAsia"/>
                <w:color w:val="auto"/>
                <w:kern w:val="0"/>
                <w:sz w:val="18"/>
                <w:szCs w:val="18"/>
                <w:highlight w:val="none"/>
                <w:lang w:eastAsia="zh-CN"/>
              </w:rPr>
              <w:t>审核业务，</w:t>
            </w:r>
            <w:r>
              <w:rPr>
                <w:rFonts w:hint="eastAsia" w:asciiTheme="minorEastAsia" w:hAnsiTheme="minorEastAsia" w:cstheme="minorEastAsia"/>
                <w:color w:val="auto"/>
                <w:kern w:val="0"/>
                <w:sz w:val="18"/>
                <w:szCs w:val="18"/>
                <w:highlight w:val="none"/>
                <w:lang w:val="en-US" w:eastAsia="zh-CN"/>
              </w:rPr>
              <w:t>金额2亿元以上的</w:t>
            </w:r>
            <w:r>
              <w:rPr>
                <w:rFonts w:hint="eastAsia" w:asciiTheme="minorEastAsia" w:hAnsiTheme="minorEastAsia" w:eastAsiaTheme="minorEastAsia" w:cstheme="minorEastAsia"/>
                <w:color w:val="auto"/>
                <w:kern w:val="0"/>
                <w:sz w:val="18"/>
                <w:szCs w:val="18"/>
                <w:highlight w:val="none"/>
              </w:rPr>
              <w:t>每个</w:t>
            </w:r>
            <w:r>
              <w:rPr>
                <w:rFonts w:hint="eastAsia" w:asciiTheme="minorEastAsia" w:hAnsiTheme="minorEastAsia" w:eastAsiaTheme="minorEastAsia" w:cstheme="minorEastAsia"/>
                <w:color w:val="auto"/>
                <w:kern w:val="0"/>
                <w:sz w:val="18"/>
                <w:szCs w:val="18"/>
                <w:highlight w:val="none"/>
                <w:lang w:eastAsia="zh-CN"/>
              </w:rPr>
              <w:t>项目</w:t>
            </w:r>
            <w:r>
              <w:rPr>
                <w:rFonts w:hint="eastAsia" w:asciiTheme="minorEastAsia" w:hAnsiTheme="minorEastAsia" w:eastAsiaTheme="minorEastAsia" w:cstheme="minorEastAsia"/>
                <w:color w:val="auto"/>
                <w:kern w:val="0"/>
                <w:sz w:val="18"/>
                <w:szCs w:val="18"/>
                <w:highlight w:val="none"/>
              </w:rPr>
              <w:t>得</w:t>
            </w:r>
            <w:r>
              <w:rPr>
                <w:rFonts w:hint="eastAsia" w:asciiTheme="minorEastAsia" w:hAnsiTheme="minorEastAsia" w:cstheme="minorEastAsia"/>
                <w:color w:val="auto"/>
                <w:kern w:val="0"/>
                <w:sz w:val="18"/>
                <w:szCs w:val="18"/>
                <w:highlight w:val="none"/>
                <w:lang w:val="en-US" w:eastAsia="zh-CN"/>
              </w:rPr>
              <w:t>3</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cstheme="minorEastAsia"/>
                <w:color w:val="auto"/>
                <w:kern w:val="0"/>
                <w:sz w:val="18"/>
                <w:szCs w:val="18"/>
                <w:highlight w:val="none"/>
                <w:lang w:val="en-US" w:eastAsia="zh-CN"/>
              </w:rPr>
              <w:t>金额1亿元~2亿元（含2亿元）的</w:t>
            </w:r>
            <w:r>
              <w:rPr>
                <w:rFonts w:hint="eastAsia" w:asciiTheme="minorEastAsia" w:hAnsiTheme="minorEastAsia" w:eastAsiaTheme="minorEastAsia" w:cstheme="minorEastAsia"/>
                <w:color w:val="auto"/>
                <w:kern w:val="0"/>
                <w:sz w:val="18"/>
                <w:szCs w:val="18"/>
                <w:highlight w:val="none"/>
              </w:rPr>
              <w:t>每个</w:t>
            </w:r>
            <w:r>
              <w:rPr>
                <w:rFonts w:hint="eastAsia" w:asciiTheme="minorEastAsia" w:hAnsiTheme="minorEastAsia" w:eastAsiaTheme="minorEastAsia" w:cstheme="minorEastAsia"/>
                <w:color w:val="auto"/>
                <w:kern w:val="0"/>
                <w:sz w:val="18"/>
                <w:szCs w:val="18"/>
                <w:highlight w:val="none"/>
                <w:lang w:eastAsia="zh-CN"/>
              </w:rPr>
              <w:t>项目</w:t>
            </w:r>
            <w:r>
              <w:rPr>
                <w:rFonts w:hint="eastAsia" w:asciiTheme="minorEastAsia" w:hAnsiTheme="minorEastAsia" w:eastAsiaTheme="minorEastAsia" w:cstheme="minorEastAsia"/>
                <w:color w:val="auto"/>
                <w:kern w:val="0"/>
                <w:sz w:val="18"/>
                <w:szCs w:val="18"/>
                <w:highlight w:val="none"/>
              </w:rPr>
              <w:t>得</w:t>
            </w:r>
            <w:r>
              <w:rPr>
                <w:rFonts w:hint="eastAsia" w:asciiTheme="minorEastAsia" w:hAnsi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cstheme="minorEastAsia"/>
                <w:color w:val="auto"/>
                <w:kern w:val="0"/>
                <w:sz w:val="18"/>
                <w:szCs w:val="18"/>
                <w:highlight w:val="none"/>
                <w:lang w:val="en-US" w:eastAsia="zh-CN"/>
              </w:rPr>
              <w:t>金额5000万元~1亿元（含1亿元）的</w:t>
            </w:r>
            <w:r>
              <w:rPr>
                <w:rFonts w:hint="eastAsia" w:asciiTheme="minorEastAsia" w:hAnsiTheme="minorEastAsia" w:eastAsiaTheme="minorEastAsia" w:cstheme="minorEastAsia"/>
                <w:color w:val="auto"/>
                <w:kern w:val="0"/>
                <w:sz w:val="18"/>
                <w:szCs w:val="18"/>
                <w:highlight w:val="none"/>
              </w:rPr>
              <w:t>每个</w:t>
            </w:r>
            <w:r>
              <w:rPr>
                <w:rFonts w:hint="eastAsia" w:asciiTheme="minorEastAsia" w:hAnsiTheme="minorEastAsia" w:eastAsiaTheme="minorEastAsia" w:cstheme="minorEastAsia"/>
                <w:color w:val="auto"/>
                <w:kern w:val="0"/>
                <w:sz w:val="18"/>
                <w:szCs w:val="18"/>
                <w:highlight w:val="none"/>
                <w:lang w:eastAsia="zh-CN"/>
              </w:rPr>
              <w:t>项目</w:t>
            </w:r>
            <w:r>
              <w:rPr>
                <w:rFonts w:hint="eastAsia" w:asciiTheme="minorEastAsia" w:hAnsiTheme="minorEastAsia" w:eastAsiaTheme="minorEastAsia" w:cstheme="minorEastAsia"/>
                <w:color w:val="auto"/>
                <w:kern w:val="0"/>
                <w:sz w:val="18"/>
                <w:szCs w:val="18"/>
                <w:highlight w:val="none"/>
              </w:rPr>
              <w:t>得</w:t>
            </w:r>
            <w:r>
              <w:rPr>
                <w:rFonts w:hint="eastAsia" w:asciiTheme="minorEastAsia" w:hAnsiTheme="minorEastAsia" w:cstheme="minorEastAsia"/>
                <w:color w:val="auto"/>
                <w:kern w:val="0"/>
                <w:sz w:val="18"/>
                <w:szCs w:val="18"/>
                <w:highlight w:val="none"/>
                <w:lang w:val="en-US" w:eastAsia="zh-CN"/>
              </w:rPr>
              <w:t>1</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cstheme="minorEastAsia"/>
                <w:color w:val="auto"/>
                <w:kern w:val="0"/>
                <w:sz w:val="18"/>
                <w:szCs w:val="18"/>
                <w:highlight w:val="none"/>
                <w:lang w:val="en-US" w:eastAsia="zh-CN"/>
              </w:rPr>
              <w:t>其余不得分，</w:t>
            </w:r>
            <w:r>
              <w:rPr>
                <w:rFonts w:hint="eastAsia" w:asciiTheme="minorEastAsia" w:hAnsiTheme="minorEastAsia" w:eastAsiaTheme="minorEastAsia" w:cstheme="minorEastAsia"/>
                <w:color w:val="auto"/>
                <w:kern w:val="0"/>
                <w:sz w:val="18"/>
                <w:szCs w:val="18"/>
                <w:highlight w:val="none"/>
              </w:rPr>
              <w:t>最高得</w:t>
            </w:r>
            <w:r>
              <w:rPr>
                <w:rFonts w:hint="eastAsia" w:asciiTheme="minorEastAsia" w:hAnsiTheme="minorEastAsia" w:cstheme="minorEastAsia"/>
                <w:color w:val="auto"/>
                <w:kern w:val="0"/>
                <w:sz w:val="18"/>
                <w:szCs w:val="18"/>
                <w:highlight w:val="none"/>
                <w:lang w:val="en-US" w:eastAsia="zh-CN"/>
              </w:rPr>
              <w:t>9</w:t>
            </w:r>
            <w:r>
              <w:rPr>
                <w:rFonts w:hint="eastAsia" w:asciiTheme="minorEastAsia" w:hAnsiTheme="minorEastAsia" w:eastAsiaTheme="minorEastAsia" w:cstheme="minorEastAsia"/>
                <w:color w:val="auto"/>
                <w:kern w:val="0"/>
                <w:sz w:val="18"/>
                <w:szCs w:val="18"/>
                <w:highlight w:val="none"/>
              </w:rPr>
              <w:t>分。</w:t>
            </w:r>
          </w:p>
          <w:p>
            <w:pPr>
              <w:keepNext w:val="0"/>
              <w:keepLines w:val="0"/>
              <w:pageBreakBefore w:val="0"/>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b w:val="0"/>
                <w:bCs/>
                <w:color w:val="auto"/>
                <w:kern w:val="0"/>
                <w:sz w:val="18"/>
                <w:szCs w:val="18"/>
                <w:highlight w:val="none"/>
                <w:lang w:eastAsia="zh-CN"/>
              </w:rPr>
              <w:t>【</w:t>
            </w:r>
            <w:r>
              <w:rPr>
                <w:rFonts w:hint="eastAsia" w:asciiTheme="minorEastAsia" w:hAnsiTheme="minorEastAsia" w:eastAsiaTheme="minorEastAsia" w:cstheme="minorEastAsia"/>
                <w:b w:val="0"/>
                <w:bCs/>
                <w:color w:val="auto"/>
                <w:kern w:val="0"/>
                <w:sz w:val="18"/>
                <w:szCs w:val="18"/>
                <w:highlight w:val="none"/>
              </w:rPr>
              <w:t>证明文件：咨询服务合同</w:t>
            </w:r>
            <w:r>
              <w:rPr>
                <w:rFonts w:hint="eastAsia" w:asciiTheme="minorEastAsia" w:hAnsiTheme="minorEastAsia" w:eastAsiaTheme="minorEastAsia" w:cstheme="minorEastAsia"/>
                <w:b w:val="0"/>
                <w:bCs/>
                <w:color w:val="auto"/>
                <w:kern w:val="0"/>
                <w:sz w:val="18"/>
                <w:szCs w:val="18"/>
                <w:highlight w:val="none"/>
                <w:lang w:eastAsia="zh-CN"/>
              </w:rPr>
              <w:t>关键页</w:t>
            </w:r>
            <w:r>
              <w:rPr>
                <w:rFonts w:hint="eastAsia" w:asciiTheme="minorEastAsia" w:hAnsiTheme="minorEastAsia" w:eastAsiaTheme="minorEastAsia" w:cstheme="minorEastAsia"/>
                <w:b w:val="0"/>
                <w:bCs/>
                <w:color w:val="auto"/>
                <w:kern w:val="0"/>
                <w:sz w:val="18"/>
                <w:szCs w:val="18"/>
                <w:highlight w:val="none"/>
              </w:rPr>
              <w:t>和中标通知书,</w:t>
            </w:r>
            <w:r>
              <w:rPr>
                <w:rFonts w:hint="eastAsia" w:asciiTheme="minorEastAsia" w:hAnsiTheme="minorEastAsia" w:eastAsiaTheme="minorEastAsia" w:cstheme="minorEastAsia"/>
                <w:b w:val="0"/>
                <w:bCs/>
                <w:color w:val="auto"/>
                <w:kern w:val="0"/>
                <w:sz w:val="18"/>
                <w:szCs w:val="18"/>
                <w:highlight w:val="none"/>
                <w:lang w:eastAsia="zh-CN"/>
              </w:rPr>
              <w:t>框架合同还需要提供单项业务委托书。</w:t>
            </w:r>
            <w:r>
              <w:rPr>
                <w:rFonts w:hint="eastAsia" w:asciiTheme="minorEastAsia" w:hAnsiTheme="minorEastAsia" w:eastAsiaTheme="minorEastAsia" w:cstheme="minorEastAsia"/>
                <w:b w:val="0"/>
                <w:bCs/>
                <w:color w:val="auto"/>
                <w:kern w:val="0"/>
                <w:sz w:val="18"/>
                <w:szCs w:val="18"/>
                <w:highlight w:val="none"/>
              </w:rPr>
              <w:t>项目</w:t>
            </w:r>
            <w:r>
              <w:rPr>
                <w:rFonts w:hint="eastAsia" w:asciiTheme="minorEastAsia" w:hAnsiTheme="minorEastAsia" w:eastAsiaTheme="minorEastAsia" w:cstheme="minorEastAsia"/>
                <w:b w:val="0"/>
                <w:bCs/>
                <w:color w:val="auto"/>
                <w:kern w:val="0"/>
                <w:sz w:val="18"/>
                <w:szCs w:val="18"/>
                <w:highlight w:val="none"/>
                <w:lang w:eastAsia="zh-CN"/>
              </w:rPr>
              <w:t>完成</w:t>
            </w:r>
            <w:r>
              <w:rPr>
                <w:rFonts w:hint="eastAsia" w:asciiTheme="minorEastAsia" w:hAnsiTheme="minorEastAsia" w:eastAsiaTheme="minorEastAsia" w:cstheme="minorEastAsia"/>
                <w:b w:val="0"/>
                <w:bCs/>
                <w:color w:val="auto"/>
                <w:kern w:val="0"/>
                <w:sz w:val="18"/>
                <w:szCs w:val="18"/>
                <w:highlight w:val="none"/>
              </w:rPr>
              <w:t>时间以最终的成果文件或业主回访表的时间为准</w:t>
            </w:r>
            <w:r>
              <w:rPr>
                <w:rFonts w:hint="eastAsia" w:asciiTheme="minorEastAsia" w:hAnsiTheme="minorEastAsia" w:eastAsiaTheme="minorEastAsia" w:cstheme="minorEastAsia"/>
                <w:b w:val="0"/>
                <w:bCs/>
                <w:color w:val="auto"/>
                <w:kern w:val="0"/>
                <w:sz w:val="18"/>
                <w:szCs w:val="18"/>
                <w:highlight w:val="none"/>
                <w:lang w:eastAsia="zh-CN"/>
              </w:rPr>
              <w:t>。</w:t>
            </w:r>
            <w:r>
              <w:rPr>
                <w:rFonts w:hint="eastAsia" w:asciiTheme="minorEastAsia" w:hAnsiTheme="minorEastAsia" w:eastAsiaTheme="minorEastAsia" w:cstheme="minorEastAsia"/>
                <w:b w:val="0"/>
                <w:bCs/>
                <w:color w:val="auto"/>
                <w:kern w:val="0"/>
                <w:sz w:val="18"/>
                <w:szCs w:val="18"/>
                <w:highlight w:val="none"/>
                <w:lang w:val="en-US" w:eastAsia="zh-CN"/>
              </w:rPr>
              <w:t>】</w:t>
            </w:r>
          </w:p>
        </w:tc>
      </w:tr>
      <w:tr>
        <w:tblPrEx>
          <w:shd w:val="clear" w:color="auto" w:fill="FFFFFF"/>
          <w:tblCellMar>
            <w:top w:w="0" w:type="dxa"/>
            <w:left w:w="0" w:type="dxa"/>
            <w:bottom w:w="0" w:type="dxa"/>
            <w:right w:w="0" w:type="dxa"/>
          </w:tblCellMar>
        </w:tblPrEx>
        <w:trPr>
          <w:trHeight w:val="854" w:hRule="atLeast"/>
          <w:jc w:val="center"/>
        </w:trPr>
        <w:tc>
          <w:tcPr>
            <w:tcW w:w="1201"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p>
        </w:tc>
        <w:tc>
          <w:tcPr>
            <w:tcW w:w="196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项目负责人水平</w:t>
            </w: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cstheme="minorEastAsia"/>
                <w:color w:val="auto"/>
                <w:sz w:val="18"/>
                <w:szCs w:val="18"/>
                <w:highlight w:val="none"/>
                <w:lang w:val="en-US" w:eastAsia="zh-CN"/>
              </w:rPr>
              <w:t>3</w:t>
            </w:r>
            <w:r>
              <w:rPr>
                <w:rFonts w:hint="eastAsia" w:asciiTheme="minorEastAsia" w:hAnsiTheme="minorEastAsia" w:eastAsiaTheme="minorEastAsia" w:cstheme="minorEastAsia"/>
                <w:color w:val="auto"/>
                <w:sz w:val="18"/>
                <w:szCs w:val="18"/>
                <w:highlight w:val="none"/>
              </w:rPr>
              <w:t>分）</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项目负责人水平：</w:t>
            </w:r>
          </w:p>
          <w:p>
            <w:pPr>
              <w:keepNext w:val="0"/>
              <w:keepLines w:val="0"/>
              <w:pageBreakBefore w:val="0"/>
              <w:kinsoku/>
              <w:wordWrap/>
              <w:overflowPunct/>
              <w:topLinePunct w:val="0"/>
              <w:autoSpaceDE/>
              <w:autoSpaceDN/>
              <w:bidi w:val="0"/>
              <w:adjustRightInd/>
              <w:spacing w:line="400" w:lineRule="exact"/>
              <w:ind w:firstLine="90" w:firstLineChars="50"/>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(1)同时具备工程类高级工程师或以上职称、注册造价工程师资格的，得</w:t>
            </w:r>
            <w:r>
              <w:rPr>
                <w:rFonts w:hint="eastAsia" w:asciiTheme="minorEastAsia" w:hAnsiTheme="minorEastAsia" w:eastAsiaTheme="minorEastAsia" w:cstheme="minorEastAsia"/>
                <w:color w:val="auto"/>
                <w:sz w:val="18"/>
                <w:szCs w:val="18"/>
                <w:highlight w:val="none"/>
                <w:lang w:val="en-US" w:eastAsia="zh-CN"/>
              </w:rPr>
              <w:t>1</w:t>
            </w:r>
            <w:r>
              <w:rPr>
                <w:rFonts w:hint="eastAsia" w:asciiTheme="minorEastAsia" w:hAnsiTheme="minorEastAsia" w:eastAsiaTheme="minorEastAsia" w:cstheme="minorEastAsia"/>
                <w:color w:val="auto"/>
                <w:sz w:val="18"/>
                <w:szCs w:val="18"/>
                <w:highlight w:val="none"/>
              </w:rPr>
              <w:t>分；不满足不得分；</w:t>
            </w:r>
          </w:p>
          <w:p>
            <w:pPr>
              <w:pStyle w:val="15"/>
              <w:keepNext w:val="0"/>
              <w:keepLines w:val="0"/>
              <w:pageBreakBefore w:val="0"/>
              <w:kinsoku/>
              <w:wordWrap/>
              <w:overflowPunct/>
              <w:topLinePunct w:val="0"/>
              <w:autoSpaceDE/>
              <w:autoSpaceDN/>
              <w:bidi w:val="0"/>
              <w:adjustRightInd/>
              <w:spacing w:line="400" w:lineRule="exact"/>
              <w:ind w:left="0" w:leftChars="0" w:firstLine="0" w:firstLineChars="0"/>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kern w:val="2"/>
                <w:sz w:val="18"/>
                <w:szCs w:val="18"/>
                <w:highlight w:val="none"/>
                <w:lang w:val="en-US" w:eastAsia="zh-CN" w:bidi="ar-SA"/>
              </w:rPr>
              <w:t>（2）除具备</w:t>
            </w:r>
            <w:r>
              <w:rPr>
                <w:rFonts w:hint="eastAsia" w:asciiTheme="minorEastAsia" w:hAnsiTheme="minorEastAsia" w:eastAsiaTheme="minorEastAsia" w:cstheme="minorEastAsia"/>
                <w:color w:val="auto"/>
                <w:sz w:val="18"/>
                <w:szCs w:val="18"/>
                <w:highlight w:val="none"/>
              </w:rPr>
              <w:t>注册造价工程师资格</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lang w:val="en-US" w:eastAsia="zh-CN"/>
              </w:rPr>
              <w:t>具有住建系统其它注册执业资格的得0.5分</w:t>
            </w:r>
          </w:p>
          <w:p>
            <w:pPr>
              <w:keepNext w:val="0"/>
              <w:keepLines w:val="0"/>
              <w:pageBreakBefore w:val="0"/>
              <w:kinsoku/>
              <w:wordWrap/>
              <w:overflowPunct/>
              <w:topLinePunct w:val="0"/>
              <w:autoSpaceDE/>
              <w:autoSpaceDN/>
              <w:bidi w:val="0"/>
              <w:adjustRightInd/>
              <w:spacing w:line="400" w:lineRule="exact"/>
              <w:ind w:left="32"/>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eastAsiaTheme="minorEastAsia" w:cstheme="minorEastAsia"/>
                <w:color w:val="auto"/>
                <w:sz w:val="18"/>
                <w:szCs w:val="18"/>
                <w:highlight w:val="none"/>
                <w:lang w:val="en-US" w:eastAsia="zh-CN"/>
              </w:rPr>
              <w:t>3</w:t>
            </w:r>
            <w:r>
              <w:rPr>
                <w:rFonts w:hint="eastAsia" w:asciiTheme="minorEastAsia" w:hAnsiTheme="minorEastAsia" w:eastAsiaTheme="minorEastAsia" w:cstheme="minorEastAsia"/>
                <w:color w:val="auto"/>
                <w:sz w:val="18"/>
                <w:szCs w:val="18"/>
                <w:highlight w:val="none"/>
              </w:rPr>
              <w:t>）取得造价工程师执业资格15年（含）以上（以造价工程师初始注册日期开始计算）得</w:t>
            </w:r>
            <w:r>
              <w:rPr>
                <w:rFonts w:hint="eastAsia" w:asciiTheme="minorEastAsia" w:hAnsiTheme="minorEastAsia" w:cstheme="minorEastAsia"/>
                <w:color w:val="auto"/>
                <w:sz w:val="18"/>
                <w:szCs w:val="18"/>
                <w:highlight w:val="none"/>
                <w:lang w:val="en-US" w:eastAsia="zh-CN"/>
              </w:rPr>
              <w:t>1.5</w:t>
            </w:r>
            <w:r>
              <w:rPr>
                <w:rFonts w:hint="eastAsia" w:asciiTheme="minorEastAsia" w:hAnsiTheme="minorEastAsia" w:eastAsiaTheme="minorEastAsia" w:cstheme="minorEastAsia"/>
                <w:color w:val="auto"/>
                <w:sz w:val="18"/>
                <w:szCs w:val="18"/>
                <w:highlight w:val="none"/>
              </w:rPr>
              <w:t>分、取得造价工程师执业资格10年（含）至15年（以造价工程师初始注册日期开始计算）得</w:t>
            </w:r>
            <w:r>
              <w:rPr>
                <w:rFonts w:hint="eastAsia" w:asciiTheme="minorEastAsia" w:hAnsiTheme="minorEastAsia" w:eastAsiaTheme="minorEastAsia" w:cstheme="minorEastAsia"/>
                <w:color w:val="auto"/>
                <w:sz w:val="18"/>
                <w:szCs w:val="18"/>
                <w:highlight w:val="none"/>
                <w:lang w:val="en-US" w:eastAsia="zh-CN"/>
              </w:rPr>
              <w:t>0.5</w:t>
            </w:r>
            <w:r>
              <w:rPr>
                <w:rFonts w:hint="eastAsia" w:asciiTheme="minorEastAsia" w:hAnsiTheme="minorEastAsia" w:eastAsiaTheme="minorEastAsia" w:cstheme="minorEastAsia"/>
                <w:color w:val="auto"/>
                <w:sz w:val="18"/>
                <w:szCs w:val="18"/>
                <w:highlight w:val="none"/>
              </w:rPr>
              <w:t>分，其他不得分；</w:t>
            </w:r>
          </w:p>
          <w:p>
            <w:pPr>
              <w:keepNext w:val="0"/>
              <w:keepLines w:val="0"/>
              <w:pageBreakBefore w:val="0"/>
              <w:kinsoku/>
              <w:wordWrap/>
              <w:overflowPunct/>
              <w:topLinePunct w:val="0"/>
              <w:autoSpaceDE/>
              <w:autoSpaceDN/>
              <w:bidi w:val="0"/>
              <w:adjustRightInd/>
              <w:spacing w:line="400" w:lineRule="exact"/>
              <w:ind w:left="32"/>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本项总得分最高为</w:t>
            </w:r>
            <w:r>
              <w:rPr>
                <w:rFonts w:hint="eastAsia" w:asciiTheme="minorEastAsia" w:hAnsiTheme="minorEastAsia" w:cstheme="minorEastAsia"/>
                <w:color w:val="auto"/>
                <w:sz w:val="18"/>
                <w:szCs w:val="18"/>
                <w:highlight w:val="none"/>
                <w:lang w:val="en-US" w:eastAsia="zh-CN"/>
              </w:rPr>
              <w:t>3</w:t>
            </w:r>
            <w:r>
              <w:rPr>
                <w:rFonts w:hint="eastAsia" w:asciiTheme="minorEastAsia" w:hAnsiTheme="minorEastAsia" w:eastAsiaTheme="minorEastAsia" w:cstheme="minorEastAsia"/>
                <w:color w:val="auto"/>
                <w:sz w:val="18"/>
                <w:szCs w:val="18"/>
                <w:highlight w:val="none"/>
              </w:rPr>
              <w:t>分。</w:t>
            </w:r>
          </w:p>
          <w:p>
            <w:pPr>
              <w:keepNext w:val="0"/>
              <w:keepLines w:val="0"/>
              <w:pageBreakBefore w:val="0"/>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b w:val="0"/>
                <w:bCs/>
                <w:color w:val="auto"/>
                <w:sz w:val="18"/>
                <w:szCs w:val="18"/>
                <w:highlight w:val="none"/>
                <w:lang w:eastAsia="zh-CN"/>
              </w:rPr>
              <w:t>【</w:t>
            </w:r>
            <w:r>
              <w:rPr>
                <w:rFonts w:hint="eastAsia" w:asciiTheme="minorEastAsia" w:hAnsiTheme="minorEastAsia" w:eastAsiaTheme="minorEastAsia" w:cstheme="minorEastAsia"/>
                <w:b w:val="0"/>
                <w:bCs/>
                <w:color w:val="auto"/>
                <w:sz w:val="18"/>
                <w:szCs w:val="18"/>
                <w:highlight w:val="none"/>
              </w:rPr>
              <w:t>证明文件：职称证书、属于投标人名下的注册</w:t>
            </w:r>
            <w:r>
              <w:rPr>
                <w:rFonts w:hint="eastAsia" w:asciiTheme="minorEastAsia" w:hAnsiTheme="minorEastAsia" w:eastAsiaTheme="minorEastAsia" w:cstheme="minorEastAsia"/>
                <w:b w:val="0"/>
                <w:bCs/>
                <w:color w:val="auto"/>
                <w:sz w:val="18"/>
                <w:szCs w:val="18"/>
                <w:highlight w:val="none"/>
                <w:lang w:val="en-US" w:eastAsia="zh-CN"/>
              </w:rPr>
              <w:t>执业</w:t>
            </w:r>
            <w:r>
              <w:rPr>
                <w:rFonts w:hint="eastAsia" w:asciiTheme="minorEastAsia" w:hAnsiTheme="minorEastAsia" w:eastAsiaTheme="minorEastAsia" w:cstheme="minorEastAsia"/>
                <w:b w:val="0"/>
                <w:bCs/>
                <w:color w:val="auto"/>
                <w:sz w:val="18"/>
                <w:szCs w:val="18"/>
                <w:highlight w:val="none"/>
              </w:rPr>
              <w:t>资格证书、项目负责人属于投标人投标截止时间前</w:t>
            </w:r>
            <w:r>
              <w:rPr>
                <w:rFonts w:hint="eastAsia" w:asciiTheme="minorEastAsia" w:hAnsiTheme="minorEastAsia" w:eastAsiaTheme="minorEastAsia" w:cstheme="minorEastAsia"/>
                <w:b w:val="0"/>
                <w:bCs/>
                <w:color w:val="auto"/>
                <w:sz w:val="18"/>
                <w:szCs w:val="18"/>
                <w:highlight w:val="none"/>
                <w:lang w:val="en-US" w:eastAsia="zh-CN"/>
              </w:rPr>
              <w:t>（202</w:t>
            </w:r>
            <w:r>
              <w:rPr>
                <w:rFonts w:hint="eastAsia" w:asciiTheme="minorEastAsia" w:hAnsiTheme="minorEastAsia" w:cstheme="minorEastAsia"/>
                <w:b w:val="0"/>
                <w:bCs/>
                <w:color w:val="auto"/>
                <w:sz w:val="18"/>
                <w:szCs w:val="18"/>
                <w:highlight w:val="none"/>
                <w:lang w:val="en-US" w:eastAsia="zh-CN"/>
              </w:rPr>
              <w:t>1</w:t>
            </w:r>
            <w:r>
              <w:rPr>
                <w:rFonts w:hint="eastAsia" w:asciiTheme="minorEastAsia" w:hAnsiTheme="minorEastAsia" w:eastAsiaTheme="minorEastAsia" w:cstheme="minorEastAsia"/>
                <w:b w:val="0"/>
                <w:bCs/>
                <w:color w:val="auto"/>
                <w:sz w:val="18"/>
                <w:szCs w:val="18"/>
                <w:highlight w:val="none"/>
                <w:lang w:val="en-US" w:eastAsia="zh-CN"/>
              </w:rPr>
              <w:t>年1月至2021年6月）</w:t>
            </w:r>
            <w:r>
              <w:rPr>
                <w:rFonts w:hint="eastAsia" w:asciiTheme="minorEastAsia" w:hAnsiTheme="minorEastAsia" w:eastAsiaTheme="minorEastAsia" w:cstheme="minorEastAsia"/>
                <w:b w:val="0"/>
                <w:bCs/>
                <w:color w:val="auto"/>
                <w:sz w:val="18"/>
                <w:szCs w:val="18"/>
                <w:highlight w:val="none"/>
              </w:rPr>
              <w:t>的社保证明）。</w:t>
            </w:r>
            <w:r>
              <w:rPr>
                <w:rFonts w:hint="eastAsia" w:asciiTheme="minorEastAsia" w:hAnsiTheme="minorEastAsia" w:eastAsiaTheme="minorEastAsia" w:cstheme="minorEastAsia"/>
                <w:b w:val="0"/>
                <w:bCs/>
                <w:color w:val="auto"/>
                <w:sz w:val="18"/>
                <w:szCs w:val="18"/>
                <w:highlight w:val="none"/>
                <w:lang w:eastAsia="zh-CN"/>
              </w:rPr>
              <w:t>】</w:t>
            </w:r>
          </w:p>
        </w:tc>
      </w:tr>
      <w:tr>
        <w:tblPrEx>
          <w:tblCellMar>
            <w:top w:w="0" w:type="dxa"/>
            <w:left w:w="0" w:type="dxa"/>
            <w:bottom w:w="0" w:type="dxa"/>
            <w:right w:w="0" w:type="dxa"/>
          </w:tblCellMar>
        </w:tblPrEx>
        <w:trPr>
          <w:trHeight w:val="936" w:hRule="atLeast"/>
          <w:jc w:val="center"/>
        </w:trPr>
        <w:tc>
          <w:tcPr>
            <w:tcW w:w="1201"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p>
        </w:tc>
        <w:tc>
          <w:tcPr>
            <w:tcW w:w="196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Cs/>
                <w:color w:val="auto"/>
                <w:kern w:val="0"/>
                <w:sz w:val="18"/>
                <w:szCs w:val="18"/>
                <w:highlight w:val="none"/>
                <w:lang w:eastAsia="zh-CN"/>
              </w:rPr>
              <w:t>各专业负责人配备</w:t>
            </w: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cstheme="minorEastAsia"/>
                <w:color w:val="auto"/>
                <w:sz w:val="18"/>
                <w:szCs w:val="18"/>
                <w:highlight w:val="none"/>
                <w:lang w:val="en-US" w:eastAsia="zh-CN"/>
              </w:rPr>
              <w:t>6</w:t>
            </w:r>
            <w:r>
              <w:rPr>
                <w:rFonts w:hint="eastAsia" w:asciiTheme="minorEastAsia" w:hAnsiTheme="minorEastAsia" w:eastAsiaTheme="minorEastAsia" w:cstheme="minorEastAsia"/>
                <w:color w:val="auto"/>
                <w:sz w:val="18"/>
                <w:szCs w:val="18"/>
                <w:highlight w:val="none"/>
              </w:rPr>
              <w:t>分）</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除项目负责人外，其他人员要求：</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（1）满足招标文件投标须知前附表第</w:t>
            </w:r>
            <w:r>
              <w:rPr>
                <w:rFonts w:hint="eastAsia" w:asciiTheme="minorEastAsia" w:hAnsiTheme="minorEastAsia" w:eastAsiaTheme="minorEastAsia" w:cstheme="minorEastAsia"/>
                <w:color w:val="auto"/>
                <w:sz w:val="18"/>
                <w:szCs w:val="18"/>
                <w:highlight w:val="none"/>
                <w:lang w:val="en-US" w:eastAsia="zh-CN"/>
              </w:rPr>
              <w:t>10</w:t>
            </w:r>
            <w:r>
              <w:rPr>
                <w:rFonts w:hint="eastAsia" w:asciiTheme="minorEastAsia" w:hAnsiTheme="minorEastAsia" w:eastAsiaTheme="minorEastAsia" w:cstheme="minorEastAsia"/>
                <w:color w:val="auto"/>
                <w:sz w:val="18"/>
                <w:szCs w:val="18"/>
                <w:highlight w:val="none"/>
              </w:rPr>
              <w:t>项</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lang w:val="en-US" w:eastAsia="zh-CN"/>
              </w:rPr>
              <w:t>要求</w:t>
            </w:r>
            <w:r>
              <w:rPr>
                <w:rFonts w:hint="eastAsia" w:asciiTheme="minorEastAsia" w:hAnsiTheme="minorEastAsia" w:eastAsiaTheme="minorEastAsia" w:cstheme="minorEastAsia"/>
                <w:color w:val="auto"/>
                <w:sz w:val="18"/>
                <w:szCs w:val="18"/>
                <w:highlight w:val="none"/>
              </w:rPr>
              <w:t>的得</w:t>
            </w:r>
            <w:r>
              <w:rPr>
                <w:rFonts w:hint="eastAsia" w:asciiTheme="minorEastAsia" w:hAnsiTheme="minorEastAsia" w:eastAsiaTheme="minorEastAsia" w:cstheme="minorEastAsia"/>
                <w:color w:val="auto"/>
                <w:sz w:val="18"/>
                <w:szCs w:val="18"/>
                <w:highlight w:val="none"/>
                <w:lang w:val="en-US" w:eastAsia="zh-CN"/>
              </w:rPr>
              <w:t>1</w:t>
            </w:r>
            <w:r>
              <w:rPr>
                <w:rFonts w:hint="eastAsia" w:asciiTheme="minorEastAsia" w:hAnsiTheme="minorEastAsia" w:eastAsiaTheme="minorEastAsia" w:cstheme="minorEastAsia"/>
                <w:color w:val="auto"/>
                <w:sz w:val="18"/>
                <w:szCs w:val="18"/>
                <w:highlight w:val="none"/>
              </w:rPr>
              <w:t>分。</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（2）在满足上述条件基础上，每增加1名</w:t>
            </w:r>
            <w:r>
              <w:rPr>
                <w:rFonts w:hint="eastAsia" w:asciiTheme="minorEastAsia" w:hAnsiTheme="minorEastAsia" w:eastAsiaTheme="minorEastAsia" w:cstheme="minorEastAsia"/>
                <w:color w:val="auto"/>
                <w:sz w:val="18"/>
                <w:szCs w:val="18"/>
                <w:highlight w:val="none"/>
                <w:lang w:eastAsia="zh-CN"/>
              </w:rPr>
              <w:t>土建</w:t>
            </w:r>
            <w:r>
              <w:rPr>
                <w:rFonts w:hint="eastAsia" w:asciiTheme="minorEastAsia" w:hAnsiTheme="minorEastAsia" w:eastAsiaTheme="minorEastAsia" w:cstheme="minorEastAsia"/>
                <w:color w:val="auto"/>
                <w:sz w:val="18"/>
                <w:szCs w:val="18"/>
                <w:highlight w:val="none"/>
              </w:rPr>
              <w:t>的注册造价工程师</w:t>
            </w:r>
            <w:r>
              <w:rPr>
                <w:rFonts w:hint="eastAsia" w:asciiTheme="minorEastAsia" w:hAnsiTheme="minorEastAsia" w:eastAsiaTheme="minorEastAsia" w:cstheme="minorEastAsia"/>
                <w:color w:val="auto"/>
                <w:sz w:val="18"/>
                <w:szCs w:val="18"/>
                <w:highlight w:val="none"/>
                <w:lang w:eastAsia="zh-CN"/>
              </w:rPr>
              <w:t>（或一级造价师）</w:t>
            </w:r>
            <w:r>
              <w:rPr>
                <w:rFonts w:hint="eastAsia" w:asciiTheme="minorEastAsia" w:hAnsiTheme="minorEastAsia" w:eastAsiaTheme="minorEastAsia" w:cstheme="minorEastAsia"/>
                <w:color w:val="auto"/>
                <w:sz w:val="18"/>
                <w:szCs w:val="18"/>
                <w:highlight w:val="none"/>
              </w:rPr>
              <w:t>的得</w:t>
            </w:r>
            <w:r>
              <w:rPr>
                <w:rFonts w:hint="eastAsia" w:asciiTheme="minorEastAsia" w:hAnsiTheme="minorEastAsia" w:eastAsiaTheme="minorEastAsia" w:cstheme="minorEastAsia"/>
                <w:color w:val="auto"/>
                <w:sz w:val="18"/>
                <w:szCs w:val="18"/>
                <w:highlight w:val="none"/>
                <w:lang w:val="en-US" w:eastAsia="zh-CN"/>
              </w:rPr>
              <w:t>0.5</w:t>
            </w:r>
            <w:r>
              <w:rPr>
                <w:rFonts w:hint="eastAsia" w:asciiTheme="minorEastAsia" w:hAnsiTheme="minorEastAsia" w:eastAsiaTheme="minorEastAsia" w:cstheme="minorEastAsia"/>
                <w:color w:val="auto"/>
                <w:sz w:val="18"/>
                <w:szCs w:val="18"/>
                <w:highlight w:val="none"/>
              </w:rPr>
              <w:t>分</w:t>
            </w:r>
            <w:r>
              <w:rPr>
                <w:rFonts w:hint="eastAsia" w:asciiTheme="minorEastAsia" w:hAnsiTheme="minorEastAsia" w:cstheme="minorEastAsia"/>
                <w:color w:val="auto"/>
                <w:sz w:val="18"/>
                <w:szCs w:val="18"/>
                <w:highlight w:val="none"/>
                <w:lang w:val="en-US" w:eastAsia="zh-CN"/>
              </w:rPr>
              <w:t>，</w:t>
            </w:r>
            <w:r>
              <w:rPr>
                <w:rFonts w:hint="eastAsia" w:asciiTheme="minorEastAsia" w:hAnsiTheme="minorEastAsia" w:eastAsiaTheme="minorEastAsia" w:cstheme="minorEastAsia"/>
                <w:color w:val="auto"/>
                <w:sz w:val="18"/>
                <w:szCs w:val="18"/>
                <w:highlight w:val="none"/>
              </w:rPr>
              <w:t>本项最多得</w:t>
            </w:r>
            <w:r>
              <w:rPr>
                <w:rFonts w:hint="eastAsia" w:asciiTheme="minorEastAsia" w:hAnsiTheme="minorEastAsia" w:cstheme="minorEastAsia"/>
                <w:color w:val="auto"/>
                <w:sz w:val="18"/>
                <w:szCs w:val="18"/>
                <w:highlight w:val="none"/>
                <w:lang w:val="en-US" w:eastAsia="zh-CN"/>
              </w:rPr>
              <w:t>1</w:t>
            </w:r>
            <w:r>
              <w:rPr>
                <w:rFonts w:hint="eastAsia" w:asciiTheme="minorEastAsia" w:hAnsiTheme="minorEastAsia" w:eastAsiaTheme="minorEastAsia" w:cstheme="minorEastAsia"/>
                <w:color w:val="auto"/>
                <w:sz w:val="18"/>
                <w:szCs w:val="18"/>
                <w:highlight w:val="none"/>
              </w:rPr>
              <w:t>分；每增加1名</w:t>
            </w:r>
            <w:r>
              <w:rPr>
                <w:rFonts w:hint="eastAsia" w:asciiTheme="minorEastAsia" w:hAnsiTheme="minorEastAsia" w:eastAsiaTheme="minorEastAsia" w:cstheme="minorEastAsia"/>
                <w:color w:val="auto"/>
                <w:sz w:val="18"/>
                <w:szCs w:val="18"/>
                <w:highlight w:val="none"/>
                <w:lang w:eastAsia="zh-CN"/>
              </w:rPr>
              <w:t>安装专业的</w:t>
            </w:r>
            <w:r>
              <w:rPr>
                <w:rFonts w:hint="eastAsia" w:asciiTheme="minorEastAsia" w:hAnsiTheme="minorEastAsia" w:eastAsiaTheme="minorEastAsia" w:cstheme="minorEastAsia"/>
                <w:color w:val="auto"/>
                <w:sz w:val="18"/>
                <w:szCs w:val="18"/>
                <w:highlight w:val="none"/>
              </w:rPr>
              <w:t>注册造价工程师</w:t>
            </w:r>
            <w:r>
              <w:rPr>
                <w:rFonts w:hint="eastAsia" w:asciiTheme="minorEastAsia" w:hAnsiTheme="minorEastAsia" w:eastAsiaTheme="minorEastAsia" w:cstheme="minorEastAsia"/>
                <w:color w:val="auto"/>
                <w:sz w:val="18"/>
                <w:szCs w:val="18"/>
                <w:highlight w:val="none"/>
                <w:lang w:eastAsia="zh-CN"/>
              </w:rPr>
              <w:t>（或一级造价师）</w:t>
            </w:r>
            <w:r>
              <w:rPr>
                <w:rFonts w:hint="eastAsia" w:asciiTheme="minorEastAsia" w:hAnsiTheme="minorEastAsia" w:eastAsiaTheme="minorEastAsia" w:cstheme="minorEastAsia"/>
                <w:color w:val="auto"/>
                <w:sz w:val="18"/>
                <w:szCs w:val="18"/>
                <w:highlight w:val="none"/>
              </w:rPr>
              <w:t>的得</w:t>
            </w:r>
            <w:r>
              <w:rPr>
                <w:rFonts w:hint="eastAsia" w:asciiTheme="minorEastAsia" w:hAnsiTheme="minorEastAsia" w:cstheme="minorEastAsia"/>
                <w:color w:val="auto"/>
                <w:sz w:val="18"/>
                <w:szCs w:val="18"/>
                <w:highlight w:val="none"/>
                <w:lang w:val="en-US" w:eastAsia="zh-CN"/>
              </w:rPr>
              <w:t>1</w:t>
            </w:r>
            <w:r>
              <w:rPr>
                <w:rFonts w:hint="eastAsia" w:asciiTheme="minorEastAsia" w:hAnsiTheme="minorEastAsia" w:eastAsiaTheme="minorEastAsia" w:cstheme="minorEastAsia"/>
                <w:color w:val="auto"/>
                <w:sz w:val="18"/>
                <w:szCs w:val="18"/>
                <w:highlight w:val="none"/>
              </w:rPr>
              <w:t>分</w:t>
            </w:r>
            <w:r>
              <w:rPr>
                <w:rFonts w:hint="eastAsia" w:asciiTheme="minorEastAsia" w:hAnsi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本项最多得</w:t>
            </w:r>
            <w:r>
              <w:rPr>
                <w:rFonts w:hint="eastAsia" w:asciiTheme="minorEastAsia" w:hAnsiTheme="minorEastAsia" w:cstheme="minorEastAsia"/>
                <w:color w:val="auto"/>
                <w:sz w:val="18"/>
                <w:szCs w:val="18"/>
                <w:highlight w:val="none"/>
                <w:lang w:val="en-US" w:eastAsia="zh-CN"/>
              </w:rPr>
              <w:t>4</w:t>
            </w:r>
            <w:r>
              <w:rPr>
                <w:rFonts w:hint="eastAsia" w:asciiTheme="minorEastAsia" w:hAnsiTheme="minorEastAsia" w:eastAsiaTheme="minorEastAsia" w:cstheme="minorEastAsia"/>
                <w:color w:val="auto"/>
                <w:sz w:val="18"/>
                <w:szCs w:val="18"/>
                <w:highlight w:val="none"/>
              </w:rPr>
              <w:t>分。</w:t>
            </w:r>
          </w:p>
          <w:p>
            <w:pPr>
              <w:pStyle w:val="23"/>
              <w:keepNext w:val="0"/>
              <w:keepLines w:val="0"/>
              <w:pageBreakBefore w:val="0"/>
              <w:tabs>
                <w:tab w:val="left" w:pos="229"/>
              </w:tabs>
              <w:kinsoku/>
              <w:wordWrap/>
              <w:overflowPunct/>
              <w:topLinePunct w:val="0"/>
              <w:autoSpaceDE/>
              <w:autoSpaceDN/>
              <w:bidi w:val="0"/>
              <w:adjustRightInd/>
              <w:snapToGrid w:val="0"/>
              <w:spacing w:line="400" w:lineRule="exact"/>
              <w:ind w:firstLine="0" w:firstLineChars="0"/>
              <w:textAlignment w:val="auto"/>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val="0"/>
                <w:bCs/>
                <w:color w:val="auto"/>
                <w:sz w:val="18"/>
                <w:szCs w:val="18"/>
                <w:highlight w:val="none"/>
                <w:lang w:eastAsia="zh-CN"/>
              </w:rPr>
              <w:t>【</w:t>
            </w:r>
            <w:r>
              <w:rPr>
                <w:rFonts w:hint="eastAsia" w:asciiTheme="minorEastAsia" w:hAnsiTheme="minorEastAsia" w:eastAsiaTheme="minorEastAsia" w:cstheme="minorEastAsia"/>
                <w:b w:val="0"/>
                <w:bCs/>
                <w:color w:val="auto"/>
                <w:sz w:val="18"/>
                <w:szCs w:val="18"/>
                <w:highlight w:val="none"/>
              </w:rPr>
              <w:t>证明文件：职称证书</w:t>
            </w:r>
            <w:r>
              <w:rPr>
                <w:rFonts w:hint="eastAsia" w:asciiTheme="minorEastAsia" w:hAnsiTheme="minorEastAsia" w:eastAsiaTheme="minorEastAsia" w:cstheme="minorEastAsia"/>
                <w:b w:val="0"/>
                <w:bCs/>
                <w:color w:val="auto"/>
                <w:sz w:val="18"/>
                <w:szCs w:val="18"/>
                <w:highlight w:val="none"/>
                <w:lang w:eastAsia="zh-CN"/>
              </w:rPr>
              <w:t>原件扫描件</w:t>
            </w:r>
            <w:r>
              <w:rPr>
                <w:rFonts w:hint="eastAsia" w:asciiTheme="minorEastAsia" w:hAnsiTheme="minorEastAsia" w:eastAsiaTheme="minorEastAsia" w:cstheme="minorEastAsia"/>
                <w:b w:val="0"/>
                <w:bCs/>
                <w:color w:val="auto"/>
                <w:sz w:val="18"/>
                <w:szCs w:val="18"/>
                <w:highlight w:val="none"/>
              </w:rPr>
              <w:t>、属于投标人名下注册造价师</w:t>
            </w:r>
            <w:r>
              <w:rPr>
                <w:rFonts w:hint="eastAsia" w:asciiTheme="minorEastAsia" w:hAnsiTheme="minorEastAsia" w:eastAsiaTheme="minorEastAsia" w:cstheme="minorEastAsia"/>
                <w:b w:val="0"/>
                <w:bCs/>
                <w:color w:val="auto"/>
                <w:sz w:val="18"/>
                <w:szCs w:val="18"/>
                <w:highlight w:val="none"/>
                <w:lang w:val="en-US" w:eastAsia="zh-CN"/>
              </w:rPr>
              <w:t>注册证书、</w:t>
            </w:r>
            <w:r>
              <w:rPr>
                <w:rFonts w:hint="eastAsia" w:asciiTheme="minorEastAsia" w:hAnsiTheme="minorEastAsia" w:eastAsiaTheme="minorEastAsia" w:cstheme="minorEastAsia"/>
                <w:b w:val="0"/>
                <w:bCs/>
                <w:color w:val="auto"/>
                <w:sz w:val="18"/>
                <w:szCs w:val="18"/>
                <w:highlight w:val="none"/>
              </w:rPr>
              <w:t>资格证书</w:t>
            </w:r>
            <w:r>
              <w:rPr>
                <w:rFonts w:hint="eastAsia" w:asciiTheme="minorEastAsia" w:hAnsiTheme="minorEastAsia" w:eastAsiaTheme="minorEastAsia" w:cstheme="minorEastAsia"/>
                <w:b w:val="0"/>
                <w:bCs/>
                <w:color w:val="auto"/>
                <w:sz w:val="18"/>
                <w:szCs w:val="18"/>
                <w:highlight w:val="none"/>
                <w:lang w:eastAsia="zh-CN"/>
              </w:rPr>
              <w:t>原件扫描件</w:t>
            </w:r>
            <w:r>
              <w:rPr>
                <w:rFonts w:hint="eastAsia" w:asciiTheme="minorEastAsia" w:hAnsiTheme="minorEastAsia" w:eastAsiaTheme="minorEastAsia" w:cstheme="minorEastAsia"/>
                <w:b w:val="0"/>
                <w:bCs/>
                <w:color w:val="auto"/>
                <w:sz w:val="18"/>
                <w:szCs w:val="18"/>
                <w:highlight w:val="none"/>
              </w:rPr>
              <w:t>等并加盖公章；</w:t>
            </w:r>
            <w:r>
              <w:rPr>
                <w:rFonts w:hint="eastAsia" w:asciiTheme="minorEastAsia" w:hAnsiTheme="minorEastAsia" w:eastAsiaTheme="minorEastAsia" w:cstheme="minorEastAsia"/>
                <w:bCs/>
                <w:color w:val="auto"/>
                <w:sz w:val="18"/>
                <w:szCs w:val="18"/>
                <w:highlight w:val="none"/>
              </w:rPr>
              <w:t>如证书未注明专业，则需提供建设部的造价工程师注册管理系统网页复印件，专业以注册网页“所学专业”栏为准</w:t>
            </w:r>
            <w:r>
              <w:rPr>
                <w:rFonts w:hint="eastAsia" w:asciiTheme="minorEastAsia" w:hAnsiTheme="minorEastAsia" w:eastAsiaTheme="minorEastAsia" w:cstheme="minorEastAsia"/>
                <w:bCs/>
                <w:color w:val="auto"/>
                <w:sz w:val="18"/>
                <w:szCs w:val="18"/>
                <w:highlight w:val="none"/>
                <w:lang w:eastAsia="zh-CN"/>
              </w:rPr>
              <w:t>；</w:t>
            </w:r>
            <w:r>
              <w:rPr>
                <w:rFonts w:hint="eastAsia" w:asciiTheme="minorEastAsia" w:hAnsiTheme="minorEastAsia" w:eastAsiaTheme="minorEastAsia" w:cstheme="minorEastAsia"/>
                <w:b w:val="0"/>
                <w:bCs/>
                <w:color w:val="auto"/>
                <w:sz w:val="18"/>
                <w:szCs w:val="18"/>
                <w:highlight w:val="none"/>
              </w:rPr>
              <w:t>专业负责人属于投标人投标截止时间前</w:t>
            </w:r>
            <w:r>
              <w:rPr>
                <w:rFonts w:hint="eastAsia" w:asciiTheme="minorEastAsia" w:hAnsiTheme="minorEastAsia" w:eastAsiaTheme="minorEastAsia" w:cstheme="minorEastAsia"/>
                <w:b w:val="0"/>
                <w:bCs/>
                <w:color w:val="auto"/>
                <w:sz w:val="18"/>
                <w:szCs w:val="18"/>
                <w:highlight w:val="none"/>
                <w:lang w:eastAsia="zh-CN"/>
              </w:rPr>
              <w:t>（202</w:t>
            </w:r>
            <w:r>
              <w:rPr>
                <w:rFonts w:hint="eastAsia" w:asciiTheme="minorEastAsia" w:hAnsiTheme="minorEastAsia" w:eastAsiaTheme="minorEastAsia" w:cstheme="minorEastAsia"/>
                <w:b w:val="0"/>
                <w:bCs/>
                <w:color w:val="auto"/>
                <w:sz w:val="18"/>
                <w:szCs w:val="18"/>
                <w:highlight w:val="none"/>
                <w:lang w:val="en-US" w:eastAsia="zh-CN"/>
              </w:rPr>
              <w:t>1</w:t>
            </w:r>
            <w:r>
              <w:rPr>
                <w:rFonts w:hint="eastAsia" w:asciiTheme="minorEastAsia" w:hAnsiTheme="minorEastAsia" w:eastAsiaTheme="minorEastAsia" w:cstheme="minorEastAsia"/>
                <w:b w:val="0"/>
                <w:bCs/>
                <w:color w:val="auto"/>
                <w:sz w:val="18"/>
                <w:szCs w:val="18"/>
                <w:highlight w:val="none"/>
                <w:lang w:eastAsia="zh-CN"/>
              </w:rPr>
              <w:t>年</w:t>
            </w:r>
            <w:r>
              <w:rPr>
                <w:rFonts w:hint="eastAsia" w:asciiTheme="minorEastAsia" w:hAnsiTheme="minorEastAsia" w:eastAsiaTheme="minorEastAsia" w:cstheme="minorEastAsia"/>
                <w:b w:val="0"/>
                <w:bCs/>
                <w:color w:val="auto"/>
                <w:sz w:val="18"/>
                <w:szCs w:val="18"/>
                <w:highlight w:val="none"/>
                <w:lang w:val="en-US" w:eastAsia="zh-CN"/>
              </w:rPr>
              <w:t>1</w:t>
            </w:r>
            <w:r>
              <w:rPr>
                <w:rFonts w:hint="eastAsia" w:asciiTheme="minorEastAsia" w:hAnsiTheme="minorEastAsia" w:eastAsiaTheme="minorEastAsia" w:cstheme="minorEastAsia"/>
                <w:b w:val="0"/>
                <w:bCs/>
                <w:color w:val="auto"/>
                <w:sz w:val="18"/>
                <w:szCs w:val="18"/>
                <w:highlight w:val="none"/>
                <w:lang w:eastAsia="zh-CN"/>
              </w:rPr>
              <w:t>月至2021年</w:t>
            </w:r>
            <w:r>
              <w:rPr>
                <w:rFonts w:hint="eastAsia" w:asciiTheme="minorEastAsia" w:hAnsiTheme="minorEastAsia" w:eastAsiaTheme="minorEastAsia" w:cstheme="minorEastAsia"/>
                <w:b w:val="0"/>
                <w:bCs/>
                <w:color w:val="auto"/>
                <w:sz w:val="18"/>
                <w:szCs w:val="18"/>
                <w:highlight w:val="none"/>
                <w:lang w:val="en-US" w:eastAsia="zh-CN"/>
              </w:rPr>
              <w:t>6</w:t>
            </w:r>
            <w:r>
              <w:rPr>
                <w:rFonts w:hint="eastAsia" w:asciiTheme="minorEastAsia" w:hAnsiTheme="minorEastAsia" w:eastAsiaTheme="minorEastAsia" w:cstheme="minorEastAsia"/>
                <w:b w:val="0"/>
                <w:bCs/>
                <w:color w:val="auto"/>
                <w:sz w:val="18"/>
                <w:szCs w:val="18"/>
                <w:highlight w:val="none"/>
                <w:lang w:eastAsia="zh-CN"/>
              </w:rPr>
              <w:t>月）</w:t>
            </w:r>
            <w:r>
              <w:rPr>
                <w:rFonts w:hint="eastAsia" w:asciiTheme="minorEastAsia" w:hAnsiTheme="minorEastAsia" w:eastAsiaTheme="minorEastAsia" w:cstheme="minorEastAsia"/>
                <w:b w:val="0"/>
                <w:bCs/>
                <w:color w:val="auto"/>
                <w:sz w:val="18"/>
                <w:szCs w:val="18"/>
                <w:highlight w:val="none"/>
              </w:rPr>
              <w:t>的社保证明</w:t>
            </w:r>
            <w:r>
              <w:rPr>
                <w:rFonts w:hint="eastAsia" w:asciiTheme="minorEastAsia" w:hAnsiTheme="minorEastAsia" w:eastAsiaTheme="minorEastAsia" w:cstheme="minorEastAsia"/>
                <w:b w:val="0"/>
                <w:bCs/>
                <w:color w:val="auto"/>
                <w:sz w:val="18"/>
                <w:szCs w:val="18"/>
                <w:highlight w:val="none"/>
                <w:lang w:eastAsia="zh-CN"/>
              </w:rPr>
              <w:t>。】</w:t>
            </w:r>
          </w:p>
        </w:tc>
      </w:tr>
      <w:tr>
        <w:tblPrEx>
          <w:shd w:val="clear" w:color="auto" w:fill="FFFFFF"/>
          <w:tblCellMar>
            <w:top w:w="0" w:type="dxa"/>
            <w:left w:w="0" w:type="dxa"/>
            <w:bottom w:w="0" w:type="dxa"/>
            <w:right w:w="0" w:type="dxa"/>
          </w:tblCellMar>
        </w:tblPrEx>
        <w:trPr>
          <w:trHeight w:val="839" w:hRule="atLeast"/>
          <w:jc w:val="center"/>
        </w:trPr>
        <w:tc>
          <w:tcPr>
            <w:tcW w:w="1201"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技术部分评分标准</w:t>
            </w: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w:t>
            </w:r>
            <w:r>
              <w:rPr>
                <w:rFonts w:hint="eastAsia" w:asciiTheme="minorEastAsia" w:hAnsiTheme="minorEastAsia" w:eastAsiaTheme="minorEastAsia" w:cstheme="minorEastAsia"/>
                <w:color w:val="auto"/>
                <w:sz w:val="18"/>
                <w:szCs w:val="18"/>
                <w:highlight w:val="none"/>
                <w:lang w:val="en-US" w:eastAsia="zh-CN"/>
              </w:rPr>
              <w:t>0</w:t>
            </w:r>
            <w:r>
              <w:rPr>
                <w:rFonts w:hint="eastAsia" w:asciiTheme="minorEastAsia" w:hAnsiTheme="minorEastAsia" w:eastAsiaTheme="minorEastAsia" w:cstheme="minorEastAsia"/>
                <w:color w:val="auto"/>
                <w:sz w:val="18"/>
                <w:szCs w:val="18"/>
                <w:highlight w:val="none"/>
              </w:rPr>
              <w:t>分）</w:t>
            </w:r>
          </w:p>
        </w:tc>
        <w:tc>
          <w:tcPr>
            <w:tcW w:w="196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造价咨询服务工作的理解（</w:t>
            </w:r>
            <w:r>
              <w:rPr>
                <w:rFonts w:hint="eastAsia" w:asciiTheme="minorEastAsia" w:hAnsiTheme="minorEastAsia" w:eastAsiaTheme="minorEastAsia" w:cstheme="minorEastAsia"/>
                <w:color w:val="auto"/>
                <w:sz w:val="18"/>
                <w:szCs w:val="18"/>
                <w:highlight w:val="none"/>
                <w:lang w:val="en-US" w:eastAsia="zh-CN"/>
              </w:rPr>
              <w:t>5</w:t>
            </w:r>
            <w:r>
              <w:rPr>
                <w:rFonts w:hint="eastAsia" w:asciiTheme="minorEastAsia" w:hAnsiTheme="minorEastAsia" w:eastAsiaTheme="minorEastAsia" w:cstheme="minorEastAsia"/>
                <w:color w:val="auto"/>
                <w:sz w:val="18"/>
                <w:szCs w:val="18"/>
                <w:highlight w:val="none"/>
              </w:rPr>
              <w:t>分）</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对造价咨询服务工作的理解：</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优 [5.0-4.0]、良(4.0-3.0]、中(3.0-2.0]、差(2.0-1.0]</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优:对本项目造价咨询工作的理解准确、深入，重点难点剖析到位、合理；</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良:对本项目造价咨询工作的理解较准确、较深入，重点难点剖析较到位、较合理；</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中:对本项目造价咨询工作的理解不够准确、不够深入，重点难点剖析不够到位、不够合理；</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差:对本项目造价咨询工作的理解不准确、不深入，重点难点剖析不到位、不合理。</w:t>
            </w:r>
          </w:p>
        </w:tc>
      </w:tr>
      <w:tr>
        <w:tblPrEx>
          <w:tblCellMar>
            <w:top w:w="0" w:type="dxa"/>
            <w:left w:w="0" w:type="dxa"/>
            <w:bottom w:w="0" w:type="dxa"/>
            <w:right w:w="0" w:type="dxa"/>
          </w:tblCellMar>
        </w:tblPrEx>
        <w:trPr>
          <w:trHeight w:val="834" w:hRule="atLeast"/>
          <w:jc w:val="center"/>
        </w:trPr>
        <w:tc>
          <w:tcPr>
            <w:tcW w:w="1201"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p>
        </w:tc>
        <w:tc>
          <w:tcPr>
            <w:tcW w:w="196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造价咨询工作实施方案（</w:t>
            </w:r>
            <w:r>
              <w:rPr>
                <w:rFonts w:hint="eastAsia" w:asciiTheme="minorEastAsia" w:hAnsiTheme="minorEastAsia" w:eastAsiaTheme="minorEastAsia" w:cstheme="minorEastAsia"/>
                <w:color w:val="auto"/>
                <w:sz w:val="18"/>
                <w:szCs w:val="18"/>
                <w:highlight w:val="none"/>
                <w:lang w:val="en-US" w:eastAsia="zh-CN"/>
              </w:rPr>
              <w:t>5</w:t>
            </w:r>
            <w:r>
              <w:rPr>
                <w:rFonts w:hint="eastAsia" w:asciiTheme="minorEastAsia" w:hAnsiTheme="minorEastAsia" w:eastAsiaTheme="minorEastAsia" w:cstheme="minorEastAsia"/>
                <w:color w:val="auto"/>
                <w:sz w:val="18"/>
                <w:szCs w:val="18"/>
                <w:highlight w:val="none"/>
              </w:rPr>
              <w:t>分）</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造价咨询工作实施方案：</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优 [5.0-4.0]、良(4.0-3.0]、中(3.0-2.0]、差(2.0-1.0]</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优：实施方案具体、合同，可操作性强，并能有效把握关键节点工作；</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良；实施方案比较具体、合理，可操作实施，较能把握关键节点工作；</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中：实施方案不够具体，但能基本把握关键节点工作。</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差：实施方案不具体，不能把握关键节点工作。</w:t>
            </w:r>
          </w:p>
        </w:tc>
      </w:tr>
      <w:tr>
        <w:tblPrEx>
          <w:tblCellMar>
            <w:top w:w="0" w:type="dxa"/>
            <w:left w:w="0" w:type="dxa"/>
            <w:bottom w:w="0" w:type="dxa"/>
            <w:right w:w="0" w:type="dxa"/>
          </w:tblCellMar>
        </w:tblPrEx>
        <w:trPr>
          <w:trHeight w:val="849" w:hRule="atLeast"/>
          <w:jc w:val="center"/>
        </w:trPr>
        <w:tc>
          <w:tcPr>
            <w:tcW w:w="1201"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p>
        </w:tc>
        <w:tc>
          <w:tcPr>
            <w:tcW w:w="196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质量保证措施（</w:t>
            </w:r>
            <w:r>
              <w:rPr>
                <w:rFonts w:hint="eastAsia" w:asciiTheme="minorEastAsia" w:hAnsiTheme="minorEastAsia" w:eastAsiaTheme="minorEastAsia" w:cstheme="minorEastAsia"/>
                <w:color w:val="auto"/>
                <w:sz w:val="18"/>
                <w:szCs w:val="18"/>
                <w:highlight w:val="none"/>
                <w:lang w:val="en-US" w:eastAsia="zh-CN"/>
              </w:rPr>
              <w:t>5</w:t>
            </w:r>
            <w:r>
              <w:rPr>
                <w:rFonts w:hint="eastAsia" w:asciiTheme="minorEastAsia" w:hAnsiTheme="minorEastAsia" w:eastAsiaTheme="minorEastAsia" w:cstheme="minorEastAsia"/>
                <w:color w:val="auto"/>
                <w:sz w:val="18"/>
                <w:szCs w:val="18"/>
                <w:highlight w:val="none"/>
              </w:rPr>
              <w:t>分）</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造价咨询质量保证措施：</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优 [5.0-4.0]、良(4.0-3.0]、中(3.0-2.0]、差(2.0-1.0]</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优：对造价咨询服务工作能提出具体、有效、可行的保证措施，且保证措施全面；</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良：对造价咨询服务工作能提出较有效、可行的保证措施，且保证措施为中等；</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中：对造价咨询服务工作能提出基本有效、可行的保证措施，但不够具体、全面。</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差：对造价咨询服务工作不能提出基本有效、可行的保证措施。</w:t>
            </w:r>
          </w:p>
        </w:tc>
      </w:tr>
      <w:tr>
        <w:tblPrEx>
          <w:tblCellMar>
            <w:top w:w="0" w:type="dxa"/>
            <w:left w:w="0" w:type="dxa"/>
            <w:bottom w:w="0" w:type="dxa"/>
            <w:right w:w="0" w:type="dxa"/>
          </w:tblCellMar>
        </w:tblPrEx>
        <w:trPr>
          <w:trHeight w:val="849" w:hRule="atLeast"/>
          <w:jc w:val="center"/>
        </w:trPr>
        <w:tc>
          <w:tcPr>
            <w:tcW w:w="1201"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p>
        </w:tc>
        <w:tc>
          <w:tcPr>
            <w:tcW w:w="196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合理化建议（5分）</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对本项目的合理化建议：</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优 [5.0-4.0]、良(4.0-3.0]、中(3.0-2.0]、差(2.0-1.0]</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优：合理化建议全面细致，结合实际。</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良：合理化建议比较全面细致，比较结合实际。</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中：合理化建议基本全面细致，基本结合实际。</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差：合理化建议不全面细致，不结合实际。</w:t>
            </w:r>
          </w:p>
        </w:tc>
      </w:tr>
      <w:tr>
        <w:tblPrEx>
          <w:shd w:val="clear" w:color="auto" w:fill="FFFFFF"/>
          <w:tblCellMar>
            <w:top w:w="0" w:type="dxa"/>
            <w:left w:w="0" w:type="dxa"/>
            <w:bottom w:w="0" w:type="dxa"/>
            <w:right w:w="0" w:type="dxa"/>
          </w:tblCellMar>
        </w:tblPrEx>
        <w:trPr>
          <w:trHeight w:val="2017" w:hRule="atLeast"/>
          <w:jc w:val="center"/>
        </w:trPr>
        <w:tc>
          <w:tcPr>
            <w:tcW w:w="1201" w:type="dxa"/>
            <w:tcBorders>
              <w:top w:val="single" w:color="auto" w:sz="4" w:space="0"/>
              <w:left w:val="single" w:color="auto" w:sz="4" w:space="0"/>
              <w:bottom w:val="single" w:color="auto" w:sz="4"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投标报价评分标准</w:t>
            </w: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lang w:val="en-US" w:eastAsia="zh-CN"/>
              </w:rPr>
              <w:t>0</w:t>
            </w:r>
            <w:r>
              <w:rPr>
                <w:rFonts w:hint="eastAsia" w:asciiTheme="minorEastAsia" w:hAnsiTheme="minorEastAsia" w:eastAsiaTheme="minorEastAsia" w:cstheme="minorEastAsia"/>
                <w:color w:val="auto"/>
                <w:sz w:val="18"/>
                <w:szCs w:val="18"/>
                <w:highlight w:val="none"/>
              </w:rPr>
              <w:t>分）</w:t>
            </w:r>
          </w:p>
        </w:tc>
        <w:tc>
          <w:tcPr>
            <w:tcW w:w="80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Theme="minorEastAsia" w:hAnsiTheme="minorEastAsia" w:eastAsiaTheme="minorEastAsia" w:cstheme="minorEastAsia"/>
                <w:color w:val="FF0000"/>
                <w:sz w:val="18"/>
                <w:szCs w:val="18"/>
                <w:highlight w:val="none"/>
                <w:lang w:val="en-US" w:eastAsia="zh-CN"/>
              </w:rPr>
            </w:pPr>
            <w:r>
              <w:rPr>
                <w:rFonts w:hint="eastAsia" w:asciiTheme="minorEastAsia" w:hAnsiTheme="minorEastAsia" w:eastAsiaTheme="minorEastAsia" w:cstheme="minorEastAsia"/>
                <w:color w:val="FF0000"/>
                <w:sz w:val="18"/>
                <w:szCs w:val="18"/>
                <w:highlight w:val="none"/>
              </w:rPr>
              <w:t>当投标报价等于评标基准价时得</w:t>
            </w:r>
            <w:r>
              <w:rPr>
                <w:rFonts w:hint="eastAsia" w:asciiTheme="minorEastAsia" w:hAnsiTheme="minorEastAsia" w:cstheme="minorEastAsia"/>
                <w:color w:val="FF0000"/>
                <w:sz w:val="18"/>
                <w:szCs w:val="18"/>
                <w:highlight w:val="none"/>
                <w:lang w:val="en-US" w:eastAsia="zh-CN"/>
              </w:rPr>
              <w:t>2</w:t>
            </w:r>
            <w:r>
              <w:rPr>
                <w:rFonts w:hint="eastAsia" w:asciiTheme="minorEastAsia" w:hAnsiTheme="minorEastAsia" w:eastAsiaTheme="minorEastAsia" w:cstheme="minorEastAsia"/>
                <w:color w:val="FF0000"/>
                <w:sz w:val="18"/>
                <w:szCs w:val="18"/>
                <w:highlight w:val="none"/>
              </w:rPr>
              <w:t>0分，投标报价每比评标基准价低1%扣0.</w:t>
            </w:r>
            <w:r>
              <w:rPr>
                <w:rFonts w:hint="eastAsia" w:asciiTheme="minorEastAsia" w:hAnsiTheme="minorEastAsia" w:cstheme="minorEastAsia"/>
                <w:color w:val="FF0000"/>
                <w:sz w:val="18"/>
                <w:szCs w:val="18"/>
                <w:highlight w:val="none"/>
                <w:lang w:val="en-US" w:eastAsia="zh-CN"/>
              </w:rPr>
              <w:t>2</w:t>
            </w:r>
            <w:r>
              <w:rPr>
                <w:rFonts w:hint="eastAsia" w:asciiTheme="minorEastAsia" w:hAnsiTheme="minorEastAsia" w:eastAsiaTheme="minorEastAsia" w:cstheme="minorEastAsia"/>
                <w:color w:val="FF0000"/>
                <w:sz w:val="18"/>
                <w:szCs w:val="18"/>
                <w:highlight w:val="none"/>
              </w:rPr>
              <w:t>分。（</w:t>
            </w:r>
            <w:r>
              <w:rPr>
                <w:rFonts w:hint="eastAsia" w:asciiTheme="minorEastAsia" w:hAnsiTheme="minorEastAsia" w:cstheme="minorEastAsia"/>
                <w:color w:val="FF0000"/>
                <w:sz w:val="18"/>
                <w:szCs w:val="18"/>
                <w:highlight w:val="none"/>
                <w:lang w:val="en-US" w:eastAsia="zh-CN"/>
              </w:rPr>
              <w:t>如：投标报价为下浮15%，报价得分为：20-（20%-15%）</w:t>
            </w:r>
            <w:r>
              <w:rPr>
                <w:rFonts w:hint="default" w:ascii="Arial" w:hAnsi="Arial" w:cs="Arial"/>
                <w:color w:val="FF0000"/>
                <w:sz w:val="18"/>
                <w:szCs w:val="18"/>
                <w:highlight w:val="none"/>
                <w:lang w:val="en-US" w:eastAsia="zh-CN"/>
              </w:rPr>
              <w:t>÷</w:t>
            </w:r>
            <w:r>
              <w:rPr>
                <w:rFonts w:hint="eastAsia" w:asciiTheme="minorEastAsia" w:hAnsiTheme="minorEastAsia" w:cstheme="minorEastAsia"/>
                <w:color w:val="FF0000"/>
                <w:sz w:val="18"/>
                <w:szCs w:val="18"/>
                <w:highlight w:val="none"/>
                <w:lang w:val="en-US" w:eastAsia="zh-CN"/>
              </w:rPr>
              <w:t>20%</w:t>
            </w:r>
            <w:r>
              <w:rPr>
                <w:rFonts w:hint="default" w:ascii="Arial" w:hAnsi="Arial" w:cs="Arial"/>
                <w:color w:val="FF0000"/>
                <w:sz w:val="18"/>
                <w:szCs w:val="18"/>
                <w:highlight w:val="none"/>
                <w:lang w:val="en-US" w:eastAsia="zh-CN"/>
              </w:rPr>
              <w:t>÷</w:t>
            </w:r>
            <w:r>
              <w:rPr>
                <w:rFonts w:hint="eastAsia" w:ascii="Arial" w:hAnsi="Arial" w:cs="Arial"/>
                <w:color w:val="FF0000"/>
                <w:sz w:val="18"/>
                <w:szCs w:val="18"/>
                <w:highlight w:val="none"/>
                <w:lang w:val="en-US" w:eastAsia="zh-CN"/>
              </w:rPr>
              <w:t>1%</w:t>
            </w:r>
            <w:r>
              <w:rPr>
                <w:rFonts w:hint="default" w:ascii="Arial" w:hAnsi="Arial" w:cs="Arial"/>
                <w:color w:val="FF0000"/>
                <w:sz w:val="18"/>
                <w:szCs w:val="18"/>
                <w:highlight w:val="none"/>
                <w:lang w:val="en-US" w:eastAsia="zh-CN"/>
              </w:rPr>
              <w:t>×</w:t>
            </w:r>
            <w:r>
              <w:rPr>
                <w:rFonts w:hint="eastAsia" w:ascii="Arial" w:hAnsi="Arial" w:cs="Arial"/>
                <w:color w:val="FF0000"/>
                <w:sz w:val="18"/>
                <w:szCs w:val="18"/>
                <w:highlight w:val="none"/>
                <w:lang w:val="en-US" w:eastAsia="zh-CN"/>
              </w:rPr>
              <w:t>0.2=15.00分，</w:t>
            </w:r>
            <w:r>
              <w:rPr>
                <w:rFonts w:hint="eastAsia" w:asciiTheme="minorEastAsia" w:hAnsiTheme="minorEastAsia" w:eastAsiaTheme="minorEastAsia" w:cstheme="minorEastAsia"/>
                <w:color w:val="FF0000"/>
                <w:sz w:val="18"/>
                <w:szCs w:val="18"/>
                <w:highlight w:val="none"/>
                <w:lang w:val="en-US" w:eastAsia="zh-CN"/>
              </w:rPr>
              <w:t>保留2位小数）</w:t>
            </w:r>
          </w:p>
          <w:p>
            <w:pP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cstheme="minorEastAsia"/>
                <w:color w:val="auto"/>
                <w:sz w:val="18"/>
                <w:szCs w:val="18"/>
                <w:highlight w:val="none"/>
                <w:lang w:val="en-US" w:eastAsia="zh-CN"/>
              </w:rPr>
              <w:t>注：</w:t>
            </w:r>
            <w:r>
              <w:rPr>
                <w:rFonts w:hint="eastAsia" w:asciiTheme="minorEastAsia" w:hAnsiTheme="minorEastAsia" w:eastAsiaTheme="minorEastAsia" w:cstheme="minorEastAsia"/>
                <w:color w:val="FF0000"/>
                <w:sz w:val="18"/>
                <w:szCs w:val="18"/>
                <w:highlight w:val="none"/>
                <w:lang w:val="en-US" w:eastAsia="zh-CN"/>
              </w:rPr>
              <w:t>取</w:t>
            </w:r>
            <w:r>
              <w:rPr>
                <w:rFonts w:hint="eastAsia" w:asciiTheme="minorEastAsia" w:hAnsiTheme="minorEastAsia" w:eastAsiaTheme="minorEastAsia" w:cstheme="minorEastAsia"/>
                <w:color w:val="FF0000"/>
                <w:sz w:val="18"/>
                <w:szCs w:val="18"/>
                <w:highlight w:val="none"/>
              </w:rPr>
              <w:t>下浮</w:t>
            </w:r>
            <w:r>
              <w:rPr>
                <w:rFonts w:hint="eastAsia" w:asciiTheme="minorEastAsia" w:hAnsiTheme="minorEastAsia" w:eastAsiaTheme="minorEastAsia" w:cstheme="minorEastAsia"/>
                <w:color w:val="FF0000"/>
                <w:sz w:val="18"/>
                <w:szCs w:val="18"/>
                <w:highlight w:val="none"/>
                <w:lang w:val="en-US" w:eastAsia="zh-CN"/>
              </w:rPr>
              <w:t>率20</w:t>
            </w:r>
            <w:r>
              <w:rPr>
                <w:rFonts w:hint="eastAsia" w:asciiTheme="minorEastAsia" w:hAnsiTheme="minorEastAsia" w:eastAsiaTheme="minorEastAsia" w:cstheme="minorEastAsia"/>
                <w:color w:val="FF0000"/>
                <w:sz w:val="18"/>
                <w:szCs w:val="18"/>
                <w:highlight w:val="none"/>
              </w:rPr>
              <w:t>%</w:t>
            </w:r>
            <w:r>
              <w:rPr>
                <w:rFonts w:hint="eastAsia" w:asciiTheme="minorEastAsia" w:hAnsiTheme="minorEastAsia" w:cstheme="minorEastAsia"/>
                <w:color w:val="FF0000"/>
                <w:sz w:val="18"/>
                <w:szCs w:val="18"/>
                <w:highlight w:val="none"/>
                <w:lang w:val="en-US" w:eastAsia="zh-CN"/>
              </w:rPr>
              <w:t>为</w:t>
            </w:r>
            <w:r>
              <w:rPr>
                <w:rFonts w:hint="eastAsia" w:asciiTheme="minorEastAsia" w:hAnsiTheme="minorEastAsia" w:eastAsiaTheme="minorEastAsia" w:cstheme="minorEastAsia"/>
                <w:color w:val="FF0000"/>
                <w:sz w:val="18"/>
                <w:szCs w:val="18"/>
                <w:highlight w:val="none"/>
              </w:rPr>
              <w:t>评标基准价</w:t>
            </w:r>
            <w:r>
              <w:rPr>
                <w:rFonts w:hint="eastAsia" w:asciiTheme="minorEastAsia" w:hAnsiTheme="minorEastAsia" w:cstheme="minorEastAsia"/>
                <w:color w:val="FF0000"/>
                <w:sz w:val="18"/>
                <w:szCs w:val="18"/>
                <w:highlight w:val="none"/>
                <w:lang w:eastAsia="zh-CN"/>
              </w:rPr>
              <w:t>。</w:t>
            </w:r>
          </w:p>
        </w:tc>
      </w:tr>
      <w:tr>
        <w:tblPrEx>
          <w:shd w:val="clear" w:color="auto" w:fill="FFFFFF"/>
          <w:tblCellMar>
            <w:top w:w="0" w:type="dxa"/>
            <w:left w:w="0" w:type="dxa"/>
            <w:bottom w:w="0" w:type="dxa"/>
            <w:right w:w="0" w:type="dxa"/>
          </w:tblCellMar>
        </w:tblPrEx>
        <w:trPr>
          <w:trHeight w:val="1578" w:hRule="atLeast"/>
          <w:jc w:val="center"/>
        </w:trPr>
        <w:tc>
          <w:tcPr>
            <w:tcW w:w="1201" w:type="dxa"/>
            <w:tcBorders>
              <w:top w:val="single" w:color="auto" w:sz="4" w:space="0"/>
              <w:left w:val="single" w:color="auto" w:sz="4" w:space="0"/>
              <w:bottom w:val="single" w:color="auto" w:sz="4"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诚信综合评分标准</w:t>
            </w: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（10分）</w:t>
            </w:r>
          </w:p>
        </w:tc>
        <w:tc>
          <w:tcPr>
            <w:tcW w:w="80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eastAsia="zh-CN"/>
              </w:rPr>
              <w:t>投标人诚信得分</w:t>
            </w:r>
            <w:r>
              <w:rPr>
                <w:rFonts w:hint="eastAsia" w:asciiTheme="minorEastAsia" w:hAnsiTheme="minorEastAsia" w:eastAsiaTheme="minorEastAsia" w:cstheme="minorEastAsia"/>
                <w:color w:val="auto"/>
                <w:sz w:val="18"/>
                <w:szCs w:val="18"/>
                <w:highlight w:val="none"/>
                <w:lang w:val="en-US" w:eastAsia="zh-CN"/>
              </w:rPr>
              <w:t>=诚信综合评价排名得分×10%</w:t>
            </w:r>
          </w:p>
          <w:p>
            <w:pPr>
              <w:pStyle w:val="16"/>
              <w:ind w:left="0" w:leftChars="0" w:firstLine="0" w:firstLineChars="0"/>
              <w:jc w:val="left"/>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注：企业的诚信综合评分排名得分以开标当天广州公共资源交易中心网站上公布的广州市建设工程造价咨询企业60日诚信评价得分为准</w:t>
            </w:r>
          </w:p>
        </w:tc>
      </w:tr>
    </w:tbl>
    <w:p>
      <w:pPr>
        <w:keepNext w:val="0"/>
        <w:keepLines w:val="0"/>
        <w:pageBreakBefore w:val="0"/>
        <w:widowControl w:val="0"/>
        <w:tabs>
          <w:tab w:val="left" w:pos="1470"/>
        </w:tabs>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p>
    <w:p>
      <w:pPr>
        <w:keepNext w:val="0"/>
        <w:keepLines w:val="0"/>
        <w:pageBreakBefore w:val="0"/>
        <w:widowControl w:val="0"/>
        <w:tabs>
          <w:tab w:val="left" w:pos="1470"/>
        </w:tabs>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注：</w:t>
      </w:r>
    </w:p>
    <w:p>
      <w:pPr>
        <w:keepNext w:val="0"/>
        <w:keepLines w:val="0"/>
        <w:pageBreakBefore w:val="0"/>
        <w:widowControl w:val="0"/>
        <w:tabs>
          <w:tab w:val="left" w:pos="1470"/>
        </w:tabs>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关于社会保险证明：若当地政府部门允许企业在疫情期间缓缴社会保险费且投标人未缴纳的，投标人可提供当地政府部门允许缓缴社保的相关文件作为缴纳社保的证明。</w:t>
      </w:r>
    </w:p>
    <w:p>
      <w:pPr>
        <w:snapToGrid w:val="0"/>
        <w:ind w:left="74"/>
        <w:rPr>
          <w:rFonts w:hint="eastAsia" w:ascii="仿宋" w:hAnsi="仿宋" w:eastAsia="仿宋" w:cs="仿宋"/>
          <w:color w:val="auto"/>
          <w:szCs w:val="21"/>
          <w:highlight w:val="none"/>
        </w:rPr>
      </w:pPr>
      <w:r>
        <w:rPr>
          <w:rFonts w:hint="eastAsia" w:ascii="宋体" w:hAnsi="宋体" w:cs="宋体"/>
          <w:color w:val="auto"/>
          <w:szCs w:val="21"/>
          <w:highlight w:val="none"/>
        </w:rPr>
        <w:t>2、投标人的得分为各评委的评分的算术平均分（分数出现小数点时，保留小数点后二位，第三位小数四舍五入）。</w:t>
      </w:r>
      <w:r>
        <w:rPr>
          <w:rFonts w:hint="eastAsia" w:ascii="仿宋" w:hAnsi="仿宋" w:eastAsia="仿宋" w:cs="仿宋"/>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val="0"/>
        <w:ind w:left="74"/>
        <w:textAlignment w:val="auto"/>
        <w:outlineLvl w:val="0"/>
        <w:rPr>
          <w:rFonts w:hint="eastAsia" w:ascii="宋体" w:hAnsi="宋体" w:cs="宋体"/>
          <w:color w:val="auto"/>
          <w:sz w:val="28"/>
          <w:szCs w:val="28"/>
          <w:highlight w:val="none"/>
        </w:rPr>
        <w:sectPr>
          <w:pgSz w:w="12240" w:h="15840"/>
          <w:pgMar w:top="1440" w:right="1797" w:bottom="1440" w:left="1797" w:header="720" w:footer="720" w:gutter="0"/>
          <w:pgBorders>
            <w:top w:val="none" w:sz="0" w:space="0"/>
            <w:left w:val="none" w:sz="0" w:space="0"/>
            <w:bottom w:val="none" w:sz="0" w:space="0"/>
            <w:right w:val="none" w:sz="0" w:space="0"/>
          </w:pgBorders>
          <w:pgNumType w:fmt="decimal"/>
          <w:cols w:space="0" w:num="1"/>
          <w:rtlGutter w:val="0"/>
          <w:docGrid w:linePitch="312" w:charSpace="0"/>
        </w:sectPr>
      </w:pPr>
      <w:bookmarkStart w:id="53" w:name="_Toc22949"/>
    </w:p>
    <w:p>
      <w:pPr>
        <w:keepNext w:val="0"/>
        <w:keepLines w:val="0"/>
        <w:pageBreakBefore w:val="0"/>
        <w:widowControl w:val="0"/>
        <w:kinsoku/>
        <w:wordWrap/>
        <w:overflowPunct/>
        <w:topLinePunct w:val="0"/>
        <w:autoSpaceDE/>
        <w:autoSpaceDN/>
        <w:bidi w:val="0"/>
        <w:adjustRightInd/>
        <w:snapToGrid w:val="0"/>
        <w:ind w:left="74"/>
        <w:textAlignment w:val="auto"/>
        <w:outlineLvl w:val="0"/>
        <w:rPr>
          <w:color w:val="auto"/>
          <w:sz w:val="28"/>
          <w:szCs w:val="28"/>
          <w:highlight w:val="none"/>
        </w:rPr>
      </w:pPr>
      <w:r>
        <w:rPr>
          <w:rFonts w:hint="eastAsia" w:ascii="宋体" w:hAnsi="宋体" w:cs="宋体"/>
          <w:color w:val="auto"/>
          <w:sz w:val="28"/>
          <w:szCs w:val="28"/>
          <w:highlight w:val="none"/>
        </w:rPr>
        <w:t>附件：合同</w:t>
      </w:r>
      <w:bookmarkEnd w:id="53"/>
    </w:p>
    <w:p>
      <w:pPr>
        <w:spacing w:before="120" w:after="120"/>
        <w:ind w:firstLine="5400" w:firstLineChars="2250"/>
        <w:rPr>
          <w:rFonts w:ascii="黑体" w:hAnsi="宋体" w:eastAsia="黑体" w:cs="黑体"/>
          <w:b/>
          <w:color w:val="auto"/>
          <w:sz w:val="24"/>
          <w:highlight w:val="none"/>
        </w:rPr>
      </w:pPr>
      <w:r>
        <w:rPr>
          <w:rFonts w:hint="eastAsia" w:ascii="黑体" w:hAnsi="宋体" w:eastAsia="黑体" w:cs="黑体"/>
          <w:color w:val="auto"/>
          <w:sz w:val="24"/>
          <w:highlight w:val="none"/>
        </w:rPr>
        <w:t>合同编号：</w:t>
      </w:r>
    </w:p>
    <w:p>
      <w:pPr>
        <w:spacing w:line="360" w:lineRule="auto"/>
        <w:jc w:val="center"/>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 xml:space="preserve"> </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广州南沙</w:t>
      </w:r>
      <w:r>
        <w:rPr>
          <w:rFonts w:hint="eastAsia" w:ascii="宋体" w:hAnsi="宋体" w:eastAsia="宋体" w:cs="宋体"/>
          <w:b/>
          <w:color w:val="auto"/>
          <w:sz w:val="32"/>
          <w:szCs w:val="32"/>
          <w:highlight w:val="none"/>
        </w:rPr>
        <w:t>资产经营集团</w:t>
      </w:r>
      <w:r>
        <w:rPr>
          <w:rFonts w:hint="eastAsia" w:ascii="宋体" w:hAnsi="宋体" w:eastAsia="宋体" w:cs="宋体"/>
          <w:b/>
          <w:color w:val="auto"/>
          <w:sz w:val="32"/>
          <w:szCs w:val="32"/>
          <w:highlight w:val="none"/>
          <w:lang w:val="en-US" w:eastAsia="zh-CN"/>
        </w:rPr>
        <w:t>有限公司工程</w:t>
      </w:r>
      <w:r>
        <w:rPr>
          <w:rFonts w:hint="eastAsia" w:ascii="宋体" w:hAnsi="宋体" w:eastAsia="宋体" w:cs="宋体"/>
          <w:b/>
          <w:color w:val="auto"/>
          <w:sz w:val="32"/>
          <w:szCs w:val="32"/>
          <w:highlight w:val="none"/>
        </w:rPr>
        <w:t>项目</w:t>
      </w:r>
      <w:r>
        <w:rPr>
          <w:rFonts w:hint="eastAsia" w:ascii="宋体" w:hAnsi="宋体" w:eastAsia="宋体" w:cs="宋体"/>
          <w:b/>
          <w:color w:val="auto"/>
          <w:sz w:val="32"/>
          <w:szCs w:val="32"/>
          <w:highlight w:val="none"/>
          <w:lang w:val="en-US" w:eastAsia="zh-CN"/>
        </w:rPr>
        <w:t>年度造价</w:t>
      </w:r>
      <w:r>
        <w:rPr>
          <w:rFonts w:hint="eastAsia" w:ascii="宋体" w:hAnsi="宋体" w:eastAsia="宋体" w:cs="宋体"/>
          <w:b/>
          <w:color w:val="auto"/>
          <w:sz w:val="32"/>
          <w:szCs w:val="32"/>
          <w:highlight w:val="none"/>
        </w:rPr>
        <w:t>咨询</w:t>
      </w:r>
    </w:p>
    <w:p>
      <w:pPr>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服务合同</w:t>
      </w:r>
    </w:p>
    <w:p>
      <w:pPr>
        <w:spacing w:line="360" w:lineRule="auto"/>
        <w:ind w:left="1418" w:leftChars="675" w:firstLine="289" w:firstLineChars="40"/>
        <w:jc w:val="left"/>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 xml:space="preserve"> </w:t>
      </w:r>
    </w:p>
    <w:p>
      <w:pPr>
        <w:spacing w:line="360" w:lineRule="auto"/>
        <w:ind w:left="1418" w:leftChars="675" w:firstLine="289" w:firstLineChars="40"/>
        <w:jc w:val="left"/>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 xml:space="preserve"> </w:t>
      </w:r>
    </w:p>
    <w:p>
      <w:pPr>
        <w:spacing w:line="360" w:lineRule="auto"/>
        <w:jc w:val="left"/>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 xml:space="preserve"> </w:t>
      </w:r>
    </w:p>
    <w:p>
      <w:pPr>
        <w:spacing w:line="360" w:lineRule="auto"/>
        <w:jc w:val="left"/>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 xml:space="preserve"> </w:t>
      </w:r>
    </w:p>
    <w:p>
      <w:pPr>
        <w:spacing w:line="360" w:lineRule="auto"/>
        <w:ind w:left="1418" w:leftChars="675" w:firstLine="129" w:firstLineChars="40"/>
        <w:jc w:val="left"/>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pPr>
        <w:spacing w:line="360" w:lineRule="auto"/>
        <w:ind w:left="1418" w:leftChars="675" w:firstLine="209" w:firstLineChars="40"/>
        <w:jc w:val="left"/>
        <w:rPr>
          <w:b/>
          <w:color w:val="auto"/>
          <w:sz w:val="52"/>
          <w:szCs w:val="52"/>
          <w:highlight w:val="none"/>
        </w:rPr>
      </w:pPr>
      <w:r>
        <w:rPr>
          <w:rFonts w:ascii="Times New Roman" w:hAnsi="Times New Roman" w:eastAsia="宋体" w:cs="Times New Roman"/>
          <w:b/>
          <w:color w:val="auto"/>
          <w:sz w:val="52"/>
          <w:szCs w:val="52"/>
          <w:highlight w:val="none"/>
        </w:rPr>
        <w:t xml:space="preserve"> </w:t>
      </w:r>
    </w:p>
    <w:p>
      <w:pPr>
        <w:rPr>
          <w:rFonts w:hint="eastAsia" w:ascii="黑体" w:hAnsi="宋体" w:eastAsia="黑体" w:cs="黑体"/>
          <w:color w:val="auto"/>
          <w:sz w:val="30"/>
          <w:szCs w:val="30"/>
          <w:highlight w:val="none"/>
          <w:u w:val="single"/>
          <w:lang w:eastAsia="zh-CN"/>
        </w:rPr>
      </w:pPr>
      <w:r>
        <w:rPr>
          <w:rFonts w:hint="eastAsia" w:ascii="黑体" w:hAnsi="宋体" w:eastAsia="黑体" w:cs="黑体"/>
          <w:color w:val="auto"/>
          <w:sz w:val="30"/>
          <w:szCs w:val="30"/>
          <w:highlight w:val="none"/>
        </w:rPr>
        <w:t>委托方（甲方）：</w:t>
      </w:r>
      <w:r>
        <w:rPr>
          <w:rFonts w:hint="eastAsia" w:ascii="黑体" w:hAnsi="宋体" w:eastAsia="黑体" w:cs="黑体"/>
          <w:color w:val="auto"/>
          <w:sz w:val="30"/>
          <w:szCs w:val="30"/>
          <w:highlight w:val="none"/>
        </w:rPr>
        <w:tab/>
      </w:r>
      <w:r>
        <w:rPr>
          <w:rFonts w:hint="eastAsia" w:ascii="黑体" w:hAnsi="宋体" w:eastAsia="黑体" w:cs="黑体"/>
          <w:color w:val="auto"/>
          <w:sz w:val="30"/>
          <w:szCs w:val="30"/>
          <w:highlight w:val="none"/>
          <w:u w:val="single"/>
          <w:lang w:eastAsia="zh-CN"/>
        </w:rPr>
        <w:t>广州南沙资产经营集团有限公司</w:t>
      </w:r>
    </w:p>
    <w:p>
      <w:pPr>
        <w:rPr>
          <w:rFonts w:ascii="黑体" w:hAnsi="宋体" w:eastAsia="黑体" w:cs="黑体"/>
          <w:color w:val="auto"/>
          <w:sz w:val="30"/>
          <w:szCs w:val="30"/>
          <w:highlight w:val="none"/>
          <w:u w:val="single"/>
        </w:rPr>
      </w:pPr>
      <w:r>
        <w:rPr>
          <w:rFonts w:hint="eastAsia" w:ascii="黑体" w:hAnsi="宋体" w:eastAsia="黑体" w:cs="黑体"/>
          <w:color w:val="auto"/>
          <w:sz w:val="30"/>
          <w:szCs w:val="30"/>
          <w:highlight w:val="none"/>
        </w:rPr>
        <w:t>受托方（乙方）：</w:t>
      </w:r>
      <w:r>
        <w:rPr>
          <w:rFonts w:hint="eastAsia" w:ascii="黑体" w:hAnsi="宋体" w:eastAsia="黑体" w:cs="黑体"/>
          <w:color w:val="auto"/>
          <w:sz w:val="30"/>
          <w:szCs w:val="30"/>
          <w:highlight w:val="none"/>
        </w:rPr>
        <w:tab/>
      </w:r>
      <w:r>
        <w:rPr>
          <w:rFonts w:hint="eastAsia" w:ascii="黑体" w:hAnsi="宋体" w:eastAsia="黑体" w:cs="黑体"/>
          <w:color w:val="auto"/>
          <w:sz w:val="30"/>
          <w:szCs w:val="30"/>
          <w:highlight w:val="none"/>
          <w:u w:val="single"/>
        </w:rPr>
        <w:t xml:space="preserve">                            </w:t>
      </w:r>
    </w:p>
    <w:p>
      <w:pPr>
        <w:jc w:val="center"/>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 xml:space="preserve"> </w:t>
      </w:r>
    </w:p>
    <w:p>
      <w:pPr>
        <w:jc w:val="center"/>
        <w:rPr>
          <w:rFonts w:ascii="黑体" w:hAnsi="宋体" w:eastAsia="黑体" w:cs="黑体"/>
          <w:color w:val="auto"/>
          <w:sz w:val="30"/>
          <w:szCs w:val="30"/>
          <w:highlight w:val="none"/>
          <w:u w:val="single"/>
        </w:rPr>
      </w:pPr>
      <w:r>
        <w:rPr>
          <w:rFonts w:hint="eastAsia" w:ascii="黑体" w:hAnsi="宋体" w:eastAsia="黑体" w:cs="黑体"/>
          <w:color w:val="auto"/>
          <w:sz w:val="30"/>
          <w:szCs w:val="30"/>
          <w:highlight w:val="none"/>
        </w:rPr>
        <w:t>签订日期：二〇二</w:t>
      </w:r>
      <w:r>
        <w:rPr>
          <w:rFonts w:hint="eastAsia" w:ascii="黑体" w:hAnsi="宋体" w:eastAsia="黑体" w:cs="黑体"/>
          <w:color w:val="auto"/>
          <w:sz w:val="30"/>
          <w:szCs w:val="30"/>
          <w:highlight w:val="none"/>
          <w:lang w:val="en-US" w:eastAsia="zh-CN"/>
        </w:rPr>
        <w:t>一</w:t>
      </w:r>
      <w:r>
        <w:rPr>
          <w:rFonts w:hint="eastAsia" w:ascii="黑体" w:hAnsi="宋体" w:eastAsia="黑体" w:cs="黑体"/>
          <w:color w:val="auto"/>
          <w:sz w:val="30"/>
          <w:szCs w:val="30"/>
          <w:highlight w:val="none"/>
        </w:rPr>
        <w:t>年  月</w:t>
      </w:r>
    </w:p>
    <w:p>
      <w:pPr>
        <w:adjustRightInd w:val="0"/>
        <w:snapToGrid w:val="0"/>
        <w:spacing w:before="120" w:beforeLines="50" w:after="120" w:afterLines="50" w:line="320" w:lineRule="exact"/>
        <w:rPr>
          <w:b/>
          <w:color w:val="auto"/>
          <w:sz w:val="52"/>
          <w:szCs w:val="52"/>
          <w:highlight w:val="none"/>
        </w:rPr>
      </w:pPr>
      <w:r>
        <w:rPr>
          <w:rFonts w:ascii="Times New Roman" w:hAnsi="Times New Roman" w:eastAsia="宋体" w:cs="Times New Roman"/>
          <w:b/>
          <w:color w:val="auto"/>
          <w:sz w:val="52"/>
          <w:szCs w:val="5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hAnsi="宋体" w:eastAsia="黑体" w:cs="黑体"/>
          <w:b/>
          <w:color w:val="auto"/>
          <w:sz w:val="32"/>
          <w:szCs w:val="32"/>
          <w:highlight w:val="none"/>
        </w:rPr>
      </w:pPr>
      <w:r>
        <w:rPr>
          <w:rFonts w:hint="eastAsia" w:ascii="宋体" w:hAnsi="宋体" w:eastAsia="宋体" w:cs="宋体"/>
          <w:b/>
          <w:color w:val="auto"/>
          <w:sz w:val="32"/>
          <w:szCs w:val="32"/>
          <w:highlight w:val="none"/>
          <w:lang w:val="en-US" w:eastAsia="zh-CN"/>
        </w:rPr>
        <w:t>广州南沙</w:t>
      </w:r>
      <w:r>
        <w:rPr>
          <w:rFonts w:hint="eastAsia" w:ascii="宋体" w:hAnsi="宋体" w:eastAsia="宋体" w:cs="宋体"/>
          <w:b/>
          <w:color w:val="auto"/>
          <w:sz w:val="32"/>
          <w:szCs w:val="32"/>
          <w:highlight w:val="none"/>
        </w:rPr>
        <w:t>资产经营集团</w:t>
      </w:r>
      <w:r>
        <w:rPr>
          <w:rFonts w:hint="eastAsia" w:ascii="宋体" w:hAnsi="宋体" w:eastAsia="宋体" w:cs="宋体"/>
          <w:b/>
          <w:color w:val="auto"/>
          <w:sz w:val="32"/>
          <w:szCs w:val="32"/>
          <w:highlight w:val="none"/>
          <w:lang w:val="en-US" w:eastAsia="zh-CN"/>
        </w:rPr>
        <w:t>有限公司工程</w:t>
      </w:r>
      <w:r>
        <w:rPr>
          <w:rFonts w:hint="eastAsia" w:ascii="宋体" w:hAnsi="宋体" w:eastAsia="宋体" w:cs="宋体"/>
          <w:b/>
          <w:color w:val="auto"/>
          <w:sz w:val="32"/>
          <w:szCs w:val="32"/>
          <w:highlight w:val="none"/>
        </w:rPr>
        <w:t>项目</w:t>
      </w:r>
      <w:r>
        <w:rPr>
          <w:rFonts w:hint="eastAsia" w:ascii="宋体" w:hAnsi="宋体" w:eastAsia="宋体" w:cs="宋体"/>
          <w:b/>
          <w:color w:val="auto"/>
          <w:sz w:val="32"/>
          <w:szCs w:val="32"/>
          <w:highlight w:val="none"/>
          <w:lang w:val="en-US" w:eastAsia="zh-CN"/>
        </w:rPr>
        <w:t>年度（2021年8月-2022年8月）造价咨询</w:t>
      </w:r>
      <w:r>
        <w:rPr>
          <w:rFonts w:hint="eastAsia" w:ascii="宋体" w:hAnsi="宋体" w:eastAsia="宋体" w:cs="宋体"/>
          <w:b/>
          <w:color w:val="auto"/>
          <w:sz w:val="32"/>
          <w:szCs w:val="32"/>
          <w:highlight w:val="none"/>
        </w:rPr>
        <w:t>服务合同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Ansi="宋体"/>
          <w:b/>
          <w:color w:val="auto"/>
          <w:sz w:val="24"/>
          <w:highlight w:val="none"/>
        </w:rPr>
      </w:pPr>
      <w:r>
        <w:rPr>
          <w:rFonts w:ascii="Times New Roman" w:hAnsi="宋体" w:eastAsia="宋体" w:cs="Times New Roman"/>
          <w:b/>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eastAsia="宋体"/>
          <w:b/>
          <w:color w:val="auto"/>
          <w:sz w:val="24"/>
          <w:highlight w:val="none"/>
          <w:u w:val="single"/>
          <w:lang w:eastAsia="zh-CN"/>
        </w:rPr>
      </w:pPr>
      <w:r>
        <w:rPr>
          <w:rFonts w:hint="eastAsia" w:ascii="宋体" w:hAnsi="宋体" w:eastAsia="宋体" w:cs="宋体"/>
          <w:b/>
          <w:color w:val="auto"/>
          <w:sz w:val="24"/>
          <w:highlight w:val="none"/>
        </w:rPr>
        <w:t>委托方</w:t>
      </w:r>
      <w:r>
        <w:rPr>
          <w:rFonts w:ascii="Times New Roman" w:hAnsi="Times New Roman" w:eastAsia="宋体" w:cs="Times New Roman"/>
          <w:b/>
          <w:color w:val="auto"/>
          <w:sz w:val="24"/>
          <w:highlight w:val="none"/>
        </w:rPr>
        <w:t>(</w:t>
      </w:r>
      <w:r>
        <w:rPr>
          <w:rFonts w:hint="eastAsia" w:ascii="宋体" w:hAnsi="宋体" w:eastAsia="宋体" w:cs="宋体"/>
          <w:b/>
          <w:color w:val="auto"/>
          <w:sz w:val="24"/>
          <w:highlight w:val="none"/>
        </w:rPr>
        <w:t>甲方</w:t>
      </w:r>
      <w:r>
        <w:rPr>
          <w:rFonts w:ascii="Times New Roman" w:hAnsi="Times New Roman" w:eastAsia="宋体" w:cs="Times New Roman"/>
          <w:b/>
          <w:color w:val="auto"/>
          <w:sz w:val="24"/>
          <w:highlight w:val="none"/>
        </w:rPr>
        <w:t>)</w:t>
      </w:r>
      <w:r>
        <w:rPr>
          <w:rFonts w:hint="eastAsia" w:ascii="宋体" w:hAnsi="宋体" w:eastAsia="宋体" w:cs="宋体"/>
          <w:b/>
          <w:color w:val="auto"/>
          <w:sz w:val="24"/>
          <w:highlight w:val="none"/>
        </w:rPr>
        <w:t>：</w:t>
      </w:r>
      <w:r>
        <w:rPr>
          <w:rFonts w:hint="eastAsia" w:ascii="宋体" w:hAnsi="宋体" w:eastAsia="宋体" w:cs="宋体"/>
          <w:b/>
          <w:color w:val="auto"/>
          <w:kern w:val="0"/>
          <w:sz w:val="24"/>
          <w:highlight w:val="none"/>
          <w:u w:val="single"/>
          <w:lang w:eastAsia="zh-CN"/>
        </w:rPr>
        <w:t>广州南沙资产经营集团有限公司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受托方(乙方)：</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default" w:eastAsia="宋体"/>
          <w:u w:val="single"/>
          <w:lang w:val="en-US" w:eastAsia="zh-CN"/>
        </w:rPr>
      </w:pPr>
      <w:r>
        <w:rPr>
          <w:rFonts w:hint="eastAsia" w:ascii="宋体" w:hAnsi="宋体" w:eastAsia="宋体" w:cs="宋体"/>
          <w:b/>
          <w:color w:val="auto"/>
          <w:sz w:val="24"/>
          <w:highlight w:val="none"/>
          <w:lang w:val="en-US" w:eastAsia="zh-CN"/>
        </w:rPr>
        <w:t>项目建设单位（丙方）</w:t>
      </w:r>
      <w:r>
        <w:rPr>
          <w:rFonts w:hint="eastAsia" w:ascii="宋体" w:hAnsi="宋体" w:eastAsia="宋体" w:cs="宋体"/>
          <w:b/>
          <w:color w:val="auto"/>
          <w:kern w:val="0"/>
          <w:sz w:val="24"/>
          <w:highlight w:val="none"/>
          <w:u w:val="none"/>
          <w:lang w:val="en-US" w:eastAsia="zh-CN"/>
        </w:rPr>
        <w:t>：</w:t>
      </w:r>
      <w:r>
        <w:rPr>
          <w:rFonts w:hint="eastAsia" w:ascii="宋体" w:hAnsi="宋体" w:eastAsia="宋体" w:cs="宋体"/>
          <w:b/>
          <w:color w:val="auto"/>
          <w:kern w:val="0"/>
          <w:sz w:val="24"/>
          <w:highlight w:val="none"/>
          <w:u w:val="single"/>
          <w:lang w:val="en-US" w:eastAsia="zh-CN"/>
        </w:rPr>
        <w:t xml:space="preserve">                       </w:t>
      </w:r>
    </w:p>
    <w:p>
      <w:pPr>
        <w:spacing w:line="360" w:lineRule="auto"/>
        <w:ind w:left="105" w:leftChars="50" w:right="105" w:rightChars="5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经</w:t>
      </w:r>
      <w:r>
        <w:rPr>
          <w:rFonts w:hint="eastAsia" w:ascii="宋体" w:hAnsi="宋体" w:eastAsia="宋体" w:cs="宋体"/>
          <w:color w:val="auto"/>
          <w:sz w:val="24"/>
          <w:highlight w:val="none"/>
          <w:u w:val="single"/>
        </w:rPr>
        <w:t xml:space="preserve"> 邀请招标 </w:t>
      </w:r>
      <w:r>
        <w:rPr>
          <w:rFonts w:hint="eastAsia" w:ascii="宋体" w:hAnsi="宋体" w:eastAsia="宋体" w:cs="宋体"/>
          <w:color w:val="auto"/>
          <w:sz w:val="24"/>
          <w:highlight w:val="none"/>
        </w:rPr>
        <w:t>确定乙方为</w:t>
      </w:r>
      <w:r>
        <w:rPr>
          <w:rFonts w:hint="eastAsia" w:ascii="宋体" w:hAnsi="宋体" w:eastAsia="宋体" w:cs="宋体"/>
          <w:color w:val="auto"/>
          <w:sz w:val="24"/>
          <w:highlight w:val="none"/>
          <w:lang w:val="en-US" w:eastAsia="zh-CN"/>
        </w:rPr>
        <w:t>广州南沙</w:t>
      </w:r>
      <w:r>
        <w:rPr>
          <w:rFonts w:hint="eastAsia" w:ascii="宋体" w:hAnsi="宋体" w:eastAsia="宋体" w:cs="宋体"/>
          <w:color w:val="auto"/>
          <w:sz w:val="24"/>
          <w:highlight w:val="none"/>
        </w:rPr>
        <w:t>资产经营集团</w:t>
      </w:r>
      <w:r>
        <w:rPr>
          <w:rFonts w:hint="eastAsia" w:ascii="宋体" w:hAnsi="宋体" w:eastAsia="宋体" w:cs="宋体"/>
          <w:color w:val="auto"/>
          <w:sz w:val="24"/>
          <w:highlight w:val="none"/>
          <w:lang w:val="en-US" w:eastAsia="zh-CN"/>
        </w:rPr>
        <w:t>有限公司工程</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年度造价咨询</w:t>
      </w:r>
      <w:r>
        <w:rPr>
          <w:rFonts w:hint="eastAsia" w:ascii="宋体" w:hAnsi="宋体" w:eastAsia="宋体" w:cs="宋体"/>
          <w:color w:val="auto"/>
          <w:sz w:val="24"/>
          <w:highlight w:val="none"/>
        </w:rPr>
        <w:t>服务的中标单位（中标通知书编号：</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根据《中华人民共和国合同法》及有关法律、法规的有关规定，甲方与乙方在平等、自愿、公平、诚实信用的基础上，经友好协商，</w:t>
      </w:r>
      <w:r>
        <w:rPr>
          <w:rFonts w:hint="eastAsia" w:ascii="宋体" w:hAnsi="宋体" w:eastAsia="宋体" w:cs="宋体"/>
          <w:color w:val="auto"/>
          <w:sz w:val="24"/>
          <w:highlight w:val="none"/>
          <w:lang w:val="en-US" w:eastAsia="zh-CN"/>
        </w:rPr>
        <w:t>双方就广州南沙</w:t>
      </w:r>
      <w:r>
        <w:rPr>
          <w:rFonts w:hint="eastAsia" w:ascii="宋体" w:hAnsi="宋体" w:eastAsia="宋体" w:cs="宋体"/>
          <w:color w:val="auto"/>
          <w:sz w:val="24"/>
          <w:highlight w:val="none"/>
        </w:rPr>
        <w:t>资产经营集团</w:t>
      </w:r>
      <w:r>
        <w:rPr>
          <w:rFonts w:hint="eastAsia" w:ascii="宋体" w:hAnsi="宋体" w:eastAsia="宋体" w:cs="宋体"/>
          <w:color w:val="auto"/>
          <w:sz w:val="24"/>
          <w:highlight w:val="none"/>
          <w:lang w:val="en-US" w:eastAsia="zh-CN"/>
        </w:rPr>
        <w:t>有限公司工程</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年度（2021年8月-2022年8月）造价咨询</w:t>
      </w:r>
      <w:r>
        <w:rPr>
          <w:rFonts w:hint="eastAsia" w:ascii="宋体" w:hAnsi="宋体" w:eastAsia="宋体" w:cs="宋体"/>
          <w:color w:val="auto"/>
          <w:sz w:val="24"/>
          <w:highlight w:val="none"/>
        </w:rPr>
        <w:t>服务</w:t>
      </w:r>
      <w:r>
        <w:rPr>
          <w:rFonts w:hint="eastAsia" w:ascii="宋体" w:hAnsi="宋体" w:eastAsia="宋体" w:cs="宋体"/>
          <w:color w:val="auto"/>
          <w:sz w:val="24"/>
          <w:highlight w:val="none"/>
          <w:lang w:val="en-US" w:eastAsia="zh-CN"/>
        </w:rPr>
        <w:t>工作</w:t>
      </w:r>
      <w:r>
        <w:rPr>
          <w:rFonts w:hint="eastAsia" w:ascii="宋体" w:hAnsi="宋体" w:eastAsia="宋体" w:cs="宋体"/>
          <w:color w:val="auto"/>
          <w:sz w:val="24"/>
          <w:highlight w:val="none"/>
        </w:rPr>
        <w:t>达成以下协议：</w:t>
      </w:r>
    </w:p>
    <w:p>
      <w:pPr>
        <w:pStyle w:val="23"/>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54" w:name="_Toc16116"/>
      <w:bookmarkStart w:id="55" w:name="_Toc18554"/>
      <w:bookmarkStart w:id="56" w:name="_Toc27826"/>
      <w:r>
        <w:rPr>
          <w:rFonts w:hint="eastAsia" w:asciiTheme="minorEastAsia" w:hAnsiTheme="minorEastAsia" w:eastAsiaTheme="minorEastAsia" w:cstheme="minorEastAsia"/>
          <w:b/>
          <w:color w:val="auto"/>
          <w:sz w:val="24"/>
          <w:szCs w:val="24"/>
          <w:highlight w:val="none"/>
        </w:rPr>
        <w:t>概述</w:t>
      </w:r>
      <w:bookmarkEnd w:id="54"/>
      <w:bookmarkEnd w:id="55"/>
      <w:bookmarkEnd w:id="56"/>
    </w:p>
    <w:p>
      <w:pPr>
        <w:pStyle w:val="23"/>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项目名称：</w:t>
      </w:r>
      <w:r>
        <w:rPr>
          <w:rFonts w:hint="eastAsia" w:ascii="宋体" w:hAnsi="宋体" w:eastAsia="宋体" w:cs="宋体"/>
          <w:color w:val="auto"/>
          <w:sz w:val="24"/>
          <w:highlight w:val="none"/>
          <w:lang w:val="en-US" w:eastAsia="zh-CN"/>
        </w:rPr>
        <w:t>广州南沙</w:t>
      </w:r>
      <w:r>
        <w:rPr>
          <w:rFonts w:hint="eastAsia" w:ascii="宋体" w:hAnsi="宋体" w:eastAsia="宋体" w:cs="宋体"/>
          <w:color w:val="auto"/>
          <w:sz w:val="24"/>
          <w:highlight w:val="none"/>
        </w:rPr>
        <w:t>资产经营集团</w:t>
      </w:r>
      <w:r>
        <w:rPr>
          <w:rFonts w:hint="eastAsia" w:ascii="宋体" w:hAnsi="宋体" w:eastAsia="宋体" w:cs="宋体"/>
          <w:color w:val="auto"/>
          <w:sz w:val="24"/>
          <w:highlight w:val="none"/>
          <w:lang w:val="en-US" w:eastAsia="zh-CN"/>
        </w:rPr>
        <w:t>有限公司工程</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年度造价咨询</w:t>
      </w:r>
      <w:r>
        <w:rPr>
          <w:rFonts w:hint="eastAsia" w:ascii="宋体" w:hAnsi="宋体" w:eastAsia="宋体" w:cs="宋体"/>
          <w:color w:val="auto"/>
          <w:sz w:val="24"/>
          <w:highlight w:val="none"/>
        </w:rPr>
        <w:t>服务</w:t>
      </w:r>
    </w:p>
    <w:p>
      <w:pPr>
        <w:pStyle w:val="23"/>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项目服务范围及委托主要内容：为</w:t>
      </w:r>
      <w:r>
        <w:rPr>
          <w:rFonts w:hint="eastAsia" w:asciiTheme="minorEastAsia" w:hAnsiTheme="minorEastAsia" w:eastAsiaTheme="minorEastAsia" w:cstheme="minorEastAsia"/>
          <w:b w:val="0"/>
          <w:bCs/>
          <w:color w:val="auto"/>
          <w:sz w:val="24"/>
          <w:szCs w:val="24"/>
          <w:highlight w:val="none"/>
          <w:lang w:val="en-US" w:eastAsia="zh-CN"/>
        </w:rPr>
        <w:t>甲方范围内项目提供造价咨询服务</w:t>
      </w:r>
      <w:r>
        <w:rPr>
          <w:rFonts w:hint="eastAsia" w:asciiTheme="minorEastAsia" w:hAnsiTheme="minorEastAsia" w:eastAsiaTheme="minorEastAsia" w:cstheme="minorEastAsia"/>
          <w:b w:val="0"/>
          <w:bCs/>
          <w:color w:val="auto"/>
          <w:sz w:val="24"/>
          <w:szCs w:val="24"/>
          <w:highlight w:val="none"/>
        </w:rPr>
        <w:t>，为保证服务质量与连贯性、独立性，拟以年度服务外包的形式选定长期服务单位。</w:t>
      </w:r>
    </w:p>
    <w:p>
      <w:pPr>
        <w:pStyle w:val="23"/>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bookmarkStart w:id="57" w:name="_Toc30315"/>
      <w:bookmarkStart w:id="58" w:name="_Toc28218"/>
      <w:bookmarkStart w:id="59" w:name="_Toc32341"/>
      <w:r>
        <w:rPr>
          <w:rFonts w:hint="eastAsia" w:asciiTheme="minorEastAsia" w:hAnsiTheme="minorEastAsia" w:eastAsiaTheme="minorEastAsia" w:cstheme="minorEastAsia"/>
          <w:b/>
          <w:color w:val="auto"/>
          <w:sz w:val="24"/>
          <w:szCs w:val="24"/>
          <w:highlight w:val="none"/>
        </w:rPr>
        <w:t>委托内容及</w:t>
      </w:r>
      <w:bookmarkEnd w:id="57"/>
      <w:bookmarkEnd w:id="58"/>
      <w:bookmarkEnd w:id="59"/>
      <w:r>
        <w:rPr>
          <w:rFonts w:hint="eastAsia" w:asciiTheme="minorEastAsia" w:hAnsiTheme="minorEastAsia" w:eastAsiaTheme="minorEastAsia" w:cstheme="minorEastAsia"/>
          <w:b/>
          <w:color w:val="auto"/>
          <w:sz w:val="24"/>
          <w:szCs w:val="24"/>
          <w:highlight w:val="none"/>
          <w:lang w:val="en-US" w:eastAsia="zh-CN"/>
        </w:rPr>
        <w:t>工作模式</w:t>
      </w:r>
    </w:p>
    <w:p>
      <w:pPr>
        <w:keepNext w:val="0"/>
        <w:keepLines w:val="0"/>
        <w:pageBreakBefore w:val="0"/>
        <w:widowControl w:val="0"/>
        <w:numPr>
          <w:ilvl w:val="0"/>
          <w:numId w:val="9"/>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1"/>
        <w:rPr>
          <w:b/>
          <w:bCs/>
          <w:color w:val="auto"/>
          <w:sz w:val="24"/>
          <w:highlight w:val="none"/>
        </w:rPr>
      </w:pPr>
      <w:r>
        <w:rPr>
          <w:rFonts w:hint="eastAsia" w:ascii="宋体" w:hAnsi="宋体" w:eastAsia="宋体" w:cs="宋体"/>
          <w:b/>
          <w:bCs/>
          <w:color w:val="auto"/>
          <w:sz w:val="24"/>
          <w:highlight w:val="none"/>
          <w:lang w:val="en-US" w:eastAsia="zh-CN"/>
        </w:rPr>
        <w:t>委托内容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造价咨询年度服务外包，具体内容包括招标人年度内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2021年8月-2022年8月）</w:t>
      </w:r>
      <w:r>
        <w:rPr>
          <w:rFonts w:hint="eastAsia" w:ascii="宋体" w:hAnsi="宋体" w:eastAsia="宋体" w:cs="宋体"/>
          <w:color w:val="auto"/>
          <w:sz w:val="24"/>
          <w:highlight w:val="none"/>
        </w:rPr>
        <w:t>所有需要完成</w:t>
      </w:r>
      <w:r>
        <w:rPr>
          <w:rFonts w:hint="eastAsia" w:ascii="宋体" w:hAnsi="宋体" w:eastAsia="宋体" w:cs="宋体"/>
          <w:color w:val="auto"/>
          <w:sz w:val="24"/>
          <w:highlight w:val="none"/>
          <w:lang w:val="en-US" w:eastAsia="zh-CN"/>
        </w:rPr>
        <w:t>的工程项目</w:t>
      </w:r>
      <w:r>
        <w:rPr>
          <w:rFonts w:hint="eastAsia" w:ascii="宋体" w:hAnsi="宋体" w:eastAsia="宋体" w:cs="宋体"/>
          <w:color w:val="auto"/>
          <w:sz w:val="24"/>
          <w:highlight w:val="none"/>
        </w:rPr>
        <w:t>造价咨询服务，包括但不限于：</w:t>
      </w:r>
      <w:r>
        <w:rPr>
          <w:rFonts w:hint="eastAsia" w:ascii="宋体" w:hAnsi="宋体" w:eastAsia="宋体" w:cs="宋体"/>
          <w:color w:val="auto"/>
          <w:sz w:val="24"/>
          <w:highlight w:val="none"/>
          <w:lang w:val="en-US" w:eastAsia="zh-CN"/>
        </w:rPr>
        <w:t>EPC项目预算审核、工程项目结算审核等。</w:t>
      </w:r>
    </w:p>
    <w:p>
      <w:pPr>
        <w:keepNext w:val="0"/>
        <w:keepLines w:val="0"/>
        <w:pageBreakBefore w:val="0"/>
        <w:widowControl w:val="0"/>
        <w:numPr>
          <w:ilvl w:val="0"/>
          <w:numId w:val="9"/>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宋体" w:hAnsi="宋体" w:eastAsia="宋体" w:cs="宋体"/>
          <w:b/>
          <w:bCs/>
          <w:color w:val="auto"/>
          <w:sz w:val="24"/>
          <w:highlight w:val="none"/>
        </w:rPr>
      </w:pPr>
      <w:bookmarkStart w:id="60" w:name="_Toc7481"/>
      <w:bookmarkStart w:id="61" w:name="_Toc2570"/>
      <w:bookmarkStart w:id="62" w:name="_Toc22443"/>
      <w:r>
        <w:rPr>
          <w:rFonts w:hint="eastAsia" w:ascii="宋体" w:hAnsi="宋体" w:eastAsia="宋体" w:cs="宋体"/>
          <w:b/>
          <w:bCs/>
          <w:color w:val="auto"/>
          <w:sz w:val="24"/>
          <w:highlight w:val="none"/>
          <w:lang w:val="en-US" w:eastAsia="zh-CN"/>
        </w:rPr>
        <w:t>分项协议</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双方确定委托内容后，与发包人下属建设单位，按本协议内容，签订三方合同。</w:t>
      </w:r>
    </w:p>
    <w:p>
      <w:pPr>
        <w:pStyle w:val="23"/>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lang w:val="en-US" w:eastAsia="zh-CN"/>
        </w:rPr>
        <w:t>计费标准</w:t>
      </w:r>
    </w:p>
    <w:p>
      <w:pPr>
        <w:pStyle w:val="23"/>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heme="minorEastAsia" w:hAnsiTheme="minorEastAsia" w:eastAsiaTheme="minorEastAsia" w:cstheme="minorEastAsia"/>
          <w:b w:val="0"/>
          <w:bCs/>
          <w:color w:val="auto"/>
          <w:sz w:val="24"/>
          <w:szCs w:val="24"/>
          <w:highlight w:val="none"/>
          <w:lang w:val="en-US" w:eastAsia="zh-CN"/>
        </w:rPr>
      </w:pPr>
      <w:r>
        <w:rPr>
          <w:rFonts w:hint="default" w:asciiTheme="minorEastAsia" w:hAnsiTheme="minorEastAsia" w:eastAsiaTheme="minorEastAsia" w:cstheme="minorEastAsia"/>
          <w:b w:val="0"/>
          <w:bCs/>
          <w:color w:val="auto"/>
          <w:sz w:val="24"/>
          <w:szCs w:val="24"/>
          <w:highlight w:val="none"/>
          <w:lang w:val="en-US" w:eastAsia="zh-CN"/>
        </w:rPr>
        <w:t>造价咨询服务费</w:t>
      </w:r>
      <w:r>
        <w:rPr>
          <w:rFonts w:hint="eastAsia" w:asciiTheme="minorEastAsia" w:hAnsiTheme="minorEastAsia" w:eastAsiaTheme="minorEastAsia" w:cstheme="minorEastAsia"/>
          <w:b w:val="0"/>
          <w:bCs/>
          <w:color w:val="auto"/>
          <w:sz w:val="24"/>
          <w:szCs w:val="24"/>
          <w:highlight w:val="none"/>
          <w:lang w:val="en-US" w:eastAsia="zh-CN"/>
        </w:rPr>
        <w:t>基础</w:t>
      </w:r>
      <w:r>
        <w:rPr>
          <w:rFonts w:hint="default" w:asciiTheme="minorEastAsia" w:hAnsiTheme="minorEastAsia" w:eastAsiaTheme="minorEastAsia" w:cstheme="minorEastAsia"/>
          <w:b w:val="0"/>
          <w:bCs/>
          <w:color w:val="auto"/>
          <w:sz w:val="24"/>
          <w:szCs w:val="24"/>
          <w:highlight w:val="none"/>
          <w:lang w:val="en-US" w:eastAsia="zh-CN"/>
        </w:rPr>
        <w:t>计费标准参照《关于调整我省建设工程造价咨询服务收费的复函》（粤价函[2011]742号）规定收费，如遇上级主管部门下发新取费标准，则按新标准执行。</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outlineLvl w:val="9"/>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default" w:asciiTheme="minorEastAsia" w:hAnsiTheme="minorEastAsia" w:eastAsiaTheme="minorEastAsia" w:cstheme="minorEastAsia"/>
          <w:b w:val="0"/>
          <w:bCs/>
          <w:color w:val="auto"/>
          <w:sz w:val="24"/>
          <w:szCs w:val="24"/>
          <w:highlight w:val="none"/>
          <w:lang w:val="en-US" w:eastAsia="zh-CN"/>
        </w:rPr>
        <w:t>造价咨询服务费最终收费由基础计费按中标规定的下浮率进行调整确定。</w:t>
      </w:r>
    </w:p>
    <w:p>
      <w:pPr>
        <w:pStyle w:val="23"/>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咨询</w:t>
      </w:r>
      <w:r>
        <w:rPr>
          <w:rFonts w:hint="eastAsia" w:asciiTheme="minorEastAsia" w:hAnsiTheme="minorEastAsia" w:eastAsiaTheme="minorEastAsia" w:cstheme="minorEastAsia"/>
          <w:b/>
          <w:color w:val="auto"/>
          <w:sz w:val="24"/>
          <w:szCs w:val="24"/>
          <w:highlight w:val="none"/>
        </w:rPr>
        <w:t>资质及技术要求</w:t>
      </w:r>
      <w:bookmarkEnd w:id="60"/>
      <w:bookmarkEnd w:id="61"/>
      <w:bookmarkEnd w:id="62"/>
    </w:p>
    <w:p>
      <w:pPr>
        <w:pStyle w:val="23"/>
        <w:keepNext w:val="0"/>
        <w:keepLines w:val="0"/>
        <w:pageBreakBefore w:val="0"/>
        <w:widowControl/>
        <w:numPr>
          <w:ilvl w:val="0"/>
          <w:numId w:val="11"/>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乙方专业资质、业绩、团队投入必须与其投标文件相关内容一致。</w:t>
      </w:r>
    </w:p>
    <w:p>
      <w:pPr>
        <w:pStyle w:val="23"/>
        <w:keepNext w:val="0"/>
        <w:keepLines w:val="0"/>
        <w:pageBreakBefore w:val="0"/>
        <w:widowControl/>
        <w:numPr>
          <w:ilvl w:val="0"/>
          <w:numId w:val="11"/>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乙方提交的成果必须符合现行的国家及地方法规、规范和有关技术要求。</w:t>
      </w:r>
    </w:p>
    <w:p>
      <w:pPr>
        <w:pStyle w:val="23"/>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63" w:name="_Toc10700"/>
      <w:bookmarkStart w:id="64" w:name="_Toc14959"/>
      <w:bookmarkStart w:id="65" w:name="_Toc26794"/>
      <w:r>
        <w:rPr>
          <w:rFonts w:hint="eastAsia" w:asciiTheme="minorEastAsia" w:hAnsiTheme="minorEastAsia" w:eastAsiaTheme="minorEastAsia" w:cstheme="minorEastAsia"/>
          <w:b/>
          <w:color w:val="auto"/>
          <w:sz w:val="24"/>
          <w:szCs w:val="24"/>
          <w:highlight w:val="none"/>
        </w:rPr>
        <w:t>甲方职责</w:t>
      </w:r>
      <w:bookmarkEnd w:id="63"/>
      <w:bookmarkEnd w:id="64"/>
      <w:bookmarkEnd w:id="65"/>
    </w:p>
    <w:p>
      <w:pPr>
        <w:pStyle w:val="23"/>
        <w:keepNext w:val="0"/>
        <w:keepLines w:val="0"/>
        <w:pageBreakBefore w:val="0"/>
        <w:widowControl/>
        <w:numPr>
          <w:ilvl w:val="0"/>
          <w:numId w:val="12"/>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甲方指定一名授权代表 </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（联系电话：</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/企业邮箱：</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）与乙方的授权代表建立工作联系，负责本项目有关工作事项，并对双方往来文件进行签收。</w:t>
      </w:r>
    </w:p>
    <w:p>
      <w:pPr>
        <w:pStyle w:val="23"/>
        <w:keepNext w:val="0"/>
        <w:keepLines w:val="0"/>
        <w:pageBreakBefore w:val="0"/>
        <w:widowControl/>
        <w:numPr>
          <w:ilvl w:val="0"/>
          <w:numId w:val="12"/>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按本合同规定的金额和时间向乙方支付服务费用。</w:t>
      </w:r>
    </w:p>
    <w:p>
      <w:pPr>
        <w:pStyle w:val="23"/>
        <w:keepNext w:val="0"/>
        <w:keepLines w:val="0"/>
        <w:pageBreakBefore w:val="0"/>
        <w:widowControl/>
        <w:numPr>
          <w:ilvl w:val="0"/>
          <w:numId w:val="12"/>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甲方协助乙方敦促被审核单位为乙方人员开展工作并提供必要的工作条件，提供必要的资料，并协助乙方敦促被审核单位对所提供资料的真实性、准确性、合法性和完整性负责。</w:t>
      </w:r>
    </w:p>
    <w:p>
      <w:pPr>
        <w:pStyle w:val="23"/>
        <w:keepNext w:val="0"/>
        <w:keepLines w:val="0"/>
        <w:pageBreakBefore w:val="0"/>
        <w:widowControl/>
        <w:numPr>
          <w:ilvl w:val="0"/>
          <w:numId w:val="12"/>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协议期内，按照服务监督管理办法的约定不定期组织对乙方执行协议情况进行核查，并对乙方的服务做出评价；对发现的问题，应通过有关部门查处核实，并将有关情况向政府招标监管部门和建设造价管理部门反映。</w:t>
      </w:r>
    </w:p>
    <w:p>
      <w:pPr>
        <w:pStyle w:val="23"/>
        <w:keepNext w:val="0"/>
        <w:keepLines w:val="0"/>
        <w:pageBreakBefore w:val="0"/>
        <w:widowControl/>
        <w:numPr>
          <w:ilvl w:val="0"/>
          <w:numId w:val="12"/>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甲方不承诺亦毋须在协议服务期限内将所有建设工程项目等造价咨询事项均交予乙方，乙方同意并不得因此提出异议。</w:t>
      </w:r>
    </w:p>
    <w:p>
      <w:pPr>
        <w:pStyle w:val="23"/>
        <w:keepNext w:val="0"/>
        <w:keepLines w:val="0"/>
        <w:pageBreakBefore w:val="0"/>
        <w:widowControl/>
        <w:numPr>
          <w:ilvl w:val="0"/>
          <w:numId w:val="12"/>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甲方不承诺乙方年度收入下限，不承诺年度工作量，乙方同意并不得因此提出异议。</w:t>
      </w:r>
    </w:p>
    <w:p>
      <w:pPr>
        <w:pStyle w:val="23"/>
        <w:keepNext w:val="0"/>
        <w:keepLines w:val="0"/>
        <w:pageBreakBefore w:val="0"/>
        <w:widowControl/>
        <w:numPr>
          <w:ilvl w:val="0"/>
          <w:numId w:val="12"/>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本合同服务期限内，乙方为甲方提供的全部造价咨询服务费总额控制在100万以内，乙方同意并不得因此提出异议。</w:t>
      </w:r>
    </w:p>
    <w:p>
      <w:pPr>
        <w:pStyle w:val="23"/>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66" w:name="_Toc14671"/>
      <w:bookmarkStart w:id="67" w:name="_Toc25045"/>
      <w:bookmarkStart w:id="68" w:name="_Toc4206"/>
      <w:r>
        <w:rPr>
          <w:rFonts w:hint="eastAsia" w:asciiTheme="minorEastAsia" w:hAnsiTheme="minorEastAsia" w:eastAsiaTheme="minorEastAsia" w:cstheme="minorEastAsia"/>
          <w:b/>
          <w:color w:val="auto"/>
          <w:sz w:val="24"/>
          <w:szCs w:val="24"/>
          <w:highlight w:val="none"/>
        </w:rPr>
        <w:t>乙方职责</w:t>
      </w:r>
      <w:bookmarkEnd w:id="66"/>
      <w:bookmarkEnd w:id="67"/>
      <w:bookmarkEnd w:id="68"/>
    </w:p>
    <w:p>
      <w:pPr>
        <w:pStyle w:val="23"/>
        <w:keepNext w:val="0"/>
        <w:keepLines w:val="0"/>
        <w:pageBreakBefore w:val="0"/>
        <w:widowControl/>
        <w:numPr>
          <w:ilvl w:val="0"/>
          <w:numId w:val="13"/>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乙方指定         （联系电话：       /企业邮箱：    ）为项目负责人，负责联系项目有关工作事宜，并对双方往来文件进行签收，同时乙方负责对甲方提供的资料准确性进行核查并承担责任。</w:t>
      </w:r>
    </w:p>
    <w:p>
      <w:pPr>
        <w:pStyle w:val="23"/>
        <w:keepNext w:val="0"/>
        <w:keepLines w:val="0"/>
        <w:pageBreakBefore w:val="0"/>
        <w:widowControl/>
        <w:numPr>
          <w:ilvl w:val="0"/>
          <w:numId w:val="13"/>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根据甲方要求需要，并依照现行的国家和地方有关法律、法规以及相关规范的技术要求，按本合同约定的时间内向甲方提交成果，并对其完整性、准确性、科学合理性及时限负责。</w:t>
      </w:r>
    </w:p>
    <w:p>
      <w:pPr>
        <w:pStyle w:val="23"/>
        <w:keepNext w:val="0"/>
        <w:keepLines w:val="0"/>
        <w:pageBreakBefore w:val="0"/>
        <w:widowControl/>
        <w:numPr>
          <w:ilvl w:val="0"/>
          <w:numId w:val="13"/>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乙方应维持本项目团队的稳定，不得随意进行调动或更换。如需调换，须事先通知甲方并获得甲方认可。其中不称职的人员，甲方有权要求在指定期限内调换。如因乙方工作人员离职、退休或长病假等非乙方可控情形导致需变更乙方人员配置，乙方应及时地调换具备相应能力、经验的</w:t>
      </w:r>
      <w:r>
        <w:rPr>
          <w:rFonts w:hint="eastAsia" w:asciiTheme="minorEastAsia" w:hAnsiTheme="minorEastAsia" w:eastAsiaTheme="minorEastAsia" w:cstheme="minorEastAsia"/>
          <w:b w:val="0"/>
          <w:bCs/>
          <w:color w:val="auto"/>
          <w:sz w:val="24"/>
          <w:szCs w:val="24"/>
          <w:highlight w:val="none"/>
          <w:lang w:val="en-US" w:eastAsia="zh-CN"/>
        </w:rPr>
        <w:t>造价</w:t>
      </w:r>
      <w:r>
        <w:rPr>
          <w:rFonts w:hint="eastAsia" w:asciiTheme="minorEastAsia" w:hAnsiTheme="minorEastAsia" w:eastAsiaTheme="minorEastAsia" w:cstheme="minorEastAsia"/>
          <w:b w:val="0"/>
          <w:bCs/>
          <w:color w:val="auto"/>
          <w:sz w:val="24"/>
          <w:szCs w:val="24"/>
          <w:highlight w:val="none"/>
        </w:rPr>
        <w:t>人员并得甲方认可。</w:t>
      </w:r>
    </w:p>
    <w:p>
      <w:pPr>
        <w:pStyle w:val="23"/>
        <w:keepNext w:val="0"/>
        <w:keepLines w:val="0"/>
        <w:pageBreakBefore w:val="0"/>
        <w:widowControl/>
        <w:numPr>
          <w:ilvl w:val="0"/>
          <w:numId w:val="13"/>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乙方应与甲方充分沟通，积极与甲方进行各阶段成果交流与汇报，并依据汇报中讨论结果及时做出修改。</w:t>
      </w:r>
    </w:p>
    <w:p>
      <w:pPr>
        <w:pStyle w:val="23"/>
        <w:keepNext w:val="0"/>
        <w:keepLines w:val="0"/>
        <w:pageBreakBefore w:val="0"/>
        <w:widowControl/>
        <w:numPr>
          <w:ilvl w:val="0"/>
          <w:numId w:val="13"/>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乙方应为其工作人员及聘用人员购买相应的保险，乙方工作人员及聘用人员工作期间发生的有关安全事故、人身伤亡、罚款、损失赔偿、诉讼费及其他一切责任由乙方自行负责。若因此导致甲方被追偿（追责）之类的，乙方应赔偿甲方因此造成的所有损失（包括但不限于为乙方或其工作人员、聘用人员垫付的所有费用、律师费、差旅费、诉讼费或仲裁费、保全费、公证费、公告费、评估费、执行费等）。</w:t>
      </w:r>
    </w:p>
    <w:p>
      <w:pPr>
        <w:pStyle w:val="23"/>
        <w:keepNext w:val="0"/>
        <w:keepLines w:val="0"/>
        <w:pageBreakBefore w:val="0"/>
        <w:widowControl/>
        <w:numPr>
          <w:ilvl w:val="0"/>
          <w:numId w:val="13"/>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乙方在甲方发出业务通知后12小时内按规定办理承接委托事宜（除需回避事项外），无法按时完成的应及时向甲方报告原因。</w:t>
      </w:r>
    </w:p>
    <w:p>
      <w:pPr>
        <w:pStyle w:val="23"/>
        <w:keepNext w:val="0"/>
        <w:keepLines w:val="0"/>
        <w:pageBreakBefore w:val="0"/>
        <w:widowControl/>
        <w:numPr>
          <w:ilvl w:val="0"/>
          <w:numId w:val="13"/>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回避事项。若乙方曾就委托项目提供过相关服务，或有其他利害关系的，可能影响评估公正、公平的情形，不得作为该项目的造价咨询机构，并应主动提供回避事项的证明文件交由甲方，经甲方同意后，由甲方按管理制度选取另一家符合要求的工程造价咨询单位承担该项目的造价咨询工作。</w:t>
      </w:r>
    </w:p>
    <w:p>
      <w:pPr>
        <w:pStyle w:val="23"/>
        <w:keepNext w:val="0"/>
        <w:keepLines w:val="0"/>
        <w:pageBreakBefore w:val="0"/>
        <w:widowControl/>
        <w:numPr>
          <w:ilvl w:val="0"/>
          <w:numId w:val="13"/>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乙方必须严格按甲方要求的期限独立完成造价咨询工作，不得无故延误造价咨询时间，特殊情况需报告甲方，经甲方批准后方可根据实际情况考虑适当延长造价咨询时间。无故拖延造价咨询时间的乙方，甲方有权退回任务并终止后期向该乙方的任务分配并追究乙方的违约责任。</w:t>
      </w:r>
    </w:p>
    <w:p>
      <w:pPr>
        <w:pStyle w:val="23"/>
        <w:keepNext w:val="0"/>
        <w:keepLines w:val="0"/>
        <w:pageBreakBefore w:val="0"/>
        <w:widowControl/>
        <w:numPr>
          <w:ilvl w:val="0"/>
          <w:numId w:val="13"/>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乙方对甲方委托造价咨询工作客观、公正地提出审核意见，并针对项目提出合理化建议及相应可行的解决办法。</w:t>
      </w:r>
    </w:p>
    <w:p>
      <w:pPr>
        <w:pStyle w:val="23"/>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69" w:name="_Toc13199"/>
      <w:bookmarkStart w:id="70" w:name="_Toc15932"/>
      <w:bookmarkStart w:id="71" w:name="_Toc31191"/>
      <w:r>
        <w:rPr>
          <w:rFonts w:hint="eastAsia" w:asciiTheme="minorEastAsia" w:hAnsiTheme="minorEastAsia" w:eastAsiaTheme="minorEastAsia" w:cstheme="minorEastAsia"/>
          <w:b/>
          <w:color w:val="auto"/>
          <w:sz w:val="24"/>
          <w:szCs w:val="24"/>
          <w:highlight w:val="none"/>
        </w:rPr>
        <w:t>服务期限</w:t>
      </w:r>
      <w:bookmarkEnd w:id="69"/>
      <w:bookmarkEnd w:id="70"/>
      <w:bookmarkEnd w:id="71"/>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双方同意，由甲方按每个项目的情况，给予乙方合理工作期限，乙方应在甲方指定的工作期限前完成甲方所要求的工作。</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乙方的总服务期限为：202</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年</w:t>
      </w:r>
      <w:r>
        <w:rPr>
          <w:rFonts w:hint="eastAsia" w:asciiTheme="minorEastAsia" w:hAnsiTheme="minorEastAsia" w:eastAsiaTheme="minorEastAsia" w:cstheme="minorEastAsia"/>
          <w:b w:val="0"/>
          <w:bCs/>
          <w:color w:val="auto"/>
          <w:sz w:val="24"/>
          <w:szCs w:val="24"/>
          <w:highlight w:val="none"/>
          <w:lang w:val="en-US" w:eastAsia="zh-CN"/>
        </w:rPr>
        <w:t>8</w:t>
      </w:r>
      <w:r>
        <w:rPr>
          <w:rFonts w:hint="eastAsia" w:asciiTheme="minorEastAsia" w:hAnsiTheme="minorEastAsia" w:eastAsiaTheme="minorEastAsia" w:cstheme="minorEastAsia"/>
          <w:b w:val="0"/>
          <w:bCs/>
          <w:color w:val="auto"/>
          <w:sz w:val="24"/>
          <w:szCs w:val="24"/>
          <w:highlight w:val="none"/>
        </w:rPr>
        <w:t>月</w:t>
      </w:r>
      <w:r>
        <w:rPr>
          <w:rFonts w:hint="eastAsia" w:asciiTheme="minorEastAsia" w:hAnsiTheme="minorEastAsia" w:eastAsiaTheme="minorEastAsia" w:cstheme="minorEastAsia"/>
          <w:b w:val="0"/>
          <w:bCs/>
          <w:color w:val="auto"/>
          <w:sz w:val="24"/>
          <w:szCs w:val="24"/>
          <w:highlight w:val="none"/>
          <w:lang w:val="en-US" w:eastAsia="zh-CN"/>
        </w:rPr>
        <w:t>至</w:t>
      </w:r>
      <w:r>
        <w:rPr>
          <w:rFonts w:hint="eastAsia" w:asciiTheme="minorEastAsia" w:hAnsiTheme="minorEastAsia" w:eastAsiaTheme="minorEastAsia" w:cstheme="minorEastAsia"/>
          <w:b w:val="0"/>
          <w:bCs/>
          <w:color w:val="auto"/>
          <w:sz w:val="24"/>
          <w:szCs w:val="24"/>
          <w:highlight w:val="none"/>
        </w:rPr>
        <w:t>202</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年</w:t>
      </w:r>
      <w:r>
        <w:rPr>
          <w:rFonts w:hint="eastAsia" w:asciiTheme="minorEastAsia" w:hAnsiTheme="minorEastAsia" w:eastAsiaTheme="minorEastAsia" w:cstheme="minorEastAsia"/>
          <w:b w:val="0"/>
          <w:bCs/>
          <w:color w:val="auto"/>
          <w:sz w:val="24"/>
          <w:szCs w:val="24"/>
          <w:highlight w:val="none"/>
          <w:lang w:val="en-US" w:eastAsia="zh-CN"/>
        </w:rPr>
        <w:t>8</w:t>
      </w:r>
      <w:r>
        <w:rPr>
          <w:rFonts w:hint="eastAsia" w:asciiTheme="minorEastAsia" w:hAnsiTheme="minorEastAsia" w:eastAsiaTheme="minorEastAsia" w:cstheme="minorEastAsia"/>
          <w:b w:val="0"/>
          <w:bCs/>
          <w:color w:val="auto"/>
          <w:sz w:val="24"/>
          <w:szCs w:val="24"/>
          <w:highlight w:val="none"/>
        </w:rPr>
        <w:t>月或者累计服务费接近100万为止（每项</w:t>
      </w:r>
      <w:r>
        <w:rPr>
          <w:rFonts w:hint="eastAsia" w:asciiTheme="minorEastAsia" w:hAnsiTheme="minorEastAsia" w:eastAsiaTheme="minorEastAsia" w:cstheme="minorEastAsia"/>
          <w:b w:val="0"/>
          <w:bCs/>
          <w:color w:val="auto"/>
          <w:sz w:val="24"/>
          <w:szCs w:val="24"/>
          <w:highlight w:val="none"/>
          <w:lang w:val="en-US" w:eastAsia="zh-CN"/>
        </w:rPr>
        <w:t>造价咨询</w:t>
      </w:r>
      <w:r>
        <w:rPr>
          <w:rFonts w:hint="eastAsia" w:asciiTheme="minorEastAsia" w:hAnsiTheme="minorEastAsia" w:eastAsiaTheme="minorEastAsia" w:cstheme="minorEastAsia"/>
          <w:b w:val="0"/>
          <w:bCs/>
          <w:color w:val="auto"/>
          <w:sz w:val="24"/>
          <w:szCs w:val="24"/>
          <w:highlight w:val="none"/>
        </w:rPr>
        <w:t>任务根据项目情况结合乙方投标时承诺报价计算，当所服务的项目</w:t>
      </w:r>
      <w:r>
        <w:rPr>
          <w:rFonts w:hint="eastAsia" w:asciiTheme="minorEastAsia" w:hAnsiTheme="minorEastAsia" w:eastAsiaTheme="minorEastAsia" w:cstheme="minorEastAsia"/>
          <w:b w:val="0"/>
          <w:bCs/>
          <w:color w:val="auto"/>
          <w:sz w:val="24"/>
          <w:szCs w:val="24"/>
          <w:highlight w:val="none"/>
          <w:lang w:val="en-US" w:eastAsia="zh-CN"/>
        </w:rPr>
        <w:t>造价咨询</w:t>
      </w:r>
      <w:r>
        <w:rPr>
          <w:rFonts w:hint="eastAsia" w:asciiTheme="minorEastAsia" w:hAnsiTheme="minorEastAsia" w:eastAsiaTheme="minorEastAsia" w:cstheme="minorEastAsia"/>
          <w:b w:val="0"/>
          <w:bCs/>
          <w:color w:val="auto"/>
          <w:sz w:val="24"/>
          <w:szCs w:val="24"/>
          <w:highlight w:val="none"/>
        </w:rPr>
        <w:t>服务费达到100万或第一次超过100万时），按照甲方的结算管理办法完成结算审核，即算完成本次服务。服务期内乙方需完成服务内容并向甲方提供最终服务成果，最终服务成果须满足招标文件和达到本合同约定的要求。服务期限包括甲方审核成果、回馈意见所需时间和乙方根据甲方的反馈意见进行相应调整所需的合理时间。</w:t>
      </w:r>
    </w:p>
    <w:p>
      <w:pPr>
        <w:pStyle w:val="23"/>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72" w:name="_Toc10419"/>
      <w:bookmarkStart w:id="73" w:name="_Toc31797"/>
      <w:bookmarkStart w:id="74" w:name="_Toc4309"/>
      <w:r>
        <w:rPr>
          <w:rFonts w:hint="eastAsia" w:asciiTheme="minorEastAsia" w:hAnsiTheme="minorEastAsia" w:eastAsiaTheme="minorEastAsia" w:cstheme="minorEastAsia"/>
          <w:b/>
          <w:color w:val="auto"/>
          <w:sz w:val="24"/>
          <w:szCs w:val="24"/>
          <w:highlight w:val="none"/>
        </w:rPr>
        <w:t>服务费用与支付方式</w:t>
      </w:r>
      <w:bookmarkEnd w:id="72"/>
      <w:bookmarkEnd w:id="73"/>
      <w:bookmarkEnd w:id="74"/>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1、</w:t>
      </w:r>
      <w:r>
        <w:rPr>
          <w:rFonts w:hint="eastAsia" w:asciiTheme="minorEastAsia" w:hAnsiTheme="minorEastAsia" w:eastAsiaTheme="minorEastAsia" w:cstheme="minorEastAsia"/>
          <w:b/>
          <w:bCs w:val="0"/>
          <w:color w:val="auto"/>
          <w:sz w:val="24"/>
          <w:szCs w:val="24"/>
          <w:highlight w:val="none"/>
        </w:rPr>
        <w:t>服务费用总额：</w:t>
      </w:r>
      <w:r>
        <w:rPr>
          <w:rFonts w:hint="eastAsia" w:asciiTheme="minorEastAsia" w:hAnsiTheme="minorEastAsia" w:eastAsiaTheme="minorEastAsia" w:cstheme="minorEastAsia"/>
          <w:b w:val="0"/>
          <w:bCs/>
          <w:color w:val="auto"/>
          <w:sz w:val="24"/>
          <w:szCs w:val="24"/>
          <w:highlight w:val="none"/>
        </w:rPr>
        <w:t>双方约定本合同服务费用</w:t>
      </w:r>
      <w:r>
        <w:rPr>
          <w:rFonts w:hint="eastAsia" w:asciiTheme="minorEastAsia" w:hAnsiTheme="minorEastAsia" w:eastAsiaTheme="minorEastAsia" w:cstheme="minorEastAsia"/>
          <w:b w:val="0"/>
          <w:bCs/>
          <w:color w:val="auto"/>
          <w:sz w:val="24"/>
          <w:szCs w:val="24"/>
          <w:highlight w:val="none"/>
          <w:lang w:val="en-US" w:eastAsia="zh-CN"/>
        </w:rPr>
        <w:t>各分项累计</w:t>
      </w:r>
      <w:r>
        <w:rPr>
          <w:rFonts w:hint="eastAsia" w:asciiTheme="minorEastAsia" w:hAnsiTheme="minorEastAsia" w:eastAsiaTheme="minorEastAsia" w:cstheme="minorEastAsia"/>
          <w:b w:val="0"/>
          <w:bCs/>
          <w:color w:val="auto"/>
          <w:sz w:val="24"/>
          <w:szCs w:val="24"/>
          <w:highlight w:val="none"/>
        </w:rPr>
        <w:t>总额</w:t>
      </w:r>
      <w:r>
        <w:rPr>
          <w:rFonts w:hint="eastAsia" w:asciiTheme="minorEastAsia" w:hAnsiTheme="minorEastAsia" w:eastAsiaTheme="minorEastAsia" w:cstheme="minorEastAsia"/>
          <w:b w:val="0"/>
          <w:bCs/>
          <w:color w:val="auto"/>
          <w:sz w:val="24"/>
          <w:szCs w:val="24"/>
          <w:highlight w:val="none"/>
          <w:lang w:val="en-US" w:eastAsia="zh-CN"/>
        </w:rPr>
        <w:t>不超过</w:t>
      </w:r>
      <w:r>
        <w:rPr>
          <w:rFonts w:hint="eastAsia" w:asciiTheme="minorEastAsia" w:hAnsiTheme="minorEastAsia" w:eastAsiaTheme="minorEastAsia" w:cstheme="minorEastAsia"/>
          <w:b w:val="0"/>
          <w:bCs/>
          <w:color w:val="auto"/>
          <w:sz w:val="24"/>
          <w:szCs w:val="24"/>
          <w:highlight w:val="none"/>
        </w:rPr>
        <w:t>人民币（大写）</w:t>
      </w:r>
      <w:r>
        <w:rPr>
          <w:rFonts w:hint="eastAsia" w:asciiTheme="minorEastAsia" w:hAnsiTheme="minorEastAsia" w:eastAsiaTheme="minorEastAsia" w:cstheme="minorEastAsia"/>
          <w:b w:val="0"/>
          <w:bCs/>
          <w:color w:val="auto"/>
          <w:sz w:val="24"/>
          <w:szCs w:val="24"/>
          <w:highlight w:val="none"/>
          <w:u w:val="single"/>
        </w:rPr>
        <w:t>壹佰万元（¥ 10000000.00 元）</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每个项目服务费</w:t>
      </w:r>
      <w:r>
        <w:rPr>
          <w:rFonts w:hint="eastAsia" w:asciiTheme="minorEastAsia" w:hAnsiTheme="minorEastAsia" w:eastAsiaTheme="minorEastAsia" w:cstheme="minorEastAsia"/>
          <w:b w:val="0"/>
          <w:bCs/>
          <w:color w:val="auto"/>
          <w:sz w:val="24"/>
          <w:szCs w:val="24"/>
          <w:highlight w:val="none"/>
          <w:lang w:val="en-US" w:eastAsia="zh-CN"/>
        </w:rPr>
        <w:t>依据</w:t>
      </w:r>
      <w:r>
        <w:rPr>
          <w:rFonts w:hint="eastAsia" w:asciiTheme="minorEastAsia" w:hAnsiTheme="minorEastAsia" w:eastAsiaTheme="minorEastAsia" w:cstheme="minorEastAsia"/>
          <w:b w:val="0"/>
          <w:bCs/>
          <w:color w:val="auto"/>
          <w:sz w:val="24"/>
          <w:szCs w:val="24"/>
          <w:highlight w:val="none"/>
        </w:rPr>
        <w:t>乙方投标报价</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以签订的三方合同价</w:t>
      </w:r>
      <w:r>
        <w:rPr>
          <w:rFonts w:hint="eastAsia" w:asciiTheme="minorEastAsia" w:hAnsiTheme="minorEastAsia" w:eastAsiaTheme="minorEastAsia" w:cstheme="minorEastAsia"/>
          <w:b w:val="0"/>
          <w:bCs/>
          <w:color w:val="auto"/>
          <w:sz w:val="24"/>
          <w:szCs w:val="24"/>
          <w:highlight w:val="none"/>
        </w:rPr>
        <w:t>为准</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提供增值税专业发票税率为</w:t>
      </w:r>
      <w:r>
        <w:rPr>
          <w:rFonts w:hint="eastAsia" w:asciiTheme="minorEastAsia" w:hAnsiTheme="minorEastAsia" w:eastAsiaTheme="minorEastAsia" w:cstheme="minorEastAsia"/>
          <w:b w:val="0"/>
          <w:bCs/>
          <w:color w:val="auto"/>
          <w:sz w:val="24"/>
          <w:szCs w:val="24"/>
          <w:highlight w:val="none"/>
          <w:u w:val="single"/>
        </w:rPr>
        <w:t xml:space="preserve"> 6.00 </w:t>
      </w:r>
      <w:r>
        <w:rPr>
          <w:rFonts w:hint="eastAsia" w:asciiTheme="minorEastAsia" w:hAnsiTheme="minorEastAsia" w:eastAsiaTheme="minorEastAsia" w:cstheme="minorEastAsia"/>
          <w:b w:val="0"/>
          <w:bCs/>
          <w:color w:val="auto"/>
          <w:sz w:val="24"/>
          <w:szCs w:val="24"/>
          <w:highlight w:val="none"/>
        </w:rPr>
        <w:t>%，费用为单个项目总价含税包干，每个项目含服务的所有费用，包括但不限于乙方到甲方</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项目业主</w:t>
      </w:r>
      <w:r>
        <w:rPr>
          <w:rFonts w:hint="eastAsia" w:asciiTheme="minorEastAsia" w:hAnsiTheme="minorEastAsia" w:eastAsiaTheme="minorEastAsia" w:cstheme="minorEastAsia"/>
          <w:b w:val="0"/>
          <w:bCs/>
          <w:color w:val="auto"/>
          <w:sz w:val="24"/>
          <w:szCs w:val="24"/>
          <w:highlight w:val="none"/>
        </w:rPr>
        <w:t>或项目现场讨论汇报的差旅食宿费、服务费、咨询费和其它乙方为履行本合同项下义务的全部费用及应缴纳税费等。</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2、分项合同结算和</w:t>
      </w:r>
      <w:r>
        <w:rPr>
          <w:rFonts w:hint="eastAsia" w:asciiTheme="minorEastAsia" w:hAnsiTheme="minorEastAsia" w:eastAsiaTheme="minorEastAsia" w:cstheme="minorEastAsia"/>
          <w:b/>
          <w:bCs w:val="0"/>
          <w:color w:val="auto"/>
          <w:sz w:val="24"/>
          <w:szCs w:val="24"/>
          <w:highlight w:val="none"/>
        </w:rPr>
        <w:t>支付方式：</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每一个项目由甲方下达服务任务书，作为费用结算和签订三方分项</w:t>
      </w:r>
      <w:r>
        <w:rPr>
          <w:rFonts w:hint="eastAsia" w:asciiTheme="minorEastAsia" w:hAnsiTheme="minorEastAsia" w:eastAsiaTheme="minorEastAsia" w:cstheme="minorEastAsia"/>
          <w:b w:val="0"/>
          <w:bCs/>
          <w:color w:val="auto"/>
          <w:sz w:val="24"/>
          <w:szCs w:val="24"/>
          <w:highlight w:val="none"/>
        </w:rPr>
        <w:t>合同</w:t>
      </w:r>
      <w:r>
        <w:rPr>
          <w:rFonts w:hint="eastAsia" w:asciiTheme="minorEastAsia" w:hAnsiTheme="minorEastAsia" w:eastAsiaTheme="minorEastAsia" w:cstheme="minorEastAsia"/>
          <w:b w:val="0"/>
          <w:bCs/>
          <w:color w:val="auto"/>
          <w:sz w:val="24"/>
          <w:szCs w:val="24"/>
          <w:highlight w:val="none"/>
          <w:lang w:val="en-US" w:eastAsia="zh-CN"/>
        </w:rPr>
        <w:t>的依据</w:t>
      </w:r>
      <w:r>
        <w:rPr>
          <w:rFonts w:hint="eastAsia" w:asciiTheme="minorEastAsia" w:hAnsiTheme="minorEastAsia" w:eastAsiaTheme="minorEastAsia" w:cstheme="minorEastAsia"/>
          <w:b w:val="0"/>
          <w:bCs/>
          <w:color w:val="auto"/>
          <w:sz w:val="24"/>
          <w:szCs w:val="24"/>
          <w:highlight w:val="none"/>
        </w:rPr>
        <w:t>；</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（2）乙方每完成一个项目并通过甲方公司内部业务部门审核确认，并得到甲方确认为最终成果后，乙方可按甲方结算的有关规定要求提交结算资料，双方完成结算手续后</w:t>
      </w:r>
      <w:r>
        <w:rPr>
          <w:rFonts w:hint="eastAsia" w:asciiTheme="minorEastAsia" w:hAnsiTheme="minorEastAsia" w:eastAsiaTheme="minorEastAsia" w:cstheme="minorEastAsia"/>
          <w:b w:val="0"/>
          <w:bCs/>
          <w:color w:val="auto"/>
          <w:sz w:val="24"/>
          <w:szCs w:val="24"/>
          <w:highlight w:val="none"/>
          <w:lang w:val="en-US" w:eastAsia="zh-CN"/>
        </w:rPr>
        <w:t>签订三方分项</w:t>
      </w:r>
      <w:r>
        <w:rPr>
          <w:rFonts w:hint="eastAsia" w:asciiTheme="minorEastAsia" w:hAnsiTheme="minorEastAsia" w:eastAsiaTheme="minorEastAsia" w:cstheme="minorEastAsia"/>
          <w:b w:val="0"/>
          <w:bCs/>
          <w:color w:val="auto"/>
          <w:sz w:val="24"/>
          <w:szCs w:val="24"/>
          <w:highlight w:val="none"/>
        </w:rPr>
        <w:t>合同十个工作日内，</w:t>
      </w:r>
      <w:r>
        <w:rPr>
          <w:rFonts w:hint="eastAsia" w:asciiTheme="minorEastAsia" w:hAnsiTheme="minorEastAsia" w:eastAsiaTheme="minorEastAsia" w:cstheme="minorEastAsia"/>
          <w:b w:val="0"/>
          <w:bCs/>
          <w:color w:val="auto"/>
          <w:sz w:val="24"/>
          <w:szCs w:val="24"/>
          <w:highlight w:val="none"/>
          <w:lang w:val="en-US" w:eastAsia="zh-CN"/>
        </w:rPr>
        <w:t>项目业主</w:t>
      </w:r>
      <w:r>
        <w:rPr>
          <w:rFonts w:hint="eastAsia" w:asciiTheme="minorEastAsia" w:hAnsiTheme="minorEastAsia" w:eastAsiaTheme="minorEastAsia" w:cstheme="minorEastAsia"/>
          <w:b w:val="0"/>
          <w:bCs/>
          <w:color w:val="auto"/>
          <w:sz w:val="24"/>
          <w:szCs w:val="24"/>
          <w:highlight w:val="none"/>
        </w:rPr>
        <w:t>向乙方支付每个项目服务费。</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（3）每笔款项支付前，乙方须提供正规合法的等额增值税专用发票（税率为6.00%），否则</w:t>
      </w:r>
      <w:r>
        <w:rPr>
          <w:rFonts w:hint="eastAsia" w:asciiTheme="minorEastAsia" w:hAnsiTheme="minorEastAsia" w:eastAsiaTheme="minorEastAsia" w:cstheme="minorEastAsia"/>
          <w:b w:val="0"/>
          <w:bCs/>
          <w:color w:val="auto"/>
          <w:sz w:val="24"/>
          <w:szCs w:val="24"/>
          <w:highlight w:val="none"/>
          <w:lang w:val="en-US" w:eastAsia="zh-CN"/>
        </w:rPr>
        <w:t>项目业主</w:t>
      </w:r>
      <w:r>
        <w:rPr>
          <w:rFonts w:hint="eastAsia" w:asciiTheme="minorEastAsia" w:hAnsiTheme="minorEastAsia" w:eastAsiaTheme="minorEastAsia" w:cstheme="minorEastAsia"/>
          <w:b w:val="0"/>
          <w:bCs/>
          <w:color w:val="auto"/>
          <w:sz w:val="24"/>
          <w:szCs w:val="24"/>
          <w:highlight w:val="none"/>
        </w:rPr>
        <w:t>有权不予支付或延期支付相应款项，因乙方提供的发票不规范、不合法引起税务问题的，乙方应承担向甲方赔偿的责任，包括但不限于税款、滞纳金、罚款及相关损失等。</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以上付款甲方以转账方式支付，本合同签订的乙方银行及账号为甲方付款的唯一账号。乙方指定以下账户为乙方收款账户：</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账户名称： </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开户银行： </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银行账号：</w:t>
      </w:r>
    </w:p>
    <w:p>
      <w:pPr>
        <w:pStyle w:val="23"/>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服务评价及应用</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firstLineChars="200"/>
        <w:textAlignment w:val="auto"/>
        <w:outlineLvl w:val="0"/>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合同履行期间，甲方对乙方每一单造价咨询服务都要提出书面评价，评价结果分为不合格、合格、优良；年度服务终止时，甲方对乙方的年度服务情况总一次综合评价，评价结果为不合格、合格、优良。评价内容包括服务态度、服务质量、相应时间、专业水平等。</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firstLineChars="200"/>
        <w:textAlignment w:val="auto"/>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服务期限实行“1+1”管理模式，即：当服务时间或总费用额度任意一项达到委托合同范围时，当期年度服务合同自行终止；但在甲方投资运营管理部对其服务评价为优良的情况下，年度造价咨询单位可顺延下一年度服务合同，当该期合同的服务时间或总费用额度任意一项也达到委托合同范围时，年度服务合同立即终止，不再续期。</w:t>
      </w:r>
    </w:p>
    <w:p>
      <w:pPr>
        <w:pStyle w:val="23"/>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保密条款及知识产权归属</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乙方为履行本合同约定而编制的成果文件，除署名权以外的著作权属于甲方。乙方可以为实现合同目的而复制或者以其他方式使用此类文件，但不能用于与合同无关的其他事项。未经甲方书面同意，乙方不得为了合同以外的目的而复制或者以其他方式使用上述文件或将之提供给任何第三方。如发生以上情况，乙方应按法律规定承担相应法律责任，并赔偿甲方因此造成的所有损失，包括但不限于甲方向第三方的赔偿、律师费、仲裁或诉讼费、差旅费、公证费、评估费、公告费、保全费、执行费等。</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乙方提交的成果不得侵犯第三人的合法权益（包括但不限于著作权、商标权），若因乙方侵犯第三方权利给甲方造成损失的，乙方承担全部赔偿责任，包括但不限于甲方向第三方的赔偿、律师费、诉讼费、差旅费等，赔偿不超过</w:t>
      </w:r>
      <w:r>
        <w:rPr>
          <w:rFonts w:hint="eastAsia" w:asciiTheme="minorEastAsia" w:hAnsiTheme="minorEastAsia" w:eastAsiaTheme="minorEastAsia" w:cstheme="minorEastAsia"/>
          <w:b w:val="0"/>
          <w:bCs/>
          <w:color w:val="auto"/>
          <w:sz w:val="24"/>
          <w:szCs w:val="24"/>
          <w:highlight w:val="none"/>
          <w:lang w:val="en-US" w:eastAsia="zh-CN"/>
        </w:rPr>
        <w:t>服务</w:t>
      </w:r>
      <w:r>
        <w:rPr>
          <w:rFonts w:hint="eastAsia" w:asciiTheme="minorEastAsia" w:hAnsiTheme="minorEastAsia" w:eastAsiaTheme="minorEastAsia" w:cstheme="minorEastAsia"/>
          <w:b w:val="0"/>
          <w:bCs/>
          <w:color w:val="auto"/>
          <w:sz w:val="24"/>
          <w:szCs w:val="24"/>
          <w:highlight w:val="none"/>
        </w:rPr>
        <w:t>费总额。</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在本合同有效期内，甲方利用乙方提交工作成果所完成的新的技术成果，归甲方所有。</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在本合同有效期内，乙方利用甲方提供资料和工作条件所完成的新的技术成果，归甲方所有。</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rPr>
        <w:t>乙方对其获知的甲方商业秘密和与本项目有关的非公开的信息、资料负有保密责任，非由法律规定或者甲方同意，不得向任何第三方披露。</w:t>
      </w:r>
    </w:p>
    <w:p>
      <w:pPr>
        <w:pStyle w:val="23"/>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75" w:name="_Toc8266"/>
      <w:bookmarkStart w:id="76" w:name="_Toc13038"/>
      <w:bookmarkStart w:id="77" w:name="_Toc22316"/>
      <w:r>
        <w:rPr>
          <w:rFonts w:hint="eastAsia" w:asciiTheme="minorEastAsia" w:hAnsiTheme="minorEastAsia" w:eastAsiaTheme="minorEastAsia" w:cstheme="minorEastAsia"/>
          <w:b/>
          <w:color w:val="auto"/>
          <w:sz w:val="24"/>
          <w:szCs w:val="24"/>
          <w:highlight w:val="none"/>
        </w:rPr>
        <w:t>违约责任</w:t>
      </w:r>
      <w:bookmarkEnd w:id="75"/>
      <w:bookmarkEnd w:id="76"/>
      <w:bookmarkEnd w:id="77"/>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合同期间，乙方出现如下情况，视为严重违约，甲方有权终止合同，乙方应返还甲方已付的所有费用，并按合同总金额的20%向甲方支付违约金，如违约金不足以补偿由此造成的甲方实际损失，乙方须据实予以赔偿不足部分：</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乙方提交的最终成果（文件）未能达到乙方投标文件中所承诺的深度要求，经2次修改未经甲方审核通过的；</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乙方未经甲方书面同意调换附件二的乙方配置人员，但因乙方工作人员离职、退休或长病假等非乙方可控因素并经甲方认可调换人员的除外；</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乙方无法定或约定理由单方终止合同，或以实际行为表示拒绝履行合同义务的；</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rPr>
        <w:t>在合同履行期间，甲方无法定理由或本合同约定情况而要求解除本合同的，按照如下约定执行：</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乙方未开始工作的，乙方可不退还甲方已付的定金。</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乙方已开始工作的，若实际工作量超过甲方已付定金所对应工作量的，则甲方对超出已付定金所对应工作量的部分进行补足，有关工作量以及补足的标准以双方协商为主，未能协商一致以法院判决为准。</w:t>
      </w:r>
    </w:p>
    <w:p>
      <w:pPr>
        <w:pStyle w:val="23"/>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78" w:name="_Toc5589"/>
      <w:bookmarkStart w:id="79" w:name="_Toc7914"/>
      <w:bookmarkStart w:id="80" w:name="_Toc2892"/>
      <w:r>
        <w:rPr>
          <w:rFonts w:hint="eastAsia" w:asciiTheme="minorEastAsia" w:hAnsiTheme="minorEastAsia" w:eastAsiaTheme="minorEastAsia" w:cstheme="minorEastAsia"/>
          <w:b/>
          <w:color w:val="auto"/>
          <w:sz w:val="24"/>
          <w:szCs w:val="24"/>
          <w:highlight w:val="none"/>
        </w:rPr>
        <w:t>争议解决</w:t>
      </w:r>
      <w:bookmarkEnd w:id="78"/>
      <w:bookmarkEnd w:id="79"/>
      <w:bookmarkEnd w:id="80"/>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在本合同履行过程中，如发生争议，双方应友好协商解决，协商不成，可向甲方所在地人民法院提起诉讼。</w:t>
      </w:r>
    </w:p>
    <w:p>
      <w:pPr>
        <w:pStyle w:val="23"/>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81" w:name="_Toc31344"/>
      <w:bookmarkStart w:id="82" w:name="_Toc3960"/>
      <w:bookmarkStart w:id="83" w:name="_Toc26045"/>
      <w:r>
        <w:rPr>
          <w:rFonts w:hint="eastAsia" w:asciiTheme="minorEastAsia" w:hAnsiTheme="minorEastAsia" w:eastAsiaTheme="minorEastAsia" w:cstheme="minorEastAsia"/>
          <w:b/>
          <w:color w:val="auto"/>
          <w:sz w:val="24"/>
          <w:szCs w:val="24"/>
          <w:highlight w:val="none"/>
        </w:rPr>
        <w:t>其它</w:t>
      </w:r>
      <w:bookmarkEnd w:id="81"/>
      <w:bookmarkEnd w:id="82"/>
      <w:bookmarkEnd w:id="83"/>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本合同的解释及纠纷处理适用中华人民共和国现行法律。</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本合同一式陆份，甲、乙双方各执叁份，具有相同法律效力。</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本合同经双方签字盖章后生效。</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本合同约定服务数量满，乙方可优先选择作为公司年度项目</w:t>
      </w:r>
      <w:r>
        <w:rPr>
          <w:rFonts w:hint="eastAsia" w:asciiTheme="minorEastAsia" w:hAnsiTheme="minorEastAsia" w:eastAsiaTheme="minorEastAsia" w:cstheme="minorEastAsia"/>
          <w:b w:val="0"/>
          <w:bCs/>
          <w:color w:val="auto"/>
          <w:sz w:val="24"/>
          <w:szCs w:val="24"/>
          <w:highlight w:val="none"/>
          <w:lang w:val="en-US" w:eastAsia="zh-CN"/>
        </w:rPr>
        <w:t>造价</w:t>
      </w:r>
      <w:r>
        <w:rPr>
          <w:rFonts w:hint="eastAsia" w:asciiTheme="minorEastAsia" w:hAnsiTheme="minorEastAsia" w:eastAsiaTheme="minorEastAsia" w:cstheme="minorEastAsia"/>
          <w:b w:val="0"/>
          <w:bCs/>
          <w:color w:val="auto"/>
          <w:sz w:val="24"/>
          <w:szCs w:val="24"/>
          <w:highlight w:val="none"/>
        </w:rPr>
        <w:t>咨询服务单位。</w:t>
      </w:r>
    </w:p>
    <w:p>
      <w:pPr>
        <w:pStyle w:val="23"/>
        <w:widowControl/>
        <w:spacing w:line="360" w:lineRule="auto"/>
        <w:ind w:left="105" w:leftChars="50" w:right="105" w:rightChars="50" w:firstLine="0" w:firstLineChars="0"/>
        <w:rPr>
          <w:rFonts w:ascii="宋体" w:hAnsi="宋体" w:cs="宋体"/>
          <w:color w:val="auto"/>
          <w:sz w:val="24"/>
          <w:szCs w:val="24"/>
          <w:highlight w:val="none"/>
        </w:rPr>
      </w:pPr>
    </w:p>
    <w:p>
      <w:pPr>
        <w:pStyle w:val="2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附件1：廉洁协议书</w:t>
      </w:r>
    </w:p>
    <w:p>
      <w:pPr>
        <w:pStyle w:val="2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附件2：乙方人员配置表</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（以下无正文）</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甲方（盖章）：广州南沙</w:t>
      </w:r>
      <w:r>
        <w:rPr>
          <w:rFonts w:hint="eastAsia" w:ascii="宋体" w:hAnsi="宋体" w:eastAsia="宋体" w:cs="宋体"/>
          <w:b/>
          <w:color w:val="auto"/>
          <w:sz w:val="24"/>
          <w:highlight w:val="none"/>
          <w:lang w:val="en-US" w:eastAsia="zh-CN"/>
        </w:rPr>
        <w:t>资产经营</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乙方（盖章）：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集团</w:t>
      </w:r>
      <w:r>
        <w:rPr>
          <w:rFonts w:hint="eastAsia" w:ascii="宋体" w:hAnsi="宋体" w:eastAsia="宋体" w:cs="宋体"/>
          <w:b/>
          <w:color w:val="auto"/>
          <w:sz w:val="24"/>
          <w:highlight w:val="none"/>
        </w:rPr>
        <w:t xml:space="preserve">有限公司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委托代理人：                          委托代理人：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联 系 人：                            联 系 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地   址：                             地   址：</w:t>
      </w:r>
      <w:r>
        <w:rPr>
          <w:rFonts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邮政编码：511455                      邮政编码：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电话：020-                            电话：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传真</w:t>
      </w:r>
      <w:r>
        <w:rPr>
          <w:rFonts w:hint="eastAsia" w:ascii="宋体" w:hAnsi="宋体" w:eastAsia="宋体" w:cs="宋体"/>
          <w:color w:val="auto"/>
          <w:sz w:val="24"/>
          <w:highlight w:val="none"/>
        </w:rPr>
        <w:t xml:space="preserve">：                                传真：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丙</w:t>
      </w:r>
      <w:r>
        <w:rPr>
          <w:rFonts w:hint="eastAsia" w:ascii="宋体" w:hAnsi="宋体" w:eastAsia="宋体" w:cs="宋体"/>
          <w:b/>
          <w:color w:val="auto"/>
          <w:sz w:val="24"/>
          <w:highlight w:val="none"/>
        </w:rPr>
        <w:t>方（盖章）：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法定代表人：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委托代理人：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联 系 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地   址：                             </w:t>
      </w:r>
      <w:r>
        <w:rPr>
          <w:rFonts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邮政编码：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电话：020-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传真</w:t>
      </w: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p>
    <w:p>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eastAsia="宋体" w:cs="宋体"/>
          <w:color w:val="auto"/>
          <w:sz w:val="24"/>
          <w:highlight w:val="none"/>
        </w:rPr>
      </w:pPr>
      <w:bookmarkStart w:id="84" w:name="_Toc23897"/>
      <w:r>
        <w:rPr>
          <w:rFonts w:hint="eastAsia" w:ascii="宋体" w:hAnsi="宋体" w:eastAsia="宋体" w:cs="宋体"/>
          <w:color w:val="auto"/>
          <w:sz w:val="28"/>
          <w:szCs w:val="28"/>
          <w:highlight w:val="none"/>
        </w:rPr>
        <w:t>附件1：</w:t>
      </w:r>
      <w:bookmarkEnd w:id="84"/>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ascii="宋体" w:hAnsi="宋体" w:eastAsia="宋体" w:cs="宋体"/>
          <w:b/>
          <w:color w:val="auto"/>
          <w:spacing w:val="34"/>
          <w:sz w:val="36"/>
          <w:szCs w:val="36"/>
          <w:highlight w:val="none"/>
        </w:rPr>
      </w:pPr>
      <w:bookmarkStart w:id="85" w:name="_Toc30367"/>
      <w:r>
        <w:rPr>
          <w:rFonts w:hint="eastAsia" w:ascii="宋体" w:hAnsi="宋体" w:eastAsia="宋体" w:cs="宋体"/>
          <w:b/>
          <w:color w:val="auto"/>
          <w:spacing w:val="34"/>
          <w:sz w:val="36"/>
          <w:szCs w:val="36"/>
          <w:highlight w:val="none"/>
        </w:rPr>
        <w:t>廉洁协议书</w:t>
      </w:r>
      <w:bookmarkEnd w:id="85"/>
    </w:p>
    <w:p>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pStyle w:val="2"/>
        <w:rPr>
          <w:rFonts w:hint="default" w:eastAsia="宋体"/>
          <w:lang w:val="en-US" w:eastAsia="zh-CN"/>
        </w:rPr>
      </w:pPr>
      <w:r>
        <w:rPr>
          <w:rFonts w:hint="eastAsia" w:ascii="宋体" w:hAnsi="宋体" w:eastAsia="宋体" w:cs="宋体"/>
          <w:color w:val="auto"/>
          <w:sz w:val="24"/>
          <w:highlight w:val="none"/>
          <w:u w:val="none"/>
          <w:lang w:val="en-US" w:eastAsia="zh-CN"/>
        </w:rPr>
        <w:t>丙方：</w:t>
      </w:r>
      <w:r>
        <w:rPr>
          <w:rFonts w:hint="eastAsia" w:ascii="宋体" w:hAnsi="宋体" w:eastAsia="宋体" w:cs="宋体"/>
          <w:color w:val="auto"/>
          <w:sz w:val="24"/>
          <w:highlight w:val="none"/>
          <w:u w:val="single"/>
          <w:lang w:val="en-US" w:eastAsia="zh-CN"/>
        </w:rPr>
        <w:t xml:space="preserve">                                </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在甲、乙双方订立、履行合同过程中，为保持廉洁自律的工作作风，防止各种不正当行为的发生，甲、乙双方订立协议如下：</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一、甲、乙双方应当自觉遵守国家、地方法律法规以及本协议的约定，在合同的订立、履行过程中廉洁自律。</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二、甲方及其工作人员不得以任何形式向乙方索要和收受回扣等好处费。</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三、甲方工作人员应当保持与乙方的正常业务交往，不得接受乙方的礼金、有价证券和贵重物品，不得在乙方报销任何应由其个人承担的费用。</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四、甲方工作人员不得参加可能对公正开展业务有影响的宴请和娱乐活动。如甲方工作人员确因实际情况须参加宴请、进行娱乐活动的，须事先按行政隶属关系上一级批准。</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五、甲方工作人员不得要求或者接受乙方为其住房装修、婚丧嫁娶、家属和子女的工作安排以及出国等提供方便。</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六、乙方不得接受甲方工作人员介绍的家属或者亲友从事与合同相关的业务。</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八、乙方如发现甲方工作人员有违反上述协议者，应向甲方举报。甲方不得找任何借口对乙方进行报复。甲方对举报属实和严格遵守廉洁协议的乙方，在同等条件下优先考虑与乙方继续合作。</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九、甲方发现乙方有违反本协议或者采用不正当的手段行贿甲方工作人员等不正当竞争行为的，甲方有权按合同的终止和解除条款执行。</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十、本廉洁协议作为合同的附件，与合同具有同等法律效力。经协议双方签署后立即生效。</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甲方（公章）                         乙方（公章）</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法定代表人（签字或盖章）：            法定代表人（签字或盖章）：</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授权代理人（签字或盖章）：            授权代理人（签字或盖章）：</w:t>
      </w: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丙</w:t>
      </w:r>
      <w:r>
        <w:rPr>
          <w:rFonts w:hint="eastAsia" w:ascii="宋体" w:hAnsi="宋体" w:eastAsia="宋体" w:cs="宋体"/>
          <w:color w:val="auto"/>
          <w:sz w:val="24"/>
          <w:highlight w:val="none"/>
        </w:rPr>
        <w:t xml:space="preserve">方（公章）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法定代表人（签字或盖章）：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2"/>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授权代理人（签字或盖章）：</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 202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jc w:val="center"/>
        <w:rPr>
          <w:rFonts w:hint="eastAsia"/>
          <w:color w:val="auto"/>
          <w:sz w:val="32"/>
          <w:szCs w:val="32"/>
          <w:highlight w:val="none"/>
        </w:rPr>
      </w:pPr>
      <w:r>
        <w:rPr>
          <w:rFonts w:hint="eastAsia"/>
          <w:color w:val="auto"/>
          <w:sz w:val="32"/>
          <w:szCs w:val="32"/>
          <w:highlight w:val="none"/>
        </w:rPr>
        <w:t>金融大厦外来人员防疫操作流程</w:t>
      </w:r>
    </w:p>
    <w:p>
      <w:pPr>
        <w:ind w:firstLine="420" w:firstLineChars="200"/>
        <w:rPr>
          <w:rFonts w:hint="eastAsia"/>
          <w:color w:val="auto"/>
          <w:highlight w:val="none"/>
        </w:rPr>
      </w:pPr>
      <w:r>
        <w:rPr>
          <w:rFonts w:hint="eastAsia"/>
          <w:color w:val="auto"/>
          <w:highlight w:val="none"/>
        </w:rPr>
        <w:t>外来人员进入前需如实在《外来人员登记表》中进行登记，除登记个人信息外，还需登记来访事由。如外来人员中有湖北或温州籍人员，应先检查是否上报穗康，并自行提供至少15天的行程数据（具体操作办法请看图一），对于到过疫区的抵穗人员，需提供居委开具的解除隔离证明，所有外来人员均须测量体温，体温不高于37.3度方可进入大厦。</w:t>
      </w:r>
    </w:p>
    <w:tbl>
      <w:tblPr>
        <w:tblStyle w:val="17"/>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vAlign w:val="top"/>
          </w:tcPr>
          <w:p>
            <w:pPr>
              <w:jc w:val="center"/>
              <w:rPr>
                <w:color w:val="auto"/>
                <w:highlight w:val="none"/>
              </w:rPr>
            </w:pPr>
            <w:r>
              <w:rPr>
                <w:color w:val="auto"/>
                <w:highlight w:val="none"/>
              </w:rPr>
              <w:drawing>
                <wp:inline distT="0" distB="0" distL="114300" distR="114300">
                  <wp:extent cx="5269865" cy="5418455"/>
                  <wp:effectExtent l="0" t="0" r="6985" b="10795"/>
                  <wp:docPr id="5" name="图片 1" descr="微信图片_2020022410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微信图片_20200224100229"/>
                          <pic:cNvPicPr>
                            <a:picLocks noChangeAspect="1"/>
                          </pic:cNvPicPr>
                        </pic:nvPicPr>
                        <pic:blipFill>
                          <a:blip r:embed="rId10"/>
                          <a:stretch>
                            <a:fillRect/>
                          </a:stretch>
                        </pic:blipFill>
                        <pic:spPr>
                          <a:xfrm>
                            <a:off x="0" y="0"/>
                            <a:ext cx="5269865" cy="5418455"/>
                          </a:xfrm>
                          <a:prstGeom prst="rect">
                            <a:avLst/>
                          </a:prstGeom>
                          <a:noFill/>
                          <a:ln>
                            <a:noFill/>
                          </a:ln>
                        </pic:spPr>
                      </pic:pic>
                    </a:graphicData>
                  </a:graphic>
                </wp:inline>
              </w:drawing>
            </w:r>
          </w:p>
        </w:tc>
      </w:tr>
      <w:tr>
        <w:tblPrEx>
          <w:tblCellMar>
            <w:top w:w="0" w:type="dxa"/>
            <w:left w:w="108" w:type="dxa"/>
            <w:bottom w:w="0" w:type="dxa"/>
            <w:right w:w="108" w:type="dxa"/>
          </w:tblCellMar>
        </w:tblPrEx>
        <w:tc>
          <w:tcPr>
            <w:tcW w:w="8522" w:type="dxa"/>
            <w:vAlign w:val="top"/>
          </w:tcPr>
          <w:p>
            <w:pPr>
              <w:jc w:val="center"/>
              <w:rPr>
                <w:color w:val="auto"/>
                <w:highlight w:val="none"/>
              </w:rPr>
            </w:pPr>
            <w:r>
              <w:rPr>
                <w:rFonts w:hint="eastAsia"/>
                <w:color w:val="auto"/>
                <w:highlight w:val="none"/>
              </w:rPr>
              <w:t>图一</w:t>
            </w:r>
          </w:p>
        </w:tc>
      </w:tr>
    </w:tbl>
    <w:p>
      <w:pPr>
        <w:rPr>
          <w:color w:val="auto"/>
          <w:highlight w:val="none"/>
        </w:rPr>
      </w:pPr>
    </w:p>
    <w:p>
      <w:pPr>
        <w:spacing w:line="360" w:lineRule="auto"/>
        <w:jc w:val="left"/>
        <w:rPr>
          <w:rFonts w:ascii="仿宋_GB2312" w:hAnsi="仿宋_GB2312" w:eastAsia="仿宋_GB2312" w:cs="仿宋_GB2312"/>
          <w:color w:val="auto"/>
          <w:sz w:val="32"/>
          <w:szCs w:val="32"/>
          <w:highlight w:val="none"/>
        </w:rPr>
      </w:pP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p>
    <w:sectPr>
      <w:pgSz w:w="12240" w:h="15840"/>
      <w:pgMar w:top="1440" w:right="1797" w:bottom="1440" w:left="1797" w:header="720" w:footer="720"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7E8B4"/>
    <w:multiLevelType w:val="singleLevel"/>
    <w:tmpl w:val="8DB7E8B4"/>
    <w:lvl w:ilvl="0" w:tentative="0">
      <w:start w:val="1"/>
      <w:numFmt w:val="decimal"/>
      <w:suff w:val="nothing"/>
      <w:lvlText w:val="%1）"/>
      <w:lvlJc w:val="left"/>
      <w:pPr>
        <w:tabs>
          <w:tab w:val="left" w:pos="0"/>
        </w:tabs>
        <w:ind w:left="0" w:firstLine="397"/>
      </w:pPr>
      <w:rPr>
        <w:rFonts w:hint="default" w:ascii="宋体" w:hAnsi="宋体" w:eastAsia="宋体" w:cs="宋体"/>
      </w:rPr>
    </w:lvl>
  </w:abstractNum>
  <w:abstractNum w:abstractNumId="1">
    <w:nsid w:val="A5F81537"/>
    <w:multiLevelType w:val="singleLevel"/>
    <w:tmpl w:val="A5F81537"/>
    <w:lvl w:ilvl="0" w:tentative="0">
      <w:start w:val="1"/>
      <w:numFmt w:val="decimal"/>
      <w:suff w:val="nothing"/>
      <w:lvlText w:val="%1、"/>
      <w:lvlJc w:val="left"/>
      <w:pPr>
        <w:ind w:left="0" w:firstLine="1134"/>
      </w:pPr>
      <w:rPr>
        <w:rFonts w:hint="default"/>
      </w:rPr>
    </w:lvl>
  </w:abstractNum>
  <w:abstractNum w:abstractNumId="2">
    <w:nsid w:val="D658D1EC"/>
    <w:multiLevelType w:val="singleLevel"/>
    <w:tmpl w:val="D658D1EC"/>
    <w:lvl w:ilvl="0" w:tentative="0">
      <w:start w:val="1"/>
      <w:numFmt w:val="chineseCounting"/>
      <w:suff w:val="nothing"/>
      <w:lvlText w:val="%1、"/>
      <w:lvlJc w:val="left"/>
      <w:pPr>
        <w:ind w:left="0" w:firstLine="1134"/>
      </w:pPr>
      <w:rPr>
        <w:rFonts w:hint="eastAsia"/>
        <w:b/>
        <w:sz w:val="24"/>
      </w:rPr>
    </w:lvl>
  </w:abstractNum>
  <w:abstractNum w:abstractNumId="3">
    <w:nsid w:val="D802AC56"/>
    <w:multiLevelType w:val="singleLevel"/>
    <w:tmpl w:val="D802AC56"/>
    <w:lvl w:ilvl="0" w:tentative="0">
      <w:start w:val="1"/>
      <w:numFmt w:val="decimal"/>
      <w:suff w:val="nothing"/>
      <w:lvlText w:val="%1、"/>
      <w:lvlJc w:val="left"/>
      <w:pPr>
        <w:ind w:left="0" w:firstLine="1134"/>
      </w:pPr>
      <w:rPr>
        <w:rFonts w:hint="default"/>
      </w:rPr>
    </w:lvl>
  </w:abstractNum>
  <w:abstractNum w:abstractNumId="4">
    <w:nsid w:val="E80AA967"/>
    <w:multiLevelType w:val="singleLevel"/>
    <w:tmpl w:val="E80AA967"/>
    <w:lvl w:ilvl="0" w:tentative="0">
      <w:start w:val="1"/>
      <w:numFmt w:val="decimal"/>
      <w:lvlText w:val="%1."/>
      <w:lvlJc w:val="left"/>
      <w:pPr>
        <w:tabs>
          <w:tab w:val="left" w:pos="0"/>
        </w:tabs>
        <w:ind w:left="0" w:leftChars="0" w:firstLine="0" w:firstLineChars="0"/>
      </w:pPr>
      <w:rPr>
        <w:rFonts w:hint="default" w:eastAsia="仿宋"/>
        <w:sz w:val="28"/>
      </w:rPr>
    </w:lvl>
  </w:abstractNum>
  <w:abstractNum w:abstractNumId="5">
    <w:nsid w:val="09AA123D"/>
    <w:multiLevelType w:val="singleLevel"/>
    <w:tmpl w:val="09AA123D"/>
    <w:lvl w:ilvl="0" w:tentative="0">
      <w:start w:val="1"/>
      <w:numFmt w:val="chineseCounting"/>
      <w:suff w:val="nothing"/>
      <w:lvlText w:val="（%1）"/>
      <w:lvlJc w:val="left"/>
      <w:pPr>
        <w:ind w:left="0" w:firstLine="1134"/>
      </w:pPr>
      <w:rPr>
        <w:rFonts w:hint="eastAsia"/>
      </w:rPr>
    </w:lvl>
  </w:abstractNum>
  <w:abstractNum w:abstractNumId="6">
    <w:nsid w:val="20201CCD"/>
    <w:multiLevelType w:val="singleLevel"/>
    <w:tmpl w:val="20201CCD"/>
    <w:lvl w:ilvl="0" w:tentative="0">
      <w:start w:val="1"/>
      <w:numFmt w:val="decimal"/>
      <w:suff w:val="nothing"/>
      <w:lvlText w:val="%1、"/>
      <w:lvlJc w:val="left"/>
      <w:pPr>
        <w:ind w:left="0" w:firstLine="1134"/>
      </w:pPr>
      <w:rPr>
        <w:rFonts w:hint="default"/>
      </w:rPr>
    </w:lvl>
  </w:abstractNum>
  <w:abstractNum w:abstractNumId="7">
    <w:nsid w:val="5689DE4B"/>
    <w:multiLevelType w:val="singleLevel"/>
    <w:tmpl w:val="5689DE4B"/>
    <w:lvl w:ilvl="0" w:tentative="0">
      <w:start w:val="1"/>
      <w:numFmt w:val="decimal"/>
      <w:suff w:val="nothing"/>
      <w:lvlText w:val="%1、"/>
      <w:lvlJc w:val="left"/>
      <w:pPr>
        <w:ind w:left="0" w:firstLine="1134"/>
      </w:pPr>
      <w:rPr>
        <w:rFonts w:hint="default"/>
      </w:rPr>
    </w:lvl>
  </w:abstractNum>
  <w:abstractNum w:abstractNumId="8">
    <w:nsid w:val="61B5240C"/>
    <w:multiLevelType w:val="singleLevel"/>
    <w:tmpl w:val="61B5240C"/>
    <w:lvl w:ilvl="0" w:tentative="0">
      <w:start w:val="1"/>
      <w:numFmt w:val="decimal"/>
      <w:lvlText w:val="%1)"/>
      <w:lvlJc w:val="left"/>
      <w:pPr>
        <w:ind w:left="425" w:hanging="425"/>
      </w:pPr>
      <w:rPr>
        <w:rFonts w:hint="default"/>
      </w:rPr>
    </w:lvl>
  </w:abstractNum>
  <w:abstractNum w:abstractNumId="9">
    <w:nsid w:val="66C12694"/>
    <w:multiLevelType w:val="singleLevel"/>
    <w:tmpl w:val="66C12694"/>
    <w:lvl w:ilvl="0" w:tentative="0">
      <w:start w:val="1"/>
      <w:numFmt w:val="decimal"/>
      <w:suff w:val="nothing"/>
      <w:lvlText w:val="%1、"/>
      <w:lvlJc w:val="left"/>
      <w:pPr>
        <w:ind w:left="0" w:firstLine="1134"/>
      </w:pPr>
      <w:rPr>
        <w:rFonts w:hint="default"/>
      </w:rPr>
    </w:lvl>
  </w:abstractNum>
  <w:abstractNum w:abstractNumId="10">
    <w:nsid w:val="67EBA120"/>
    <w:multiLevelType w:val="singleLevel"/>
    <w:tmpl w:val="67EBA120"/>
    <w:lvl w:ilvl="0" w:tentative="0">
      <w:start w:val="1"/>
      <w:numFmt w:val="chineseCounting"/>
      <w:suff w:val="nothing"/>
      <w:lvlText w:val="（%1）"/>
      <w:lvlJc w:val="left"/>
      <w:pPr>
        <w:ind w:left="0" w:firstLine="1134"/>
      </w:pPr>
      <w:rPr>
        <w:rFonts w:hint="eastAsia"/>
      </w:rPr>
    </w:lvl>
  </w:abstractNum>
  <w:abstractNum w:abstractNumId="11">
    <w:nsid w:val="78BEEE05"/>
    <w:multiLevelType w:val="singleLevel"/>
    <w:tmpl w:val="78BEEE05"/>
    <w:lvl w:ilvl="0" w:tentative="0">
      <w:start w:val="1"/>
      <w:numFmt w:val="chineseCounting"/>
      <w:suff w:val="nothing"/>
      <w:lvlText w:val="%1、"/>
      <w:lvlJc w:val="left"/>
      <w:pPr>
        <w:ind w:left="0" w:firstLine="397"/>
      </w:pPr>
      <w:rPr>
        <w:rFonts w:hint="eastAsia"/>
        <w:b/>
        <w:sz w:val="24"/>
      </w:rPr>
    </w:lvl>
  </w:abstractNum>
  <w:abstractNum w:abstractNumId="12">
    <w:nsid w:val="7C1C07B8"/>
    <w:multiLevelType w:val="multilevel"/>
    <w:tmpl w:val="7C1C07B8"/>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5"/>
  </w:num>
  <w:num w:numId="3">
    <w:abstractNumId w:val="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1"/>
  </w:num>
  <w:num w:numId="8">
    <w:abstractNumId w:val="6"/>
  </w:num>
  <w:num w:numId="9">
    <w:abstractNumId w:val="10"/>
  </w:num>
  <w:num w:numId="10">
    <w:abstractNumId w:val="9"/>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D4312"/>
    <w:rsid w:val="0002289A"/>
    <w:rsid w:val="0002557B"/>
    <w:rsid w:val="0005254F"/>
    <w:rsid w:val="00085D0C"/>
    <w:rsid w:val="000B7B0A"/>
    <w:rsid w:val="000E0EC3"/>
    <w:rsid w:val="001062CA"/>
    <w:rsid w:val="00134FF9"/>
    <w:rsid w:val="001544AB"/>
    <w:rsid w:val="00164413"/>
    <w:rsid w:val="001921E8"/>
    <w:rsid w:val="001D1F1F"/>
    <w:rsid w:val="001E1021"/>
    <w:rsid w:val="001F66EC"/>
    <w:rsid w:val="002D7B13"/>
    <w:rsid w:val="003B47E8"/>
    <w:rsid w:val="003D0F57"/>
    <w:rsid w:val="0040578E"/>
    <w:rsid w:val="00456C93"/>
    <w:rsid w:val="004B2C05"/>
    <w:rsid w:val="004D6177"/>
    <w:rsid w:val="00524AD0"/>
    <w:rsid w:val="005A19E6"/>
    <w:rsid w:val="0065458C"/>
    <w:rsid w:val="0065720F"/>
    <w:rsid w:val="00697CBD"/>
    <w:rsid w:val="006A18B1"/>
    <w:rsid w:val="006D7EB2"/>
    <w:rsid w:val="007055DD"/>
    <w:rsid w:val="007309C3"/>
    <w:rsid w:val="00793DB5"/>
    <w:rsid w:val="007A7407"/>
    <w:rsid w:val="007C0AF5"/>
    <w:rsid w:val="007E14F9"/>
    <w:rsid w:val="007F42A9"/>
    <w:rsid w:val="00802BFD"/>
    <w:rsid w:val="0080751A"/>
    <w:rsid w:val="00841D4A"/>
    <w:rsid w:val="008F47DB"/>
    <w:rsid w:val="008F491E"/>
    <w:rsid w:val="009538E5"/>
    <w:rsid w:val="009B4E73"/>
    <w:rsid w:val="009C14AA"/>
    <w:rsid w:val="009C50DE"/>
    <w:rsid w:val="00A05D0A"/>
    <w:rsid w:val="00A14DC5"/>
    <w:rsid w:val="00A367D2"/>
    <w:rsid w:val="00A81829"/>
    <w:rsid w:val="00A920B1"/>
    <w:rsid w:val="00B11F8D"/>
    <w:rsid w:val="00B96CE0"/>
    <w:rsid w:val="00BB3D24"/>
    <w:rsid w:val="00CA24DF"/>
    <w:rsid w:val="00D06D88"/>
    <w:rsid w:val="00D0796B"/>
    <w:rsid w:val="00D50CF1"/>
    <w:rsid w:val="00D650B3"/>
    <w:rsid w:val="00D85D6D"/>
    <w:rsid w:val="00DD64C1"/>
    <w:rsid w:val="00E14E87"/>
    <w:rsid w:val="00E85F0E"/>
    <w:rsid w:val="00EC3FB8"/>
    <w:rsid w:val="00EE23EE"/>
    <w:rsid w:val="00F15754"/>
    <w:rsid w:val="00F5751A"/>
    <w:rsid w:val="00FF33A0"/>
    <w:rsid w:val="00FF76D9"/>
    <w:rsid w:val="01456CF5"/>
    <w:rsid w:val="02E502D3"/>
    <w:rsid w:val="03477782"/>
    <w:rsid w:val="050036C1"/>
    <w:rsid w:val="056F1061"/>
    <w:rsid w:val="060468F4"/>
    <w:rsid w:val="08317FE0"/>
    <w:rsid w:val="08C36096"/>
    <w:rsid w:val="0E694DAA"/>
    <w:rsid w:val="0EA03B8A"/>
    <w:rsid w:val="0F843597"/>
    <w:rsid w:val="0FA24D7D"/>
    <w:rsid w:val="10B17997"/>
    <w:rsid w:val="11F556A6"/>
    <w:rsid w:val="13261131"/>
    <w:rsid w:val="14233C6D"/>
    <w:rsid w:val="14452035"/>
    <w:rsid w:val="15B60C9D"/>
    <w:rsid w:val="168674BE"/>
    <w:rsid w:val="17882B1B"/>
    <w:rsid w:val="17FE4988"/>
    <w:rsid w:val="17FF6839"/>
    <w:rsid w:val="1B4C759A"/>
    <w:rsid w:val="1C05708F"/>
    <w:rsid w:val="1C7E0797"/>
    <w:rsid w:val="1ED8744D"/>
    <w:rsid w:val="1FD8393E"/>
    <w:rsid w:val="1FE16CF7"/>
    <w:rsid w:val="20732FA5"/>
    <w:rsid w:val="227411DF"/>
    <w:rsid w:val="23120459"/>
    <w:rsid w:val="24866E97"/>
    <w:rsid w:val="25053D8A"/>
    <w:rsid w:val="251C6354"/>
    <w:rsid w:val="272B74FA"/>
    <w:rsid w:val="27E37E91"/>
    <w:rsid w:val="296D72B6"/>
    <w:rsid w:val="2EC40C57"/>
    <w:rsid w:val="31C25B96"/>
    <w:rsid w:val="31DA58D0"/>
    <w:rsid w:val="31E7287D"/>
    <w:rsid w:val="333268AE"/>
    <w:rsid w:val="338575D7"/>
    <w:rsid w:val="37A26BD4"/>
    <w:rsid w:val="38870693"/>
    <w:rsid w:val="3B6D4312"/>
    <w:rsid w:val="3D105A56"/>
    <w:rsid w:val="3D1162FB"/>
    <w:rsid w:val="3FA94C48"/>
    <w:rsid w:val="40D6323B"/>
    <w:rsid w:val="41B97E43"/>
    <w:rsid w:val="42C276A3"/>
    <w:rsid w:val="44800368"/>
    <w:rsid w:val="44BB42C8"/>
    <w:rsid w:val="460E24E0"/>
    <w:rsid w:val="4A1D620C"/>
    <w:rsid w:val="4AB45798"/>
    <w:rsid w:val="4D357B98"/>
    <w:rsid w:val="4D9C287D"/>
    <w:rsid w:val="4DC53F66"/>
    <w:rsid w:val="503A5229"/>
    <w:rsid w:val="52F7510B"/>
    <w:rsid w:val="55D41C4B"/>
    <w:rsid w:val="583942FC"/>
    <w:rsid w:val="5E1A6FB5"/>
    <w:rsid w:val="5E4357FB"/>
    <w:rsid w:val="5ED23AED"/>
    <w:rsid w:val="5FE66831"/>
    <w:rsid w:val="60011137"/>
    <w:rsid w:val="60885EAF"/>
    <w:rsid w:val="622E2566"/>
    <w:rsid w:val="63DB6B9E"/>
    <w:rsid w:val="67550263"/>
    <w:rsid w:val="679077E4"/>
    <w:rsid w:val="680F5AAC"/>
    <w:rsid w:val="68BC12A3"/>
    <w:rsid w:val="6C6F414E"/>
    <w:rsid w:val="6CB90A77"/>
    <w:rsid w:val="6E1E08B2"/>
    <w:rsid w:val="71CB78AD"/>
    <w:rsid w:val="73237947"/>
    <w:rsid w:val="75633B4C"/>
    <w:rsid w:val="75F41320"/>
    <w:rsid w:val="781828A1"/>
    <w:rsid w:val="782347C3"/>
    <w:rsid w:val="7A4B048B"/>
    <w:rsid w:val="7A96669D"/>
    <w:rsid w:val="7AF71D63"/>
    <w:rsid w:val="7C77067A"/>
    <w:rsid w:val="7D1B3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after="60" w:line="20" w:lineRule="exact"/>
      <w:outlineLvl w:val="0"/>
    </w:pPr>
    <w:rPr>
      <w:rFonts w:ascii="Times New Roman" w:hAnsi="Times New Roman" w:eastAsia="黑体" w:cs="Times New Roman"/>
      <w:color w:val="FF0000"/>
      <w:kern w:val="24"/>
      <w:sz w:val="28"/>
      <w:szCs w:val="28"/>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5">
    <w:name w:val="annotation text"/>
    <w:basedOn w:val="1"/>
    <w:semiHidden/>
    <w:unhideWhenUsed/>
    <w:qFormat/>
    <w:uiPriority w:val="0"/>
    <w:pPr>
      <w:jc w:val="left"/>
    </w:pPr>
  </w:style>
  <w:style w:type="paragraph" w:styleId="6">
    <w:name w:val="Body Text"/>
    <w:basedOn w:val="1"/>
    <w:next w:val="1"/>
    <w:qFormat/>
    <w:uiPriority w:val="0"/>
  </w:style>
  <w:style w:type="paragraph" w:styleId="7">
    <w:name w:val="Body Text Indent"/>
    <w:basedOn w:val="1"/>
    <w:next w:val="8"/>
    <w:qFormat/>
    <w:uiPriority w:val="0"/>
    <w:pPr>
      <w:spacing w:after="120" w:afterLines="0" w:afterAutospacing="0"/>
      <w:ind w:left="420" w:leftChars="200"/>
    </w:pPr>
  </w:style>
  <w:style w:type="paragraph" w:styleId="8">
    <w:name w:val="envelope return"/>
    <w:basedOn w:val="1"/>
    <w:qFormat/>
    <w:uiPriority w:val="0"/>
    <w:pPr>
      <w:snapToGrid w:val="0"/>
    </w:pPr>
    <w:rPr>
      <w:rFonts w:ascii="Arial" w:hAnsi="Arial"/>
    </w:rPr>
  </w:style>
  <w:style w:type="paragraph" w:styleId="9">
    <w:name w:val="Plain Text"/>
    <w:basedOn w:val="1"/>
    <w:link w:val="32"/>
    <w:qFormat/>
    <w:uiPriority w:val="0"/>
    <w:rPr>
      <w:rFonts w:hint="eastAsia" w:ascii="宋体" w:hAnsi="Courier New" w:eastAsia="宋体" w:cs="Times New Roman"/>
      <w:szCs w:val="21"/>
    </w:rPr>
  </w:style>
  <w:style w:type="paragraph" w:styleId="10">
    <w:name w:val="Balloon Text"/>
    <w:basedOn w:val="1"/>
    <w:link w:val="30"/>
    <w:qFormat/>
    <w:uiPriority w:val="0"/>
    <w:rPr>
      <w:sz w:val="18"/>
      <w:szCs w:val="18"/>
    </w:rPr>
  </w:style>
  <w:style w:type="paragraph" w:styleId="11">
    <w:name w:val="footer"/>
    <w:basedOn w:val="1"/>
    <w:link w:val="29"/>
    <w:qFormat/>
    <w:uiPriority w:val="0"/>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eastAsia="宋体" w:cs="Times New Roman"/>
      <w:szCs w:val="21"/>
    </w:rPr>
  </w:style>
  <w:style w:type="paragraph" w:styleId="14">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6"/>
    <w:link w:val="33"/>
    <w:qFormat/>
    <w:uiPriority w:val="0"/>
    <w:pPr>
      <w:spacing w:beforeAutospacing="1" w:after="120"/>
      <w:ind w:firstLine="420"/>
    </w:pPr>
    <w:rPr>
      <w:rFonts w:ascii="Times New Roman" w:hAnsi="Times New Roman" w:eastAsia="宋体" w:cs="Times New Roman"/>
      <w:szCs w:val="21"/>
    </w:rPr>
  </w:style>
  <w:style w:type="paragraph" w:styleId="16">
    <w:name w:val="Body Text First Indent 2"/>
    <w:basedOn w:val="7"/>
    <w:qFormat/>
    <w:uiPriority w:val="0"/>
    <w:pPr>
      <w:ind w:firstLine="420" w:firstLineChars="200"/>
    </w:pPr>
  </w:style>
  <w:style w:type="character" w:styleId="19">
    <w:name w:val="FollowedHyperlink"/>
    <w:basedOn w:val="18"/>
    <w:qFormat/>
    <w:uiPriority w:val="0"/>
    <w:rPr>
      <w:color w:val="0000FF"/>
      <w:u w:val="single"/>
    </w:rPr>
  </w:style>
  <w:style w:type="character" w:styleId="20">
    <w:name w:val="Hyperlink"/>
    <w:basedOn w:val="18"/>
    <w:qFormat/>
    <w:uiPriority w:val="0"/>
    <w:rPr>
      <w:color w:val="0000FF"/>
      <w:u w:val="single"/>
    </w:rPr>
  </w:style>
  <w:style w:type="paragraph" w:customStyle="1" w:styleId="21">
    <w:name w:val="正文文本缩进 21"/>
    <w:basedOn w:val="1"/>
    <w:qFormat/>
    <w:uiPriority w:val="0"/>
    <w:pPr>
      <w:spacing w:line="360" w:lineRule="auto"/>
      <w:ind w:firstLine="480" w:firstLineChars="200"/>
    </w:pPr>
    <w:rPr>
      <w:rFonts w:hint="eastAsia" w:ascii="宋体" w:hAnsi="宋体" w:eastAsia="宋体" w:cs="Times New Roman"/>
      <w:color w:val="FF0000"/>
      <w:kern w:val="0"/>
      <w:sz w:val="24"/>
    </w:rPr>
  </w:style>
  <w:style w:type="paragraph" w:customStyle="1" w:styleId="22">
    <w:name w:val="章节二"/>
    <w:basedOn w:val="1"/>
    <w:next w:val="1"/>
    <w:qFormat/>
    <w:uiPriority w:val="0"/>
    <w:pPr>
      <w:topLinePunct/>
      <w:adjustRightInd w:val="0"/>
      <w:snapToGrid w:val="0"/>
      <w:spacing w:beforeLines="50" w:afterAutospacing="1"/>
      <w:jc w:val="center"/>
      <w:outlineLvl w:val="1"/>
    </w:pPr>
    <w:rPr>
      <w:rFonts w:ascii="Times New Roman" w:hAnsi="Times New Roman" w:eastAsia="黑体" w:cs="Times New Roman"/>
      <w:b/>
      <w:spacing w:val="4"/>
      <w:kern w:val="0"/>
      <w:sz w:val="30"/>
      <w:szCs w:val="30"/>
    </w:rPr>
  </w:style>
  <w:style w:type="paragraph" w:customStyle="1" w:styleId="23">
    <w:name w:val="列出段落1"/>
    <w:basedOn w:val="1"/>
    <w:qFormat/>
    <w:uiPriority w:val="0"/>
    <w:pPr>
      <w:ind w:firstLine="420" w:firstLineChars="200"/>
    </w:pPr>
    <w:rPr>
      <w:rFonts w:ascii="Calibri" w:hAnsi="Calibri" w:eastAsia="宋体" w:cs="Times New Roman"/>
      <w:szCs w:val="21"/>
    </w:rPr>
  </w:style>
  <w:style w:type="paragraph" w:customStyle="1" w:styleId="24">
    <w:name w:val="文一"/>
    <w:basedOn w:val="1"/>
    <w:qFormat/>
    <w:uiPriority w:val="0"/>
    <w:pPr>
      <w:topLinePunct/>
      <w:adjustRightInd w:val="0"/>
      <w:snapToGrid w:val="0"/>
      <w:spacing w:line="360" w:lineRule="auto"/>
      <w:ind w:firstLine="200" w:firstLineChars="200"/>
    </w:pPr>
    <w:rPr>
      <w:rFonts w:ascii="Times New Roman" w:hAnsi="Times New Roman" w:eastAsia="宋体" w:cs="Times New Roman"/>
      <w:spacing w:val="4"/>
      <w:kern w:val="0"/>
      <w:sz w:val="24"/>
    </w:rPr>
  </w:style>
  <w:style w:type="character" w:customStyle="1" w:styleId="25">
    <w:name w:val="10"/>
    <w:basedOn w:val="18"/>
    <w:qFormat/>
    <w:uiPriority w:val="0"/>
    <w:rPr>
      <w:rFonts w:hint="default" w:ascii="Times New Roman" w:hAnsi="Times New Roman" w:cs="Times New Roman"/>
    </w:rPr>
  </w:style>
  <w:style w:type="character" w:customStyle="1" w:styleId="26">
    <w:name w:val="15"/>
    <w:basedOn w:val="18"/>
    <w:qFormat/>
    <w:uiPriority w:val="0"/>
    <w:rPr>
      <w:rFonts w:hint="default" w:ascii="Times New Roman" w:hAnsi="Times New Roman" w:cs="Times New Roman"/>
    </w:rPr>
  </w:style>
  <w:style w:type="character" w:customStyle="1" w:styleId="27">
    <w:name w:val="16"/>
    <w:basedOn w:val="18"/>
    <w:qFormat/>
    <w:uiPriority w:val="0"/>
    <w:rPr>
      <w:rFonts w:hint="default" w:ascii="Times New Roman" w:hAnsi="Times New Roman" w:cs="Times New Roman"/>
      <w:color w:val="0000FF"/>
      <w:u w:val="single"/>
    </w:rPr>
  </w:style>
  <w:style w:type="character" w:customStyle="1" w:styleId="28">
    <w:name w:val="页眉 Char"/>
    <w:basedOn w:val="18"/>
    <w:link w:val="12"/>
    <w:qFormat/>
    <w:uiPriority w:val="0"/>
    <w:rPr>
      <w:rFonts w:asciiTheme="minorHAnsi" w:hAnsiTheme="minorHAnsi" w:eastAsiaTheme="minorEastAsia" w:cstheme="minorBidi"/>
      <w:kern w:val="2"/>
      <w:sz w:val="18"/>
      <w:szCs w:val="18"/>
    </w:rPr>
  </w:style>
  <w:style w:type="character" w:customStyle="1" w:styleId="29">
    <w:name w:val="页脚 Char"/>
    <w:basedOn w:val="18"/>
    <w:link w:val="11"/>
    <w:qFormat/>
    <w:uiPriority w:val="0"/>
    <w:rPr>
      <w:rFonts w:asciiTheme="minorHAnsi" w:hAnsiTheme="minorHAnsi" w:eastAsiaTheme="minorEastAsia" w:cstheme="minorBidi"/>
      <w:kern w:val="2"/>
      <w:sz w:val="18"/>
      <w:szCs w:val="18"/>
    </w:rPr>
  </w:style>
  <w:style w:type="character" w:customStyle="1" w:styleId="30">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31">
    <w:name w:val="WPSOffice手动目录 1"/>
    <w:qFormat/>
    <w:uiPriority w:val="0"/>
    <w:rPr>
      <w:rFonts w:ascii="Times New Roman" w:hAnsi="Times New Roman" w:eastAsia="宋体" w:cs="Times New Roman"/>
      <w:lang w:val="en-US" w:eastAsia="zh-CN" w:bidi="ar-SA"/>
    </w:rPr>
  </w:style>
  <w:style w:type="character" w:customStyle="1" w:styleId="32">
    <w:name w:val="纯文本 Char"/>
    <w:link w:val="9"/>
    <w:qFormat/>
    <w:uiPriority w:val="0"/>
    <w:rPr>
      <w:rFonts w:ascii="宋体" w:hAnsi="Courier New"/>
      <w:kern w:val="2"/>
      <w:sz w:val="21"/>
      <w:szCs w:val="21"/>
    </w:rPr>
  </w:style>
  <w:style w:type="character" w:customStyle="1" w:styleId="33">
    <w:name w:val="正文首行缩进 Char"/>
    <w:basedOn w:val="18"/>
    <w:link w:val="15"/>
    <w:qFormat/>
    <w:uiPriority w:val="0"/>
    <w:rPr>
      <w:kern w:val="2"/>
      <w:sz w:val="21"/>
      <w:szCs w:val="21"/>
    </w:rPr>
  </w:style>
  <w:style w:type="paragraph" w:styleId="34">
    <w:name w:val="List Paragraph"/>
    <w:basedOn w:val="1"/>
    <w:unhideWhenUsed/>
    <w:qFormat/>
    <w:uiPriority w:val="99"/>
    <w:pPr>
      <w:ind w:firstLine="420" w:firstLineChars="200"/>
    </w:pPr>
  </w:style>
  <w:style w:type="paragraph" w:customStyle="1" w:styleId="35">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p0"/>
    <w:basedOn w:val="1"/>
    <w:qFormat/>
    <w:uiPriority w:val="0"/>
    <w:pPr>
      <w:widowControl/>
    </w:pPr>
    <w:rPr>
      <w:rFonts w:ascii="宋体" w:hAnsi="宋体" w:eastAsia="宋体" w:cs="宋体"/>
      <w:kern w:val="0"/>
      <w:szCs w:val="21"/>
    </w:rPr>
  </w:style>
  <w:style w:type="paragraph" w:customStyle="1" w:styleId="37">
    <w:name w:val="正文_1_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file:///d:\Documents\../../Microsoft/Windows/Microsoft/Windows/Microsoft/Windows/Microsoft/Windows/Microsoft/Windows/Microsoft/Windows/Temporary%2525252525252525252525252525252525252525252525252525252525252525252525252525252520Internet%2525252525252525252525252525252525252525252525252525252525252525252525252525252520Files/ksohtml/wpsC1CD.tmp.png" TargetMode="External"/><Relationship Id="rId8" Type="http://schemas.openxmlformats.org/officeDocument/2006/relationships/image" Target="media/image2.png"/><Relationship Id="rId7" Type="http://schemas.openxmlformats.org/officeDocument/2006/relationships/image" Target="file:///d:\Documents\../../Microsoft/Windows/Microsoft/Windows/Microsoft/Windows/Microsoft/Windows/Microsoft/Windows/Microsoft/Windows/Temporary%2525252525252525252525252525252525252525252525252525252525252525252525252525252520Internet%2525252525252525252525252525252525252525252525252525252525252525252525252525252520Files/ksohtml/wpsC1CC.tmp.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02E346-3C4A-4BDB-BC49-390A630B576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53</Pages>
  <Words>4111</Words>
  <Characters>23437</Characters>
  <Lines>195</Lines>
  <Paragraphs>54</Paragraphs>
  <TotalTime>10</TotalTime>
  <ScaleCrop>false</ScaleCrop>
  <LinksUpToDate>false</LinksUpToDate>
  <CharactersWithSpaces>27494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2020-02-27T11:18:00Z</dcterms:created>
  <dc:creator>李晓晨</dc:creator>
  <cp:lastModifiedBy>梁永仪</cp:lastModifiedBy>
  <cp:lastPrinted>2021-07-09T01:20:00Z</cp:lastPrinted>
  <dcterms:modified xsi:type="dcterms:W3CDTF">2021-07-14T00:55:37Z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54EE282441FA4DDAB3C835C06F11B791</vt:lpwstr>
  </property>
</Properties>
</file>