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F904">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14:paraId="051999FB">
      <w:pPr>
        <w:jc w:val="center"/>
        <w:rPr>
          <w:rFonts w:hint="eastAsia" w:ascii="仿宋_GB2312" w:eastAsia="仿宋_GB2312"/>
          <w:color w:val="auto"/>
          <w:sz w:val="32"/>
          <w:highlight w:val="none"/>
        </w:rPr>
      </w:pPr>
    </w:p>
    <w:p w14:paraId="50A28BD7">
      <w:pPr>
        <w:jc w:val="center"/>
        <w:rPr>
          <w:rFonts w:hint="eastAsia" w:ascii="仿宋_GB2312" w:eastAsia="仿宋_GB2312"/>
          <w:b/>
          <w:color w:val="auto"/>
          <w:sz w:val="72"/>
          <w:szCs w:val="72"/>
          <w:highlight w:val="none"/>
        </w:rPr>
      </w:pPr>
    </w:p>
    <w:p w14:paraId="48A40183">
      <w:pPr>
        <w:jc w:val="center"/>
        <w:rPr>
          <w:rFonts w:hint="eastAsia" w:ascii="仿宋_GB2312" w:eastAsia="仿宋_GB2312"/>
          <w:b/>
          <w:color w:val="auto"/>
          <w:sz w:val="72"/>
          <w:szCs w:val="72"/>
          <w:highlight w:val="none"/>
        </w:rPr>
      </w:pPr>
    </w:p>
    <w:p w14:paraId="37B27356">
      <w:pPr>
        <w:jc w:val="center"/>
        <w:rPr>
          <w:rFonts w:hint="eastAsia" w:ascii="小标宋" w:eastAsia="小标宋" w:hAnsiTheme="minorHAnsi" w:cstheme="minorBidi"/>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2025年首届粤港澳大湾区灯会</w:t>
      </w:r>
    </w:p>
    <w:p w14:paraId="110985CA">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活动项目</w:t>
      </w:r>
      <w:r>
        <w:rPr>
          <w:rFonts w:hint="eastAsia" w:ascii="小标宋" w:eastAsia="小标宋" w:cstheme="minorBidi"/>
          <w:b/>
          <w:bCs/>
          <w:snapToGrid w:val="0"/>
          <w:color w:val="auto"/>
          <w:spacing w:val="30"/>
          <w:kern w:val="52"/>
          <w:sz w:val="52"/>
          <w:szCs w:val="52"/>
          <w:highlight w:val="none"/>
          <w:lang w:eastAsia="zh-CN"/>
        </w:rPr>
        <w:t>配电箱采购</w:t>
      </w:r>
      <w:r>
        <w:rPr>
          <w:rFonts w:hint="eastAsia" w:ascii="小标宋" w:eastAsia="小标宋"/>
          <w:b/>
          <w:bCs/>
          <w:snapToGrid w:val="0"/>
          <w:color w:val="auto"/>
          <w:spacing w:val="30"/>
          <w:kern w:val="52"/>
          <w:sz w:val="52"/>
          <w:szCs w:val="52"/>
          <w:highlight w:val="none"/>
          <w:lang w:eastAsia="zh-Hans"/>
        </w:rPr>
        <w:t>合同</w:t>
      </w:r>
    </w:p>
    <w:p w14:paraId="1F4BB486">
      <w:pPr>
        <w:jc w:val="center"/>
        <w:rPr>
          <w:rFonts w:eastAsia="仿宋_GB2312"/>
          <w:b/>
          <w:color w:val="auto"/>
          <w:sz w:val="44"/>
          <w:szCs w:val="44"/>
          <w:highlight w:val="none"/>
          <w:lang w:val="en-GB"/>
        </w:rPr>
      </w:pPr>
    </w:p>
    <w:p w14:paraId="018C7163">
      <w:pPr>
        <w:jc w:val="center"/>
        <w:rPr>
          <w:rFonts w:eastAsia="仿宋_GB2312"/>
          <w:b/>
          <w:color w:val="auto"/>
          <w:sz w:val="44"/>
          <w:szCs w:val="44"/>
          <w:highlight w:val="none"/>
          <w:lang w:val="en-GB"/>
        </w:rPr>
      </w:pPr>
    </w:p>
    <w:p w14:paraId="47376A7C">
      <w:pPr>
        <w:jc w:val="center"/>
        <w:rPr>
          <w:rFonts w:hint="eastAsia" w:ascii="仿宋_GB2312" w:eastAsia="仿宋_GB2312"/>
          <w:b/>
          <w:color w:val="auto"/>
          <w:sz w:val="44"/>
          <w:szCs w:val="44"/>
          <w:highlight w:val="none"/>
        </w:rPr>
      </w:pPr>
    </w:p>
    <w:p w14:paraId="5CAF67D5">
      <w:pPr>
        <w:jc w:val="center"/>
        <w:rPr>
          <w:rFonts w:hint="eastAsia" w:ascii="仿宋_GB2312" w:eastAsia="仿宋_GB2312"/>
          <w:b/>
          <w:color w:val="auto"/>
          <w:sz w:val="44"/>
          <w:szCs w:val="44"/>
          <w:highlight w:val="none"/>
        </w:rPr>
      </w:pPr>
    </w:p>
    <w:p w14:paraId="51B66804">
      <w:pPr>
        <w:jc w:val="center"/>
        <w:rPr>
          <w:rFonts w:hint="eastAsia" w:ascii="仿宋_GB2312" w:eastAsia="仿宋_GB2312"/>
          <w:color w:val="auto"/>
          <w:sz w:val="44"/>
          <w:szCs w:val="44"/>
          <w:highlight w:val="none"/>
        </w:rPr>
      </w:pPr>
    </w:p>
    <w:p w14:paraId="01263303">
      <w:pPr>
        <w:jc w:val="center"/>
        <w:rPr>
          <w:rFonts w:eastAsia="仿宋_GB2312"/>
          <w:b/>
          <w:color w:val="auto"/>
          <w:sz w:val="44"/>
          <w:szCs w:val="44"/>
          <w:highlight w:val="none"/>
          <w:lang w:val="en-GB"/>
        </w:rPr>
      </w:pPr>
    </w:p>
    <w:p w14:paraId="027BD35D">
      <w:pPr>
        <w:jc w:val="center"/>
        <w:rPr>
          <w:rFonts w:eastAsia="仿宋_GB2312"/>
          <w:b/>
          <w:color w:val="auto"/>
          <w:sz w:val="44"/>
          <w:szCs w:val="44"/>
          <w:highlight w:val="none"/>
          <w:lang w:val="en-GB"/>
        </w:rPr>
      </w:pPr>
    </w:p>
    <w:p w14:paraId="673EB12D">
      <w:pPr>
        <w:jc w:val="center"/>
        <w:rPr>
          <w:rFonts w:hint="eastAsia" w:ascii="仿宋_GB2312" w:eastAsia="仿宋_GB2312"/>
          <w:b/>
          <w:color w:val="auto"/>
          <w:sz w:val="44"/>
          <w:szCs w:val="44"/>
          <w:highlight w:val="none"/>
        </w:rPr>
      </w:pPr>
    </w:p>
    <w:p w14:paraId="29B586BB">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广州南沙旅游发展有限公司</w:t>
      </w:r>
      <w:r>
        <w:rPr>
          <w:rFonts w:hint="eastAsia" w:ascii="宋体" w:hAnsi="宋体" w:eastAsia="宋体" w:cs="宋体"/>
          <w:b/>
          <w:color w:val="auto"/>
          <w:sz w:val="32"/>
          <w:szCs w:val="32"/>
          <w:highlight w:val="none"/>
        </w:rPr>
        <w:t>（业主单位）</w:t>
      </w:r>
    </w:p>
    <w:p w14:paraId="250F5D64">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w:t>
      </w:r>
      <w:r>
        <w:rPr>
          <w:rFonts w:hint="eastAsia" w:ascii="宋体" w:hAnsi="宋体" w:eastAsia="宋体" w:cs="宋体"/>
          <w:b/>
          <w:color w:val="auto"/>
          <w:sz w:val="32"/>
          <w:szCs w:val="32"/>
          <w:highlight w:val="none"/>
          <w:lang w:eastAsia="zh-CN"/>
        </w:rPr>
        <w:t>代业主单位</w:t>
      </w:r>
      <w:r>
        <w:rPr>
          <w:rFonts w:hint="eastAsia" w:ascii="宋体" w:hAnsi="宋体" w:eastAsia="宋体" w:cs="宋体"/>
          <w:b/>
          <w:color w:val="auto"/>
          <w:sz w:val="32"/>
          <w:szCs w:val="32"/>
          <w:highlight w:val="none"/>
        </w:rPr>
        <w:t>）</w:t>
      </w:r>
    </w:p>
    <w:p w14:paraId="23ED0C91">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14:paraId="7AE99EE1">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2024年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14:paraId="1D070426">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14:paraId="761E9FE9">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广州南沙旅游发展有限公司</w:t>
      </w:r>
      <w:r>
        <w:rPr>
          <w:rFonts w:hint="eastAsia" w:ascii="宋体" w:hAnsi="宋体" w:eastAsiaTheme="minorEastAsia" w:cstheme="minorBidi"/>
          <w:b/>
          <w:bCs/>
          <w:color w:val="auto"/>
          <w:sz w:val="24"/>
          <w:szCs w:val="24"/>
          <w:highlight w:val="none"/>
        </w:rPr>
        <w:t>（业主单位）</w:t>
      </w:r>
    </w:p>
    <w:p w14:paraId="687349C1">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w:t>
      </w:r>
      <w:r>
        <w:rPr>
          <w:rFonts w:hint="eastAsia" w:ascii="宋体" w:hAnsi="宋体" w:cstheme="minorBidi"/>
          <w:b/>
          <w:bCs/>
          <w:color w:val="auto"/>
          <w:sz w:val="24"/>
          <w:szCs w:val="24"/>
          <w:highlight w:val="none"/>
          <w:lang w:eastAsia="zh-CN"/>
        </w:rPr>
        <w:t>代业主单位</w:t>
      </w:r>
      <w:r>
        <w:rPr>
          <w:rFonts w:hint="eastAsia" w:ascii="宋体" w:hAnsi="宋体" w:eastAsiaTheme="minorEastAsia" w:cstheme="minorBidi"/>
          <w:b/>
          <w:bCs/>
          <w:color w:val="auto"/>
          <w:sz w:val="24"/>
          <w:szCs w:val="24"/>
          <w:highlight w:val="none"/>
        </w:rPr>
        <w:t>）</w:t>
      </w:r>
    </w:p>
    <w:p w14:paraId="63122195">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14:paraId="1C79AD13">
      <w:pPr>
        <w:spacing w:line="360" w:lineRule="auto"/>
        <w:ind w:firstLine="523" w:firstLineChars="217"/>
        <w:rPr>
          <w:rFonts w:hint="eastAsia" w:ascii="宋体" w:hAnsi="宋体"/>
          <w:b/>
          <w:bCs/>
          <w:color w:val="auto"/>
          <w:sz w:val="24"/>
          <w:highlight w:val="none"/>
        </w:rPr>
      </w:pPr>
    </w:p>
    <w:p w14:paraId="7CC56C45">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14:paraId="580026CD">
      <w:pPr>
        <w:tabs>
          <w:tab w:val="left" w:pos="1260"/>
          <w:tab w:val="left" w:pos="2160"/>
          <w:tab w:val="left" w:pos="7920"/>
        </w:tabs>
        <w:spacing w:line="360" w:lineRule="auto"/>
        <w:ind w:firstLine="520" w:firstLineChars="217"/>
        <w:rPr>
          <w:rFonts w:hint="eastAsia" w:ascii="宋体" w:hAnsi="宋体"/>
          <w:color w:val="auto"/>
          <w:sz w:val="24"/>
          <w:highlight w:val="none"/>
        </w:rPr>
      </w:pPr>
    </w:p>
    <w:p w14:paraId="4957633A">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内容及采购内容</w:t>
      </w:r>
    </w:p>
    <w:p w14:paraId="475528F8">
      <w:pPr>
        <w:widowControl w:val="0"/>
        <w:tabs>
          <w:tab w:val="left" w:pos="1260"/>
          <w:tab w:val="left" w:pos="2160"/>
          <w:tab w:val="left" w:pos="7920"/>
        </w:tabs>
        <w:kinsoku w:val="0"/>
        <w:wordWrap w:val="0"/>
        <w:spacing w:line="360" w:lineRule="auto"/>
        <w:ind w:left="239" w:leftChars="114" w:firstLine="278" w:firstLineChars="116"/>
        <w:jc w:val="both"/>
        <w:outlineLvl w:val="9"/>
        <w:rPr>
          <w:rFonts w:hint="eastAsia" w:ascii="宋体" w:hAnsi="宋体" w:eastAsiaTheme="minorEastAsia" w:cstheme="minorBidi"/>
          <w:color w:val="auto"/>
          <w:kern w:val="2"/>
          <w:sz w:val="24"/>
          <w:szCs w:val="24"/>
          <w:highlight w:val="none"/>
          <w:shd w:val="clear" w:color="auto" w:fill="auto"/>
        </w:rPr>
      </w:pPr>
      <w:r>
        <w:rPr>
          <w:rFonts w:hint="eastAsia" w:ascii="宋体" w:hAnsi="宋体" w:eastAsiaTheme="minorEastAsia" w:cstheme="minorBidi"/>
          <w:color w:val="auto"/>
          <w:kern w:val="2"/>
          <w:sz w:val="24"/>
          <w:szCs w:val="24"/>
          <w:highlight w:val="none"/>
          <w:lang w:val="en-US" w:eastAsia="zh-CN"/>
        </w:rPr>
        <w:t>1、</w:t>
      </w:r>
      <w:r>
        <w:rPr>
          <w:rFonts w:hint="eastAsia" w:ascii="宋体" w:hAnsi="宋体" w:eastAsiaTheme="minorEastAsia" w:cstheme="minorBidi"/>
          <w:color w:val="auto"/>
          <w:kern w:val="2"/>
          <w:sz w:val="24"/>
          <w:szCs w:val="24"/>
          <w:highlight w:val="none"/>
        </w:rPr>
        <w:t>本项目</w:t>
      </w:r>
      <w:r>
        <w:rPr>
          <w:rFonts w:hint="eastAsia" w:ascii="宋体" w:hAnsi="宋体" w:eastAsiaTheme="minorEastAsia" w:cstheme="minorBidi"/>
          <w:color w:val="auto"/>
          <w:kern w:val="2"/>
          <w:sz w:val="24"/>
          <w:szCs w:val="24"/>
          <w:highlight w:val="none"/>
          <w:lang w:eastAsia="zh-CN"/>
        </w:rPr>
        <w:t>位于</w:t>
      </w:r>
      <w:r>
        <w:rPr>
          <w:rFonts w:hint="eastAsia" w:ascii="宋体" w:hAnsi="宋体" w:eastAsiaTheme="minorEastAsia" w:cstheme="minorBidi"/>
          <w:color w:val="auto"/>
          <w:kern w:val="2"/>
          <w:sz w:val="24"/>
          <w:szCs w:val="24"/>
          <w:highlight w:val="none"/>
          <w:u w:val="none"/>
        </w:rPr>
        <w:t>广州市南沙区</w:t>
      </w:r>
      <w:r>
        <w:rPr>
          <w:rFonts w:hint="eastAsia" w:ascii="宋体" w:hAnsi="宋体" w:eastAsiaTheme="minorEastAsia" w:cstheme="minorBidi"/>
          <w:color w:val="auto"/>
          <w:kern w:val="2"/>
          <w:sz w:val="24"/>
          <w:szCs w:val="24"/>
          <w:highlight w:val="none"/>
          <w:u w:val="none"/>
          <w:lang w:eastAsia="zh-CN"/>
        </w:rPr>
        <w:t>天后宫、蒲州花园、滨海公园，</w:t>
      </w:r>
      <w:r>
        <w:rPr>
          <w:rFonts w:hint="eastAsia" w:ascii="宋体" w:hAnsi="宋体" w:eastAsiaTheme="minorEastAsia" w:cstheme="minorBidi"/>
          <w:color w:val="auto"/>
          <w:kern w:val="2"/>
          <w:sz w:val="24"/>
          <w:szCs w:val="24"/>
          <w:highlight w:val="none"/>
          <w:lang w:eastAsia="zh-CN"/>
        </w:rPr>
        <w:t>通过灯组的制造、安装及布展，</w:t>
      </w:r>
      <w:r>
        <w:rPr>
          <w:rFonts w:hint="eastAsia" w:ascii="宋体" w:hAnsi="宋体" w:eastAsiaTheme="minorEastAsia" w:cstheme="minorBidi"/>
          <w:color w:val="auto"/>
          <w:kern w:val="2"/>
          <w:sz w:val="24"/>
          <w:szCs w:val="24"/>
          <w:highlight w:val="none"/>
          <w:lang w:val="en-US" w:eastAsia="zh-CN" w:bidi="ar"/>
        </w:rPr>
        <w:t>以“华彩耀湾区·千灯照珠江”为主题，将传统与现代、地方与国际、多元与统一完美结合，拟打造为大湾区史上最大型的超级灯会。</w:t>
      </w:r>
      <w:r>
        <w:rPr>
          <w:rFonts w:hint="eastAsia" w:ascii="宋体" w:hAnsi="宋体" w:eastAsiaTheme="minorEastAsia" w:cstheme="minorBidi"/>
          <w:color w:val="auto"/>
          <w:kern w:val="2"/>
          <w:sz w:val="24"/>
          <w:szCs w:val="24"/>
          <w:highlight w:val="none"/>
          <w:lang w:val="en-US" w:eastAsia="zh-CN"/>
        </w:rPr>
        <w:t>总投资额12830万元</w:t>
      </w:r>
      <w:r>
        <w:rPr>
          <w:rFonts w:hint="eastAsia" w:ascii="宋体" w:hAnsi="宋体" w:eastAsiaTheme="minorEastAsia" w:cstheme="minorBidi"/>
          <w:color w:val="auto"/>
          <w:kern w:val="2"/>
          <w:sz w:val="24"/>
          <w:szCs w:val="24"/>
          <w:highlight w:val="none"/>
          <w:shd w:val="clear" w:color="auto" w:fill="auto"/>
          <w:lang w:bidi="ar-SA"/>
        </w:rPr>
        <w:t>。</w:t>
      </w:r>
    </w:p>
    <w:p w14:paraId="29F4DA0C">
      <w:pPr>
        <w:pStyle w:val="14"/>
        <w:spacing w:line="360" w:lineRule="auto"/>
        <w:rPr>
          <w:rFonts w:hint="eastAsia" w:ascii="宋体" w:hAnsi="宋体" w:eastAsiaTheme="minorEastAsia" w:cstheme="minorBidi"/>
          <w:color w:val="auto"/>
          <w:spacing w:val="0"/>
          <w:sz w:val="24"/>
          <w:szCs w:val="24"/>
          <w:highlight w:val="none"/>
          <w:lang w:val="en-US" w:eastAsia="zh-CN" w:bidi="ar"/>
        </w:rPr>
      </w:pPr>
      <w:r>
        <w:rPr>
          <w:rFonts w:hint="eastAsia" w:ascii="宋体" w:hAnsi="宋体" w:cstheme="minorBidi"/>
          <w:color w:val="auto"/>
          <w:kern w:val="2"/>
          <w:sz w:val="24"/>
          <w:szCs w:val="24"/>
          <w:highlight w:val="none"/>
          <w:shd w:val="clear"/>
          <w:lang w:val="en-US" w:eastAsia="zh-CN" w:bidi="ar"/>
        </w:rPr>
        <w:t>2、采购内容：</w:t>
      </w:r>
      <w:r>
        <w:rPr>
          <w:rFonts w:hint="eastAsia" w:ascii="宋体" w:hAnsi="宋体" w:cstheme="minorBidi"/>
          <w:color w:val="auto"/>
          <w:sz w:val="24"/>
          <w:highlight w:val="none"/>
          <w:lang w:bidi="ar"/>
        </w:rPr>
        <w:t>成套</w:t>
      </w:r>
      <w:r>
        <w:rPr>
          <w:rFonts w:hint="eastAsia" w:ascii="宋体" w:hAnsi="宋体" w:eastAsiaTheme="minorEastAsia" w:cstheme="minorBidi"/>
          <w:i w:val="0"/>
          <w:iCs w:val="0"/>
          <w:caps w:val="0"/>
          <w:color w:val="auto"/>
          <w:spacing w:val="0"/>
          <w:sz w:val="24"/>
          <w:szCs w:val="24"/>
          <w:highlight w:val="none"/>
          <w:shd w:val="clear"/>
          <w:lang w:bidi="ar"/>
        </w:rPr>
        <w:t>配电箱</w:t>
      </w:r>
      <w:r>
        <w:rPr>
          <w:rFonts w:hint="eastAsia" w:ascii="宋体" w:hAnsi="宋体" w:eastAsiaTheme="minorEastAsia" w:cstheme="minorBidi"/>
          <w:color w:val="auto"/>
          <w:sz w:val="24"/>
          <w:szCs w:val="24"/>
          <w:highlight w:val="none"/>
          <w:lang w:val="en-US" w:eastAsia="zh-CN" w:bidi="ar"/>
        </w:rPr>
        <w:t>，详见清单</w:t>
      </w:r>
      <w:r>
        <w:rPr>
          <w:rFonts w:hint="eastAsia" w:ascii="宋体" w:hAnsi="宋体" w:eastAsiaTheme="minorEastAsia" w:cstheme="minorBidi"/>
          <w:color w:val="auto"/>
          <w:kern w:val="2"/>
          <w:sz w:val="24"/>
          <w:szCs w:val="24"/>
          <w:highlight w:val="none"/>
          <w:shd w:val="clear"/>
          <w:lang w:bidi="ar"/>
        </w:rPr>
        <w:t>。</w:t>
      </w:r>
      <w:r>
        <w:rPr>
          <w:rFonts w:hint="eastAsia" w:ascii="宋体" w:hAnsi="宋体" w:eastAsiaTheme="minorEastAsia" w:cstheme="minorBidi"/>
          <w:color w:val="auto"/>
          <w:kern w:val="2"/>
          <w:sz w:val="24"/>
          <w:szCs w:val="24"/>
          <w:highlight w:val="none"/>
          <w:lang w:eastAsia="zh-CN" w:bidi="ar"/>
        </w:rPr>
        <w:t>乙方</w:t>
      </w:r>
      <w:r>
        <w:rPr>
          <w:rFonts w:hint="eastAsia" w:ascii="宋体" w:hAnsi="宋体" w:eastAsiaTheme="minorEastAsia" w:cstheme="minorBidi"/>
          <w:color w:val="auto"/>
          <w:kern w:val="2"/>
          <w:sz w:val="24"/>
          <w:szCs w:val="24"/>
          <w:highlight w:val="none"/>
          <w:lang w:bidi="ar"/>
        </w:rPr>
        <w:t>需按招标文件、图纸规范等要求进行设计、生产，如</w:t>
      </w:r>
      <w:r>
        <w:rPr>
          <w:rFonts w:hint="eastAsia" w:ascii="宋体" w:hAnsi="宋体" w:eastAsiaTheme="minorEastAsia" w:cstheme="minorBidi"/>
          <w:color w:val="auto"/>
          <w:kern w:val="2"/>
          <w:sz w:val="24"/>
          <w:szCs w:val="24"/>
          <w:highlight w:val="none"/>
          <w:lang w:eastAsia="zh-CN" w:bidi="ar"/>
        </w:rPr>
        <w:t>甲方</w:t>
      </w:r>
      <w:r>
        <w:rPr>
          <w:rFonts w:hint="eastAsia" w:ascii="宋体" w:hAnsi="宋体" w:eastAsiaTheme="minorEastAsia" w:cstheme="minorBidi"/>
          <w:color w:val="auto"/>
          <w:kern w:val="2"/>
          <w:sz w:val="24"/>
          <w:szCs w:val="24"/>
          <w:highlight w:val="none"/>
          <w:lang w:bidi="ar"/>
        </w:rPr>
        <w:t>需求有调整时，</w:t>
      </w:r>
      <w:r>
        <w:rPr>
          <w:rFonts w:hint="eastAsia" w:ascii="宋体" w:hAnsi="宋体" w:eastAsiaTheme="minorEastAsia" w:cstheme="minorBidi"/>
          <w:color w:val="auto"/>
          <w:kern w:val="2"/>
          <w:sz w:val="24"/>
          <w:szCs w:val="24"/>
          <w:highlight w:val="none"/>
          <w:lang w:eastAsia="zh-CN" w:bidi="ar"/>
        </w:rPr>
        <w:t>乙方</w:t>
      </w:r>
      <w:r>
        <w:rPr>
          <w:rFonts w:hint="eastAsia" w:ascii="宋体" w:hAnsi="宋体" w:eastAsiaTheme="minorEastAsia" w:cstheme="minorBidi"/>
          <w:color w:val="auto"/>
          <w:kern w:val="2"/>
          <w:sz w:val="24"/>
          <w:szCs w:val="24"/>
          <w:highlight w:val="none"/>
          <w:lang w:bidi="ar"/>
        </w:rPr>
        <w:t>必须服从要求调整</w:t>
      </w:r>
      <w:r>
        <w:rPr>
          <w:rFonts w:hint="eastAsia" w:ascii="宋体" w:hAnsi="宋体" w:eastAsiaTheme="minorEastAsia" w:cstheme="minorBidi"/>
          <w:color w:val="auto"/>
          <w:spacing w:val="0"/>
          <w:sz w:val="24"/>
          <w:szCs w:val="24"/>
          <w:highlight w:val="none"/>
          <w:lang w:val="en-US" w:eastAsia="zh-CN" w:bidi="ar"/>
        </w:rPr>
        <w:t>。</w:t>
      </w:r>
    </w:p>
    <w:p w14:paraId="2C15907C">
      <w:pPr>
        <w:tabs>
          <w:tab w:val="left" w:pos="1260"/>
          <w:tab w:val="left" w:pos="2160"/>
          <w:tab w:val="left" w:pos="7920"/>
        </w:tabs>
        <w:kinsoku w:val="0"/>
        <w:wordWrap w:val="0"/>
        <w:spacing w:line="360" w:lineRule="auto"/>
        <w:ind w:left="0" w:leftChars="0" w:firstLine="0" w:firstLineChars="0"/>
        <w:jc w:val="both"/>
        <w:outlineLvl w:val="9"/>
        <w:rPr>
          <w:rFonts w:hint="eastAsia" w:ascii="宋体" w:hAnsi="宋体" w:cstheme="minorBidi"/>
          <w:b w:val="0"/>
          <w:bCs w:val="0"/>
          <w:color w:val="auto"/>
          <w:kern w:val="2"/>
          <w:sz w:val="24"/>
          <w:highlight w:val="none"/>
          <w:shd w:val="clear"/>
          <w:lang w:bidi="ar"/>
        </w:rPr>
      </w:pPr>
    </w:p>
    <w:p w14:paraId="7F052F62">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14:paraId="71F6AC78">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14:paraId="20016B30">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14:paraId="32630CBD">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14:paraId="7AD11F61">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14:paraId="4C8B7F0E">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14:paraId="37A5E653">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14:paraId="1A71BF31">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14:paraId="424C3B8B">
      <w:pPr>
        <w:spacing w:line="360" w:lineRule="auto"/>
        <w:ind w:left="540" w:hanging="540" w:hangingChars="225"/>
        <w:rPr>
          <w:rFonts w:hint="eastAsia" w:asciiTheme="minorEastAsia" w:hAnsiTheme="minorEastAsia" w:eastAsiaTheme="minorEastAsia" w:cstheme="minorEastAsia"/>
          <w:color w:val="auto"/>
          <w:sz w:val="24"/>
          <w:highlight w:val="none"/>
        </w:rPr>
      </w:pPr>
    </w:p>
    <w:p w14:paraId="299B9FC8">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14:paraId="7CA4685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14:paraId="68F8560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由乙方负责按合同规定的时间、地点完成交货，并与甲方完成验收。</w:t>
      </w:r>
    </w:p>
    <w:p w14:paraId="3842C5D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 质保和维修</w:t>
      </w:r>
    </w:p>
    <w:p w14:paraId="59732924">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.1.保修期、保养期从</w:t>
      </w:r>
      <w:r>
        <w:rPr>
          <w:rFonts w:hint="eastAsia" w:asciiTheme="minorEastAsia" w:hAnsiTheme="minorEastAsia" w:eastAsiaTheme="minorEastAsia" w:cstheme="minorEastAsia"/>
          <w:color w:val="auto"/>
          <w:sz w:val="24"/>
          <w:highlight w:val="none"/>
        </w:rPr>
        <w:t>甲、乙、监理及低压电力工程安装单位四方书面确认</w:t>
      </w:r>
      <w:r>
        <w:rPr>
          <w:rFonts w:hint="eastAsia" w:asciiTheme="minorEastAsia" w:hAnsiTheme="minorEastAsia" w:eastAsiaTheme="minorEastAsia" w:cstheme="minorEastAsia"/>
          <w:color w:val="auto"/>
          <w:sz w:val="24"/>
          <w:szCs w:val="24"/>
          <w:highlight w:val="none"/>
        </w:rPr>
        <w:t>之日起</w:t>
      </w:r>
      <w:r>
        <w:rPr>
          <w:rFonts w:hint="eastAsia" w:asciiTheme="minorEastAsia" w:hAnsiTheme="minorEastAsia" w:eastAsiaTheme="minorEastAsia" w:cstheme="minorEastAsia"/>
          <w:color w:val="auto"/>
          <w:sz w:val="24"/>
          <w:szCs w:val="24"/>
          <w:highlight w:val="none"/>
          <w:lang w:val="en-US" w:eastAsia="zh-CN"/>
        </w:rPr>
        <w:t>计算1年</w:t>
      </w:r>
      <w:r>
        <w:rPr>
          <w:rFonts w:hint="eastAsia" w:asciiTheme="minorEastAsia" w:hAnsiTheme="minorEastAsia" w:eastAsiaTheme="minorEastAsia" w:cstheme="minorEastAsia"/>
          <w:color w:val="auto"/>
          <w:sz w:val="24"/>
          <w:szCs w:val="24"/>
          <w:highlight w:val="none"/>
        </w:rPr>
        <w:t>。</w:t>
      </w:r>
    </w:p>
    <w:p w14:paraId="178791D3">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.2.乙方应在质保期内提供免费上门维修服务。要求乙方在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14:paraId="522CDD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 货物质保期内乙方应向甲方提供免费的货物全面保养，保养频率至少一年一次。</w:t>
      </w:r>
    </w:p>
    <w:p w14:paraId="56168127">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.4 在保修期、保养期内，如货物非因甲方的人为原因而出现质量问题，甲方有权向乙方提出质量异议，乙方应负责包修、包换或包退，承担修理、调换或退货的实际费用。乙方不能修理或不能退换，均按不能交货处理。</w:t>
      </w:r>
    </w:p>
    <w:p w14:paraId="0448535C">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14:paraId="75D51293">
      <w:pPr>
        <w:numPr>
          <w:ilvl w:val="0"/>
          <w:numId w:val="0"/>
        </w:numPr>
        <w:snapToGrid w:val="0"/>
        <w:spacing w:line="360" w:lineRule="auto"/>
        <w:ind w:firstLine="480" w:firstLineChars="200"/>
        <w:rPr>
          <w:rFonts w:hint="eastAsia"/>
          <w:color w:val="auto"/>
          <w:highlight w:val="none"/>
        </w:rPr>
      </w:pP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lang w:eastAsia="zh-CN"/>
        </w:rPr>
        <w:t>本次配电箱采购</w:t>
      </w:r>
      <w:r>
        <w:rPr>
          <w:rFonts w:hint="eastAsia" w:asciiTheme="minorEastAsia" w:hAnsiTheme="minorEastAsia" w:eastAsiaTheme="minorEastAsia" w:cstheme="minorEastAsia"/>
          <w:color w:val="auto"/>
          <w:sz w:val="24"/>
          <w:highlight w:val="none"/>
        </w:rPr>
        <w:t>合同总价</w:t>
      </w:r>
      <w:r>
        <w:rPr>
          <w:rFonts w:hint="eastAsia" w:asciiTheme="minorEastAsia" w:hAnsiTheme="minorEastAsia" w:cstheme="minorEastAsia"/>
          <w:color w:val="auto"/>
          <w:sz w:val="24"/>
          <w:highlight w:val="none"/>
          <w:lang w:eastAsia="zh-CN"/>
        </w:rPr>
        <w:t>暂定</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r>
        <w:rPr>
          <w:rFonts w:hint="eastAsia" w:asciiTheme="minorEastAsia" w:hAnsiTheme="minorEastAsia" w:cstheme="minorEastAsia"/>
          <w:color w:val="auto"/>
          <w:sz w:val="24"/>
          <w:highlight w:val="none"/>
          <w:lang w:eastAsia="zh-CN"/>
        </w:rPr>
        <w:t>，其中，不含税价为</w:t>
      </w:r>
      <w:r>
        <w:rPr>
          <w:rFonts w:hint="eastAsia" w:asciiTheme="minorEastAsia" w:hAnsiTheme="minorEastAsia" w:cstheme="minorEastAsia"/>
          <w:color w:val="auto"/>
          <w:sz w:val="24"/>
          <w:highlight w:val="none"/>
          <w:lang w:val="en-US" w:eastAsia="zh-CN"/>
        </w:rPr>
        <w:t xml:space="preserve">  元，税费为   元，税率为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合同价格形式为综合单价包干，按实际交付的货物量进行结算。</w:t>
      </w:r>
    </w:p>
    <w:p w14:paraId="4A2F5C23">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上述价款包含货物价款、仓储费、运输费、装卸费、保险费用以及应缴纳的一切关税等费用，甲方无须向乙方另外支付任何费用。</w:t>
      </w:r>
    </w:p>
    <w:p w14:paraId="6222F97B">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2、支付方式：</w:t>
      </w:r>
    </w:p>
    <w:p w14:paraId="1E389AEC">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2.1甲方发出中标通知书后，乙方即根据图纸材料清单，开展配电箱生产。</w:t>
      </w:r>
    </w:p>
    <w:p w14:paraId="4F1E57E3">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2.2 合同签订后3天内，乙方向甲方</w:t>
      </w:r>
      <w:r>
        <w:rPr>
          <w:rFonts w:hint="eastAsia" w:asciiTheme="minorEastAsia" w:hAnsiTheme="minorEastAsia" w:eastAsiaTheme="minorEastAsia" w:cstheme="minorEastAsia"/>
          <w:color w:val="auto"/>
          <w:sz w:val="24"/>
          <w:highlight w:val="none"/>
        </w:rPr>
        <w:t>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（金额为合同总价的</w:t>
      </w:r>
      <w:r>
        <w:rPr>
          <w:rFonts w:hint="eastAsia" w:asciiTheme="minorEastAsia" w:hAnsiTheme="minorEastAsia" w:cstheme="minorEastAsia"/>
          <w:color w:val="auto"/>
          <w:sz w:val="24"/>
          <w:highlight w:val="none"/>
          <w:lang w:val="en-US" w:eastAsia="zh-CN"/>
        </w:rPr>
        <w:t>100%</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确认无误后，开展付款申请手续。</w:t>
      </w:r>
    </w:p>
    <w:p w14:paraId="5E56D638">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2.3 乙方完成第一批配电箱生产，按甲方指定的时间、地点全部到货且核对、清点并经甲、乙、监理及低压电力工程安装单位四方书面确认后，甲方当天通过银行转账方式向乙方支付至合同总价的50%，乙方在收到上述货款后，</w:t>
      </w:r>
      <w:r>
        <w:rPr>
          <w:rFonts w:hint="eastAsia" w:asciiTheme="minorEastAsia" w:hAnsiTheme="minorEastAsia" w:cstheme="minorEastAsia"/>
          <w:color w:val="auto"/>
          <w:sz w:val="24"/>
          <w:highlight w:val="none"/>
          <w:lang w:eastAsia="zh-CN"/>
        </w:rPr>
        <w:t>在甲方指定地点完成</w:t>
      </w:r>
      <w:r>
        <w:rPr>
          <w:rFonts w:hint="eastAsia" w:asciiTheme="minorEastAsia" w:hAnsiTheme="minorEastAsia" w:cstheme="minorEastAsia"/>
          <w:color w:val="auto"/>
          <w:sz w:val="24"/>
          <w:highlight w:val="none"/>
          <w:lang w:val="en-US" w:eastAsia="zh-CN"/>
        </w:rPr>
        <w:t>第一批</w:t>
      </w:r>
      <w:r>
        <w:rPr>
          <w:rFonts w:hint="eastAsia" w:asciiTheme="minorEastAsia" w:hAnsiTheme="minorEastAsia" w:cstheme="minorEastAsia"/>
          <w:color w:val="auto"/>
          <w:sz w:val="24"/>
          <w:highlight w:val="none"/>
          <w:lang w:eastAsia="zh-CN"/>
        </w:rPr>
        <w:t>配电箱卸货。</w:t>
      </w:r>
    </w:p>
    <w:p w14:paraId="29338326">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2.4 乙方完成余下全部配电箱生产，按甲方指定的时间、地点全部到货且核对、清点并经甲、乙、监理及低压电力工程安装单位四方书面确认后，甲方当天通过银行转账方式向乙方支付合同余款，乙方在收到上述货款后，</w:t>
      </w:r>
      <w:r>
        <w:rPr>
          <w:rFonts w:hint="eastAsia" w:asciiTheme="minorEastAsia" w:hAnsiTheme="minorEastAsia" w:cstheme="minorEastAsia"/>
          <w:color w:val="auto"/>
          <w:sz w:val="24"/>
          <w:highlight w:val="none"/>
          <w:lang w:eastAsia="zh-CN"/>
        </w:rPr>
        <w:t>在甲方指定地点完成余下全部配电箱卸货。</w:t>
      </w:r>
    </w:p>
    <w:p w14:paraId="58D7B403">
      <w:pPr>
        <w:snapToGrid w:val="0"/>
        <w:spacing w:line="360" w:lineRule="auto"/>
        <w:ind w:firstLine="360" w:firstLineChars="150"/>
        <w:rPr>
          <w:rFonts w:hint="eastAsia" w:asciiTheme="minorEastAsia" w:hAnsiTheme="minorEastAsia" w:eastAsiaTheme="minorEastAsia" w:cstheme="minorEastAsia"/>
          <w:color w:val="auto"/>
          <w:sz w:val="24"/>
          <w:highlight w:val="none"/>
        </w:rPr>
      </w:pPr>
      <w:bookmarkStart w:id="8" w:name="_GoBack"/>
      <w:bookmarkEnd w:id="8"/>
      <w:r>
        <w:rPr>
          <w:rFonts w:hint="eastAsia" w:asciiTheme="minorEastAsia" w:hAnsiTheme="minorEastAsia" w:eastAsiaTheme="minorEastAsia" w:cstheme="minorEastAsia"/>
          <w:color w:val="auto"/>
          <w:sz w:val="24"/>
          <w:highlight w:val="none"/>
        </w:rPr>
        <w:t>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14:paraId="6DA8808A">
      <w:pPr>
        <w:adjustRightInd/>
        <w:snapToGrid w:val="0"/>
        <w:spacing w:line="360" w:lineRule="auto"/>
        <w:ind w:firstLine="360" w:firstLineChars="150"/>
        <w:rPr>
          <w:rFonts w:hint="eastAsia" w:asciiTheme="minorEastAsia" w:hAnsiTheme="minorEastAsia" w:eastAsiaTheme="minorEastAsia" w:cstheme="minorEastAsia"/>
          <w:color w:val="auto"/>
          <w:sz w:val="24"/>
          <w:highlight w:val="none"/>
        </w:rPr>
      </w:pPr>
    </w:p>
    <w:p w14:paraId="3D718120">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第五条 </w:t>
      </w: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14:paraId="4DBC39DE">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w:t>
      </w:r>
      <w:r>
        <w:rPr>
          <w:rFonts w:hint="eastAsia" w:asciiTheme="minorEastAsia" w:hAnsiTheme="minorEastAsia" w:cstheme="minorEastAsia"/>
          <w:color w:val="auto"/>
          <w:sz w:val="24"/>
          <w:highlight w:val="none"/>
        </w:rPr>
        <w:t>配电箱供应</w:t>
      </w:r>
      <w:r>
        <w:rPr>
          <w:rFonts w:hint="eastAsia" w:asciiTheme="minorEastAsia" w:hAnsiTheme="minorEastAsia" w:cstheme="minorEastAsia"/>
          <w:color w:val="auto"/>
          <w:sz w:val="24"/>
          <w:highlight w:val="none"/>
          <w:lang w:val="en-US" w:eastAsia="zh-CN"/>
        </w:rPr>
        <w:t>须</w:t>
      </w:r>
      <w:r>
        <w:rPr>
          <w:rFonts w:hint="eastAsia" w:asciiTheme="minorEastAsia" w:hAnsiTheme="minorEastAsia" w:cstheme="minorEastAsia"/>
          <w:color w:val="auto"/>
          <w:sz w:val="24"/>
          <w:highlight w:val="none"/>
        </w:rPr>
        <w:t>满足现场施工进度计划要求，在2024年12月31日前交付50套，2025年1月5日前完成全部货物交付。</w:t>
      </w:r>
    </w:p>
    <w:p w14:paraId="05AB923F">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点：</w:t>
      </w:r>
      <w:r>
        <w:rPr>
          <w:rFonts w:hint="eastAsia" w:asciiTheme="minorEastAsia" w:hAnsiTheme="minorEastAsia" w:cstheme="minorEastAsia"/>
          <w:color w:val="auto"/>
          <w:sz w:val="24"/>
          <w:highlight w:val="none"/>
          <w:lang w:eastAsia="zh-CN"/>
        </w:rPr>
        <w:t>广州市南沙区滨海公园、天后宫、蒲州花园等，具体在甲方指定地点卸货</w:t>
      </w:r>
      <w:r>
        <w:rPr>
          <w:rFonts w:hint="eastAsia" w:asciiTheme="minorEastAsia" w:hAnsiTheme="minorEastAsia" w:eastAsiaTheme="minorEastAsia" w:cstheme="minorEastAsia"/>
          <w:color w:val="auto"/>
          <w:sz w:val="24"/>
          <w:highlight w:val="none"/>
        </w:rPr>
        <w:t>。</w:t>
      </w:r>
    </w:p>
    <w:p w14:paraId="21EA35BF">
      <w:pPr>
        <w:snapToGrid w:val="0"/>
        <w:spacing w:line="360" w:lineRule="auto"/>
        <w:rPr>
          <w:rFonts w:hint="eastAsia" w:asciiTheme="minorEastAsia" w:hAnsiTheme="minorEastAsia" w:eastAsiaTheme="minorEastAsia" w:cstheme="minorEastAsia"/>
          <w:color w:val="auto"/>
          <w:sz w:val="24"/>
          <w:highlight w:val="none"/>
        </w:rPr>
      </w:pPr>
    </w:p>
    <w:p w14:paraId="1734E843">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14:paraId="2E0A70F0">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14:paraId="693E0BE4">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14:paraId="57D8A740">
      <w:pPr>
        <w:numPr>
          <w:ilvl w:val="0"/>
          <w:numId w:val="4"/>
        </w:numPr>
        <w:snapToGrid w:val="0"/>
        <w:spacing w:line="360" w:lineRule="auto"/>
        <w:rPr>
          <w:rFonts w:hint="eastAsia" w:ascii="宋体" w:hAnsi="宋体" w:eastAsia="宋体" w:cs="宋体"/>
          <w:b/>
          <w:bCs/>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14:paraId="19B77071">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违约责任</w:t>
      </w:r>
    </w:p>
    <w:p w14:paraId="5033868D">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14:paraId="00F8316C">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货物采购合同总价的2‰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14:paraId="69342A43">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如甲方在乙方交货验收时发现货物存在严重质量问题或与本招标技术要求不符时，甲方有权要求无条件退货，且乙方还应向甲方缴纳货物采购合同总价的10%作为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14:paraId="6A3AC364">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如因乙方原因（不可抗力除外）造成交货延期，从规定交货日期起计，每延迟一天按货物采购合同总价的1‰向甲方支付违约金，违约金最高不超过货物采购合同总价的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逾期交货超过5日的，甲方有权单方解除合同。</w:t>
      </w:r>
    </w:p>
    <w:p w14:paraId="70092F37">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若交货期拖延不能满足甲方要求，甲方将有权单方面终止全部合同或取消部分合同，且乙方还须向甲方支付违约金，违约金为货物采购合同总价的20%。</w:t>
      </w:r>
    </w:p>
    <w:p w14:paraId="135A5C0F">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14:paraId="033CAC8A">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天内免费更换货物，由此造成逾期交货的，按第七条第4款处理。</w:t>
      </w:r>
    </w:p>
    <w:p w14:paraId="721B3D58">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14:paraId="579A2C1C">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14:paraId="6BECAF51">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因本项目的重要性和紧急性，如未能按照规定时间完成全部货物交付的情况下，需要另外支付违约金：如交付期较计划滞后超过3天，</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应采取措施追赶进度；如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不能按</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要求追赶进度的，</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有权另行采购，由此产生的责任由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承担，并向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支付违约金50000.00元。</w:t>
      </w:r>
    </w:p>
    <w:p w14:paraId="50BAE5A6">
      <w:pPr>
        <w:pStyle w:val="10"/>
        <w:snapToGrid w:val="0"/>
        <w:spacing w:line="360" w:lineRule="auto"/>
        <w:rPr>
          <w:rFonts w:hint="eastAsia" w:ascii="宋体" w:hAnsi="宋体" w:eastAsia="宋体" w:cs="宋体"/>
          <w:color w:val="auto"/>
          <w:sz w:val="24"/>
          <w:szCs w:val="24"/>
          <w:highlight w:val="none"/>
        </w:rPr>
      </w:pPr>
    </w:p>
    <w:p w14:paraId="6E56DC2B">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 不可抗力</w:t>
      </w:r>
    </w:p>
    <w:p w14:paraId="7D1A95AB">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14:paraId="7D026C55">
      <w:pPr>
        <w:snapToGrid w:val="0"/>
        <w:spacing w:line="360" w:lineRule="auto"/>
        <w:ind w:firstLine="480" w:firstLineChars="200"/>
        <w:rPr>
          <w:rFonts w:hint="eastAsia" w:ascii="宋体" w:hAnsi="宋体" w:eastAsia="宋体" w:cs="宋体"/>
          <w:color w:val="auto"/>
          <w:sz w:val="24"/>
          <w:highlight w:val="none"/>
        </w:rPr>
      </w:pPr>
    </w:p>
    <w:p w14:paraId="3A268C56">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合同的变更、中止、终止</w:t>
      </w:r>
    </w:p>
    <w:p w14:paraId="68207223">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14:paraId="77340330">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14:paraId="7E235D0D">
      <w:pPr>
        <w:tabs>
          <w:tab w:val="left" w:pos="840"/>
        </w:tabs>
        <w:snapToGrid w:val="0"/>
        <w:spacing w:line="360" w:lineRule="auto"/>
        <w:ind w:firstLine="480" w:firstLineChars="200"/>
        <w:rPr>
          <w:rFonts w:hint="eastAsia" w:ascii="宋体" w:hAnsi="宋体" w:eastAsia="宋体" w:cs="宋体"/>
          <w:color w:val="auto"/>
          <w:sz w:val="24"/>
          <w:highlight w:val="none"/>
        </w:rPr>
      </w:pPr>
    </w:p>
    <w:p w14:paraId="3A60FC9A">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 法律适用和争议解决</w:t>
      </w:r>
    </w:p>
    <w:p w14:paraId="6DFCD837">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14:paraId="108D36B4">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14:paraId="648EDFAF">
      <w:pPr>
        <w:snapToGrid w:val="0"/>
        <w:spacing w:line="360" w:lineRule="auto"/>
        <w:ind w:firstLine="0" w:firstLineChars="0"/>
        <w:rPr>
          <w:rFonts w:hint="eastAsia" w:ascii="宋体" w:hAnsi="宋体" w:eastAsia="宋体" w:cs="宋体"/>
          <w:color w:val="auto"/>
          <w:sz w:val="24"/>
          <w:highlight w:val="none"/>
        </w:rPr>
      </w:pPr>
    </w:p>
    <w:p w14:paraId="2EA3CC48">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 其它</w:t>
      </w:r>
    </w:p>
    <w:p w14:paraId="45DBB876">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14:paraId="54A9E84C">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14:paraId="6AA791B4">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14:paraId="6485E250">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14:paraId="7C8B4758">
      <w:pPr>
        <w:snapToGrid w:val="0"/>
        <w:spacing w:line="360" w:lineRule="auto"/>
        <w:rPr>
          <w:rFonts w:hint="eastAsia" w:ascii="宋体" w:hAnsi="宋体" w:eastAsia="宋体" w:cs="宋体"/>
          <w:color w:val="auto"/>
          <w:sz w:val="24"/>
          <w:highlight w:val="none"/>
        </w:rPr>
      </w:pPr>
    </w:p>
    <w:p w14:paraId="478543D3">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 合同的效力</w:t>
      </w:r>
    </w:p>
    <w:p w14:paraId="0004CB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lang w:eastAsia="zh-Hans"/>
        </w:rPr>
        <w:t>式</w:t>
      </w:r>
      <w:r>
        <w:rPr>
          <w:rFonts w:hint="eastAsia" w:ascii="宋体" w:hAnsi="宋体" w:eastAsia="宋体" w:cs="宋体"/>
          <w:color w:val="auto"/>
          <w:sz w:val="24"/>
          <w:highlight w:val="none"/>
          <w:u w:val="none"/>
          <w:lang w:eastAsia="zh-Hans"/>
        </w:rPr>
        <w:t>1</w:t>
      </w:r>
      <w:r>
        <w:rPr>
          <w:rFonts w:hint="eastAsia" w:ascii="宋体" w:hAnsi="宋体" w:eastAsia="宋体" w:cs="宋体"/>
          <w:color w:val="auto"/>
          <w:sz w:val="24"/>
          <w:highlight w:val="none"/>
          <w:u w:val="none"/>
          <w:lang w:val="en-US" w:eastAsia="zh-Hans"/>
        </w:rPr>
        <w:t>2</w:t>
      </w:r>
      <w:r>
        <w:rPr>
          <w:rFonts w:hint="eastAsia" w:ascii="宋体" w:hAnsi="宋体" w:eastAsia="宋体" w:cs="宋体"/>
          <w:color w:val="auto"/>
          <w:sz w:val="24"/>
          <w:highlight w:val="none"/>
          <w:lang w:eastAsia="zh-Hans"/>
        </w:rPr>
        <w:t>份，甲方</w:t>
      </w:r>
      <w:r>
        <w:rPr>
          <w:rFonts w:hint="eastAsia" w:ascii="宋体" w:hAnsi="宋体" w:eastAsia="宋体" w:cs="宋体"/>
          <w:color w:val="auto"/>
          <w:sz w:val="24"/>
          <w:highlight w:val="none"/>
          <w:lang w:eastAsia="zh-CN"/>
        </w:rPr>
        <w:t>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14:paraId="53DDEB35">
      <w:pPr>
        <w:snapToGrid w:val="0"/>
        <w:spacing w:line="360" w:lineRule="auto"/>
        <w:rPr>
          <w:rFonts w:hint="eastAsia" w:ascii="宋体" w:hAnsi="宋体" w:eastAsia="宋体" w:cs="宋体"/>
          <w:b w:val="0"/>
          <w:bCs w:val="0"/>
          <w:color w:val="auto"/>
          <w:sz w:val="24"/>
          <w:szCs w:val="24"/>
          <w:highlight w:val="none"/>
          <w:lang w:eastAsia="zh-CN"/>
        </w:rPr>
      </w:pPr>
    </w:p>
    <w:p w14:paraId="0AFDF5FF">
      <w:pPr>
        <w:snapToGrid/>
        <w:spacing w:line="24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br w:type="page"/>
      </w:r>
    </w:p>
    <w:p w14:paraId="1AFCA872">
      <w:pPr>
        <w:snapToGrid w:val="0"/>
        <w:spacing w:line="36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t>附件：</w:t>
      </w:r>
    </w:p>
    <w:p w14:paraId="30B5AC1C">
      <w:pPr>
        <w:snapToGrid w:val="0"/>
        <w:spacing w:line="360" w:lineRule="auto"/>
        <w:jc w:val="left"/>
        <w:rPr>
          <w:rStyle w:val="12"/>
          <w:rFonts w:hint="eastAsia" w:ascii="宋体" w:hAnsi="宋体" w:eastAsia="宋体" w:cs="宋体"/>
          <w:b w:val="0"/>
          <w:color w:val="auto"/>
          <w:sz w:val="24"/>
          <w:szCs w:val="24"/>
          <w:highlight w:val="none"/>
        </w:rPr>
      </w:pPr>
      <w:r>
        <w:rPr>
          <w:rStyle w:val="12"/>
          <w:rFonts w:hint="eastAsia" w:ascii="宋体" w:hAnsi="宋体" w:eastAsia="宋体" w:cs="宋体"/>
          <w:b w:val="0"/>
          <w:bCs w:val="0"/>
          <w:color w:val="auto"/>
          <w:sz w:val="24"/>
          <w:szCs w:val="24"/>
          <w:highlight w:val="none"/>
          <w:lang w:val="en-US" w:eastAsia="zh-CN"/>
        </w:rPr>
        <w:t>1、</w:t>
      </w:r>
      <w:r>
        <w:rPr>
          <w:rStyle w:val="12"/>
          <w:rFonts w:hint="eastAsia" w:ascii="宋体" w:hAnsi="宋体" w:eastAsia="宋体" w:cs="宋体"/>
          <w:b w:val="0"/>
          <w:color w:val="auto"/>
          <w:sz w:val="24"/>
          <w:szCs w:val="24"/>
          <w:highlight w:val="none"/>
        </w:rPr>
        <w:t>南沙区建设工程项目廉洁责任合同</w:t>
      </w:r>
    </w:p>
    <w:p w14:paraId="5F502E22">
      <w:pPr>
        <w:spacing w:line="360" w:lineRule="auto"/>
        <w:rPr>
          <w:rFonts w:hint="eastAsia" w:ascii="宋体" w:hAnsi="宋体" w:eastAsia="宋体" w:cs="宋体"/>
          <w:color w:val="auto"/>
          <w:sz w:val="24"/>
          <w:highlight w:val="none"/>
        </w:rPr>
      </w:pPr>
      <w:r>
        <w:rPr>
          <w:rStyle w:val="12"/>
          <w:rFonts w:hint="eastAsia" w:ascii="宋体" w:hAnsi="宋体" w:eastAsia="宋体" w:cs="宋体"/>
          <w:b w:val="0"/>
          <w:bCs w:val="0"/>
          <w:color w:val="auto"/>
          <w:sz w:val="24"/>
          <w:szCs w:val="24"/>
          <w:highlight w:val="none"/>
          <w:lang w:val="en-US" w:eastAsia="zh-CN"/>
        </w:rPr>
        <w:t>2、投标清单</w:t>
      </w:r>
    </w:p>
    <w:p w14:paraId="6C986B9B">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14:paraId="4DA712CC">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广州南沙旅游发展有限公司</w:t>
      </w:r>
      <w:r>
        <w:rPr>
          <w:rFonts w:hint="eastAsia" w:ascii="宋体" w:hAnsi="宋体" w:eastAsia="宋体" w:cs="宋体"/>
          <w:bCs/>
          <w:color w:val="auto"/>
          <w:sz w:val="24"/>
          <w:szCs w:val="24"/>
          <w:highlight w:val="none"/>
          <w:lang w:eastAsia="zh-CN"/>
        </w:rPr>
        <w:t xml:space="preserve">       </w:t>
      </w:r>
    </w:p>
    <w:p w14:paraId="0DBFE7C1">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552675C5">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16C7FBEB">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14:paraId="4AADF174">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甲方（代业主单位）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14:paraId="4FD4B867">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0BAB81D7">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5B234520">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14:paraId="539BCC35">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14:paraId="18E286FF">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14:paraId="2570B501">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72AF3637">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14:paraId="70956745">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14:paraId="2D7A0ACE">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14:paraId="1E2E502E">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14:paraId="5D433E8E">
      <w:pPr>
        <w:rPr>
          <w:rStyle w:val="15"/>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27631"/>
      <w:bookmarkStart w:id="3" w:name="_Toc7889"/>
      <w:bookmarkStart w:id="4" w:name="_Toc10474"/>
      <w:bookmarkStart w:id="5" w:name="_Toc17634"/>
      <w:bookmarkStart w:id="6" w:name="_Toc18064"/>
      <w:bookmarkStart w:id="7" w:name="_Toc25614"/>
    </w:p>
    <w:p w14:paraId="2F678303">
      <w:pPr>
        <w:pStyle w:val="5"/>
        <w:numPr>
          <w:ilvl w:val="0"/>
          <w:numId w:val="0"/>
        </w:numPr>
        <w:tabs>
          <w:tab w:val="left" w:pos="576"/>
          <w:tab w:val="clear" w:pos="864"/>
        </w:tabs>
        <w:spacing w:before="120" w:after="120" w:line="360" w:lineRule="auto"/>
        <w:rPr>
          <w:rStyle w:val="15"/>
          <w:rFonts w:hint="eastAsia" w:ascii="仿宋" w:hAnsi="仿宋" w:eastAsia="仿宋" w:cs="仿宋"/>
          <w:b/>
          <w:bCs/>
          <w:color w:val="auto"/>
          <w:sz w:val="24"/>
          <w:szCs w:val="24"/>
          <w:highlight w:val="none"/>
          <w:lang w:eastAsia="zh-CN"/>
        </w:rPr>
      </w:pPr>
      <w:r>
        <w:rPr>
          <w:rStyle w:val="15"/>
          <w:rFonts w:hint="eastAsia" w:ascii="仿宋" w:hAnsi="仿宋" w:eastAsia="仿宋" w:cs="仿宋"/>
          <w:b/>
          <w:bCs/>
          <w:color w:val="auto"/>
          <w:sz w:val="24"/>
          <w:szCs w:val="24"/>
          <w:highlight w:val="none"/>
        </w:rPr>
        <w:t>附件</w:t>
      </w:r>
      <w:bookmarkEnd w:id="1"/>
      <w:r>
        <w:rPr>
          <w:rStyle w:val="15"/>
          <w:rFonts w:hint="eastAsia" w:ascii="仿宋" w:hAnsi="仿宋" w:eastAsia="仿宋" w:cs="仿宋"/>
          <w:b/>
          <w:bCs/>
          <w:color w:val="auto"/>
          <w:sz w:val="24"/>
          <w:szCs w:val="24"/>
          <w:highlight w:val="none"/>
          <w:lang w:val="en-US" w:eastAsia="zh-CN"/>
        </w:rPr>
        <w:t>1</w:t>
      </w:r>
      <w:r>
        <w:rPr>
          <w:rStyle w:val="15"/>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14:paraId="4F2D6666">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0EE5AB0C">
      <w:pPr>
        <w:spacing w:line="360" w:lineRule="auto"/>
        <w:rPr>
          <w:color w:val="auto"/>
          <w:highlight w:val="none"/>
        </w:rPr>
      </w:pPr>
    </w:p>
    <w:p w14:paraId="7FAB0EE2">
      <w:pPr>
        <w:spacing w:line="360" w:lineRule="auto"/>
        <w:rPr>
          <w:color w:val="auto"/>
          <w:szCs w:val="32"/>
          <w:highlight w:val="none"/>
        </w:rPr>
      </w:pPr>
      <w:r>
        <w:rPr>
          <w:color w:val="auto"/>
          <w:szCs w:val="32"/>
          <w:highlight w:val="none"/>
        </w:rPr>
        <w:t>发包人（委托人）：</w:t>
      </w:r>
      <w:r>
        <w:rPr>
          <w:rFonts w:hint="eastAsia"/>
          <w:color w:val="auto"/>
          <w:szCs w:val="32"/>
          <w:highlight w:val="none"/>
          <w:lang w:eastAsia="zh-CN"/>
        </w:rPr>
        <w:t>广州南沙旅游发展有限公司</w:t>
      </w:r>
      <w:r>
        <w:rPr>
          <w:color w:val="auto"/>
          <w:szCs w:val="32"/>
          <w:highlight w:val="none"/>
        </w:rPr>
        <w:t>（业主单位）</w:t>
      </w:r>
    </w:p>
    <w:p w14:paraId="3FBC8E3D">
      <w:pPr>
        <w:pStyle w:val="2"/>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w:t>
      </w:r>
      <w:r>
        <w:rPr>
          <w:rFonts w:hint="eastAsia" w:eastAsia="宋体" w:cs="Calibri"/>
          <w:b w:val="0"/>
          <w:color w:val="auto"/>
          <w:sz w:val="21"/>
          <w:szCs w:val="32"/>
          <w:highlight w:val="none"/>
          <w:u w:val="none"/>
          <w:lang w:eastAsia="zh-CN"/>
        </w:rPr>
        <w:t>代业主单位</w:t>
      </w:r>
      <w:r>
        <w:rPr>
          <w:rFonts w:hint="eastAsia" w:ascii="Times New Roman" w:hAnsi="Times New Roman" w:eastAsia="宋体" w:cs="Calibri"/>
          <w:b w:val="0"/>
          <w:color w:val="auto"/>
          <w:sz w:val="21"/>
          <w:szCs w:val="32"/>
          <w:highlight w:val="none"/>
          <w:u w:val="none"/>
        </w:rPr>
        <w:t>）</w:t>
      </w:r>
    </w:p>
    <w:p w14:paraId="6262E7CC">
      <w:pPr>
        <w:spacing w:line="360" w:lineRule="auto"/>
        <w:rPr>
          <w:rFonts w:hint="eastAsia"/>
          <w:color w:val="auto"/>
          <w:szCs w:val="32"/>
          <w:highlight w:val="none"/>
        </w:rPr>
      </w:pPr>
      <w:r>
        <w:rPr>
          <w:color w:val="auto"/>
          <w:szCs w:val="32"/>
          <w:highlight w:val="none"/>
        </w:rPr>
        <w:t>承包人（受托人）：</w:t>
      </w:r>
    </w:p>
    <w:p w14:paraId="34604F19">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2025年首届粤港澳大湾区灯会活动项目配电箱采购</w:t>
      </w:r>
    </w:p>
    <w:p w14:paraId="3E060895">
      <w:pPr>
        <w:spacing w:line="360" w:lineRule="auto"/>
        <w:rPr>
          <w:rFonts w:hint="eastAsia"/>
          <w:color w:val="auto"/>
          <w:szCs w:val="32"/>
          <w:highlight w:val="none"/>
        </w:rPr>
      </w:pPr>
      <w:r>
        <w:rPr>
          <w:rFonts w:hint="eastAsia"/>
          <w:color w:val="auto"/>
          <w:szCs w:val="32"/>
          <w:highlight w:val="none"/>
        </w:rPr>
        <w:t>建设工程地点：广州市南沙区</w:t>
      </w:r>
    </w:p>
    <w:p w14:paraId="4D5D0C80">
      <w:pPr>
        <w:spacing w:line="360" w:lineRule="auto"/>
        <w:rPr>
          <w:rFonts w:hint="eastAsia"/>
          <w:color w:val="auto"/>
          <w:szCs w:val="32"/>
          <w:highlight w:val="none"/>
        </w:rPr>
      </w:pPr>
    </w:p>
    <w:p w14:paraId="39CC2F1E">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2A4D4023">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75D34DC0">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16864F0A">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5DB76689">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14:paraId="45454AAD">
      <w:pPr>
        <w:spacing w:line="360" w:lineRule="auto"/>
        <w:ind w:firstLine="420" w:firstLineChars="200"/>
        <w:rPr>
          <w:color w:val="auto"/>
          <w:szCs w:val="32"/>
          <w:highlight w:val="none"/>
        </w:rPr>
      </w:pPr>
      <w:r>
        <w:rPr>
          <w:color w:val="auto"/>
          <w:szCs w:val="32"/>
          <w:highlight w:val="none"/>
        </w:rPr>
        <w:t>2.3  向承包人报销任何应由自身承担、支付的费用；</w:t>
      </w:r>
    </w:p>
    <w:p w14:paraId="5045E4E9">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14:paraId="24261842">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50818406">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14:paraId="25045081">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14:paraId="459463D7">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30646D19">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62FD1043">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29478378">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34B93CDF">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43F5E104">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19FB39CB">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08259D25">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06F9FE9D">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06013AA5">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56125CCB">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753C571B">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14:paraId="29DEC99C">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2D92FAE0">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0EB886D2">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5219A6BE">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2B2391B0">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4DED650D">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6BFB034A">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14:paraId="45D91292">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1FA3E8F9">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7B5CE511">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14:paraId="55BB206A">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份，发包人执</w:t>
      </w:r>
      <w:r>
        <w:rPr>
          <w:rFonts w:hint="eastAsia"/>
          <w:color w:val="auto"/>
          <w:szCs w:val="32"/>
          <w:highlight w:val="none"/>
          <w:lang w:val="en-US" w:eastAsia="zh-CN"/>
        </w:rPr>
        <w:t>8</w:t>
      </w:r>
      <w:r>
        <w:rPr>
          <w:rFonts w:hint="eastAsia"/>
          <w:color w:val="auto"/>
          <w:szCs w:val="32"/>
          <w:highlight w:val="none"/>
        </w:rPr>
        <w:t>份，承包人执4份，经双方签署后生效。</w:t>
      </w:r>
    </w:p>
    <w:p w14:paraId="09EFE04C">
      <w:pPr>
        <w:pStyle w:val="7"/>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w:t>
      </w:r>
      <w:r>
        <w:rPr>
          <w:rFonts w:hint="eastAsia"/>
          <w:color w:val="auto"/>
          <w:szCs w:val="32"/>
          <w:highlight w:val="none"/>
          <w:lang w:eastAsia="zh-CN"/>
        </w:rPr>
        <w:t>2024</w:t>
      </w:r>
      <w:r>
        <w:rPr>
          <w:rFonts w:hint="eastAsia"/>
          <w:color w:val="auto"/>
          <w:szCs w:val="32"/>
          <w:highlight w:val="none"/>
        </w:rPr>
        <w:t>年    月    日</w:t>
      </w:r>
      <w:r>
        <w:rPr>
          <w:rFonts w:hint="eastAsia"/>
          <w:color w:val="auto"/>
          <w:szCs w:val="32"/>
          <w:highlight w:val="none"/>
          <w:lang w:eastAsia="zh-CN"/>
        </w:rPr>
        <w:t>。</w:t>
      </w:r>
    </w:p>
    <w:p w14:paraId="785465AD">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14:paraId="1EB805A7">
      <w:pPr>
        <w:spacing w:line="360" w:lineRule="auto"/>
        <w:ind w:firstLine="420" w:firstLineChars="200"/>
        <w:rPr>
          <w:rFonts w:hint="eastAsia"/>
          <w:color w:val="auto"/>
          <w:szCs w:val="32"/>
          <w:highlight w:val="none"/>
        </w:rPr>
      </w:pPr>
    </w:p>
    <w:p w14:paraId="0DCCE7D7">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发包人</w:t>
      </w:r>
      <w:r>
        <w:rPr>
          <w:rFonts w:hint="eastAsia"/>
          <w:color w:val="auto"/>
          <w:szCs w:val="32"/>
          <w:highlight w:val="none"/>
        </w:rPr>
        <w:t>：</w:t>
      </w:r>
      <w:r>
        <w:rPr>
          <w:rFonts w:hint="eastAsia"/>
          <w:color w:val="auto"/>
          <w:szCs w:val="32"/>
          <w:highlight w:val="none"/>
          <w:lang w:eastAsia="zh-CN"/>
        </w:rPr>
        <w:t>广州南沙旅游发展有限公司</w:t>
      </w:r>
      <w:r>
        <w:rPr>
          <w:rFonts w:hint="eastAsia"/>
          <w:color w:val="auto"/>
          <w:szCs w:val="32"/>
          <w:highlight w:val="none"/>
        </w:rPr>
        <w:t xml:space="preserve">（盖章）   </w:t>
      </w:r>
    </w:p>
    <w:p w14:paraId="2015BA88">
      <w:pPr>
        <w:spacing w:line="560" w:lineRule="exact"/>
        <w:ind w:firstLine="420" w:firstLineChars="200"/>
        <w:rPr>
          <w:color w:val="auto"/>
          <w:szCs w:val="32"/>
          <w:highlight w:val="none"/>
        </w:rPr>
      </w:pPr>
      <w:r>
        <w:rPr>
          <w:color w:val="auto"/>
          <w:szCs w:val="32"/>
          <w:highlight w:val="none"/>
        </w:rPr>
        <w:t>法定代表人/授权代理人</w:t>
      </w:r>
    </w:p>
    <w:p w14:paraId="093CB42E">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14509EA1">
      <w:pPr>
        <w:spacing w:line="560" w:lineRule="exact"/>
        <w:ind w:firstLine="420" w:firstLineChars="200"/>
        <w:rPr>
          <w:color w:val="auto"/>
          <w:szCs w:val="32"/>
          <w:highlight w:val="none"/>
        </w:rPr>
      </w:pPr>
      <w:r>
        <w:rPr>
          <w:color w:val="auto"/>
          <w:szCs w:val="32"/>
          <w:highlight w:val="none"/>
        </w:rPr>
        <w:t>或党委书记/纪委书记</w:t>
      </w:r>
    </w:p>
    <w:p w14:paraId="53AB027D">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0A411A44">
      <w:pPr>
        <w:spacing w:line="360" w:lineRule="auto"/>
        <w:ind w:firstLine="420" w:firstLineChars="200"/>
        <w:rPr>
          <w:color w:val="auto"/>
          <w:szCs w:val="32"/>
          <w:highlight w:val="none"/>
        </w:rPr>
      </w:pPr>
    </w:p>
    <w:p w14:paraId="6681CFCE">
      <w:pPr>
        <w:pStyle w:val="2"/>
        <w:rPr>
          <w:color w:val="auto"/>
          <w:highlight w:val="none"/>
        </w:rPr>
      </w:pPr>
    </w:p>
    <w:p w14:paraId="04101DC0">
      <w:pPr>
        <w:pStyle w:val="2"/>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发包人</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14:paraId="7ECE1D36">
      <w:pPr>
        <w:spacing w:line="560" w:lineRule="exact"/>
        <w:ind w:firstLine="420" w:firstLineChars="200"/>
        <w:rPr>
          <w:color w:val="auto"/>
          <w:szCs w:val="32"/>
          <w:highlight w:val="none"/>
        </w:rPr>
      </w:pPr>
      <w:r>
        <w:rPr>
          <w:color w:val="auto"/>
          <w:szCs w:val="32"/>
          <w:highlight w:val="none"/>
        </w:rPr>
        <w:t>法定代表人/授权代理人</w:t>
      </w:r>
    </w:p>
    <w:p w14:paraId="1D0F045D">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665E0F92">
      <w:pPr>
        <w:spacing w:line="560" w:lineRule="exact"/>
        <w:ind w:firstLine="420" w:firstLineChars="200"/>
        <w:rPr>
          <w:color w:val="auto"/>
          <w:szCs w:val="32"/>
          <w:highlight w:val="none"/>
        </w:rPr>
      </w:pPr>
      <w:r>
        <w:rPr>
          <w:color w:val="auto"/>
          <w:szCs w:val="32"/>
          <w:highlight w:val="none"/>
        </w:rPr>
        <w:t>或党委书记/纪委书记</w:t>
      </w:r>
    </w:p>
    <w:p w14:paraId="40469622">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7CA28E70">
      <w:pPr>
        <w:pStyle w:val="2"/>
        <w:rPr>
          <w:color w:val="auto"/>
          <w:szCs w:val="32"/>
          <w:highlight w:val="none"/>
        </w:rPr>
      </w:pPr>
    </w:p>
    <w:p w14:paraId="4C862F35">
      <w:pPr>
        <w:pStyle w:val="2"/>
        <w:rPr>
          <w:color w:val="auto"/>
          <w:szCs w:val="32"/>
          <w:highlight w:val="none"/>
        </w:rPr>
      </w:pPr>
    </w:p>
    <w:p w14:paraId="09B041BD">
      <w:pPr>
        <w:pStyle w:val="2"/>
        <w:rPr>
          <w:color w:val="auto"/>
          <w:szCs w:val="32"/>
          <w:highlight w:val="none"/>
        </w:rPr>
      </w:pPr>
    </w:p>
    <w:p w14:paraId="5F708E53">
      <w:pPr>
        <w:spacing w:line="360" w:lineRule="auto"/>
        <w:ind w:firstLine="420" w:firstLineChars="200"/>
        <w:rPr>
          <w:rFonts w:hint="eastAsia"/>
          <w:color w:val="auto"/>
          <w:szCs w:val="32"/>
          <w:highlight w:val="none"/>
        </w:rPr>
      </w:pPr>
      <w:r>
        <w:rPr>
          <w:rFonts w:hint="eastAsia"/>
          <w:color w:val="auto"/>
          <w:szCs w:val="32"/>
          <w:highlight w:val="none"/>
        </w:rPr>
        <w:t>承包人： (盖章)</w:t>
      </w:r>
    </w:p>
    <w:p w14:paraId="3B596636">
      <w:pPr>
        <w:spacing w:line="560" w:lineRule="exact"/>
        <w:ind w:firstLine="420" w:firstLineChars="200"/>
        <w:rPr>
          <w:color w:val="auto"/>
          <w:szCs w:val="32"/>
          <w:highlight w:val="none"/>
        </w:rPr>
      </w:pPr>
      <w:r>
        <w:rPr>
          <w:color w:val="auto"/>
          <w:szCs w:val="32"/>
          <w:highlight w:val="none"/>
        </w:rPr>
        <w:t>法定代表人/授权代理人</w:t>
      </w:r>
    </w:p>
    <w:p w14:paraId="5B6A521D">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71FA41C6">
      <w:pPr>
        <w:spacing w:line="560" w:lineRule="exact"/>
        <w:ind w:firstLine="420" w:firstLineChars="200"/>
        <w:rPr>
          <w:color w:val="auto"/>
          <w:szCs w:val="32"/>
          <w:highlight w:val="none"/>
        </w:rPr>
      </w:pPr>
      <w:r>
        <w:rPr>
          <w:color w:val="auto"/>
          <w:szCs w:val="32"/>
          <w:highlight w:val="none"/>
        </w:rPr>
        <w:t>或党委书记/纪委书记</w:t>
      </w:r>
    </w:p>
    <w:p w14:paraId="22B1674D">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51A4ACAB">
      <w:pPr>
        <w:pStyle w:val="3"/>
        <w:rPr>
          <w:rFonts w:hint="eastAsia" w:ascii="仿宋" w:hAnsi="仿宋" w:eastAsia="仿宋" w:cs="仿宋"/>
          <w:b/>
          <w:color w:val="auto"/>
          <w:sz w:val="28"/>
          <w:highlight w:val="none"/>
        </w:rPr>
      </w:pPr>
    </w:p>
    <w:p w14:paraId="42F2DA8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B628733">
      <w:pPr>
        <w:pStyle w:val="2"/>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2：投标清单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48FB">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45F715A1">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0220">
    <w:pPr>
      <w:pStyle w:val="8"/>
      <w:framePr w:wrap="around" w:vAnchor="text" w:hAnchor="margin" w:xAlign="center" w:y="1"/>
      <w:rPr>
        <w:rStyle w:val="13"/>
      </w:rPr>
    </w:pPr>
    <w:r>
      <w:fldChar w:fldCharType="begin"/>
    </w:r>
    <w:r>
      <w:rPr>
        <w:rStyle w:val="13"/>
      </w:rPr>
      <w:instrText xml:space="preserve">PAGE  </w:instrText>
    </w:r>
    <w:r>
      <w:fldChar w:fldCharType="end"/>
    </w:r>
  </w:p>
  <w:p w14:paraId="2A02CCE5">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3D1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11B1">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5A84406C"/>
    <w:multiLevelType w:val="multilevel"/>
    <w:tmpl w:val="5A84406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09B24531"/>
    <w:rsid w:val="0CFA1A3F"/>
    <w:rsid w:val="18040D23"/>
    <w:rsid w:val="1BD87C19"/>
    <w:rsid w:val="1D185917"/>
    <w:rsid w:val="1E324C07"/>
    <w:rsid w:val="1F6B7DEC"/>
    <w:rsid w:val="1FD55B0C"/>
    <w:rsid w:val="206B4272"/>
    <w:rsid w:val="21611D4D"/>
    <w:rsid w:val="234702B6"/>
    <w:rsid w:val="249B1C5A"/>
    <w:rsid w:val="28637BC2"/>
    <w:rsid w:val="2BE149BD"/>
    <w:rsid w:val="2C732934"/>
    <w:rsid w:val="2FFBE6D7"/>
    <w:rsid w:val="35E2289C"/>
    <w:rsid w:val="3A125E82"/>
    <w:rsid w:val="3AFC0737"/>
    <w:rsid w:val="3F090C22"/>
    <w:rsid w:val="419E1D5C"/>
    <w:rsid w:val="48F31DE1"/>
    <w:rsid w:val="4AA24BE9"/>
    <w:rsid w:val="4AC75B92"/>
    <w:rsid w:val="4B423640"/>
    <w:rsid w:val="4BDD43C7"/>
    <w:rsid w:val="4C4F6AC2"/>
    <w:rsid w:val="4DA237CE"/>
    <w:rsid w:val="4DFD1A30"/>
    <w:rsid w:val="4EB96475"/>
    <w:rsid w:val="4EBD1290"/>
    <w:rsid w:val="4F0E15D3"/>
    <w:rsid w:val="505F46CC"/>
    <w:rsid w:val="5083FA5D"/>
    <w:rsid w:val="54432D53"/>
    <w:rsid w:val="57AA10B6"/>
    <w:rsid w:val="618C001F"/>
    <w:rsid w:val="64E35BA2"/>
    <w:rsid w:val="6BE015D4"/>
    <w:rsid w:val="6E3FD1F8"/>
    <w:rsid w:val="6FDA4F54"/>
    <w:rsid w:val="71642643"/>
    <w:rsid w:val="71BF979F"/>
    <w:rsid w:val="72CC53DC"/>
    <w:rsid w:val="75FFE192"/>
    <w:rsid w:val="760B4186"/>
    <w:rsid w:val="7BB81964"/>
    <w:rsid w:val="7BCB1233"/>
    <w:rsid w:val="7D8B415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5"/>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5">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Times New Roman" w:hAnsi="Times New Roman" w:cs="Times New Roman"/>
    </w:rPr>
  </w:style>
  <w:style w:type="paragraph" w:styleId="6">
    <w:name w:val="annotation text"/>
    <w:basedOn w:val="1"/>
    <w:qFormat/>
    <w:uiPriority w:val="0"/>
    <w:pPr>
      <w:jc w:val="left"/>
    </w:pPr>
  </w:style>
  <w:style w:type="paragraph" w:styleId="7">
    <w:name w:val="Plain Text"/>
    <w:basedOn w:val="1"/>
    <w:next w:val="1"/>
    <w:qFormat/>
    <w:uiPriority w:val="99"/>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13">
    <w:name w:val="page number"/>
    <w:basedOn w:val="12"/>
    <w:qFormat/>
    <w:uiPriority w:val="0"/>
  </w:style>
  <w:style w:type="paragraph" w:customStyle="1" w:styleId="14">
    <w:name w:val="样式 小四 行距: 1.5 倍行距"/>
    <w:basedOn w:val="1"/>
    <w:qFormat/>
    <w:uiPriority w:val="0"/>
    <w:pPr>
      <w:ind w:firstLine="480"/>
    </w:pPr>
    <w:rPr>
      <w:rFonts w:cs="宋体"/>
    </w:rPr>
  </w:style>
  <w:style w:type="character" w:customStyle="1" w:styleId="15">
    <w:name w:val=" Char Char22"/>
    <w:link w:val="4"/>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6074</Words>
  <Characters>6244</Characters>
  <Lines>0</Lines>
  <Paragraphs>0</Paragraphs>
  <TotalTime>1</TotalTime>
  <ScaleCrop>false</ScaleCrop>
  <LinksUpToDate>false</LinksUpToDate>
  <CharactersWithSpaces>6474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2024-12-17T06:19:06Z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E09A7503995442BB81300CEBBA8B0B45</vt:lpwstr>
  </property>
</Properties>
</file>