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2025年粤港澳大湾区灯会活动围蔽</w:t>
      </w:r>
    </w:p>
    <w:p>
      <w:pPr>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rPr>
        <w:t>采购安装</w:t>
      </w:r>
      <w:r>
        <w:rPr>
          <w:rFonts w:hint="eastAsia" w:ascii="方正小标宋简体" w:hAnsi="方正小标宋简体" w:eastAsia="方正小标宋简体" w:cs="方正小标宋简体"/>
          <w:color w:val="auto"/>
          <w:sz w:val="44"/>
          <w:szCs w:val="44"/>
          <w:highlight w:val="none"/>
          <w:lang w:val="en-US" w:eastAsia="zh-CN"/>
        </w:rPr>
        <w:t>项目</w:t>
      </w:r>
    </w:p>
    <w:p>
      <w:pPr>
        <w:rPr>
          <w:rFonts w:hint="eastAsia"/>
          <w:color w:val="auto"/>
          <w:highlight w:val="none"/>
        </w:rPr>
      </w:pPr>
    </w:p>
    <w:p>
      <w:pPr>
        <w:pStyle w:val="6"/>
        <w:rPr>
          <w:rFonts w:hint="eastAsia"/>
          <w:color w:val="auto"/>
          <w:highlight w:val="none"/>
        </w:rPr>
      </w:pPr>
    </w:p>
    <w:p>
      <w:pPr>
        <w:rPr>
          <w:rFonts w:hint="eastAsia"/>
          <w:color w:val="auto"/>
          <w:highlight w:val="none"/>
        </w:rPr>
      </w:pPr>
    </w:p>
    <w:p>
      <w:pPr>
        <w:pStyle w:val="6"/>
        <w:rPr>
          <w:rFonts w:hint="eastAsia"/>
          <w:color w:val="auto"/>
          <w:highlight w:val="none"/>
        </w:rPr>
      </w:pPr>
    </w:p>
    <w:p>
      <w:pPr>
        <w:pStyle w:val="6"/>
        <w:spacing w:before="0" w:after="0" w:line="240" w:lineRule="auto"/>
        <w:ind w:firstLine="0" w:firstLineChars="0"/>
        <w:rPr>
          <w:rFonts w:hint="eastAsia"/>
          <w:color w:val="auto"/>
          <w:highlight w:val="none"/>
        </w:rPr>
      </w:pPr>
    </w:p>
    <w:p>
      <w:pPr>
        <w:rPr>
          <w:rFonts w:hint="eastAsia"/>
          <w:color w:val="auto"/>
          <w:highlight w:val="none"/>
        </w:rPr>
      </w:pPr>
    </w:p>
    <w:p>
      <w:pPr>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邀请招标文件</w:t>
      </w:r>
    </w:p>
    <w:p>
      <w:pPr>
        <w:jc w:val="center"/>
        <w:rPr>
          <w:rFonts w:hint="eastAsia" w:ascii="黑体" w:hAnsi="黑体" w:eastAsia="黑体" w:cs="黑体"/>
          <w:color w:val="auto"/>
          <w:sz w:val="72"/>
          <w:szCs w:val="72"/>
          <w:highlight w:val="none"/>
        </w:rPr>
      </w:pPr>
    </w:p>
    <w:p>
      <w:pPr>
        <w:jc w:val="center"/>
        <w:rPr>
          <w:rFonts w:hint="eastAsia" w:ascii="黑体" w:hAnsi="黑体" w:eastAsia="黑体" w:cs="黑体"/>
          <w:color w:val="auto"/>
          <w:sz w:val="72"/>
          <w:szCs w:val="72"/>
          <w:highlight w:val="none"/>
        </w:rPr>
      </w:pPr>
    </w:p>
    <w:p>
      <w:pPr>
        <w:jc w:val="center"/>
        <w:rPr>
          <w:rFonts w:hint="eastAsia" w:ascii="黑体" w:hAnsi="黑体" w:eastAsia="黑体" w:cs="黑体"/>
          <w:color w:val="auto"/>
          <w:sz w:val="72"/>
          <w:szCs w:val="72"/>
          <w:highlight w:val="none"/>
        </w:rPr>
      </w:pPr>
    </w:p>
    <w:p>
      <w:pPr>
        <w:jc w:val="center"/>
        <w:rPr>
          <w:rFonts w:hint="eastAsia" w:ascii="黑体" w:hAnsi="黑体" w:eastAsia="黑体" w:cs="黑体"/>
          <w:color w:val="auto"/>
          <w:sz w:val="72"/>
          <w:szCs w:val="72"/>
          <w:highlight w:val="none"/>
        </w:rPr>
      </w:pPr>
    </w:p>
    <w:p>
      <w:pPr>
        <w:rPr>
          <w:rFonts w:hint="eastAsia" w:ascii="黑体" w:hAnsi="黑体" w:eastAsia="黑体" w:cs="黑体"/>
          <w:color w:val="auto"/>
          <w:sz w:val="30"/>
          <w:szCs w:val="30"/>
          <w:highlight w:val="none"/>
        </w:rPr>
      </w:pPr>
    </w:p>
    <w:p>
      <w:pPr>
        <w:jc w:val="center"/>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招标人：广州南沙旅游发展有限公司</w:t>
      </w:r>
    </w:p>
    <w:p>
      <w:pPr>
        <w:ind w:firstLine="1800" w:firstLineChars="600"/>
        <w:jc w:val="both"/>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日  期：2024年</w:t>
      </w:r>
      <w:r>
        <w:rPr>
          <w:rFonts w:hint="eastAsia" w:ascii="黑体" w:hAnsi="黑体" w:eastAsia="黑体" w:cs="黑体"/>
          <w:color w:val="auto"/>
          <w:sz w:val="30"/>
          <w:szCs w:val="30"/>
          <w:highlight w:val="none"/>
          <w:lang w:val="en-US" w:eastAsia="zh-CN"/>
        </w:rPr>
        <w:t>12</w:t>
      </w:r>
      <w:r>
        <w:rPr>
          <w:rFonts w:hint="eastAsia" w:ascii="黑体" w:hAnsi="黑体" w:eastAsia="黑体" w:cs="黑体"/>
          <w:color w:val="auto"/>
          <w:sz w:val="30"/>
          <w:szCs w:val="30"/>
          <w:highlight w:val="none"/>
        </w:rPr>
        <w:t>月</w:t>
      </w:r>
    </w:p>
    <w:p>
      <w:pPr>
        <w:rPr>
          <w:color w:val="auto"/>
          <w:highlight w:val="none"/>
        </w:rPr>
      </w:pPr>
      <w:r>
        <w:rPr>
          <w:color w:val="auto"/>
          <w:highlight w:val="none"/>
        </w:rPr>
        <w:br w:type="page"/>
      </w:r>
    </w:p>
    <w:p>
      <w:pPr>
        <w:spacing w:line="360" w:lineRule="auto"/>
        <w:jc w:val="center"/>
        <w:rPr>
          <w:rFonts w:hint="eastAsia" w:ascii="宋体" w:hAnsi="宋体" w:cs="宋体"/>
          <w:b/>
          <w:color w:val="auto"/>
          <w:sz w:val="40"/>
          <w:szCs w:val="40"/>
          <w:highlight w:val="none"/>
        </w:rPr>
      </w:pPr>
      <w:r>
        <w:rPr>
          <w:rFonts w:hint="eastAsia" w:ascii="宋体" w:hAnsi="宋体" w:cs="宋体"/>
          <w:b/>
          <w:color w:val="auto"/>
          <w:sz w:val="44"/>
          <w:szCs w:val="44"/>
          <w:highlight w:val="none"/>
        </w:rPr>
        <w:t>温馨提示</w:t>
      </w:r>
    </w:p>
    <w:p>
      <w:pPr>
        <w:pStyle w:val="4"/>
        <w:rPr>
          <w:color w:val="auto"/>
          <w:highlight w:val="none"/>
        </w:rPr>
      </w:pPr>
    </w:p>
    <w:p>
      <w:pPr>
        <w:numPr>
          <w:ilvl w:val="0"/>
          <w:numId w:val="1"/>
        </w:numPr>
        <w:tabs>
          <w:tab w:val="left" w:pos="0"/>
          <w:tab w:val="left" w:pos="1080"/>
        </w:tabs>
        <w:spacing w:line="480" w:lineRule="auto"/>
        <w:ind w:left="0" w:firstLine="435"/>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请投标人特别留意</w:t>
      </w:r>
      <w:r>
        <w:rPr>
          <w:rFonts w:hint="eastAsia" w:ascii="宋体" w:hAnsi="宋体" w:cs="宋体"/>
          <w:color w:val="auto"/>
          <w:sz w:val="24"/>
          <w:szCs w:val="24"/>
          <w:highlight w:val="none"/>
        </w:rPr>
        <w:t>招标</w:t>
      </w:r>
      <w:r>
        <w:rPr>
          <w:rFonts w:hint="eastAsia" w:ascii="宋体" w:hAnsi="宋体" w:cs="宋体"/>
          <w:color w:val="auto"/>
          <w:sz w:val="24"/>
          <w:szCs w:val="24"/>
          <w:highlight w:val="none"/>
          <w:lang w:val="zh-CN"/>
        </w:rPr>
        <w:t>文件上注明的投标截止和开标时间，逾期送达或</w:t>
      </w:r>
      <w:r>
        <w:rPr>
          <w:rFonts w:hint="eastAsia" w:ascii="宋体" w:hAnsi="宋体" w:cs="宋体"/>
          <w:bCs/>
          <w:color w:val="auto"/>
          <w:sz w:val="24"/>
          <w:szCs w:val="24"/>
          <w:highlight w:val="none"/>
          <w:lang w:val="zh-CN"/>
        </w:rPr>
        <w:t>邮寄送达的投标文件</w:t>
      </w:r>
      <w:r>
        <w:rPr>
          <w:rFonts w:hint="eastAsia" w:ascii="宋体" w:hAnsi="宋体" w:cs="宋体"/>
          <w:color w:val="auto"/>
          <w:sz w:val="24"/>
          <w:szCs w:val="24"/>
          <w:highlight w:val="none"/>
          <w:lang w:val="zh-CN"/>
        </w:rPr>
        <w:t>招标人恕不接收，请投标人适当提前到达</w:t>
      </w:r>
      <w:r>
        <w:rPr>
          <w:rFonts w:hint="eastAsia" w:ascii="宋体" w:hAnsi="宋体" w:cs="宋体"/>
          <w:color w:val="auto"/>
          <w:sz w:val="24"/>
          <w:szCs w:val="24"/>
          <w:highlight w:val="none"/>
        </w:rPr>
        <w:t>评标室</w:t>
      </w:r>
      <w:r>
        <w:rPr>
          <w:rFonts w:hint="eastAsia" w:ascii="宋体" w:hAnsi="宋体" w:cs="宋体"/>
          <w:color w:val="auto"/>
          <w:sz w:val="24"/>
          <w:szCs w:val="24"/>
          <w:highlight w:val="none"/>
          <w:lang w:val="zh-CN"/>
        </w:rPr>
        <w:t>；</w:t>
      </w:r>
    </w:p>
    <w:p>
      <w:pPr>
        <w:numPr>
          <w:ilvl w:val="0"/>
          <w:numId w:val="1"/>
        </w:numPr>
        <w:tabs>
          <w:tab w:val="left" w:pos="0"/>
          <w:tab w:val="left" w:pos="1080"/>
        </w:tabs>
        <w:spacing w:line="480" w:lineRule="auto"/>
        <w:ind w:left="0" w:firstLine="435"/>
        <w:rPr>
          <w:rStyle w:val="24"/>
          <w:rFonts w:hint="eastAsia" w:ascii="宋体" w:hAnsi="宋体" w:cs="宋体"/>
          <w:color w:val="auto"/>
          <w:sz w:val="24"/>
          <w:szCs w:val="24"/>
          <w:highlight w:val="none"/>
        </w:rPr>
      </w:pPr>
      <w:r>
        <w:rPr>
          <w:rFonts w:hint="eastAsia" w:ascii="宋体" w:hAnsi="宋体" w:cs="宋体"/>
          <w:color w:val="auto"/>
          <w:sz w:val="24"/>
          <w:szCs w:val="24"/>
          <w:highlight w:val="none"/>
        </w:rPr>
        <w:t>招标</w:t>
      </w:r>
      <w:r>
        <w:rPr>
          <w:rFonts w:hint="eastAsia" w:ascii="宋体" w:hAnsi="宋体" w:cs="宋体"/>
          <w:color w:val="auto"/>
          <w:sz w:val="24"/>
          <w:szCs w:val="24"/>
          <w:highlight w:val="none"/>
          <w:lang w:val="zh-CN"/>
        </w:rPr>
        <w:t>文件</w:t>
      </w:r>
      <w:r>
        <w:rPr>
          <w:rFonts w:hint="eastAsia" w:ascii="宋体" w:hAnsi="宋体" w:cs="宋体"/>
          <w:bCs/>
          <w:color w:val="auto"/>
          <w:sz w:val="24"/>
          <w:szCs w:val="24"/>
          <w:highlight w:val="none"/>
        </w:rPr>
        <w:t>中标有“★”的地方均被视为重要的指标要求，</w:t>
      </w:r>
      <w:r>
        <w:rPr>
          <w:rFonts w:hint="eastAsia" w:ascii="宋体" w:hAnsi="宋体" w:cs="宋体"/>
          <w:color w:val="auto"/>
          <w:sz w:val="24"/>
          <w:szCs w:val="24"/>
          <w:highlight w:val="none"/>
        </w:rPr>
        <w:t>必须一一响应。</w:t>
      </w:r>
      <w:r>
        <w:rPr>
          <w:rFonts w:hint="eastAsia" w:ascii="宋体" w:hAnsi="宋体" w:cs="宋体"/>
          <w:bCs/>
          <w:color w:val="auto"/>
          <w:sz w:val="24"/>
          <w:szCs w:val="24"/>
          <w:highlight w:val="none"/>
        </w:rPr>
        <w:t>若有一项带“★”的指标要求未响应或不满足，将按投标无效处理</w:t>
      </w:r>
      <w:r>
        <w:rPr>
          <w:rFonts w:hint="eastAsia" w:ascii="宋体" w:hAnsi="宋体" w:cs="宋体"/>
          <w:color w:val="auto"/>
          <w:sz w:val="24"/>
          <w:szCs w:val="24"/>
          <w:highlight w:val="none"/>
        </w:rPr>
        <w:t>；</w:t>
      </w:r>
    </w:p>
    <w:p>
      <w:pPr>
        <w:numPr>
          <w:ilvl w:val="0"/>
          <w:numId w:val="1"/>
        </w:numPr>
        <w:tabs>
          <w:tab w:val="left" w:pos="0"/>
          <w:tab w:val="left" w:pos="1080"/>
        </w:tabs>
        <w:spacing w:line="480" w:lineRule="auto"/>
        <w:ind w:left="0"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投标文件应由投标人的授权代表送达开标现场（携带身份证原件核对，授权代表必须与投标文件所授权的人员一致）；</w:t>
      </w:r>
    </w:p>
    <w:p>
      <w:pPr>
        <w:numPr>
          <w:ilvl w:val="0"/>
          <w:numId w:val="1"/>
        </w:numPr>
        <w:tabs>
          <w:tab w:val="left" w:pos="0"/>
          <w:tab w:val="left" w:pos="1080"/>
        </w:tabs>
        <w:spacing w:line="480" w:lineRule="auto"/>
        <w:ind w:left="0"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为保证投标人的切身利益，避免评委小组在评审过程中遗漏，建议将投标文件按招标</w:t>
      </w:r>
      <w:r>
        <w:rPr>
          <w:rFonts w:hint="eastAsia" w:ascii="宋体" w:hAnsi="宋体" w:cs="宋体"/>
          <w:color w:val="auto"/>
          <w:sz w:val="24"/>
          <w:szCs w:val="24"/>
          <w:highlight w:val="none"/>
          <w:lang w:val="zh-CN"/>
        </w:rPr>
        <w:t>文件</w:t>
      </w:r>
      <w:r>
        <w:rPr>
          <w:rFonts w:hint="eastAsia" w:ascii="宋体" w:hAnsi="宋体" w:cs="宋体"/>
          <w:color w:val="auto"/>
          <w:sz w:val="24"/>
          <w:szCs w:val="24"/>
          <w:highlight w:val="none"/>
        </w:rPr>
        <w:t>描述的顺序编制页码；</w:t>
      </w:r>
    </w:p>
    <w:p>
      <w:pPr>
        <w:numPr>
          <w:ilvl w:val="0"/>
          <w:numId w:val="1"/>
        </w:numPr>
        <w:tabs>
          <w:tab w:val="left" w:pos="0"/>
          <w:tab w:val="left" w:pos="1080"/>
        </w:tabs>
        <w:spacing w:line="480" w:lineRule="auto"/>
        <w:ind w:left="0" w:firstLine="435"/>
        <w:rPr>
          <w:rFonts w:hint="eastAsia" w:ascii="宋体" w:hAnsi="宋体" w:cs="Times New Roman"/>
          <w:color w:val="auto"/>
          <w:sz w:val="24"/>
          <w:szCs w:val="20"/>
          <w:highlight w:val="none"/>
        </w:rPr>
      </w:pPr>
      <w:r>
        <w:rPr>
          <w:rStyle w:val="24"/>
          <w:rFonts w:hint="eastAsia" w:ascii="宋体" w:hAnsi="宋体" w:cs="宋体"/>
          <w:color w:val="auto"/>
          <w:sz w:val="24"/>
          <w:szCs w:val="24"/>
          <w:highlight w:val="none"/>
        </w:rPr>
        <w:t>招标人不对投标人领取</w:t>
      </w:r>
      <w:r>
        <w:rPr>
          <w:rFonts w:hint="eastAsia" w:ascii="宋体" w:hAnsi="宋体" w:cs="宋体"/>
          <w:color w:val="auto"/>
          <w:sz w:val="24"/>
          <w:szCs w:val="24"/>
          <w:highlight w:val="none"/>
        </w:rPr>
        <w:t>招标</w:t>
      </w:r>
      <w:r>
        <w:rPr>
          <w:rFonts w:hint="eastAsia" w:ascii="宋体" w:hAnsi="宋体" w:cs="宋体"/>
          <w:color w:val="auto"/>
          <w:sz w:val="24"/>
          <w:szCs w:val="24"/>
          <w:highlight w:val="none"/>
          <w:lang w:val="zh-CN"/>
        </w:rPr>
        <w:t>文件</w:t>
      </w:r>
      <w:r>
        <w:rPr>
          <w:rStyle w:val="24"/>
          <w:rFonts w:hint="eastAsia" w:ascii="宋体" w:hAnsi="宋体" w:cs="宋体"/>
          <w:color w:val="auto"/>
          <w:sz w:val="24"/>
          <w:szCs w:val="24"/>
          <w:highlight w:val="none"/>
        </w:rPr>
        <w:t>时提交的相关资料的真伪做出判断，如投标人发现相关资料被盗用或复制，建议遵循法律途径解决，追究侵权者责任。</w:t>
      </w:r>
    </w:p>
    <w:p>
      <w:pPr>
        <w:spacing w:line="480" w:lineRule="auto"/>
        <w:rPr>
          <w:rFonts w:hint="eastAsia" w:ascii="宋体" w:hAnsi="宋体" w:cs="仿宋_GB2312"/>
          <w:color w:val="auto"/>
          <w:sz w:val="24"/>
          <w:szCs w:val="20"/>
          <w:highlight w:val="none"/>
          <w:lang w:val="zh-CN"/>
        </w:rPr>
      </w:pPr>
      <w:r>
        <w:rPr>
          <w:rFonts w:hint="eastAsia" w:ascii="宋体" w:hAnsi="宋体" w:cs="仿宋_GB2312"/>
          <w:color w:val="auto"/>
          <w:sz w:val="24"/>
          <w:szCs w:val="20"/>
          <w:highlight w:val="none"/>
          <w:lang w:val="zh-CN"/>
        </w:rPr>
        <w:t>（本注意事项非</w:t>
      </w:r>
      <w:r>
        <w:rPr>
          <w:rFonts w:hint="eastAsia" w:ascii="宋体" w:hAnsi="宋体" w:cs="宋体"/>
          <w:color w:val="auto"/>
          <w:sz w:val="24"/>
          <w:szCs w:val="20"/>
          <w:highlight w:val="none"/>
          <w:lang w:val="zh-CN"/>
        </w:rPr>
        <w:t>招标文件</w:t>
      </w:r>
      <w:r>
        <w:rPr>
          <w:rFonts w:hint="eastAsia" w:ascii="宋体" w:hAnsi="宋体" w:cs="仿宋_GB2312"/>
          <w:color w:val="auto"/>
          <w:sz w:val="24"/>
          <w:szCs w:val="20"/>
          <w:highlight w:val="none"/>
          <w:lang w:val="zh-CN"/>
        </w:rPr>
        <w:t>的组成部分，仅作善意提醒。若有不同，均以</w:t>
      </w:r>
      <w:r>
        <w:rPr>
          <w:rFonts w:hint="eastAsia" w:ascii="宋体" w:hAnsi="宋体" w:cs="宋体"/>
          <w:color w:val="auto"/>
          <w:sz w:val="24"/>
          <w:szCs w:val="20"/>
          <w:highlight w:val="none"/>
          <w:lang w:val="zh-CN"/>
        </w:rPr>
        <w:t>招标文件</w:t>
      </w:r>
      <w:r>
        <w:rPr>
          <w:rFonts w:hint="eastAsia" w:ascii="宋体" w:hAnsi="宋体" w:cs="仿宋_GB2312"/>
          <w:color w:val="auto"/>
          <w:sz w:val="24"/>
          <w:szCs w:val="20"/>
          <w:highlight w:val="none"/>
          <w:lang w:val="zh-CN"/>
        </w:rPr>
        <w:t>为准。）</w:t>
      </w: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b/>
          <w:bCs/>
          <w:color w:val="auto"/>
          <w:sz w:val="44"/>
          <w:szCs w:val="48"/>
          <w:highlight w:val="none"/>
        </w:rPr>
      </w:pPr>
    </w:p>
    <w:p>
      <w:pPr>
        <w:jc w:val="left"/>
        <w:rPr>
          <w:color w:val="auto"/>
          <w:highlight w:val="none"/>
        </w:rPr>
        <w:sectPr>
          <w:pgSz w:w="11906" w:h="16838"/>
          <w:pgMar w:top="1440" w:right="1800" w:bottom="1440" w:left="1800" w:header="794" w:footer="850" w:gutter="0"/>
          <w:cols w:space="425" w:num="1"/>
          <w:docGrid w:type="lines" w:linePitch="312" w:charSpace="0"/>
        </w:sectPr>
      </w:pPr>
    </w:p>
    <w:p>
      <w:pPr>
        <w:pStyle w:val="4"/>
        <w:rPr>
          <w:color w:val="auto"/>
          <w:highlight w:val="none"/>
        </w:rPr>
      </w:pPr>
    </w:p>
    <w:p>
      <w:pPr>
        <w:rPr>
          <w:b/>
          <w:bCs/>
          <w:color w:val="auto"/>
          <w:sz w:val="44"/>
          <w:szCs w:val="48"/>
          <w:highlight w:val="none"/>
        </w:rPr>
      </w:pPr>
      <w:r>
        <w:rPr>
          <w:rFonts w:hint="eastAsia"/>
          <w:b/>
          <w:bCs/>
          <w:color w:val="auto"/>
          <w:sz w:val="44"/>
          <w:szCs w:val="48"/>
          <w:highlight w:val="none"/>
        </w:rPr>
        <w:t>目录</w:t>
      </w:r>
    </w:p>
    <w:p>
      <w:pPr>
        <w:rPr>
          <w:b/>
          <w:bCs/>
          <w:color w:val="auto"/>
          <w:sz w:val="44"/>
          <w:szCs w:val="48"/>
          <w:highlight w:val="none"/>
        </w:rPr>
      </w:pPr>
    </w:p>
    <w:p>
      <w:pPr>
        <w:numPr>
          <w:ilvl w:val="0"/>
          <w:numId w:val="2"/>
        </w:numPr>
        <w:rPr>
          <w:color w:val="auto"/>
          <w:sz w:val="32"/>
          <w:szCs w:val="36"/>
          <w:highlight w:val="none"/>
        </w:rPr>
      </w:pPr>
      <w:r>
        <w:rPr>
          <w:rFonts w:hint="eastAsia"/>
          <w:color w:val="auto"/>
          <w:sz w:val="32"/>
          <w:szCs w:val="36"/>
          <w:highlight w:val="none"/>
          <w:lang w:val="en-US" w:eastAsia="zh-CN"/>
        </w:rPr>
        <w:t>招标公告</w:t>
      </w:r>
    </w:p>
    <w:p>
      <w:pPr>
        <w:numPr>
          <w:ilvl w:val="0"/>
          <w:numId w:val="2"/>
        </w:numPr>
        <w:rPr>
          <w:color w:val="auto"/>
          <w:sz w:val="32"/>
          <w:szCs w:val="36"/>
          <w:highlight w:val="none"/>
        </w:rPr>
      </w:pPr>
      <w:r>
        <w:rPr>
          <w:rFonts w:hint="eastAsia"/>
          <w:color w:val="auto"/>
          <w:sz w:val="32"/>
          <w:szCs w:val="36"/>
          <w:highlight w:val="none"/>
        </w:rPr>
        <w:t>投标人须知</w:t>
      </w:r>
    </w:p>
    <w:p>
      <w:pPr>
        <w:numPr>
          <w:ilvl w:val="0"/>
          <w:numId w:val="2"/>
        </w:numPr>
        <w:rPr>
          <w:color w:val="auto"/>
          <w:sz w:val="32"/>
          <w:szCs w:val="36"/>
          <w:highlight w:val="none"/>
        </w:rPr>
      </w:pPr>
      <w:r>
        <w:rPr>
          <w:rFonts w:hint="eastAsia"/>
          <w:color w:val="auto"/>
          <w:sz w:val="32"/>
          <w:szCs w:val="36"/>
          <w:highlight w:val="none"/>
        </w:rPr>
        <w:t>用户</w:t>
      </w:r>
      <w:r>
        <w:rPr>
          <w:color w:val="auto"/>
          <w:sz w:val="32"/>
          <w:szCs w:val="36"/>
          <w:highlight w:val="none"/>
        </w:rPr>
        <w:t>需求</w:t>
      </w:r>
      <w:r>
        <w:rPr>
          <w:rFonts w:hint="eastAsia"/>
          <w:color w:val="auto"/>
          <w:sz w:val="32"/>
          <w:szCs w:val="36"/>
          <w:highlight w:val="none"/>
        </w:rPr>
        <w:t>书</w:t>
      </w:r>
      <w:r>
        <w:rPr>
          <w:color w:val="auto"/>
          <w:sz w:val="32"/>
          <w:szCs w:val="36"/>
          <w:highlight w:val="none"/>
        </w:rPr>
        <w:t xml:space="preserve"> </w:t>
      </w:r>
    </w:p>
    <w:p>
      <w:pPr>
        <w:numPr>
          <w:ilvl w:val="0"/>
          <w:numId w:val="2"/>
        </w:numPr>
        <w:rPr>
          <w:color w:val="auto"/>
          <w:sz w:val="32"/>
          <w:szCs w:val="36"/>
          <w:highlight w:val="none"/>
        </w:rPr>
      </w:pPr>
      <w:r>
        <w:rPr>
          <w:rFonts w:hint="eastAsia"/>
          <w:color w:val="auto"/>
          <w:sz w:val="32"/>
          <w:szCs w:val="36"/>
          <w:highlight w:val="none"/>
        </w:rPr>
        <w:t>附件（格式）</w:t>
      </w:r>
    </w:p>
    <w:p>
      <w:pPr>
        <w:numPr>
          <w:ilvl w:val="0"/>
          <w:numId w:val="2"/>
        </w:numPr>
        <w:rPr>
          <w:color w:val="auto"/>
          <w:sz w:val="32"/>
          <w:szCs w:val="36"/>
          <w:highlight w:val="none"/>
        </w:rPr>
      </w:pPr>
      <w:r>
        <w:rPr>
          <w:rFonts w:hint="eastAsia"/>
          <w:color w:val="auto"/>
          <w:sz w:val="32"/>
          <w:szCs w:val="36"/>
          <w:highlight w:val="none"/>
        </w:rPr>
        <w:t>评标细则</w:t>
      </w:r>
    </w:p>
    <w:p>
      <w:pPr>
        <w:numPr>
          <w:ilvl w:val="0"/>
          <w:numId w:val="2"/>
        </w:numPr>
        <w:rPr>
          <w:color w:val="auto"/>
          <w:sz w:val="32"/>
          <w:szCs w:val="36"/>
          <w:highlight w:val="none"/>
        </w:rPr>
      </w:pPr>
      <w:r>
        <w:rPr>
          <w:rFonts w:hint="eastAsia"/>
          <w:color w:val="auto"/>
          <w:sz w:val="32"/>
          <w:szCs w:val="36"/>
          <w:highlight w:val="none"/>
        </w:rPr>
        <w:t xml:space="preserve">合同文本   </w:t>
      </w:r>
    </w:p>
    <w:p>
      <w:pPr>
        <w:rPr>
          <w:color w:val="auto"/>
          <w:highlight w:val="none"/>
        </w:rPr>
      </w:pPr>
      <w:r>
        <w:rPr>
          <w:color w:val="auto"/>
          <w:highlight w:val="none"/>
        </w:rPr>
        <w:br w:type="page"/>
      </w:r>
    </w:p>
    <w:p>
      <w:pPr>
        <w:spacing w:line="360" w:lineRule="auto"/>
        <w:jc w:val="center"/>
        <w:rPr>
          <w:rFonts w:hint="default" w:ascii="宋体" w:hAnsi="宋体" w:eastAsia="宋体"/>
          <w:b/>
          <w:bCs/>
          <w:color w:val="auto"/>
          <w:sz w:val="44"/>
          <w:szCs w:val="44"/>
          <w:highlight w:val="none"/>
          <w:lang w:val="en-US" w:eastAsia="zh-CN"/>
        </w:rPr>
      </w:pPr>
      <w:r>
        <w:rPr>
          <w:rFonts w:hint="eastAsia" w:ascii="宋体" w:hAnsi="宋体" w:cs="宋体"/>
          <w:b/>
          <w:color w:val="auto"/>
          <w:sz w:val="44"/>
          <w:szCs w:val="44"/>
          <w:highlight w:val="none"/>
        </w:rPr>
        <w:t xml:space="preserve">第一章 </w:t>
      </w:r>
      <w:r>
        <w:rPr>
          <w:rFonts w:hint="eastAsia"/>
          <w:b/>
          <w:color w:val="auto"/>
          <w:sz w:val="44"/>
          <w:szCs w:val="44"/>
          <w:highlight w:val="none"/>
          <w:lang w:val="en-US" w:eastAsia="zh-CN"/>
        </w:rPr>
        <w:t>招标公告</w:t>
      </w:r>
    </w:p>
    <w:p>
      <w:pPr>
        <w:spacing w:line="360" w:lineRule="auto"/>
        <w:jc w:val="center"/>
        <w:rPr>
          <w:rFonts w:hint="eastAsia" w:ascii="宋体" w:hAnsi="宋体"/>
          <w:b/>
          <w:color w:val="auto"/>
          <w:sz w:val="32"/>
          <w:highlight w:val="none"/>
        </w:rPr>
      </w:pP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广州南沙旅游发展有限公司对“2025年粤港澳大湾区灯会活动围蔽采购安装项目”进行邀请招标采购，欢迎符合资格条件的供应商投标。</w:t>
      </w:r>
    </w:p>
    <w:p>
      <w:pPr>
        <w:spacing w:line="360"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一、项目名称：</w:t>
      </w:r>
      <w:r>
        <w:rPr>
          <w:rFonts w:hint="eastAsia" w:ascii="宋体" w:hAnsi="宋体"/>
          <w:color w:val="auto"/>
          <w:sz w:val="24"/>
          <w:szCs w:val="24"/>
          <w:highlight w:val="none"/>
        </w:rPr>
        <w:t>2025年粤港澳大湾区灯会活动围蔽采购安装项目。</w:t>
      </w:r>
    </w:p>
    <w:p>
      <w:pPr>
        <w:spacing w:line="360"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二、项目最高限价：</w:t>
      </w:r>
      <w:r>
        <w:rPr>
          <w:rFonts w:hint="eastAsia" w:ascii="宋体" w:hAnsi="宋体"/>
          <w:b w:val="0"/>
          <w:bCs/>
          <w:color w:val="auto"/>
          <w:sz w:val="24"/>
          <w:szCs w:val="24"/>
          <w:highlight w:val="none"/>
          <w:u w:val="single"/>
        </w:rPr>
        <w:t>¥</w:t>
      </w:r>
      <w:r>
        <w:rPr>
          <w:rFonts w:hint="eastAsia" w:ascii="宋体" w:hAnsi="宋体"/>
          <w:b w:val="0"/>
          <w:bCs/>
          <w:color w:val="auto"/>
          <w:sz w:val="24"/>
          <w:szCs w:val="24"/>
          <w:highlight w:val="none"/>
          <w:u w:val="single"/>
          <w:lang w:val="en-US" w:eastAsia="zh-CN"/>
        </w:rPr>
        <w:t>488</w:t>
      </w:r>
      <w:r>
        <w:rPr>
          <w:rFonts w:hint="eastAsia" w:ascii="宋体" w:hAnsi="宋体"/>
          <w:b w:val="0"/>
          <w:bCs/>
          <w:color w:val="auto"/>
          <w:sz w:val="24"/>
          <w:szCs w:val="24"/>
          <w:highlight w:val="none"/>
          <w:u w:val="single"/>
        </w:rPr>
        <w:t>000</w:t>
      </w:r>
      <w:r>
        <w:rPr>
          <w:rFonts w:hint="eastAsia" w:ascii="宋体" w:hAnsi="宋体"/>
          <w:b w:val="0"/>
          <w:bCs/>
          <w:color w:val="auto"/>
          <w:sz w:val="24"/>
          <w:szCs w:val="24"/>
          <w:highlight w:val="none"/>
          <w:u w:val="single"/>
          <w:lang w:val="en-US" w:eastAsia="zh-CN"/>
        </w:rPr>
        <w:t>.00</w:t>
      </w:r>
      <w:r>
        <w:rPr>
          <w:rFonts w:hint="eastAsia" w:ascii="宋体" w:hAnsi="宋体"/>
          <w:color w:val="auto"/>
          <w:sz w:val="24"/>
          <w:szCs w:val="24"/>
          <w:highlight w:val="none"/>
          <w:u w:val="single"/>
        </w:rPr>
        <w:t xml:space="preserve">元 </w:t>
      </w:r>
      <w:r>
        <w:rPr>
          <w:rFonts w:hint="eastAsia" w:ascii="宋体" w:hAnsi="宋体"/>
          <w:color w:val="auto"/>
          <w:sz w:val="24"/>
          <w:szCs w:val="24"/>
          <w:highlight w:val="none"/>
        </w:rPr>
        <w:t>（大写:人民币</w:t>
      </w:r>
      <w:r>
        <w:rPr>
          <w:rFonts w:hint="eastAsia" w:ascii="宋体" w:hAnsi="宋体"/>
          <w:color w:val="auto"/>
          <w:sz w:val="24"/>
          <w:szCs w:val="24"/>
          <w:highlight w:val="none"/>
          <w:lang w:val="en-US" w:eastAsia="zh-CN"/>
        </w:rPr>
        <w:t>肆</w:t>
      </w:r>
      <w:r>
        <w:rPr>
          <w:rFonts w:hint="eastAsia" w:ascii="宋体" w:hAnsi="宋体"/>
          <w:color w:val="auto"/>
          <w:sz w:val="24"/>
          <w:szCs w:val="24"/>
          <w:highlight w:val="none"/>
        </w:rPr>
        <w:t>拾</w:t>
      </w:r>
      <w:r>
        <w:rPr>
          <w:rFonts w:hint="eastAsia" w:ascii="宋体" w:hAnsi="宋体"/>
          <w:color w:val="auto"/>
          <w:sz w:val="24"/>
          <w:szCs w:val="24"/>
          <w:highlight w:val="none"/>
          <w:lang w:val="en-US" w:eastAsia="zh-CN"/>
        </w:rPr>
        <w:t>捌</w:t>
      </w:r>
      <w:r>
        <w:rPr>
          <w:rFonts w:hint="eastAsia" w:ascii="宋体" w:hAnsi="宋体"/>
          <w:color w:val="auto"/>
          <w:sz w:val="24"/>
          <w:szCs w:val="24"/>
          <w:highlight w:val="none"/>
        </w:rPr>
        <w:t>万</w:t>
      </w:r>
      <w:r>
        <w:rPr>
          <w:rFonts w:hint="eastAsia" w:ascii="宋体" w:hAnsi="宋体"/>
          <w:color w:val="auto"/>
          <w:sz w:val="24"/>
          <w:szCs w:val="24"/>
          <w:highlight w:val="none"/>
          <w:lang w:val="en-US" w:eastAsia="zh-CN"/>
        </w:rPr>
        <w:t>捌</w:t>
      </w:r>
      <w:r>
        <w:rPr>
          <w:rFonts w:hint="eastAsia" w:ascii="宋体" w:hAnsi="宋体"/>
          <w:color w:val="auto"/>
          <w:sz w:val="24"/>
          <w:szCs w:val="24"/>
          <w:highlight w:val="none"/>
        </w:rPr>
        <w:t xml:space="preserve">仟元整）。      </w:t>
      </w:r>
    </w:p>
    <w:p>
      <w:pPr>
        <w:spacing w:line="360"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三、采购方式：</w:t>
      </w:r>
      <w:r>
        <w:rPr>
          <w:rFonts w:hint="eastAsia" w:ascii="宋体" w:hAnsi="宋体"/>
          <w:color w:val="auto"/>
          <w:sz w:val="24"/>
          <w:szCs w:val="24"/>
          <w:highlight w:val="none"/>
        </w:rPr>
        <w:t xml:space="preserve">邀请招标（综合评审法）。              </w:t>
      </w:r>
    </w:p>
    <w:p>
      <w:pPr>
        <w:spacing w:line="360"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四、项目内容及需求：</w:t>
      </w:r>
      <w:r>
        <w:rPr>
          <w:rFonts w:hint="eastAsia" w:ascii="宋体" w:hAnsi="宋体"/>
          <w:color w:val="auto"/>
          <w:sz w:val="24"/>
          <w:szCs w:val="24"/>
          <w:highlight w:val="none"/>
        </w:rPr>
        <w:t>（采购项目技术规格、参数及要求）具体内容及需求详见《用户需求书》。</w:t>
      </w:r>
    </w:p>
    <w:p>
      <w:pPr>
        <w:spacing w:line="360" w:lineRule="auto"/>
        <w:ind w:firstLine="482" w:firstLineChars="200"/>
        <w:rPr>
          <w:b/>
          <w:bCs/>
          <w:color w:val="auto"/>
          <w:highlight w:val="none"/>
        </w:rPr>
      </w:pPr>
      <w:r>
        <w:rPr>
          <w:rFonts w:hint="eastAsia" w:ascii="宋体" w:hAnsi="宋体"/>
          <w:b/>
          <w:bCs/>
          <w:color w:val="auto"/>
          <w:sz w:val="24"/>
          <w:szCs w:val="24"/>
          <w:highlight w:val="none"/>
        </w:rPr>
        <w:t>五、投标单位资格要求：</w:t>
      </w:r>
    </w:p>
    <w:p>
      <w:pPr>
        <w:tabs>
          <w:tab w:val="left" w:pos="425"/>
        </w:tabs>
        <w:autoSpaceDE w:val="0"/>
        <w:autoSpaceDN w:val="0"/>
        <w:adjustRightInd w:val="0"/>
        <w:snapToGrid w:val="0"/>
        <w:spacing w:line="360" w:lineRule="auto"/>
        <w:ind w:firstLine="480" w:firstLineChars="200"/>
        <w:jc w:val="left"/>
        <w:rPr>
          <w:rFonts w:ascii="宋体"/>
          <w:bCs/>
          <w:color w:val="auto"/>
          <w:kern w:val="0"/>
          <w:sz w:val="24"/>
          <w:szCs w:val="24"/>
          <w:highlight w:val="none"/>
        </w:rPr>
      </w:pPr>
      <w:r>
        <w:rPr>
          <w:rFonts w:hint="eastAsia" w:ascii="宋体" w:hAnsi="宋体"/>
          <w:color w:val="auto"/>
          <w:sz w:val="24"/>
          <w:szCs w:val="24"/>
          <w:highlight w:val="none"/>
        </w:rPr>
        <w:t>1、具有独立承担民事责任能力的在中华人民共和国境内注册的法人或其他组织，并取得合法企业工商营业执照；</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2、本项目不拆分，不接受联合体投标，否则，相关投标均无效；</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3、单位负责人为同一人或者存在直接控股、管理关系的不同供应商，不得同时参加本项目投标；</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4、</w:t>
      </w:r>
      <w:r>
        <w:rPr>
          <w:rFonts w:hint="eastAsia" w:ascii="宋体" w:hAnsi="宋体" w:cs="Times New Roman"/>
          <w:color w:val="auto"/>
          <w:sz w:val="24"/>
          <w:szCs w:val="24"/>
          <w:highlight w:val="none"/>
          <w:lang w:val="zh-CN"/>
        </w:rPr>
        <w:t>未被列入</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信用中国</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网站</w:t>
      </w:r>
      <w:r>
        <w:rPr>
          <w:rFonts w:hint="eastAsia" w:ascii="宋体" w:hAnsi="宋体" w:cs="Times New Roman"/>
          <w:color w:val="auto"/>
          <w:sz w:val="24"/>
          <w:szCs w:val="24"/>
          <w:highlight w:val="none"/>
          <w:lang w:val="en-US"/>
        </w:rPr>
        <w:t>(www.creditchina.gov.cn)“</w:t>
      </w:r>
      <w:r>
        <w:rPr>
          <w:rFonts w:hint="eastAsia" w:ascii="宋体" w:hAnsi="宋体" w:cs="Times New Roman"/>
          <w:color w:val="auto"/>
          <w:sz w:val="24"/>
          <w:szCs w:val="24"/>
          <w:highlight w:val="none"/>
          <w:lang w:val="zh-CN"/>
        </w:rPr>
        <w:t>记录失信被执行人或重大税收违法案件当事人名单或政府采购严重违法失信行为</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记录名单</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rPr>
        <w:t>以</w:t>
      </w:r>
      <w:r>
        <w:rPr>
          <w:rFonts w:hint="eastAsia" w:ascii="宋体" w:hAnsi="宋体" w:cs="Times New Roman"/>
          <w:color w:val="auto"/>
          <w:sz w:val="24"/>
          <w:szCs w:val="24"/>
          <w:highlight w:val="none"/>
          <w:lang w:val="zh-CN"/>
        </w:rPr>
        <w:t>在</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信用中国</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网站</w:t>
      </w:r>
      <w:r>
        <w:rPr>
          <w:rFonts w:hint="eastAsia" w:ascii="宋体" w:hAnsi="宋体" w:cs="Times New Roman"/>
          <w:color w:val="auto"/>
          <w:sz w:val="24"/>
          <w:szCs w:val="24"/>
          <w:highlight w:val="none"/>
          <w:lang w:val="en-US"/>
        </w:rPr>
        <w:t>（www.creditchina.gov.cn）</w:t>
      </w:r>
      <w:r>
        <w:rPr>
          <w:rFonts w:hint="eastAsia" w:ascii="宋体" w:hAnsi="宋体" w:cs="Times New Roman"/>
          <w:color w:val="auto"/>
          <w:sz w:val="24"/>
          <w:szCs w:val="24"/>
          <w:highlight w:val="none"/>
          <w:lang w:val="zh-CN"/>
        </w:rPr>
        <w:t>及中国政府采购网查询结果为准</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rPr>
        <w:t>加盖公章</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如相关失信记录已失效</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投标人需提供相关证明资料。）</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5、投标人按要求提供投标申请人声明原件（签署、盖章）。</w:t>
      </w:r>
    </w:p>
    <w:p>
      <w:pPr>
        <w:snapToGrid w:val="0"/>
        <w:spacing w:line="360" w:lineRule="auto"/>
        <w:ind w:firstLine="482" w:firstLineChars="200"/>
        <w:rPr>
          <w:rFonts w:ascii="宋体"/>
          <w:b/>
          <w:bCs/>
          <w:color w:val="auto"/>
          <w:sz w:val="24"/>
          <w:szCs w:val="24"/>
          <w:highlight w:val="none"/>
        </w:rPr>
      </w:pPr>
      <w:r>
        <w:rPr>
          <w:rFonts w:hint="eastAsia" w:ascii="宋体"/>
          <w:b/>
          <w:bCs/>
          <w:color w:val="auto"/>
          <w:sz w:val="24"/>
          <w:szCs w:val="24"/>
          <w:highlight w:val="none"/>
        </w:rPr>
        <w:t>六、获取采购文件方式</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cs="Times New Roman"/>
          <w:color w:val="auto"/>
          <w:sz w:val="24"/>
          <w:szCs w:val="24"/>
          <w:highlight w:val="none"/>
          <w:lang w:val="zh-CN"/>
        </w:rPr>
      </w:pPr>
      <w:r>
        <w:rPr>
          <w:rFonts w:hint="eastAsia" w:ascii="宋体" w:hAnsi="宋体" w:cs="Times New Roman"/>
          <w:color w:val="auto"/>
          <w:sz w:val="24"/>
          <w:szCs w:val="24"/>
          <w:highlight w:val="none"/>
        </w:rPr>
        <w:t>项目</w:t>
      </w:r>
      <w:r>
        <w:rPr>
          <w:rFonts w:hint="eastAsia" w:ascii="宋体" w:hAnsi="宋体" w:cs="Times New Roman"/>
          <w:color w:val="auto"/>
          <w:sz w:val="24"/>
          <w:szCs w:val="24"/>
          <w:highlight w:val="none"/>
          <w:lang w:val="zh-CN"/>
        </w:rPr>
        <w:t>信息发布及结果公告网站</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广州南沙资产经营集团有限公司网站</w:t>
      </w:r>
      <w:r>
        <w:rPr>
          <w:rFonts w:hint="eastAsia" w:ascii="宋体" w:hAnsi="宋体" w:cs="Times New Roman"/>
          <w:color w:val="auto"/>
          <w:sz w:val="24"/>
          <w:szCs w:val="24"/>
          <w:highlight w:val="none"/>
          <w:lang w:val="en-US"/>
        </w:rPr>
        <w:t>（http://www.gnao.com.cn/），</w:t>
      </w:r>
      <w:r>
        <w:rPr>
          <w:rFonts w:hint="eastAsia" w:ascii="宋体" w:hAnsi="宋体" w:cs="Times New Roman"/>
          <w:color w:val="auto"/>
          <w:sz w:val="24"/>
          <w:szCs w:val="24"/>
          <w:highlight w:val="none"/>
          <w:lang w:val="zh-CN"/>
        </w:rPr>
        <w:t>招标公告及</w:t>
      </w:r>
      <w:r>
        <w:rPr>
          <w:rFonts w:hint="eastAsia" w:ascii="宋体" w:hAnsi="宋体" w:cs="Times New Roman"/>
          <w:color w:val="auto"/>
          <w:sz w:val="24"/>
          <w:szCs w:val="24"/>
          <w:highlight w:val="none"/>
        </w:rPr>
        <w:t>招标</w:t>
      </w:r>
      <w:r>
        <w:rPr>
          <w:rFonts w:hint="eastAsia" w:ascii="宋体" w:hAnsi="宋体" w:cs="Times New Roman"/>
          <w:color w:val="auto"/>
          <w:sz w:val="24"/>
          <w:szCs w:val="24"/>
          <w:highlight w:val="none"/>
          <w:lang w:val="zh-CN"/>
        </w:rPr>
        <w:t>文件的</w:t>
      </w:r>
      <w:r>
        <w:rPr>
          <w:rFonts w:hint="eastAsia" w:ascii="宋体" w:hAnsi="宋体" w:cs="Times New Roman"/>
          <w:color w:val="auto"/>
          <w:sz w:val="24"/>
          <w:szCs w:val="24"/>
          <w:highlight w:val="none"/>
        </w:rPr>
        <w:t>发布、</w:t>
      </w:r>
      <w:r>
        <w:rPr>
          <w:rFonts w:hint="eastAsia" w:ascii="宋体" w:hAnsi="宋体" w:cs="Times New Roman"/>
          <w:color w:val="auto"/>
          <w:sz w:val="24"/>
          <w:szCs w:val="24"/>
          <w:highlight w:val="none"/>
          <w:lang w:val="zh-CN"/>
        </w:rPr>
        <w:t>修改、补充以广州南沙资产经营集团有限公司网站为准。相关公告在广州南沙资产经营集团有限公司网站公布之日即视为有效送达，不再另行通知。本项目不举行集中答疑会，如有任何疑问请以书面、传真或电邮形式至</w:t>
      </w:r>
      <w:r>
        <w:rPr>
          <w:rFonts w:hint="eastAsia" w:ascii="宋体" w:hAnsi="宋体" w:cs="Times New Roman"/>
          <w:color w:val="auto"/>
          <w:sz w:val="24"/>
          <w:szCs w:val="24"/>
          <w:highlight w:val="none"/>
        </w:rPr>
        <w:t>招标</w:t>
      </w:r>
      <w:r>
        <w:rPr>
          <w:rFonts w:hint="eastAsia" w:ascii="宋体" w:hAnsi="宋体" w:cs="Times New Roman"/>
          <w:color w:val="auto"/>
          <w:sz w:val="24"/>
          <w:szCs w:val="24"/>
          <w:highlight w:val="none"/>
          <w:lang w:val="zh-CN"/>
        </w:rPr>
        <w:t>单位释疑。投标人自行前往现场踏勘。</w:t>
      </w:r>
    </w:p>
    <w:p>
      <w:pPr>
        <w:tabs>
          <w:tab w:val="left" w:pos="425"/>
        </w:tabs>
        <w:autoSpaceDE w:val="0"/>
        <w:autoSpaceDN w:val="0"/>
        <w:adjustRightInd w:val="0"/>
        <w:snapToGrid w:val="0"/>
        <w:spacing w:line="360" w:lineRule="auto"/>
        <w:ind w:firstLine="482" w:firstLineChars="200"/>
        <w:outlineLvl w:val="0"/>
        <w:rPr>
          <w:rFonts w:hint="eastAsia" w:ascii="宋体" w:hAnsi="宋体"/>
          <w:b/>
          <w:bCs/>
          <w:color w:val="auto"/>
          <w:sz w:val="24"/>
          <w:szCs w:val="24"/>
          <w:highlight w:val="none"/>
        </w:rPr>
      </w:pPr>
      <w:r>
        <w:rPr>
          <w:rFonts w:hint="eastAsia" w:ascii="宋体" w:hAnsi="宋体"/>
          <w:b/>
          <w:bCs/>
          <w:color w:val="auto"/>
          <w:sz w:val="24"/>
          <w:szCs w:val="24"/>
          <w:highlight w:val="none"/>
        </w:rPr>
        <w:t>七、</w:t>
      </w:r>
      <w:bookmarkStart w:id="0" w:name="_Toc416803454"/>
      <w:bookmarkStart w:id="1" w:name="_Toc428538285"/>
      <w:r>
        <w:rPr>
          <w:rFonts w:hint="eastAsia" w:ascii="宋体" w:hAnsi="宋体"/>
          <w:b/>
          <w:bCs/>
          <w:color w:val="auto"/>
          <w:sz w:val="24"/>
          <w:szCs w:val="24"/>
          <w:highlight w:val="none"/>
        </w:rPr>
        <w:t>投标保证金</w:t>
      </w:r>
      <w:bookmarkEnd w:id="0"/>
      <w:bookmarkEnd w:id="1"/>
    </w:p>
    <w:p>
      <w:pPr>
        <w:tabs>
          <w:tab w:val="left" w:pos="425"/>
          <w:tab w:val="left" w:pos="567"/>
        </w:tabs>
        <w:autoSpaceDE w:val="0"/>
        <w:autoSpaceDN w:val="0"/>
        <w:adjustRightInd w:val="0"/>
        <w:snapToGrid w:val="0"/>
        <w:spacing w:line="360" w:lineRule="auto"/>
        <w:ind w:firstLine="480" w:firstLineChars="200"/>
        <w:rPr>
          <w:rFonts w:hint="eastAsia" w:ascii="宋体" w:hAnsi="宋体" w:cs="宋体"/>
          <w:color w:val="auto"/>
          <w:sz w:val="24"/>
          <w:szCs w:val="24"/>
          <w:highlight w:val="none"/>
          <w:lang w:eastAsia="zh-TW"/>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TW"/>
        </w:rPr>
        <w:t>投标人应</w:t>
      </w:r>
      <w:r>
        <w:rPr>
          <w:rFonts w:hint="eastAsia" w:ascii="宋体" w:hAnsi="宋体" w:cs="宋体"/>
          <w:color w:val="auto"/>
          <w:sz w:val="24"/>
          <w:szCs w:val="24"/>
          <w:highlight w:val="none"/>
        </w:rPr>
        <w:t>按报名文件</w:t>
      </w:r>
      <w:r>
        <w:rPr>
          <w:rFonts w:hint="eastAsia" w:ascii="宋体" w:hAnsi="宋体" w:cs="宋体"/>
          <w:color w:val="auto"/>
          <w:sz w:val="24"/>
          <w:szCs w:val="24"/>
          <w:highlight w:val="none"/>
          <w:lang w:eastAsia="zh-TW"/>
        </w:rPr>
        <w:t>规定</w:t>
      </w:r>
      <w:r>
        <w:rPr>
          <w:rFonts w:hint="eastAsia" w:ascii="宋体" w:hAnsi="宋体" w:cs="宋体"/>
          <w:color w:val="auto"/>
          <w:sz w:val="24"/>
          <w:szCs w:val="24"/>
          <w:highlight w:val="none"/>
        </w:rPr>
        <w:t>的金</w:t>
      </w:r>
      <w:r>
        <w:rPr>
          <w:rFonts w:hint="eastAsia" w:ascii="宋体" w:hAnsi="宋体" w:cs="宋体"/>
          <w:color w:val="auto"/>
          <w:sz w:val="24"/>
          <w:szCs w:val="24"/>
          <w:highlight w:val="none"/>
          <w:lang w:eastAsia="zh-TW"/>
        </w:rPr>
        <w:t>额</w:t>
      </w:r>
      <w:r>
        <w:rPr>
          <w:rFonts w:hint="eastAsia" w:ascii="宋体" w:hAnsi="宋体" w:cs="宋体"/>
          <w:color w:val="auto"/>
          <w:sz w:val="24"/>
          <w:szCs w:val="24"/>
          <w:highlight w:val="none"/>
        </w:rPr>
        <w:t>和期限缴纳</w:t>
      </w:r>
      <w:r>
        <w:rPr>
          <w:rFonts w:hint="eastAsia" w:ascii="宋体" w:hAnsi="宋体" w:cs="宋体"/>
          <w:color w:val="auto"/>
          <w:sz w:val="24"/>
          <w:szCs w:val="24"/>
          <w:highlight w:val="none"/>
          <w:lang w:eastAsia="zh-TW"/>
        </w:rPr>
        <w:t>投标保证金</w:t>
      </w:r>
      <w:r>
        <w:rPr>
          <w:rFonts w:hint="eastAsia" w:ascii="宋体" w:hAnsi="宋体" w:cs="宋体"/>
          <w:color w:val="auto"/>
          <w:sz w:val="24"/>
          <w:szCs w:val="24"/>
          <w:highlight w:val="none"/>
        </w:rPr>
        <w:t>，投标保证金作为</w:t>
      </w:r>
      <w:r>
        <w:rPr>
          <w:rFonts w:hint="eastAsia" w:ascii="宋体" w:hAnsi="宋体" w:cs="宋体"/>
          <w:color w:val="auto"/>
          <w:sz w:val="24"/>
          <w:szCs w:val="24"/>
          <w:highlight w:val="none"/>
          <w:lang w:eastAsia="zh-TW"/>
        </w:rPr>
        <w:t>投标</w:t>
      </w:r>
      <w:r>
        <w:rPr>
          <w:rFonts w:hint="eastAsia" w:ascii="宋体" w:hAnsi="宋体" w:cs="宋体"/>
          <w:color w:val="auto"/>
          <w:sz w:val="24"/>
          <w:szCs w:val="24"/>
          <w:highlight w:val="none"/>
        </w:rPr>
        <w:t>文件的组成部</w:t>
      </w:r>
      <w:r>
        <w:rPr>
          <w:rFonts w:hint="eastAsia" w:ascii="宋体" w:hAnsi="宋体" w:cs="宋体"/>
          <w:color w:val="auto"/>
          <w:sz w:val="24"/>
          <w:szCs w:val="24"/>
          <w:highlight w:val="none"/>
          <w:lang w:eastAsia="zh-TW"/>
        </w:rPr>
        <w:t>分。</w:t>
      </w:r>
    </w:p>
    <w:p>
      <w:pPr>
        <w:tabs>
          <w:tab w:val="left" w:pos="425"/>
        </w:tabs>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2、项目</w:t>
      </w:r>
      <w:r>
        <w:rPr>
          <w:color w:val="auto"/>
          <w:sz w:val="24"/>
          <w:szCs w:val="24"/>
          <w:highlight w:val="none"/>
        </w:rPr>
        <w:t>投标保证金</w:t>
      </w:r>
      <w:r>
        <w:rPr>
          <w:rFonts w:hint="eastAsia"/>
          <w:color w:val="auto"/>
          <w:sz w:val="24"/>
          <w:szCs w:val="24"/>
          <w:highlight w:val="none"/>
        </w:rPr>
        <w:t>金额为：</w:t>
      </w:r>
      <w:r>
        <w:rPr>
          <w:rFonts w:hint="eastAsia" w:ascii="宋体" w:hAnsi="宋体"/>
          <w:b/>
          <w:color w:val="auto"/>
          <w:sz w:val="24"/>
          <w:szCs w:val="24"/>
          <w:highlight w:val="none"/>
          <w:u w:val="single"/>
        </w:rPr>
        <w:t>¥</w:t>
      </w:r>
      <w:r>
        <w:rPr>
          <w:rFonts w:hint="eastAsia" w:ascii="宋体" w:hAnsi="宋体"/>
          <w:b/>
          <w:color w:val="auto"/>
          <w:sz w:val="24"/>
          <w:szCs w:val="24"/>
          <w:highlight w:val="none"/>
          <w:u w:val="single"/>
          <w:lang w:val="en-US" w:eastAsia="zh-CN"/>
        </w:rPr>
        <w:t>5</w:t>
      </w:r>
      <w:r>
        <w:rPr>
          <w:rFonts w:hint="eastAsia" w:ascii="宋体" w:hAnsi="宋体"/>
          <w:b/>
          <w:color w:val="auto"/>
          <w:sz w:val="24"/>
          <w:szCs w:val="24"/>
          <w:highlight w:val="none"/>
          <w:u w:val="single"/>
        </w:rPr>
        <w:t>000.00（</w:t>
      </w:r>
      <w:r>
        <w:rPr>
          <w:rFonts w:hint="eastAsia" w:ascii="宋体" w:hAnsi="宋体"/>
          <w:b/>
          <w:color w:val="auto"/>
          <w:sz w:val="24"/>
          <w:szCs w:val="24"/>
          <w:highlight w:val="none"/>
          <w:u w:val="single"/>
          <w:lang w:eastAsia="zh-CN"/>
        </w:rPr>
        <w:t>大写：</w:t>
      </w:r>
      <w:r>
        <w:rPr>
          <w:rFonts w:hint="eastAsia" w:ascii="宋体" w:hAnsi="宋体"/>
          <w:b/>
          <w:color w:val="auto"/>
          <w:sz w:val="24"/>
          <w:szCs w:val="24"/>
          <w:highlight w:val="none"/>
          <w:u w:val="single"/>
        </w:rPr>
        <w:t>人民币</w:t>
      </w:r>
      <w:r>
        <w:rPr>
          <w:rFonts w:hint="eastAsia" w:ascii="宋体" w:hAnsi="宋体"/>
          <w:b/>
          <w:color w:val="auto"/>
          <w:sz w:val="24"/>
          <w:szCs w:val="24"/>
          <w:highlight w:val="none"/>
          <w:u w:val="single"/>
          <w:lang w:val="en-US" w:eastAsia="zh-CN"/>
        </w:rPr>
        <w:t>伍</w:t>
      </w:r>
      <w:r>
        <w:rPr>
          <w:rFonts w:hint="eastAsia" w:ascii="宋体" w:hAnsi="宋体"/>
          <w:b/>
          <w:color w:val="auto"/>
          <w:sz w:val="24"/>
          <w:szCs w:val="24"/>
          <w:highlight w:val="none"/>
          <w:u w:val="single"/>
        </w:rPr>
        <w:t>仟元整）。</w:t>
      </w:r>
      <w:r>
        <w:rPr>
          <w:rFonts w:hint="eastAsia"/>
          <w:color w:val="auto"/>
          <w:sz w:val="24"/>
          <w:szCs w:val="24"/>
          <w:highlight w:val="none"/>
        </w:rPr>
        <w:t>投标保证金以转账、现金或汇票的方式到达招标人账户。</w:t>
      </w:r>
    </w:p>
    <w:p>
      <w:pPr>
        <w:spacing w:line="360" w:lineRule="auto"/>
        <w:ind w:firstLine="480" w:firstLineChars="200"/>
        <w:rPr>
          <w:color w:val="auto"/>
          <w:sz w:val="24"/>
          <w:szCs w:val="24"/>
          <w:highlight w:val="none"/>
        </w:rPr>
      </w:pPr>
      <w:r>
        <w:rPr>
          <w:rFonts w:hint="eastAsia" w:ascii="宋体" w:hAnsi="宋体"/>
          <w:color w:val="auto"/>
          <w:sz w:val="24"/>
          <w:szCs w:val="24"/>
          <w:highlight w:val="none"/>
        </w:rPr>
        <w:t>3、投标保证金为人民币</w:t>
      </w:r>
      <w:r>
        <w:rPr>
          <w:rFonts w:hint="eastAsia"/>
          <w:color w:val="auto"/>
          <w:sz w:val="24"/>
          <w:szCs w:val="24"/>
          <w:highlight w:val="none"/>
        </w:rPr>
        <w:t>，投标保证金应在</w:t>
      </w:r>
      <w:r>
        <w:rPr>
          <w:rFonts w:hint="eastAsia"/>
          <w:color w:val="auto"/>
          <w:sz w:val="24"/>
          <w:szCs w:val="24"/>
          <w:highlight w:val="none"/>
          <w:u w:val="single"/>
          <w:lang w:val="en-US" w:eastAsia="zh-CN"/>
        </w:rPr>
        <w:t>2024年12</w:t>
      </w:r>
      <w:r>
        <w:rPr>
          <w:rFonts w:hint="eastAsia"/>
          <w:color w:val="auto"/>
          <w:sz w:val="24"/>
          <w:szCs w:val="24"/>
          <w:highlight w:val="none"/>
          <w:u w:val="single"/>
        </w:rPr>
        <w:t>月</w:t>
      </w:r>
      <w:r>
        <w:rPr>
          <w:rFonts w:hint="eastAsia"/>
          <w:color w:val="auto"/>
          <w:sz w:val="24"/>
          <w:szCs w:val="24"/>
          <w:highlight w:val="none"/>
          <w:u w:val="single"/>
          <w:lang w:val="en-US" w:eastAsia="zh-CN"/>
        </w:rPr>
        <w:t>25</w:t>
      </w:r>
      <w:r>
        <w:rPr>
          <w:rFonts w:hint="eastAsia"/>
          <w:color w:val="auto"/>
          <w:sz w:val="24"/>
          <w:szCs w:val="24"/>
          <w:highlight w:val="none"/>
          <w:u w:val="single"/>
        </w:rPr>
        <w:t>日</w:t>
      </w:r>
      <w:r>
        <w:rPr>
          <w:rFonts w:hint="eastAsia"/>
          <w:color w:val="auto"/>
          <w:sz w:val="24"/>
          <w:szCs w:val="24"/>
          <w:highlight w:val="none"/>
          <w:u w:val="single"/>
          <w:lang w:val="en-US" w:eastAsia="zh-CN"/>
        </w:rPr>
        <w:t>12</w:t>
      </w:r>
      <w:r>
        <w:rPr>
          <w:rFonts w:hint="eastAsia"/>
          <w:color w:val="auto"/>
          <w:sz w:val="24"/>
          <w:szCs w:val="24"/>
          <w:highlight w:val="none"/>
          <w:u w:val="single"/>
        </w:rPr>
        <w:t>：00分前</w:t>
      </w:r>
      <w:r>
        <w:rPr>
          <w:rFonts w:hint="eastAsia"/>
          <w:color w:val="auto"/>
          <w:sz w:val="24"/>
          <w:szCs w:val="24"/>
          <w:highlight w:val="none"/>
        </w:rPr>
        <w:t>到达招标人帐户。招标人账户：</w:t>
      </w:r>
    </w:p>
    <w:p>
      <w:pPr>
        <w:spacing w:line="360" w:lineRule="auto"/>
        <w:ind w:firstLine="440" w:firstLineChars="200"/>
        <w:rPr>
          <w:rFonts w:hint="eastAsia" w:ascii="宋体" w:hAnsi="宋体"/>
          <w:b w:val="0"/>
          <w:bCs/>
          <w:color w:val="auto"/>
          <w:sz w:val="22"/>
          <w:szCs w:val="22"/>
          <w:highlight w:val="none"/>
        </w:rPr>
      </w:pPr>
      <w:r>
        <w:rPr>
          <w:rFonts w:hint="eastAsia" w:ascii="宋体" w:hAnsi="宋体"/>
          <w:b w:val="0"/>
          <w:bCs/>
          <w:color w:val="auto"/>
          <w:sz w:val="22"/>
          <w:szCs w:val="22"/>
          <w:highlight w:val="none"/>
        </w:rPr>
        <w:t>收款人：广州南沙旅游发展有限公司</w:t>
      </w:r>
    </w:p>
    <w:p>
      <w:pPr>
        <w:spacing w:line="360" w:lineRule="auto"/>
        <w:ind w:firstLine="440" w:firstLineChars="200"/>
        <w:rPr>
          <w:rFonts w:hint="eastAsia" w:ascii="宋体" w:hAnsi="宋体"/>
          <w:b w:val="0"/>
          <w:bCs/>
          <w:color w:val="auto"/>
          <w:sz w:val="22"/>
          <w:highlight w:val="none"/>
        </w:rPr>
      </w:pPr>
      <w:r>
        <w:rPr>
          <w:rFonts w:hint="eastAsia" w:ascii="宋体" w:hAnsi="宋体"/>
          <w:b w:val="0"/>
          <w:bCs/>
          <w:color w:val="auto"/>
          <w:sz w:val="22"/>
          <w:highlight w:val="none"/>
        </w:rPr>
        <w:t>帐  号：</w:t>
      </w:r>
      <w:r>
        <w:rPr>
          <w:rFonts w:hint="eastAsia" w:ascii="宋体" w:hAnsi="宋体" w:eastAsia="宋体" w:cs="Arial"/>
          <w:b w:val="0"/>
          <w:bCs/>
          <w:color w:val="auto"/>
          <w:sz w:val="22"/>
          <w:szCs w:val="22"/>
          <w:highlight w:val="none"/>
        </w:rPr>
        <w:t xml:space="preserve"> 644457756045</w:t>
      </w:r>
    </w:p>
    <w:p>
      <w:pPr>
        <w:spacing w:line="360" w:lineRule="auto"/>
        <w:ind w:firstLine="440" w:firstLineChars="200"/>
        <w:rPr>
          <w:rFonts w:hint="eastAsia" w:ascii="宋体" w:hAnsi="宋体"/>
          <w:b/>
          <w:color w:val="auto"/>
          <w:highlight w:val="none"/>
        </w:rPr>
      </w:pPr>
      <w:r>
        <w:rPr>
          <w:rFonts w:hint="eastAsia" w:ascii="宋体" w:hAnsi="宋体"/>
          <w:b w:val="0"/>
          <w:bCs/>
          <w:color w:val="auto"/>
          <w:sz w:val="22"/>
          <w:highlight w:val="none"/>
        </w:rPr>
        <w:t>开户银行：</w:t>
      </w:r>
      <w:r>
        <w:rPr>
          <w:rFonts w:hint="eastAsia" w:ascii="宋体" w:hAnsi="宋体" w:eastAsia="宋体"/>
          <w:b w:val="0"/>
          <w:bCs/>
          <w:color w:val="auto"/>
          <w:sz w:val="22"/>
          <w:szCs w:val="22"/>
          <w:highlight w:val="none"/>
        </w:rPr>
        <w:t>中国银行广州南沙科技园区支行</w:t>
      </w:r>
    </w:p>
    <w:p>
      <w:pPr>
        <w:spacing w:line="360" w:lineRule="auto"/>
        <w:ind w:firstLine="482" w:firstLineChars="200"/>
        <w:rPr>
          <w:color w:val="auto"/>
          <w:sz w:val="24"/>
          <w:szCs w:val="24"/>
          <w:highlight w:val="none"/>
        </w:rPr>
      </w:pPr>
      <w:r>
        <w:rPr>
          <w:rFonts w:hint="eastAsia" w:ascii="宋体" w:hAnsi="宋体"/>
          <w:b/>
          <w:color w:val="auto"/>
          <w:sz w:val="24"/>
          <w:szCs w:val="24"/>
          <w:highlight w:val="none"/>
          <w:u w:val="single"/>
        </w:rPr>
        <w:t>（递交投标保证金请注明：</w:t>
      </w:r>
      <w:r>
        <w:rPr>
          <w:rFonts w:hint="eastAsia" w:ascii="宋体" w:hAnsi="宋体"/>
          <w:b/>
          <w:bCs/>
          <w:color w:val="auto"/>
          <w:sz w:val="24"/>
          <w:szCs w:val="24"/>
          <w:highlight w:val="none"/>
          <w:u w:val="single"/>
        </w:rPr>
        <w:t>2025年粤港澳大湾区灯会活动围蔽采购安装</w:t>
      </w:r>
      <w:r>
        <w:rPr>
          <w:rFonts w:hint="eastAsia" w:ascii="宋体" w:hAnsi="宋体"/>
          <w:b/>
          <w:bCs/>
          <w:color w:val="auto"/>
          <w:sz w:val="24"/>
          <w:szCs w:val="24"/>
          <w:highlight w:val="none"/>
          <w:u w:val="single"/>
          <w:lang w:val="en-US" w:eastAsia="zh-CN"/>
        </w:rPr>
        <w:t>项目</w:t>
      </w:r>
      <w:r>
        <w:rPr>
          <w:rFonts w:hint="eastAsia" w:ascii="宋体" w:hAnsi="宋体"/>
          <w:b/>
          <w:bCs/>
          <w:color w:val="auto"/>
          <w:sz w:val="24"/>
          <w:szCs w:val="24"/>
          <w:highlight w:val="none"/>
          <w:u w:val="single"/>
        </w:rPr>
        <w:t>投标保证金</w:t>
      </w:r>
      <w:r>
        <w:rPr>
          <w:rFonts w:hint="eastAsia" w:ascii="宋体" w:hAnsi="宋体"/>
          <w:b/>
          <w:color w:val="auto"/>
          <w:sz w:val="24"/>
          <w:szCs w:val="24"/>
          <w:highlight w:val="none"/>
          <w:u w:val="single"/>
        </w:rPr>
        <w:t>）</w:t>
      </w:r>
      <w:bookmarkStart w:id="229" w:name="_GoBack"/>
      <w:bookmarkEnd w:id="229"/>
    </w:p>
    <w:p>
      <w:pPr>
        <w:spacing w:line="360" w:lineRule="auto"/>
        <w:ind w:firstLine="482" w:firstLineChars="200"/>
        <w:rPr>
          <w:rFonts w:hint="eastAsia" w:ascii="宋体" w:hAnsi="宋体"/>
          <w:b/>
          <w:color w:val="auto"/>
          <w:szCs w:val="21"/>
          <w:highlight w:val="none"/>
          <w:u w:val="single"/>
        </w:rPr>
      </w:pPr>
      <w:r>
        <w:rPr>
          <w:rFonts w:hint="eastAsia" w:ascii="宋体" w:hAnsi="宋体"/>
          <w:b/>
          <w:color w:val="auto"/>
          <w:sz w:val="24"/>
          <w:szCs w:val="24"/>
          <w:highlight w:val="none"/>
          <w:u w:val="single"/>
        </w:rPr>
        <w:t>投标人应按以上所述方式及时间提交投标保证金，招标人不承担投标人的投标保证金未能及时到账的风险。</w:t>
      </w:r>
    </w:p>
    <w:p>
      <w:pPr>
        <w:numPr>
          <w:ilvl w:val="0"/>
          <w:numId w:val="3"/>
        </w:numPr>
        <w:tabs>
          <w:tab w:val="left" w:pos="425"/>
          <w:tab w:val="left" w:pos="567"/>
        </w:tabs>
        <w:autoSpaceDE w:val="0"/>
        <w:autoSpaceDN w:val="0"/>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投标人与交款人名称必须一致，非投标人缴纳的投标保证金无效。</w:t>
      </w:r>
    </w:p>
    <w:p>
      <w:pPr>
        <w:numPr>
          <w:ilvl w:val="0"/>
          <w:numId w:val="3"/>
        </w:numPr>
        <w:tabs>
          <w:tab w:val="left" w:pos="425"/>
          <w:tab w:val="left" w:pos="567"/>
        </w:tabs>
        <w:autoSpaceDE w:val="0"/>
        <w:autoSpaceDN w:val="0"/>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递交投标文件时请将投标保证金缴纳凭证封入投标文件里。</w:t>
      </w:r>
    </w:p>
    <w:p>
      <w:pPr>
        <w:numPr>
          <w:ilvl w:val="0"/>
          <w:numId w:val="3"/>
        </w:numPr>
        <w:tabs>
          <w:tab w:val="left" w:pos="425"/>
          <w:tab w:val="left" w:pos="567"/>
        </w:tabs>
        <w:autoSpaceDE w:val="0"/>
        <w:autoSpaceDN w:val="0"/>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投标人未按前述规定的时间内交纳足额投标保证金的，其投标文件将被拒绝。</w:t>
      </w:r>
    </w:p>
    <w:p>
      <w:pPr>
        <w:tabs>
          <w:tab w:val="left" w:pos="425"/>
          <w:tab w:val="left" w:pos="567"/>
        </w:tabs>
        <w:autoSpaceDE w:val="0"/>
        <w:autoSpaceDN w:val="0"/>
        <w:adjustRightInd w:val="0"/>
        <w:snapToGrid w:val="0"/>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人应当自中标通知书发出之日起5个工作日内退还未中标人的投标保证金，自合同签订之日起5个工作日内退还中标人的投标保证金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所有投标人的投标保证金以转账的方式予以退还</w:t>
      </w:r>
      <w:r>
        <w:rPr>
          <w:rFonts w:hint="eastAsia" w:ascii="宋体" w:hAnsi="宋体" w:cs="宋体"/>
          <w:color w:val="auto"/>
          <w:sz w:val="24"/>
          <w:szCs w:val="24"/>
          <w:highlight w:val="none"/>
          <w:lang w:eastAsia="zh-TW"/>
        </w:rPr>
        <w:t>。</w:t>
      </w:r>
    </w:p>
    <w:p>
      <w:pPr>
        <w:tabs>
          <w:tab w:val="left" w:pos="425"/>
          <w:tab w:val="left" w:pos="567"/>
        </w:tabs>
        <w:autoSpaceDE w:val="0"/>
        <w:autoSpaceDN w:val="0"/>
        <w:adjustRightInd w:val="0"/>
        <w:snapToGrid w:val="0"/>
        <w:spacing w:line="360" w:lineRule="auto"/>
        <w:ind w:firstLine="480" w:firstLineChars="200"/>
        <w:rPr>
          <w:rFonts w:hint="eastAsia" w:ascii="宋体" w:hAnsi="宋体" w:cs="宋体"/>
          <w:color w:val="auto"/>
          <w:sz w:val="24"/>
          <w:szCs w:val="24"/>
          <w:highlight w:val="none"/>
          <w:lang w:eastAsia="zh-TW"/>
        </w:rPr>
      </w:pPr>
      <w:r>
        <w:rPr>
          <w:rFonts w:hint="eastAsia" w:ascii="宋体" w:hAnsi="宋体" w:cs="宋体"/>
          <w:color w:val="auto"/>
          <w:sz w:val="24"/>
          <w:szCs w:val="24"/>
          <w:highlight w:val="none"/>
        </w:rPr>
        <w:t>8、中标供应商有</w:t>
      </w:r>
      <w:r>
        <w:rPr>
          <w:rFonts w:hint="eastAsia" w:ascii="宋体" w:hAnsi="宋体" w:cs="宋体"/>
          <w:color w:val="auto"/>
          <w:sz w:val="24"/>
          <w:szCs w:val="24"/>
          <w:highlight w:val="none"/>
          <w:lang w:eastAsia="zh-TW"/>
        </w:rPr>
        <w:t>下列情</w:t>
      </w:r>
      <w:r>
        <w:rPr>
          <w:rFonts w:hint="eastAsia" w:ascii="宋体" w:hAnsi="宋体" w:cs="宋体"/>
          <w:color w:val="auto"/>
          <w:sz w:val="24"/>
          <w:szCs w:val="24"/>
          <w:highlight w:val="none"/>
        </w:rPr>
        <w:t>形之一的，招标人</w:t>
      </w:r>
      <w:r>
        <w:rPr>
          <w:rFonts w:hint="eastAsia" w:ascii="宋体" w:hAnsi="宋体" w:cs="宋体"/>
          <w:color w:val="auto"/>
          <w:sz w:val="24"/>
          <w:szCs w:val="24"/>
          <w:highlight w:val="none"/>
          <w:lang w:eastAsia="zh-TW"/>
        </w:rPr>
        <w:t>不予退还</w:t>
      </w:r>
      <w:r>
        <w:rPr>
          <w:rFonts w:hint="eastAsia" w:ascii="宋体" w:hAnsi="宋体" w:cs="宋体"/>
          <w:color w:val="auto"/>
          <w:sz w:val="24"/>
          <w:szCs w:val="24"/>
          <w:highlight w:val="none"/>
        </w:rPr>
        <w:t>其交纳的投标保证金；情节严重的，</w:t>
      </w:r>
      <w:bookmarkStart w:id="2" w:name="_Hlk181188648"/>
      <w:r>
        <w:rPr>
          <w:rFonts w:hint="eastAsia" w:ascii="宋体" w:hAnsi="宋体" w:cs="宋体"/>
          <w:color w:val="auto"/>
          <w:sz w:val="24"/>
          <w:szCs w:val="24"/>
          <w:highlight w:val="none"/>
        </w:rPr>
        <w:t>由招标人将其列入不良行为记录名单，在一至三年内禁止参加招标人的招标活动</w:t>
      </w:r>
      <w:bookmarkEnd w:id="2"/>
      <w:r>
        <w:rPr>
          <w:rFonts w:hint="eastAsia" w:ascii="宋体" w:hAnsi="宋体" w:cs="宋体"/>
          <w:color w:val="auto"/>
          <w:sz w:val="24"/>
          <w:szCs w:val="24"/>
          <w:highlight w:val="none"/>
        </w:rPr>
        <w:t>，并予以通报：</w:t>
      </w:r>
    </w:p>
    <w:p>
      <w:pPr>
        <w:tabs>
          <w:tab w:val="left" w:pos="425"/>
          <w:tab w:val="left" w:pos="851"/>
        </w:tabs>
        <w:autoSpaceDE w:val="0"/>
        <w:autoSpaceDN w:val="0"/>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s="宋体"/>
          <w:color w:val="auto"/>
          <w:sz w:val="24"/>
          <w:szCs w:val="24"/>
          <w:highlight w:val="none"/>
        </w:rPr>
        <w:t xml:space="preserve">8.1 </w:t>
      </w:r>
      <w:r>
        <w:rPr>
          <w:rFonts w:hint="eastAsia" w:ascii="宋体" w:hAnsi="宋体" w:cs="宋体"/>
          <w:color w:val="auto"/>
          <w:sz w:val="24"/>
          <w:szCs w:val="24"/>
          <w:highlight w:val="none"/>
          <w:lang w:eastAsia="zh-TW"/>
        </w:rPr>
        <w:t>中标后无正当理</w:t>
      </w:r>
      <w:r>
        <w:rPr>
          <w:rFonts w:hint="eastAsia" w:ascii="宋体" w:hAnsi="宋体" w:cs="宋体"/>
          <w:color w:val="auto"/>
          <w:sz w:val="24"/>
          <w:szCs w:val="24"/>
          <w:highlight w:val="none"/>
        </w:rPr>
        <w:t>由不与招标人</w:t>
      </w:r>
      <w:r>
        <w:rPr>
          <w:rFonts w:hint="eastAsia" w:ascii="宋体" w:hAnsi="宋体" w:cs="宋体"/>
          <w:color w:val="auto"/>
          <w:sz w:val="24"/>
          <w:szCs w:val="24"/>
          <w:highlight w:val="none"/>
          <w:lang w:eastAsia="zh-TW"/>
        </w:rPr>
        <w:t>签订合同</w:t>
      </w:r>
      <w:r>
        <w:rPr>
          <w:rFonts w:hint="eastAsia" w:ascii="宋体" w:hAnsi="宋体" w:cs="宋体"/>
          <w:color w:val="auto"/>
          <w:sz w:val="24"/>
          <w:szCs w:val="24"/>
          <w:highlight w:val="none"/>
        </w:rPr>
        <w:t>的；</w:t>
      </w:r>
    </w:p>
    <w:p>
      <w:pPr>
        <w:tabs>
          <w:tab w:val="left" w:pos="840"/>
        </w:tabs>
        <w:snapToGrid w:val="0"/>
        <w:spacing w:line="360" w:lineRule="auto"/>
        <w:ind w:firstLine="480" w:firstLineChars="200"/>
        <w:rPr>
          <w:rFonts w:eastAsia="黑体"/>
          <w:color w:val="auto"/>
          <w:sz w:val="32"/>
          <w:szCs w:val="32"/>
          <w:highlight w:val="none"/>
        </w:rPr>
      </w:pPr>
      <w:r>
        <w:rPr>
          <w:rFonts w:hint="eastAsia" w:ascii="宋体" w:hAnsi="宋体" w:cs="宋体"/>
          <w:color w:val="auto"/>
          <w:sz w:val="24"/>
          <w:szCs w:val="24"/>
          <w:highlight w:val="none"/>
        </w:rPr>
        <w:t xml:space="preserve">8.2 </w:t>
      </w:r>
      <w:r>
        <w:rPr>
          <w:rFonts w:hint="eastAsia" w:ascii="宋体" w:hAnsi="宋体" w:cs="宋体"/>
          <w:color w:val="auto"/>
          <w:sz w:val="24"/>
          <w:szCs w:val="24"/>
          <w:highlight w:val="none"/>
          <w:lang w:eastAsia="zh-TW"/>
        </w:rPr>
        <w:t>将中标项目转让给他人，或者在投标文件中未说明，且未经</w:t>
      </w:r>
      <w:r>
        <w:rPr>
          <w:rFonts w:hint="eastAsia" w:ascii="宋体" w:hAnsi="宋体" w:cs="宋体"/>
          <w:color w:val="auto"/>
          <w:sz w:val="24"/>
          <w:szCs w:val="24"/>
          <w:highlight w:val="none"/>
        </w:rPr>
        <w:t>招标人</w:t>
      </w:r>
      <w:r>
        <w:rPr>
          <w:rFonts w:hint="eastAsia" w:ascii="宋体" w:hAnsi="宋体" w:cs="宋体"/>
          <w:color w:val="auto"/>
          <w:sz w:val="24"/>
          <w:szCs w:val="24"/>
          <w:highlight w:val="none"/>
          <w:lang w:eastAsia="zh-TW"/>
        </w:rPr>
        <w:t>同意，</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TW"/>
        </w:rPr>
        <w:t>将中标项目分包给他人的</w:t>
      </w:r>
      <w:r>
        <w:rPr>
          <w:rFonts w:hint="eastAsia" w:ascii="宋体" w:hAnsi="宋体" w:cs="宋体"/>
          <w:color w:val="auto"/>
          <w:sz w:val="24"/>
          <w:szCs w:val="24"/>
          <w:highlight w:val="none"/>
        </w:rPr>
        <w:t>。</w:t>
      </w:r>
    </w:p>
    <w:p>
      <w:pPr>
        <w:pStyle w:val="20"/>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八、递交招标文件时间、投标截止时间、开标时间及地点：</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1、递交投标文件时间</w:t>
      </w:r>
      <w:r>
        <w:rPr>
          <w:rFonts w:hint="eastAsia" w:ascii="宋体" w:hAnsi="宋体" w:cs="宋体"/>
          <w:color w:val="auto"/>
          <w:sz w:val="24"/>
          <w:szCs w:val="24"/>
          <w:highlight w:val="none"/>
          <w:lang w:eastAsia="zh-TW"/>
        </w:rPr>
        <w:t>：</w:t>
      </w:r>
      <w:r>
        <w:rPr>
          <w:rFonts w:hint="eastAsia" w:ascii="宋体" w:hAnsi="宋体" w:cs="宋体"/>
          <w:color w:val="auto"/>
          <w:sz w:val="24"/>
          <w:szCs w:val="24"/>
          <w:highlight w:val="none"/>
          <w:u w:val="single"/>
        </w:rPr>
        <w:t>2024</w:t>
      </w:r>
      <w:r>
        <w:rPr>
          <w:rFonts w:hint="eastAsia" w:ascii="宋体" w:hAnsi="宋体" w:cs="宋体"/>
          <w:color w:val="auto"/>
          <w:sz w:val="24"/>
          <w:szCs w:val="24"/>
          <w:highlight w:val="none"/>
          <w:u w:val="single"/>
          <w:lang w:eastAsia="zh-TW"/>
        </w:rPr>
        <w:t>年</w:t>
      </w: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lang w:eastAsia="zh-TW"/>
        </w:rPr>
        <w:t>月</w:t>
      </w:r>
      <w:r>
        <w:rPr>
          <w:rFonts w:hint="eastAsia" w:ascii="宋体" w:hAnsi="宋体" w:cs="宋体"/>
          <w:color w:val="auto"/>
          <w:sz w:val="24"/>
          <w:szCs w:val="24"/>
          <w:highlight w:val="none"/>
          <w:u w:val="single"/>
          <w:lang w:val="en-US" w:eastAsia="zh-CN"/>
        </w:rPr>
        <w:t>26</w:t>
      </w:r>
      <w:r>
        <w:rPr>
          <w:rFonts w:hint="eastAsia" w:ascii="宋体" w:hAnsi="宋体" w:cs="宋体"/>
          <w:color w:val="auto"/>
          <w:sz w:val="24"/>
          <w:szCs w:val="24"/>
          <w:highlight w:val="none"/>
          <w:u w:val="single"/>
          <w:lang w:eastAsia="zh-TW"/>
        </w:rPr>
        <w:t>日</w:t>
      </w:r>
      <w:r>
        <w:rPr>
          <w:rFonts w:hint="eastAsia" w:ascii="宋体" w:hAnsi="宋体" w:cs="宋体"/>
          <w:color w:val="auto"/>
          <w:sz w:val="24"/>
          <w:szCs w:val="24"/>
          <w:highlight w:val="none"/>
          <w:u w:val="single"/>
          <w:lang w:val="en-US" w:eastAsia="zh-CN"/>
        </w:rPr>
        <w:t>14</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0</w:t>
      </w:r>
      <w:r>
        <w:rPr>
          <w:rFonts w:hint="eastAsia" w:ascii="宋体" w:hAnsi="宋体" w:cs="宋体"/>
          <w:color w:val="auto"/>
          <w:sz w:val="24"/>
          <w:szCs w:val="24"/>
          <w:highlight w:val="none"/>
          <w:u w:val="single"/>
        </w:rPr>
        <w:t>0-2024</w:t>
      </w:r>
      <w:r>
        <w:rPr>
          <w:rFonts w:hint="eastAsia" w:ascii="宋体" w:hAnsi="宋体" w:cs="宋体"/>
          <w:color w:val="auto"/>
          <w:sz w:val="24"/>
          <w:szCs w:val="24"/>
          <w:highlight w:val="none"/>
          <w:u w:val="single"/>
          <w:lang w:eastAsia="zh-TW"/>
        </w:rPr>
        <w:t>年</w:t>
      </w: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lang w:eastAsia="zh-TW"/>
        </w:rPr>
        <w:t>月</w:t>
      </w:r>
      <w:r>
        <w:rPr>
          <w:rFonts w:hint="eastAsia" w:ascii="宋体" w:hAnsi="宋体" w:cs="宋体"/>
          <w:color w:val="auto"/>
          <w:sz w:val="24"/>
          <w:szCs w:val="24"/>
          <w:highlight w:val="none"/>
          <w:u w:val="single"/>
          <w:lang w:val="en-US" w:eastAsia="zh-CN"/>
        </w:rPr>
        <w:t>26</w:t>
      </w:r>
      <w:r>
        <w:rPr>
          <w:rFonts w:hint="eastAsia" w:ascii="宋体" w:hAnsi="宋体" w:cs="宋体"/>
          <w:color w:val="auto"/>
          <w:sz w:val="24"/>
          <w:szCs w:val="24"/>
          <w:highlight w:val="none"/>
          <w:u w:val="single"/>
          <w:lang w:eastAsia="zh-TW"/>
        </w:rPr>
        <w:t>日</w:t>
      </w:r>
      <w:r>
        <w:rPr>
          <w:rFonts w:hint="eastAsia" w:ascii="宋体" w:hAnsi="宋体" w:cs="宋体"/>
          <w:color w:val="auto"/>
          <w:sz w:val="24"/>
          <w:szCs w:val="24"/>
          <w:highlight w:val="none"/>
          <w:u w:val="single"/>
          <w:lang w:val="en-US" w:eastAsia="zh-CN"/>
        </w:rPr>
        <w:t>14</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0</w:t>
      </w:r>
      <w:r>
        <w:rPr>
          <w:rFonts w:hint="eastAsia" w:ascii="宋体" w:hAnsi="宋体" w:cs="宋体"/>
          <w:color w:val="auto"/>
          <w:sz w:val="24"/>
          <w:szCs w:val="24"/>
          <w:highlight w:val="none"/>
        </w:rPr>
        <w:t>（现场提交）；</w:t>
      </w:r>
    </w:p>
    <w:p>
      <w:pPr>
        <w:tabs>
          <w:tab w:val="left" w:pos="425"/>
          <w:tab w:val="left" w:pos="851"/>
        </w:tabs>
        <w:autoSpaceDE w:val="0"/>
        <w:autoSpaceDN w:val="0"/>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TW"/>
        </w:rPr>
        <w:t>投标文件递交地点：广州南沙旅游发展有限公司206评标室</w:t>
      </w:r>
      <w:r>
        <w:rPr>
          <w:rFonts w:hint="eastAsia" w:ascii="宋体" w:hAnsi="宋体" w:cs="宋体"/>
          <w:color w:val="auto"/>
          <w:sz w:val="24"/>
          <w:szCs w:val="24"/>
          <w:highlight w:val="none"/>
        </w:rPr>
        <w:t>；</w:t>
      </w:r>
    </w:p>
    <w:p>
      <w:pPr>
        <w:tabs>
          <w:tab w:val="left" w:pos="425"/>
          <w:tab w:val="left" w:pos="851"/>
        </w:tabs>
        <w:autoSpaceDE w:val="0"/>
        <w:autoSpaceDN w:val="0"/>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TW"/>
        </w:rPr>
        <w:t>地址：广州</w:t>
      </w:r>
      <w:r>
        <w:rPr>
          <w:rFonts w:hint="eastAsia" w:ascii="宋体" w:hAnsi="宋体" w:cs="宋体"/>
          <w:color w:val="auto"/>
          <w:sz w:val="24"/>
          <w:szCs w:val="24"/>
          <w:highlight w:val="none"/>
        </w:rPr>
        <w:t>市</w:t>
      </w:r>
      <w:r>
        <w:rPr>
          <w:rFonts w:hint="eastAsia" w:ascii="宋体" w:hAnsi="宋体" w:cs="宋体"/>
          <w:color w:val="auto"/>
          <w:sz w:val="24"/>
          <w:szCs w:val="24"/>
          <w:highlight w:val="none"/>
          <w:lang w:eastAsia="zh-TW"/>
        </w:rPr>
        <w:t>南沙区</w:t>
      </w:r>
      <w:r>
        <w:rPr>
          <w:rFonts w:hint="eastAsia" w:ascii="宋体" w:hAnsi="宋体" w:cs="宋体"/>
          <w:color w:val="auto"/>
          <w:sz w:val="24"/>
          <w:szCs w:val="24"/>
          <w:highlight w:val="none"/>
          <w:lang w:val="en-US" w:eastAsia="zh-CN"/>
        </w:rPr>
        <w:t>港湾</w:t>
      </w:r>
      <w:r>
        <w:rPr>
          <w:rFonts w:hint="eastAsia" w:ascii="宋体" w:hAnsi="宋体" w:cs="宋体"/>
          <w:color w:val="auto"/>
          <w:sz w:val="24"/>
          <w:szCs w:val="24"/>
          <w:highlight w:val="none"/>
        </w:rPr>
        <w:t>街天后路88号之一南沙天后宫景区办公室2楼206室；</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TW"/>
        </w:rPr>
        <w:t>开标评标时间：</w:t>
      </w:r>
      <w:r>
        <w:rPr>
          <w:rFonts w:hint="eastAsia" w:ascii="宋体" w:hAnsi="宋体" w:cs="宋体"/>
          <w:color w:val="auto"/>
          <w:sz w:val="24"/>
          <w:szCs w:val="24"/>
          <w:highlight w:val="none"/>
          <w:u w:val="single"/>
        </w:rPr>
        <w:t>2024</w:t>
      </w:r>
      <w:r>
        <w:rPr>
          <w:rFonts w:hint="eastAsia" w:ascii="宋体" w:hAnsi="宋体" w:cs="宋体"/>
          <w:color w:val="auto"/>
          <w:sz w:val="24"/>
          <w:szCs w:val="24"/>
          <w:highlight w:val="none"/>
          <w:u w:val="single"/>
          <w:lang w:eastAsia="zh-TW"/>
        </w:rPr>
        <w:t>年</w:t>
      </w: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lang w:eastAsia="zh-TW"/>
        </w:rPr>
        <w:t>月</w:t>
      </w:r>
      <w:r>
        <w:rPr>
          <w:rFonts w:hint="eastAsia" w:ascii="宋体" w:hAnsi="宋体" w:cs="宋体"/>
          <w:color w:val="auto"/>
          <w:sz w:val="24"/>
          <w:szCs w:val="24"/>
          <w:highlight w:val="none"/>
          <w:u w:val="single"/>
          <w:lang w:val="en-US" w:eastAsia="zh-CN"/>
        </w:rPr>
        <w:t>26</w:t>
      </w:r>
      <w:r>
        <w:rPr>
          <w:rFonts w:hint="eastAsia" w:ascii="宋体" w:hAnsi="宋体" w:cs="宋体"/>
          <w:color w:val="auto"/>
          <w:sz w:val="24"/>
          <w:szCs w:val="24"/>
          <w:highlight w:val="none"/>
          <w:u w:val="single"/>
          <w:lang w:eastAsia="zh-TW"/>
        </w:rPr>
        <w:t>日</w:t>
      </w:r>
      <w:r>
        <w:rPr>
          <w:rFonts w:hint="eastAsia" w:ascii="宋体" w:hAnsi="宋体" w:cs="宋体"/>
          <w:color w:val="auto"/>
          <w:sz w:val="24"/>
          <w:szCs w:val="24"/>
          <w:highlight w:val="none"/>
          <w:u w:val="single"/>
          <w:lang w:val="en-US" w:eastAsia="zh-CN"/>
        </w:rPr>
        <w:t>14</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0；</w:t>
      </w:r>
    </w:p>
    <w:p>
      <w:pPr>
        <w:tabs>
          <w:tab w:val="left" w:pos="425"/>
          <w:tab w:val="left" w:pos="851"/>
        </w:tabs>
        <w:autoSpaceDE w:val="0"/>
        <w:autoSpaceDN w:val="0"/>
        <w:adjustRightInd w:val="0"/>
        <w:snapToGrid w:val="0"/>
        <w:spacing w:line="360" w:lineRule="auto"/>
        <w:ind w:firstLine="480" w:firstLineChars="200"/>
        <w:rPr>
          <w:rFonts w:hint="eastAsia" w:ascii="宋体" w:hAnsi="宋体" w:cs="宋体"/>
          <w:color w:val="auto"/>
          <w:sz w:val="24"/>
          <w:szCs w:val="24"/>
          <w:highlight w:val="none"/>
          <w:lang w:eastAsia="zh-TW"/>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TW"/>
        </w:rPr>
        <w:t>开标评标地点：广州南沙旅游发展有限公司206评标室</w:t>
      </w:r>
    </w:p>
    <w:p>
      <w:pPr>
        <w:tabs>
          <w:tab w:val="left" w:pos="425"/>
          <w:tab w:val="left" w:pos="851"/>
        </w:tabs>
        <w:autoSpaceDE w:val="0"/>
        <w:autoSpaceDN w:val="0"/>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地</w:t>
      </w:r>
      <w:r>
        <w:rPr>
          <w:rFonts w:hint="eastAsia" w:ascii="宋体" w:hAnsi="宋体" w:cs="宋体"/>
          <w:color w:val="auto"/>
          <w:sz w:val="24"/>
          <w:szCs w:val="24"/>
          <w:highlight w:val="none"/>
          <w:lang w:eastAsia="zh-TW"/>
        </w:rPr>
        <w:t>址：广州</w:t>
      </w:r>
      <w:r>
        <w:rPr>
          <w:rFonts w:hint="eastAsia" w:ascii="宋体" w:hAnsi="宋体" w:cs="宋体"/>
          <w:color w:val="auto"/>
          <w:sz w:val="24"/>
          <w:szCs w:val="24"/>
          <w:highlight w:val="none"/>
        </w:rPr>
        <w:t>市</w:t>
      </w:r>
      <w:r>
        <w:rPr>
          <w:rFonts w:hint="eastAsia" w:ascii="宋体" w:hAnsi="宋体" w:cs="宋体"/>
          <w:color w:val="auto"/>
          <w:sz w:val="24"/>
          <w:szCs w:val="24"/>
          <w:highlight w:val="none"/>
          <w:lang w:eastAsia="zh-TW"/>
        </w:rPr>
        <w:t>南沙区</w:t>
      </w:r>
      <w:r>
        <w:rPr>
          <w:rFonts w:hint="eastAsia" w:ascii="宋体" w:hAnsi="宋体" w:cs="宋体"/>
          <w:color w:val="auto"/>
          <w:sz w:val="24"/>
          <w:szCs w:val="24"/>
          <w:highlight w:val="none"/>
          <w:lang w:val="en-US" w:eastAsia="zh-CN"/>
        </w:rPr>
        <w:t>港湾</w:t>
      </w:r>
      <w:r>
        <w:rPr>
          <w:rFonts w:hint="eastAsia" w:ascii="宋体" w:hAnsi="宋体" w:cs="宋体"/>
          <w:color w:val="auto"/>
          <w:sz w:val="24"/>
          <w:szCs w:val="24"/>
          <w:highlight w:val="none"/>
        </w:rPr>
        <w:t>街天后路88号之一南沙天后宫景区办公室2楼206。</w:t>
      </w:r>
    </w:p>
    <w:p>
      <w:pPr>
        <w:pStyle w:val="20"/>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九、招标单位</w:t>
      </w:r>
      <w:r>
        <w:rPr>
          <w:rFonts w:ascii="宋体" w:hAnsi="宋体" w:eastAsia="宋体" w:cs="宋体"/>
          <w:b/>
          <w:color w:val="auto"/>
          <w:highlight w:val="none"/>
        </w:rPr>
        <w:t>联系方式</w:t>
      </w:r>
      <w:r>
        <w:rPr>
          <w:rFonts w:hint="eastAsia" w:ascii="宋体" w:hAnsi="宋体" w:eastAsia="宋体" w:cs="宋体"/>
          <w:b/>
          <w:color w:val="auto"/>
          <w:highlight w:val="none"/>
        </w:rPr>
        <w:t>：</w:t>
      </w:r>
    </w:p>
    <w:p>
      <w:pPr>
        <w:pStyle w:val="2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联 系 人：</w:t>
      </w:r>
      <w:r>
        <w:rPr>
          <w:rFonts w:hint="eastAsia" w:ascii="宋体" w:hAnsi="宋体" w:eastAsia="宋体" w:cs="宋体"/>
          <w:color w:val="auto"/>
          <w:highlight w:val="none"/>
          <w:lang w:val="en-US" w:eastAsia="zh-CN"/>
        </w:rPr>
        <w:t>林</w:t>
      </w:r>
      <w:r>
        <w:rPr>
          <w:rFonts w:hint="eastAsia" w:ascii="宋体" w:hAnsi="宋体" w:eastAsia="宋体" w:cs="宋体"/>
          <w:color w:val="auto"/>
          <w:highlight w:val="none"/>
        </w:rPr>
        <w:t>小姐</w:t>
      </w:r>
    </w:p>
    <w:p>
      <w:pPr>
        <w:pStyle w:val="2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联系电话：020-31151828</w:t>
      </w:r>
    </w:p>
    <w:p>
      <w:pPr>
        <w:pStyle w:val="2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kern w:val="2"/>
          <w:sz w:val="24"/>
          <w:szCs w:val="24"/>
          <w:highlight w:val="none"/>
          <w:lang w:eastAsia="zh-TW"/>
        </w:rPr>
        <w:t>广州市南沙区</w:t>
      </w:r>
      <w:r>
        <w:rPr>
          <w:rFonts w:hint="eastAsia" w:ascii="宋体" w:hAnsi="宋体" w:eastAsia="宋体" w:cs="宋体"/>
          <w:color w:val="auto"/>
          <w:kern w:val="2"/>
          <w:sz w:val="24"/>
          <w:szCs w:val="24"/>
          <w:highlight w:val="none"/>
          <w:lang w:val="en-US" w:eastAsia="zh-TW"/>
        </w:rPr>
        <w:t>港湾</w:t>
      </w:r>
      <w:r>
        <w:rPr>
          <w:rFonts w:hint="eastAsia" w:ascii="宋体" w:hAnsi="宋体" w:eastAsia="宋体" w:cs="宋体"/>
          <w:color w:val="auto"/>
          <w:kern w:val="2"/>
          <w:sz w:val="24"/>
          <w:szCs w:val="24"/>
          <w:highlight w:val="none"/>
          <w:lang w:eastAsia="zh-TW"/>
        </w:rPr>
        <w:t>街天后路88号之一</w:t>
      </w:r>
    </w:p>
    <w:p>
      <w:pPr>
        <w:pStyle w:val="20"/>
        <w:spacing w:line="360" w:lineRule="auto"/>
        <w:ind w:firstLine="480" w:firstLineChars="200"/>
        <w:jc w:val="right"/>
        <w:rPr>
          <w:rFonts w:eastAsia="宋体"/>
          <w:color w:val="auto"/>
          <w:highlight w:val="none"/>
        </w:rPr>
      </w:pPr>
    </w:p>
    <w:p>
      <w:pPr>
        <w:pStyle w:val="20"/>
        <w:spacing w:line="360" w:lineRule="auto"/>
        <w:ind w:firstLine="480" w:firstLineChars="200"/>
        <w:jc w:val="right"/>
        <w:rPr>
          <w:rFonts w:eastAsia="宋体"/>
          <w:color w:val="auto"/>
          <w:highlight w:val="none"/>
        </w:rPr>
      </w:pPr>
    </w:p>
    <w:p>
      <w:pPr>
        <w:pStyle w:val="20"/>
        <w:spacing w:line="360" w:lineRule="auto"/>
        <w:ind w:firstLine="480" w:firstLineChars="200"/>
        <w:jc w:val="right"/>
        <w:rPr>
          <w:rFonts w:eastAsia="宋体"/>
          <w:color w:val="auto"/>
          <w:highlight w:val="none"/>
        </w:rPr>
      </w:pPr>
      <w:r>
        <w:rPr>
          <w:rFonts w:hint="eastAsia" w:eastAsia="宋体"/>
          <w:color w:val="auto"/>
          <w:highlight w:val="none"/>
        </w:rPr>
        <w:t>广州南沙旅游发展有限公司</w:t>
      </w:r>
    </w:p>
    <w:p>
      <w:pPr>
        <w:pStyle w:val="20"/>
        <w:spacing w:line="360" w:lineRule="auto"/>
        <w:ind w:firstLine="480" w:firstLineChars="200"/>
        <w:jc w:val="center"/>
        <w:rPr>
          <w:rFonts w:hint="eastAsia" w:eastAsia="宋体"/>
          <w:color w:val="auto"/>
          <w:highlight w:val="none"/>
          <w:lang w:val="en-US" w:eastAsia="zh-CN"/>
        </w:rPr>
      </w:pPr>
      <w:r>
        <w:rPr>
          <w:rFonts w:hint="eastAsia" w:ascii="宋体" w:hAnsi="宋体" w:eastAsia="宋体" w:cs="宋体"/>
          <w:color w:val="auto"/>
          <w:highlight w:val="none"/>
        </w:rPr>
        <w:t xml:space="preserve">                                        2024年1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23</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 xml:space="preserve"> </w:t>
      </w:r>
    </w:p>
    <w:p>
      <w:pPr>
        <w:pStyle w:val="20"/>
        <w:spacing w:line="360" w:lineRule="auto"/>
        <w:ind w:firstLine="480" w:firstLineChars="200"/>
        <w:jc w:val="right"/>
        <w:rPr>
          <w:rFonts w:eastAsia="宋体"/>
          <w:color w:val="auto"/>
          <w:highlight w:val="none"/>
        </w:rPr>
      </w:pPr>
    </w:p>
    <w:p>
      <w:pPr>
        <w:pStyle w:val="21"/>
        <w:widowControl w:val="0"/>
        <w:spacing w:before="0" w:beforeAutospacing="0" w:after="0" w:afterAutospacing="0" w:line="360" w:lineRule="auto"/>
        <w:rPr>
          <w:rFonts w:hint="eastAsia"/>
          <w:b/>
          <w:color w:val="auto"/>
          <w:sz w:val="44"/>
          <w:szCs w:val="44"/>
          <w:highlight w:val="none"/>
        </w:rPr>
      </w:pPr>
    </w:p>
    <w:p>
      <w:pPr>
        <w:pStyle w:val="21"/>
        <w:widowControl w:val="0"/>
        <w:spacing w:before="0" w:beforeAutospacing="0" w:after="0" w:afterAutospacing="0" w:line="360" w:lineRule="auto"/>
        <w:rPr>
          <w:rFonts w:hint="eastAsia"/>
          <w:b/>
          <w:color w:val="auto"/>
          <w:sz w:val="44"/>
          <w:szCs w:val="44"/>
          <w:highlight w:val="none"/>
        </w:rPr>
      </w:pPr>
    </w:p>
    <w:p>
      <w:pPr>
        <w:pStyle w:val="21"/>
        <w:widowControl w:val="0"/>
        <w:spacing w:before="0" w:beforeAutospacing="0" w:after="0" w:afterAutospacing="0" w:line="360" w:lineRule="auto"/>
        <w:rPr>
          <w:rFonts w:hint="eastAsia"/>
          <w:b/>
          <w:color w:val="auto"/>
          <w:sz w:val="44"/>
          <w:szCs w:val="44"/>
          <w:highlight w:val="none"/>
        </w:rPr>
      </w:pPr>
    </w:p>
    <w:p>
      <w:pPr>
        <w:pStyle w:val="21"/>
        <w:widowControl w:val="0"/>
        <w:spacing w:before="0" w:beforeAutospacing="0" w:after="0" w:afterAutospacing="0" w:line="360" w:lineRule="auto"/>
        <w:rPr>
          <w:rFonts w:hint="eastAsia"/>
          <w:b/>
          <w:color w:val="auto"/>
          <w:sz w:val="44"/>
          <w:szCs w:val="44"/>
          <w:highlight w:val="none"/>
        </w:rPr>
      </w:pPr>
    </w:p>
    <w:p>
      <w:pPr>
        <w:pStyle w:val="21"/>
        <w:widowControl w:val="0"/>
        <w:spacing w:before="0" w:beforeAutospacing="0" w:after="0" w:afterAutospacing="0" w:line="360" w:lineRule="auto"/>
        <w:rPr>
          <w:rFonts w:hint="eastAsia"/>
          <w:b/>
          <w:color w:val="auto"/>
          <w:sz w:val="44"/>
          <w:szCs w:val="44"/>
          <w:highlight w:val="none"/>
        </w:rPr>
      </w:pPr>
    </w:p>
    <w:p>
      <w:pPr>
        <w:pStyle w:val="21"/>
        <w:widowControl w:val="0"/>
        <w:spacing w:before="0" w:beforeAutospacing="0" w:after="0" w:afterAutospacing="0" w:line="360" w:lineRule="auto"/>
        <w:rPr>
          <w:rFonts w:hint="eastAsia"/>
          <w:b/>
          <w:color w:val="auto"/>
          <w:sz w:val="44"/>
          <w:szCs w:val="44"/>
          <w:highlight w:val="none"/>
        </w:rPr>
      </w:pPr>
    </w:p>
    <w:p>
      <w:pPr>
        <w:pStyle w:val="21"/>
        <w:widowControl w:val="0"/>
        <w:spacing w:before="0" w:beforeAutospacing="0" w:after="0" w:afterAutospacing="0" w:line="360" w:lineRule="auto"/>
        <w:rPr>
          <w:rFonts w:hint="eastAsia"/>
          <w:b/>
          <w:color w:val="auto"/>
          <w:sz w:val="44"/>
          <w:szCs w:val="44"/>
          <w:highlight w:val="none"/>
        </w:rPr>
      </w:pPr>
    </w:p>
    <w:p>
      <w:pPr>
        <w:pStyle w:val="21"/>
        <w:widowControl w:val="0"/>
        <w:spacing w:before="0" w:beforeAutospacing="0" w:after="0" w:afterAutospacing="0" w:line="360" w:lineRule="auto"/>
        <w:rPr>
          <w:rFonts w:hint="eastAsia"/>
          <w:b/>
          <w:color w:val="auto"/>
          <w:sz w:val="44"/>
          <w:szCs w:val="44"/>
          <w:highlight w:val="none"/>
        </w:rPr>
      </w:pPr>
    </w:p>
    <w:p>
      <w:pPr>
        <w:pStyle w:val="21"/>
        <w:widowControl w:val="0"/>
        <w:spacing w:before="0" w:beforeAutospacing="0" w:after="0" w:afterAutospacing="0" w:line="360" w:lineRule="auto"/>
        <w:rPr>
          <w:rFonts w:hint="eastAsia"/>
          <w:b/>
          <w:color w:val="auto"/>
          <w:sz w:val="44"/>
          <w:szCs w:val="44"/>
          <w:highlight w:val="none"/>
        </w:rPr>
      </w:pPr>
    </w:p>
    <w:p>
      <w:pPr>
        <w:pStyle w:val="21"/>
        <w:widowControl w:val="0"/>
        <w:spacing w:before="0" w:beforeAutospacing="0" w:after="0" w:afterAutospacing="0" w:line="360" w:lineRule="auto"/>
        <w:rPr>
          <w:rFonts w:hint="eastAsia"/>
          <w:b/>
          <w:color w:val="auto"/>
          <w:sz w:val="44"/>
          <w:szCs w:val="44"/>
          <w:highlight w:val="none"/>
        </w:rPr>
      </w:pPr>
    </w:p>
    <w:p>
      <w:pPr>
        <w:rPr>
          <w:rFonts w:cs="Times New Roman"/>
          <w:b/>
          <w:bCs/>
          <w:color w:val="auto"/>
          <w:sz w:val="32"/>
          <w:szCs w:val="32"/>
          <w:highlight w:val="none"/>
        </w:rPr>
      </w:pPr>
      <w:r>
        <w:rPr>
          <w:rFonts w:hint="eastAsia" w:cs="Times New Roman"/>
          <w:b/>
          <w:bCs/>
          <w:color w:val="auto"/>
          <w:sz w:val="32"/>
          <w:szCs w:val="32"/>
          <w:highlight w:val="none"/>
        </w:rPr>
        <w:br w:type="page"/>
      </w:r>
    </w:p>
    <w:p>
      <w:pPr>
        <w:jc w:val="center"/>
        <w:rPr>
          <w:rFonts w:cs="Times New Roman"/>
          <w:b/>
          <w:color w:val="auto"/>
          <w:sz w:val="32"/>
          <w:szCs w:val="32"/>
          <w:highlight w:val="none"/>
        </w:rPr>
      </w:pPr>
      <w:r>
        <w:rPr>
          <w:rFonts w:hint="eastAsia" w:cs="Times New Roman"/>
          <w:b/>
          <w:bCs/>
          <w:color w:val="auto"/>
          <w:sz w:val="32"/>
          <w:szCs w:val="32"/>
          <w:highlight w:val="none"/>
        </w:rPr>
        <w:t>投标申请人声明</w:t>
      </w:r>
    </w:p>
    <w:p>
      <w:pPr>
        <w:pStyle w:val="20"/>
        <w:spacing w:line="360" w:lineRule="auto"/>
        <w:ind w:firstLine="2650" w:firstLineChars="1100"/>
        <w:rPr>
          <w:rFonts w:hint="eastAsia" w:hAnsi="宋体"/>
          <w:b/>
          <w:color w:val="auto"/>
          <w:highlight w:val="none"/>
        </w:rPr>
      </w:pPr>
    </w:p>
    <w:p>
      <w:pPr>
        <w:snapToGrid w:val="0"/>
        <w:spacing w:line="500" w:lineRule="exact"/>
        <w:rPr>
          <w:rFonts w:cs="Times New Roman"/>
          <w:color w:val="auto"/>
          <w:szCs w:val="28"/>
          <w:highlight w:val="none"/>
        </w:rPr>
      </w:pPr>
      <w:r>
        <w:rPr>
          <w:rFonts w:hint="eastAsia" w:cs="Times New Roman"/>
          <w:color w:val="auto"/>
          <w:szCs w:val="28"/>
          <w:highlight w:val="none"/>
        </w:rPr>
        <w:t>致：广州南沙旅游发展有限公司</w:t>
      </w:r>
    </w:p>
    <w:p>
      <w:pPr>
        <w:snapToGrid w:val="0"/>
        <w:spacing w:line="500" w:lineRule="exact"/>
        <w:ind w:firstLine="630" w:firstLineChars="300"/>
        <w:rPr>
          <w:rFonts w:cs="Times New Roman"/>
          <w:color w:val="auto"/>
          <w:szCs w:val="28"/>
          <w:highlight w:val="none"/>
        </w:rPr>
      </w:pPr>
    </w:p>
    <w:p>
      <w:pPr>
        <w:snapToGrid w:val="0"/>
        <w:spacing w:line="500" w:lineRule="exact"/>
        <w:ind w:firstLine="420" w:firstLineChars="200"/>
        <w:rPr>
          <w:rFonts w:cs="Times New Roman"/>
          <w:color w:val="auto"/>
          <w:szCs w:val="28"/>
          <w:highlight w:val="none"/>
        </w:rPr>
      </w:pPr>
      <w:r>
        <w:rPr>
          <w:rFonts w:hint="eastAsia" w:cs="Times New Roman"/>
          <w:color w:val="auto"/>
          <w:szCs w:val="28"/>
          <w:highlight w:val="none"/>
        </w:rPr>
        <w:t>本公司就参加</w:t>
      </w:r>
      <w:r>
        <w:rPr>
          <w:rFonts w:hint="eastAsia" w:cs="Times New Roman"/>
          <w:color w:val="auto"/>
          <w:szCs w:val="28"/>
          <w:highlight w:val="none"/>
          <w:u w:val="single"/>
        </w:rPr>
        <w:t>2025年粤港澳大湾区灯会活动围蔽采购安装</w:t>
      </w:r>
      <w:r>
        <w:rPr>
          <w:rFonts w:hint="eastAsia" w:cs="Times New Roman"/>
          <w:color w:val="auto"/>
          <w:szCs w:val="28"/>
          <w:highlight w:val="none"/>
          <w:u w:val="single"/>
          <w:lang w:val="en-US" w:eastAsia="zh-CN"/>
        </w:rPr>
        <w:t>项目</w:t>
      </w:r>
      <w:r>
        <w:rPr>
          <w:rFonts w:hint="eastAsia" w:cs="Times New Roman"/>
          <w:color w:val="auto"/>
          <w:szCs w:val="28"/>
          <w:highlight w:val="none"/>
        </w:rPr>
        <w:t>投标工作，作出郑重声明：</w:t>
      </w:r>
    </w:p>
    <w:p>
      <w:pPr>
        <w:numPr>
          <w:ilvl w:val="1"/>
          <w:numId w:val="4"/>
        </w:numPr>
        <w:snapToGrid w:val="0"/>
        <w:spacing w:line="500" w:lineRule="exact"/>
        <w:rPr>
          <w:rFonts w:cs="Times New Roman"/>
          <w:color w:val="auto"/>
          <w:szCs w:val="28"/>
          <w:highlight w:val="none"/>
        </w:rPr>
      </w:pPr>
      <w:r>
        <w:rPr>
          <w:rFonts w:hint="eastAsia" w:cs="Times New Roman"/>
          <w:color w:val="auto"/>
          <w:szCs w:val="28"/>
          <w:highlight w:val="none"/>
        </w:rPr>
        <w:t>本公司保证投标报名材料及其后提供的一切材料都是真实的。</w:t>
      </w:r>
    </w:p>
    <w:p>
      <w:pPr>
        <w:numPr>
          <w:ilvl w:val="1"/>
          <w:numId w:val="4"/>
        </w:numPr>
        <w:snapToGrid w:val="0"/>
        <w:spacing w:line="500" w:lineRule="exact"/>
        <w:rPr>
          <w:rFonts w:cs="Times New Roman"/>
          <w:color w:val="auto"/>
          <w:szCs w:val="28"/>
          <w:highlight w:val="none"/>
        </w:rPr>
      </w:pPr>
      <w:r>
        <w:rPr>
          <w:rFonts w:hint="eastAsia" w:cs="Times New Roman"/>
          <w:color w:val="auto"/>
          <w:szCs w:val="28"/>
          <w:highlight w:val="none"/>
        </w:rPr>
        <w:t>本公司保证不与其他单位围标、串标，不出让投标资格，不向招标单位或评标委员会成员行贿。</w:t>
      </w:r>
    </w:p>
    <w:p>
      <w:pPr>
        <w:numPr>
          <w:ilvl w:val="1"/>
          <w:numId w:val="4"/>
        </w:numPr>
        <w:snapToGrid w:val="0"/>
        <w:spacing w:line="500" w:lineRule="exact"/>
        <w:rPr>
          <w:rFonts w:cs="Times New Roman"/>
          <w:color w:val="auto"/>
          <w:szCs w:val="28"/>
          <w:highlight w:val="none"/>
        </w:rPr>
      </w:pPr>
      <w:r>
        <w:rPr>
          <w:rFonts w:hint="eastAsia" w:cs="Times New Roman"/>
          <w:color w:val="auto"/>
          <w:szCs w:val="28"/>
          <w:highlight w:val="none"/>
        </w:rPr>
        <w:t>本公司没有处于被责令停业的状态；没有处于被取消投标资格的处罚期内；没有处于财产被接管、冻结、破产的状态；在广州市人民检察院行贿犯罪档案结果中，本公司没有在投标报名截止时间前三年内被人民法院判决犯有行贿罪的记录；在投标报名截止日期前三年内，本公司没有弄虚作假骗取中标、围标串标行为（以行政主管部门或法院或检察院书面认定为准）。</w:t>
      </w:r>
    </w:p>
    <w:p>
      <w:pPr>
        <w:numPr>
          <w:ilvl w:val="1"/>
          <w:numId w:val="4"/>
        </w:numPr>
        <w:snapToGrid w:val="0"/>
        <w:spacing w:line="500" w:lineRule="exact"/>
        <w:rPr>
          <w:rFonts w:cs="Times New Roman"/>
          <w:color w:val="auto"/>
          <w:szCs w:val="28"/>
          <w:highlight w:val="none"/>
        </w:rPr>
      </w:pPr>
      <w:r>
        <w:rPr>
          <w:rFonts w:hint="eastAsia" w:cs="Times New Roman"/>
          <w:color w:val="auto"/>
          <w:szCs w:val="28"/>
          <w:highlight w:val="none"/>
        </w:rPr>
        <w:t>本公司及其有隶属关系的机构，没有参加本项目采购文件的编写工作。本公司违反上述保证或本声明陈述与事实不符，经查实，本公司愿意接受公开通报，承担由此带来的法律后果，同意由招标人将本公司列入不良行为记录名单，在一至三年内禁止参加招标人的招标活动。</w:t>
      </w:r>
    </w:p>
    <w:p>
      <w:pPr>
        <w:snapToGrid w:val="0"/>
        <w:spacing w:line="500" w:lineRule="exact"/>
        <w:ind w:left="420"/>
        <w:rPr>
          <w:rFonts w:cs="Times New Roman"/>
          <w:color w:val="auto"/>
          <w:szCs w:val="28"/>
          <w:highlight w:val="none"/>
        </w:rPr>
      </w:pPr>
    </w:p>
    <w:p>
      <w:pPr>
        <w:snapToGrid w:val="0"/>
        <w:spacing w:line="500" w:lineRule="exact"/>
        <w:ind w:left="420" w:firstLine="420" w:firstLineChars="200"/>
        <w:rPr>
          <w:rFonts w:cs="Times New Roman"/>
          <w:color w:val="auto"/>
          <w:szCs w:val="28"/>
          <w:highlight w:val="none"/>
        </w:rPr>
      </w:pPr>
      <w:r>
        <w:rPr>
          <w:rFonts w:hint="eastAsia" w:cs="Times New Roman"/>
          <w:color w:val="auto"/>
          <w:szCs w:val="28"/>
          <w:highlight w:val="none"/>
        </w:rPr>
        <w:t>特此声明。</w:t>
      </w:r>
    </w:p>
    <w:p>
      <w:pPr>
        <w:snapToGrid w:val="0"/>
        <w:spacing w:before="156" w:beforeLines="50" w:line="360" w:lineRule="auto"/>
        <w:ind w:left="420"/>
        <w:rPr>
          <w:rFonts w:cs="Times New Roman"/>
          <w:color w:val="auto"/>
          <w:szCs w:val="28"/>
          <w:highlight w:val="none"/>
        </w:rPr>
      </w:pPr>
    </w:p>
    <w:p>
      <w:pPr>
        <w:snapToGrid w:val="0"/>
        <w:spacing w:before="156" w:beforeLines="50" w:line="360" w:lineRule="auto"/>
        <w:ind w:left="420"/>
        <w:jc w:val="center"/>
        <w:rPr>
          <w:rFonts w:cs="Times New Roman"/>
          <w:color w:val="auto"/>
          <w:szCs w:val="28"/>
          <w:highlight w:val="none"/>
        </w:rPr>
      </w:pPr>
      <w:r>
        <w:rPr>
          <w:rFonts w:hint="eastAsia" w:cs="Times New Roman"/>
          <w:color w:val="auto"/>
          <w:szCs w:val="28"/>
          <w:highlight w:val="none"/>
        </w:rPr>
        <w:t xml:space="preserve">                                                                  </w:t>
      </w:r>
    </w:p>
    <w:p>
      <w:pPr>
        <w:snapToGrid w:val="0"/>
        <w:spacing w:before="156" w:beforeLines="50" w:line="360" w:lineRule="auto"/>
        <w:ind w:left="420"/>
        <w:jc w:val="center"/>
        <w:rPr>
          <w:rFonts w:cs="Times New Roman"/>
          <w:color w:val="auto"/>
          <w:szCs w:val="28"/>
          <w:highlight w:val="none"/>
        </w:rPr>
      </w:pPr>
      <w:r>
        <w:rPr>
          <w:rFonts w:hint="eastAsia" w:cs="Times New Roman"/>
          <w:color w:val="auto"/>
          <w:szCs w:val="28"/>
          <w:highlight w:val="none"/>
        </w:rPr>
        <w:t xml:space="preserve">          声明企业：（企业公章）</w:t>
      </w:r>
    </w:p>
    <w:p>
      <w:pPr>
        <w:wordWrap w:val="0"/>
        <w:snapToGrid w:val="0"/>
        <w:spacing w:before="156" w:beforeLines="50" w:line="360" w:lineRule="auto"/>
        <w:ind w:left="420"/>
        <w:jc w:val="right"/>
        <w:rPr>
          <w:rFonts w:hint="eastAsia" w:ascii="宋体" w:hAnsi="宋体" w:cs="Times New Roman"/>
          <w:color w:val="auto"/>
          <w:szCs w:val="28"/>
          <w:highlight w:val="none"/>
        </w:rPr>
      </w:pPr>
      <w:r>
        <w:rPr>
          <w:rFonts w:hint="eastAsia" w:ascii="宋体" w:hAnsi="宋体" w:cs="Times New Roman"/>
          <w:color w:val="auto"/>
          <w:szCs w:val="28"/>
          <w:highlight w:val="none"/>
        </w:rPr>
        <w:t xml:space="preserve">        年       月       日     </w:t>
      </w:r>
    </w:p>
    <w:p>
      <w:pPr>
        <w:pStyle w:val="21"/>
        <w:widowControl w:val="0"/>
        <w:spacing w:before="0" w:beforeAutospacing="0" w:after="0" w:afterAutospacing="0" w:line="360" w:lineRule="auto"/>
        <w:rPr>
          <w:rFonts w:hint="eastAsia"/>
          <w:b/>
          <w:color w:val="auto"/>
          <w:sz w:val="44"/>
          <w:szCs w:val="44"/>
          <w:highlight w:val="none"/>
        </w:rPr>
      </w:pPr>
      <w:r>
        <w:rPr>
          <w:rFonts w:hint="eastAsia" w:cs="Times New Roman"/>
          <w:color w:val="auto"/>
          <w:highlight w:val="none"/>
        </w:rPr>
        <w:t xml:space="preserve">        法定代表人签字：</w:t>
      </w:r>
      <w:r>
        <w:rPr>
          <w:rFonts w:hint="eastAsia" w:cs="Times New Roman"/>
          <w:color w:val="auto"/>
          <w:highlight w:val="none"/>
          <w:u w:val="single"/>
        </w:rPr>
        <w:t xml:space="preserve">                       </w:t>
      </w:r>
    </w:p>
    <w:p>
      <w:pPr>
        <w:pStyle w:val="21"/>
        <w:widowControl w:val="0"/>
        <w:spacing w:before="0" w:beforeAutospacing="0" w:after="0" w:afterAutospacing="0" w:line="360" w:lineRule="auto"/>
        <w:rPr>
          <w:rFonts w:hint="eastAsia"/>
          <w:b/>
          <w:color w:val="auto"/>
          <w:sz w:val="44"/>
          <w:szCs w:val="44"/>
          <w:highlight w:val="none"/>
        </w:rPr>
      </w:pPr>
    </w:p>
    <w:p>
      <w:pPr>
        <w:keepNext/>
        <w:keepLines/>
        <w:spacing w:before="340" w:after="330" w:line="578" w:lineRule="auto"/>
        <w:ind w:right="-588"/>
        <w:jc w:val="center"/>
        <w:outlineLvl w:val="0"/>
        <w:rPr>
          <w:rFonts w:cs="Times New Roman"/>
          <w:b/>
          <w:bCs/>
          <w:color w:val="auto"/>
          <w:kern w:val="44"/>
          <w:sz w:val="44"/>
          <w:szCs w:val="44"/>
          <w:highlight w:val="none"/>
        </w:rPr>
      </w:pPr>
      <w:bookmarkStart w:id="3" w:name="_Toc28489434"/>
      <w:bookmarkStart w:id="4" w:name="_Toc14450807"/>
      <w:bookmarkStart w:id="5" w:name="_Toc458795996"/>
      <w:bookmarkStart w:id="6" w:name="_Toc6555"/>
      <w:bookmarkStart w:id="7" w:name="_Toc1563"/>
      <w:bookmarkStart w:id="8" w:name="_Toc13149"/>
      <w:bookmarkStart w:id="9" w:name="_Toc31772"/>
      <w:bookmarkStart w:id="10" w:name="_Toc20486"/>
      <w:bookmarkStart w:id="11" w:name="_Toc11737"/>
      <w:bookmarkStart w:id="12" w:name="_Toc22648"/>
      <w:bookmarkStart w:id="13" w:name="_Toc27703"/>
      <w:bookmarkStart w:id="14" w:name="_Toc16301"/>
      <w:bookmarkStart w:id="15" w:name="_Toc16402"/>
      <w:r>
        <w:rPr>
          <w:rFonts w:hint="eastAsia" w:cs="Times New Roman"/>
          <w:b/>
          <w:bCs/>
          <w:color w:val="auto"/>
          <w:kern w:val="44"/>
          <w:sz w:val="44"/>
          <w:szCs w:val="44"/>
          <w:highlight w:val="none"/>
        </w:rPr>
        <w:t>第二章</w:t>
      </w:r>
      <w:bookmarkEnd w:id="3"/>
      <w:bookmarkEnd w:id="4"/>
      <w:bookmarkEnd w:id="5"/>
      <w:r>
        <w:rPr>
          <w:rFonts w:hint="eastAsia" w:cs="Times New Roman"/>
          <w:b/>
          <w:bCs/>
          <w:color w:val="auto"/>
          <w:kern w:val="44"/>
          <w:sz w:val="44"/>
          <w:szCs w:val="44"/>
          <w:highlight w:val="none"/>
        </w:rPr>
        <w:t xml:space="preserve"> 投标人须知</w:t>
      </w:r>
      <w:bookmarkEnd w:id="6"/>
      <w:bookmarkEnd w:id="7"/>
      <w:bookmarkEnd w:id="8"/>
      <w:bookmarkEnd w:id="9"/>
      <w:bookmarkEnd w:id="10"/>
      <w:bookmarkEnd w:id="11"/>
      <w:bookmarkEnd w:id="12"/>
      <w:bookmarkEnd w:id="13"/>
      <w:bookmarkEnd w:id="14"/>
      <w:bookmarkEnd w:id="15"/>
    </w:p>
    <w:p>
      <w:pPr>
        <w:spacing w:line="360" w:lineRule="auto"/>
        <w:jc w:val="center"/>
        <w:rPr>
          <w:rFonts w:hint="eastAsia" w:ascii="宋体" w:hAnsi="宋体" w:cs="Times New Roman"/>
          <w:b/>
          <w:bCs/>
          <w:color w:val="auto"/>
          <w:sz w:val="30"/>
          <w:szCs w:val="20"/>
          <w:highlight w:val="none"/>
        </w:rPr>
      </w:pPr>
      <w:r>
        <w:rPr>
          <w:rFonts w:hint="eastAsia" w:ascii="宋体" w:hAnsi="宋体" w:cs="Times New Roman"/>
          <w:b/>
          <w:bCs/>
          <w:color w:val="auto"/>
          <w:sz w:val="30"/>
          <w:szCs w:val="20"/>
          <w:highlight w:val="none"/>
        </w:rPr>
        <w:t>投标人须知一览表</w:t>
      </w:r>
    </w:p>
    <w:tbl>
      <w:tblPr>
        <w:tblStyle w:val="15"/>
        <w:tblW w:w="88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4"/>
        <w:gridCol w:w="1777"/>
        <w:gridCol w:w="1803"/>
        <w:gridCol w:w="1914"/>
        <w:gridCol w:w="2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
                <w:color w:val="auto"/>
                <w:sz w:val="24"/>
                <w:szCs w:val="20"/>
                <w:highlight w:val="none"/>
              </w:rPr>
            </w:pPr>
            <w:r>
              <w:rPr>
                <w:rFonts w:hint="eastAsia" w:ascii="宋体" w:hAnsi="宋体" w:cs="Times New Roman"/>
                <w:b/>
                <w:color w:val="auto"/>
                <w:sz w:val="24"/>
                <w:szCs w:val="20"/>
                <w:highlight w:val="none"/>
              </w:rPr>
              <w:t>序号</w:t>
            </w: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Times New Roman"/>
                <w:b/>
                <w:color w:val="auto"/>
                <w:sz w:val="24"/>
                <w:szCs w:val="20"/>
                <w:highlight w:val="none"/>
              </w:rPr>
            </w:pPr>
            <w:r>
              <w:rPr>
                <w:rFonts w:hint="eastAsia" w:ascii="宋体" w:hAnsi="宋体" w:cs="Times New Roman"/>
                <w:b/>
                <w:color w:val="auto"/>
                <w:sz w:val="24"/>
                <w:szCs w:val="20"/>
                <w:highlight w:val="none"/>
              </w:rPr>
              <w:t>项</w:t>
            </w:r>
            <w:r>
              <w:rPr>
                <w:rFonts w:ascii="宋体" w:hAnsi="宋体" w:cs="Times New Roman"/>
                <w:b/>
                <w:color w:val="auto"/>
                <w:sz w:val="24"/>
                <w:szCs w:val="20"/>
                <w:highlight w:val="none"/>
              </w:rPr>
              <w:t xml:space="preserve">  </w:t>
            </w:r>
            <w:r>
              <w:rPr>
                <w:rFonts w:hint="eastAsia" w:ascii="宋体" w:hAnsi="宋体" w:cs="Times New Roman"/>
                <w:b/>
                <w:color w:val="auto"/>
                <w:sz w:val="24"/>
                <w:szCs w:val="20"/>
                <w:highlight w:val="none"/>
              </w:rPr>
              <w:t>目</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Times New Roman"/>
                <w:b/>
                <w:color w:val="auto"/>
                <w:sz w:val="24"/>
                <w:szCs w:val="20"/>
                <w:highlight w:val="none"/>
              </w:rPr>
            </w:pPr>
            <w:r>
              <w:rPr>
                <w:rFonts w:hint="eastAsia" w:ascii="宋体" w:hAnsi="宋体" w:cs="Times New Roman"/>
                <w:b/>
                <w:color w:val="auto"/>
                <w:sz w:val="24"/>
                <w:szCs w:val="20"/>
                <w:highlight w:val="none"/>
              </w:rPr>
              <w:t>主</w:t>
            </w:r>
            <w:r>
              <w:rPr>
                <w:rFonts w:ascii="宋体" w:hAnsi="宋体" w:cs="Times New Roman"/>
                <w:b/>
                <w:color w:val="auto"/>
                <w:sz w:val="24"/>
                <w:szCs w:val="20"/>
                <w:highlight w:val="none"/>
              </w:rPr>
              <w:t xml:space="preserve">  </w:t>
            </w:r>
            <w:r>
              <w:rPr>
                <w:rFonts w:hint="eastAsia" w:ascii="宋体" w:hAnsi="宋体" w:cs="Times New Roman"/>
                <w:b/>
                <w:color w:val="auto"/>
                <w:sz w:val="24"/>
                <w:szCs w:val="20"/>
                <w:highlight w:val="none"/>
              </w:rPr>
              <w:t>要</w:t>
            </w:r>
            <w:r>
              <w:rPr>
                <w:rFonts w:ascii="宋体" w:hAnsi="宋体" w:cs="Times New Roman"/>
                <w:b/>
                <w:color w:val="auto"/>
                <w:sz w:val="24"/>
                <w:szCs w:val="20"/>
                <w:highlight w:val="none"/>
              </w:rPr>
              <w:t xml:space="preserve">  </w:t>
            </w:r>
            <w:r>
              <w:rPr>
                <w:rFonts w:hint="eastAsia" w:ascii="宋体" w:hAnsi="宋体" w:cs="Times New Roman"/>
                <w:b/>
                <w:color w:val="auto"/>
                <w:sz w:val="24"/>
                <w:szCs w:val="20"/>
                <w:highlight w:val="none"/>
              </w:rPr>
              <w:t>内</w:t>
            </w:r>
            <w:r>
              <w:rPr>
                <w:rFonts w:ascii="宋体" w:hAnsi="宋体" w:cs="Times New Roman"/>
                <w:b/>
                <w:color w:val="auto"/>
                <w:sz w:val="24"/>
                <w:szCs w:val="20"/>
                <w:highlight w:val="none"/>
              </w:rPr>
              <w:t xml:space="preserve">  </w:t>
            </w:r>
            <w:r>
              <w:rPr>
                <w:rFonts w:hint="eastAsia" w:ascii="宋体" w:hAnsi="宋体" w:cs="Times New Roman"/>
                <w:b/>
                <w:color w:val="auto"/>
                <w:sz w:val="24"/>
                <w:szCs w:val="20"/>
                <w:highlight w:val="none"/>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1104" w:type="dxa"/>
            <w:tcBorders>
              <w:top w:val="single" w:color="auto" w:sz="4" w:space="0"/>
              <w:left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（1）</w:t>
            </w:r>
          </w:p>
        </w:tc>
        <w:tc>
          <w:tcPr>
            <w:tcW w:w="1777"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项目名称</w:t>
            </w:r>
          </w:p>
        </w:tc>
        <w:tc>
          <w:tcPr>
            <w:tcW w:w="5938" w:type="dxa"/>
            <w:gridSpan w:val="3"/>
            <w:tcBorders>
              <w:top w:val="single" w:color="auto" w:sz="4" w:space="0"/>
              <w:left w:val="single" w:color="auto" w:sz="4" w:space="0"/>
              <w:right w:val="single" w:color="auto" w:sz="4" w:space="0"/>
            </w:tcBorders>
            <w:vAlign w:val="center"/>
          </w:tcPr>
          <w:p>
            <w:pPr>
              <w:spacing w:line="400" w:lineRule="exact"/>
              <w:jc w:val="left"/>
              <w:rPr>
                <w:rFonts w:hint="eastAsia" w:ascii="宋体" w:hAnsi="宋体" w:cs="Times New Roman"/>
                <w:color w:val="auto"/>
                <w:sz w:val="24"/>
                <w:szCs w:val="20"/>
                <w:highlight w:val="none"/>
              </w:rPr>
            </w:pPr>
            <w:r>
              <w:rPr>
                <w:rFonts w:hint="eastAsia" w:ascii="宋体" w:hAnsi="宋体" w:eastAsia="宋体" w:cs="Times New Roman"/>
                <w:color w:val="auto"/>
                <w:sz w:val="24"/>
                <w:szCs w:val="20"/>
                <w:highlight w:val="none"/>
                <w:lang w:val="en-US" w:eastAsia="zh-CN"/>
              </w:rPr>
              <w:t>2025年粤港澳大湾区灯会活动围蔽采购安装</w:t>
            </w:r>
            <w:r>
              <w:rPr>
                <w:rFonts w:hint="eastAsia" w:ascii="宋体" w:hAnsi="宋体" w:eastAsia="宋体" w:cs="Times New Roman"/>
                <w:color w:val="auto"/>
                <w:sz w:val="24"/>
                <w:szCs w:val="20"/>
                <w:highlight w:val="none"/>
              </w:rPr>
              <w:t>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（2）</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招标人</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pStyle w:val="7"/>
              <w:jc w:val="left"/>
              <w:rPr>
                <w:color w:val="auto"/>
                <w:highlight w:val="none"/>
              </w:rPr>
            </w:pPr>
            <w:r>
              <w:rPr>
                <w:rFonts w:hint="eastAsia" w:ascii="宋体" w:hAnsi="宋体"/>
                <w:color w:val="auto"/>
                <w:highlight w:val="none"/>
              </w:rPr>
              <w:t>广州南沙旅游发展有限公司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（3）</w:t>
            </w:r>
          </w:p>
        </w:tc>
        <w:tc>
          <w:tcPr>
            <w:tcW w:w="1777" w:type="dxa"/>
            <w:tcBorders>
              <w:top w:val="single" w:color="auto" w:sz="4" w:space="0"/>
              <w:left w:val="single" w:color="auto" w:sz="4" w:space="0"/>
              <w:bottom w:val="single" w:color="auto" w:sz="4" w:space="0"/>
              <w:right w:val="single" w:color="auto" w:sz="4" w:space="0"/>
            </w:tcBorders>
            <w:vAlign w:val="center"/>
          </w:tcPr>
          <w:p>
            <w:pPr>
              <w:keepNext/>
              <w:keepLines/>
              <w:tabs>
                <w:tab w:val="left" w:pos="630"/>
                <w:tab w:val="left" w:pos="1981"/>
              </w:tabs>
              <w:adjustRightInd w:val="0"/>
              <w:spacing w:before="40" w:after="40"/>
              <w:ind w:firstLine="240" w:firstLineChars="100"/>
              <w:textAlignment w:val="baseline"/>
              <w:outlineLvl w:val="2"/>
              <w:rPr>
                <w:rFonts w:hint="eastAsia" w:ascii="宋体" w:hAnsi="宋体" w:cs="Times New Roman"/>
                <w:b/>
                <w:color w:val="auto"/>
                <w:sz w:val="24"/>
                <w:highlight w:val="none"/>
              </w:rPr>
            </w:pPr>
            <w:r>
              <w:rPr>
                <w:rFonts w:ascii="宋体" w:hAnsi="宋体" w:cs="Times New Roman"/>
                <w:bCs/>
                <w:color w:val="auto"/>
                <w:sz w:val="24"/>
                <w:highlight w:val="none"/>
              </w:rPr>
              <w:t>投标有效期</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cs="Times New Roman"/>
                <w:color w:val="auto"/>
                <w:sz w:val="24"/>
                <w:szCs w:val="20"/>
                <w:highlight w:val="none"/>
              </w:rPr>
            </w:pPr>
            <w:r>
              <w:rPr>
                <w:rFonts w:hint="eastAsia" w:ascii="宋体" w:hAnsi="宋体" w:cs="Times New Roman"/>
                <w:color w:val="auto"/>
                <w:sz w:val="24"/>
                <w:szCs w:val="20"/>
                <w:highlight w:val="none"/>
              </w:rPr>
              <w:t>从投标截止日起，投标有效期为90天，中标人的投标有效期自动延长至合同终止为止。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（4）</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招标内容</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Times New Roman"/>
                <w:color w:val="auto"/>
                <w:sz w:val="24"/>
                <w:szCs w:val="20"/>
                <w:highlight w:val="none"/>
              </w:rPr>
            </w:pPr>
            <w:r>
              <w:rPr>
                <w:rFonts w:hint="eastAsia" w:ascii="宋体" w:hAnsi="宋体" w:cs="Times New Roman"/>
                <w:color w:val="auto"/>
                <w:sz w:val="24"/>
                <w:szCs w:val="24"/>
                <w:highlight w:val="none"/>
              </w:rPr>
              <w:t>详见用户需求书。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（5）</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服务质量</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必须符合国家、省、市、区的相关法律法规和招标人的要求。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（6）</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统一结算币种</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（7）</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投标文件数量</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五份（一份正本、</w:t>
            </w:r>
            <w:r>
              <w:rPr>
                <w:rFonts w:hint="eastAsia" w:ascii="宋体" w:hAnsi="宋体" w:cs="宋体"/>
                <w:color w:val="auto"/>
                <w:sz w:val="24"/>
                <w:szCs w:val="20"/>
                <w:highlight w:val="none"/>
              </w:rPr>
              <w:t>四</w:t>
            </w:r>
            <w:r>
              <w:rPr>
                <w:rFonts w:hint="eastAsia" w:ascii="宋体" w:hAnsi="宋体" w:cs="Times New Roman"/>
                <w:color w:val="auto"/>
                <w:sz w:val="24"/>
                <w:szCs w:val="20"/>
                <w:highlight w:val="none"/>
              </w:rPr>
              <w:t>份副本）、电子文件一份（电子文件为U盘介质，采用Word和PDF格式，Word内容应与投标人打印产生的纸质投标文件内容一致，PDF内容必须是纸质投标文件正本扫描件（含盖章、签署），不留密码，无病毒，不压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（8）</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开标时间</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2024年</w:t>
            </w:r>
            <w:r>
              <w:rPr>
                <w:rFonts w:hint="eastAsia" w:ascii="宋体" w:hAnsi="宋体" w:cs="Times New Roman"/>
                <w:color w:val="auto"/>
                <w:sz w:val="24"/>
                <w:szCs w:val="20"/>
                <w:highlight w:val="none"/>
                <w:lang w:val="en-US" w:eastAsia="zh-CN"/>
              </w:rPr>
              <w:t>12</w:t>
            </w:r>
            <w:r>
              <w:rPr>
                <w:rFonts w:hint="eastAsia" w:ascii="宋体" w:cs="Times New Roman"/>
                <w:bCs/>
                <w:color w:val="auto"/>
                <w:sz w:val="24"/>
                <w:szCs w:val="24"/>
                <w:highlight w:val="none"/>
              </w:rPr>
              <w:t>月</w:t>
            </w:r>
            <w:r>
              <w:rPr>
                <w:rFonts w:hint="eastAsia" w:ascii="宋体" w:cs="Times New Roman"/>
                <w:bCs/>
                <w:color w:val="auto"/>
                <w:sz w:val="24"/>
                <w:szCs w:val="24"/>
                <w:highlight w:val="none"/>
                <w:lang w:val="en-US" w:eastAsia="zh-CN"/>
              </w:rPr>
              <w:t>26</w:t>
            </w:r>
            <w:r>
              <w:rPr>
                <w:rFonts w:hint="eastAsia" w:ascii="宋体" w:cs="Times New Roman"/>
                <w:bCs/>
                <w:color w:val="auto"/>
                <w:sz w:val="24"/>
                <w:szCs w:val="24"/>
                <w:highlight w:val="none"/>
              </w:rPr>
              <w:t>日</w:t>
            </w:r>
            <w:r>
              <w:rPr>
                <w:rFonts w:hint="eastAsia" w:ascii="宋体" w:hAnsi="宋体" w:cs="Times New Roman"/>
                <w:color w:val="auto"/>
                <w:sz w:val="24"/>
                <w:szCs w:val="20"/>
                <w:highlight w:val="none"/>
                <w:lang w:val="en-US" w:eastAsia="zh-CN"/>
              </w:rPr>
              <w:t>14</w:t>
            </w:r>
            <w:r>
              <w:rPr>
                <w:rFonts w:hint="eastAsia" w:ascii="宋体" w:hAnsi="宋体" w:cs="Times New Roman"/>
                <w:color w:val="auto"/>
                <w:sz w:val="24"/>
                <w:szCs w:val="20"/>
                <w:highlight w:val="none"/>
              </w:rPr>
              <w:t>:</w:t>
            </w:r>
            <w:r>
              <w:rPr>
                <w:rFonts w:hint="eastAsia" w:ascii="宋体" w:hAnsi="宋体" w:cs="Times New Roman"/>
                <w:color w:val="auto"/>
                <w:sz w:val="24"/>
                <w:szCs w:val="20"/>
                <w:highlight w:val="none"/>
                <w:lang w:val="en-US" w:eastAsia="zh-CN"/>
              </w:rPr>
              <w:t>3</w:t>
            </w:r>
            <w:r>
              <w:rPr>
                <w:rFonts w:hint="eastAsia" w:ascii="宋体" w:hAnsi="宋体" w:cs="Times New Roman"/>
                <w:color w:val="auto"/>
                <w:sz w:val="24"/>
                <w:szCs w:val="20"/>
                <w:highlight w:val="none"/>
              </w:rPr>
              <w:t>0（北京时间）。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2" w:hRule="atLeast"/>
          <w:jc w:val="center"/>
        </w:trPr>
        <w:tc>
          <w:tcPr>
            <w:tcW w:w="1104" w:type="dxa"/>
            <w:tcBorders>
              <w:top w:val="single" w:color="auto" w:sz="4" w:space="0"/>
              <w:left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（9）</w:t>
            </w:r>
          </w:p>
        </w:tc>
        <w:tc>
          <w:tcPr>
            <w:tcW w:w="1777"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投标最高限价</w:t>
            </w:r>
          </w:p>
        </w:tc>
        <w:tc>
          <w:tcPr>
            <w:tcW w:w="5938" w:type="dxa"/>
            <w:gridSpan w:val="3"/>
            <w:tcBorders>
              <w:top w:val="single" w:color="auto" w:sz="4" w:space="0"/>
              <w:left w:val="single" w:color="auto" w:sz="4" w:space="0"/>
              <w:right w:val="single" w:color="auto" w:sz="4" w:space="0"/>
            </w:tcBorders>
            <w:vAlign w:val="center"/>
          </w:tcPr>
          <w:p>
            <w:pPr>
              <w:spacing w:line="400" w:lineRule="exact"/>
              <w:jc w:val="left"/>
              <w:rPr>
                <w:rFonts w:hint="eastAsia" w:ascii="宋体" w:hAnsi="宋体" w:cs="Times New Roman"/>
                <w:color w:val="auto"/>
                <w:sz w:val="24"/>
                <w:szCs w:val="20"/>
                <w:highlight w:val="none"/>
              </w:rPr>
            </w:pPr>
            <w:r>
              <w:rPr>
                <w:rFonts w:hint="eastAsia" w:ascii="宋体" w:hAnsi="宋体" w:cs="Times New Roman"/>
                <w:color w:val="auto"/>
                <w:sz w:val="24"/>
                <w:szCs w:val="24"/>
                <w:highlight w:val="none"/>
                <w:u w:val="single"/>
              </w:rPr>
              <w:t>¥</w:t>
            </w:r>
            <w:r>
              <w:rPr>
                <w:rFonts w:hint="eastAsia" w:ascii="宋体" w:hAnsi="宋体" w:cs="Times New Roman"/>
                <w:color w:val="auto"/>
                <w:sz w:val="24"/>
                <w:szCs w:val="24"/>
                <w:highlight w:val="none"/>
                <w:u w:val="single"/>
                <w:lang w:val="en-US" w:eastAsia="zh-CN"/>
              </w:rPr>
              <w:t>488</w:t>
            </w:r>
            <w:r>
              <w:rPr>
                <w:rFonts w:hint="eastAsia" w:ascii="宋体" w:hAnsi="宋体" w:cs="Times New Roman"/>
                <w:color w:val="auto"/>
                <w:sz w:val="24"/>
                <w:szCs w:val="24"/>
                <w:highlight w:val="none"/>
                <w:u w:val="single"/>
              </w:rPr>
              <w:t>000</w:t>
            </w:r>
            <w:r>
              <w:rPr>
                <w:rFonts w:hint="eastAsia" w:ascii="宋体" w:hAnsi="宋体" w:cs="Times New Roman"/>
                <w:color w:val="auto"/>
                <w:sz w:val="24"/>
                <w:szCs w:val="24"/>
                <w:highlight w:val="none"/>
                <w:u w:val="single"/>
                <w:lang w:val="en-US" w:eastAsia="zh-CN"/>
              </w:rPr>
              <w:t>.00</w:t>
            </w:r>
            <w:r>
              <w:rPr>
                <w:rFonts w:hint="eastAsia" w:ascii="宋体" w:hAnsi="宋体" w:cs="Times New Roman"/>
                <w:color w:val="auto"/>
                <w:sz w:val="24"/>
                <w:szCs w:val="24"/>
                <w:highlight w:val="none"/>
                <w:u w:val="single"/>
                <w:lang w:val="en-US" w:eastAsia="zh-CN"/>
              </w:rPr>
              <w:t>元</w:t>
            </w:r>
            <w:r>
              <w:rPr>
                <w:rFonts w:hint="eastAsia" w:ascii="宋体" w:hAnsi="宋体" w:cs="Times New Roman"/>
                <w:color w:val="auto"/>
                <w:sz w:val="24"/>
                <w:szCs w:val="24"/>
                <w:highlight w:val="none"/>
              </w:rPr>
              <w:t>（大写:人民币</w:t>
            </w:r>
            <w:r>
              <w:rPr>
                <w:rFonts w:hint="eastAsia" w:ascii="宋体" w:hAnsi="宋体" w:cs="Times New Roman"/>
                <w:color w:val="auto"/>
                <w:sz w:val="24"/>
                <w:szCs w:val="24"/>
                <w:highlight w:val="none"/>
                <w:lang w:val="en-US" w:eastAsia="zh-CN"/>
              </w:rPr>
              <w:t>肆拾捌万捌</w:t>
            </w:r>
            <w:r>
              <w:rPr>
                <w:rFonts w:hint="eastAsia" w:ascii="宋体" w:hAnsi="宋体"/>
                <w:color w:val="auto"/>
                <w:sz w:val="24"/>
                <w:szCs w:val="24"/>
                <w:highlight w:val="none"/>
                <w:u w:val="none"/>
              </w:rPr>
              <w:t>仟元整</w:t>
            </w:r>
            <w:r>
              <w:rPr>
                <w:rFonts w:hint="eastAsia" w:ascii="宋体" w:hAnsi="宋体" w:cs="Times New Roman"/>
                <w:color w:val="auto"/>
                <w:sz w:val="24"/>
                <w:szCs w:val="24"/>
                <w:highlight w:val="none"/>
              </w:rPr>
              <w:t>）。报价实行总价包干，报价应包含但不限于：</w:t>
            </w:r>
            <w:r>
              <w:rPr>
                <w:rFonts w:ascii="宋体" w:hAnsi="宋体"/>
                <w:color w:val="auto"/>
                <w:sz w:val="24"/>
                <w:highlight w:val="none"/>
              </w:rPr>
              <w:t>拆卸、安装、调试、检验、验收</w:t>
            </w:r>
            <w:r>
              <w:rPr>
                <w:rFonts w:hint="eastAsia" w:ascii="宋体" w:hAnsi="宋体" w:cs="Times New Roman"/>
                <w:color w:val="auto"/>
                <w:sz w:val="24"/>
                <w:szCs w:val="24"/>
                <w:highlight w:val="none"/>
              </w:rPr>
              <w:t>、税费等一切费用。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4" w:hRule="atLeast"/>
          <w:jc w:val="center"/>
        </w:trPr>
        <w:tc>
          <w:tcPr>
            <w:tcW w:w="1104" w:type="dxa"/>
            <w:vMerge w:val="restart"/>
            <w:tcBorders>
              <w:top w:val="single" w:color="auto" w:sz="4" w:space="0"/>
              <w:left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（10）</w:t>
            </w:r>
          </w:p>
        </w:tc>
        <w:tc>
          <w:tcPr>
            <w:tcW w:w="1777"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评审方法</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综合评审法（</w:t>
            </w:r>
            <w:r>
              <w:rPr>
                <w:rFonts w:ascii="宋体" w:hAnsi="宋体" w:cs="Times New Roman"/>
                <w:color w:val="auto"/>
                <w:sz w:val="24"/>
                <w:szCs w:val="20"/>
                <w:highlight w:val="none"/>
              </w:rPr>
              <w:t>100%</w:t>
            </w:r>
            <w:r>
              <w:rPr>
                <w:rFonts w:hint="eastAsia" w:ascii="宋体" w:hAnsi="宋体" w:cs="Times New Roman"/>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5" w:hRule="atLeast"/>
          <w:jc w:val="center"/>
        </w:trPr>
        <w:tc>
          <w:tcPr>
            <w:tcW w:w="1104"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Times New Roman"/>
                <w:color w:val="auto"/>
                <w:sz w:val="24"/>
                <w:szCs w:val="20"/>
                <w:highlight w:val="none"/>
              </w:rPr>
            </w:pPr>
          </w:p>
        </w:tc>
        <w:tc>
          <w:tcPr>
            <w:tcW w:w="1777"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Times New Roman"/>
                <w:color w:val="auto"/>
                <w:sz w:val="24"/>
                <w:szCs w:val="20"/>
                <w:highlight w:val="none"/>
              </w:rPr>
            </w:pPr>
          </w:p>
        </w:tc>
        <w:tc>
          <w:tcPr>
            <w:tcW w:w="18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技术权重</w:t>
            </w:r>
            <w:r>
              <w:rPr>
                <w:rFonts w:hint="eastAsia" w:ascii="宋体" w:hAnsi="宋体" w:cs="Times New Roman"/>
                <w:color w:val="auto"/>
                <w:sz w:val="24"/>
                <w:szCs w:val="20"/>
                <w:highlight w:val="none"/>
                <w:lang w:val="en-US" w:eastAsia="zh-CN"/>
              </w:rPr>
              <w:t>20</w:t>
            </w:r>
            <w:r>
              <w:rPr>
                <w:rFonts w:ascii="宋体" w:hAnsi="宋体" w:cs="Times New Roman"/>
                <w:color w:val="auto"/>
                <w:sz w:val="24"/>
                <w:szCs w:val="20"/>
                <w:highlight w:val="none"/>
              </w:rPr>
              <w:t>%</w:t>
            </w:r>
          </w:p>
        </w:tc>
        <w:tc>
          <w:tcPr>
            <w:tcW w:w="19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商务权重</w:t>
            </w:r>
            <w:r>
              <w:rPr>
                <w:rFonts w:hint="eastAsia" w:ascii="宋体" w:hAnsi="宋体" w:cs="Times New Roman"/>
                <w:color w:val="auto"/>
                <w:sz w:val="24"/>
                <w:szCs w:val="20"/>
                <w:highlight w:val="none"/>
                <w:lang w:val="en-US" w:eastAsia="zh-CN"/>
              </w:rPr>
              <w:t>20</w:t>
            </w:r>
            <w:r>
              <w:rPr>
                <w:rFonts w:ascii="宋体" w:hAnsi="宋体" w:cs="Times New Roman"/>
                <w:color w:val="auto"/>
                <w:sz w:val="24"/>
                <w:szCs w:val="20"/>
                <w:highlight w:val="none"/>
              </w:rPr>
              <w:t>%</w:t>
            </w:r>
          </w:p>
        </w:tc>
        <w:tc>
          <w:tcPr>
            <w:tcW w:w="2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价格权重</w:t>
            </w:r>
            <w:r>
              <w:rPr>
                <w:rFonts w:hint="eastAsia" w:ascii="宋体" w:hAnsi="宋体" w:cs="Times New Roman"/>
                <w:color w:val="auto"/>
                <w:sz w:val="24"/>
                <w:szCs w:val="20"/>
                <w:highlight w:val="none"/>
                <w:lang w:val="en-US" w:eastAsia="zh-CN"/>
              </w:rPr>
              <w:t>6</w:t>
            </w:r>
            <w:r>
              <w:rPr>
                <w:rFonts w:hint="eastAsia" w:ascii="宋体" w:hAnsi="宋体" w:cs="Times New Roman"/>
                <w:color w:val="auto"/>
                <w:sz w:val="24"/>
                <w:szCs w:val="20"/>
                <w:highlight w:val="none"/>
              </w:rPr>
              <w:t>0</w:t>
            </w:r>
            <w:r>
              <w:rPr>
                <w:rFonts w:ascii="宋体" w:hAnsi="宋体" w:cs="Times New Roman"/>
                <w:color w:val="auto"/>
                <w:sz w:val="24"/>
                <w:szCs w:val="20"/>
                <w:highlight w:val="none"/>
              </w:rPr>
              <w:t>%</w:t>
            </w:r>
          </w:p>
        </w:tc>
      </w:tr>
    </w:tbl>
    <w:p>
      <w:pPr>
        <w:pStyle w:val="21"/>
        <w:widowControl w:val="0"/>
        <w:spacing w:before="0" w:beforeAutospacing="0" w:after="0" w:afterAutospacing="0" w:line="360" w:lineRule="auto"/>
        <w:rPr>
          <w:rFonts w:hint="eastAsia"/>
          <w:b/>
          <w:color w:val="auto"/>
          <w:sz w:val="44"/>
          <w:szCs w:val="44"/>
          <w:highlight w:val="none"/>
        </w:rPr>
      </w:pPr>
    </w:p>
    <w:p>
      <w:pPr>
        <w:pStyle w:val="21"/>
        <w:widowControl w:val="0"/>
        <w:spacing w:before="0" w:beforeAutospacing="0" w:after="0" w:afterAutospacing="0" w:line="360" w:lineRule="auto"/>
        <w:rPr>
          <w:rFonts w:hint="eastAsia"/>
          <w:b/>
          <w:color w:val="auto"/>
          <w:sz w:val="44"/>
          <w:szCs w:val="44"/>
          <w:highlight w:val="none"/>
        </w:rPr>
      </w:pPr>
    </w:p>
    <w:p>
      <w:pPr>
        <w:pStyle w:val="21"/>
        <w:widowControl w:val="0"/>
        <w:spacing w:before="0" w:beforeAutospacing="0" w:after="0" w:afterAutospacing="0" w:line="360" w:lineRule="auto"/>
        <w:rPr>
          <w:rFonts w:hint="eastAsia" w:cs="宋体"/>
          <w:b/>
          <w:color w:val="auto"/>
          <w:sz w:val="44"/>
          <w:szCs w:val="44"/>
          <w:highlight w:val="none"/>
        </w:rPr>
      </w:pPr>
      <w:r>
        <w:rPr>
          <w:rFonts w:hint="eastAsia" w:cs="宋体"/>
          <w:b/>
          <w:color w:val="auto"/>
          <w:sz w:val="44"/>
          <w:szCs w:val="44"/>
          <w:highlight w:val="none"/>
        </w:rPr>
        <w:t>第二章 投标人须知</w:t>
      </w:r>
    </w:p>
    <w:p>
      <w:pPr>
        <w:spacing w:line="360" w:lineRule="auto"/>
        <w:ind w:firstLine="482" w:firstLineChars="200"/>
        <w:jc w:val="center"/>
        <w:rPr>
          <w:rFonts w:hint="eastAsia" w:ascii="宋体" w:hAnsi="宋体" w:cs="宋体"/>
          <w:b/>
          <w:color w:val="auto"/>
          <w:sz w:val="24"/>
          <w:highlight w:val="none"/>
        </w:rPr>
      </w:pPr>
      <w:r>
        <w:rPr>
          <w:rFonts w:hint="eastAsia" w:ascii="宋体" w:hAnsi="宋体" w:cs="宋体"/>
          <w:b/>
          <w:color w:val="auto"/>
          <w:sz w:val="24"/>
          <w:highlight w:val="none"/>
        </w:rPr>
        <w:t>投标人必须认真阅读以下内容，以免造成投标失败。</w:t>
      </w:r>
    </w:p>
    <w:p>
      <w:pPr>
        <w:pStyle w:val="19"/>
        <w:rPr>
          <w:rFonts w:hint="eastAsia" w:ascii="宋体" w:hAnsi="宋体" w:eastAsia="宋体" w:cs="宋体"/>
          <w:color w:val="auto"/>
          <w:highlight w:val="none"/>
        </w:rPr>
      </w:pPr>
    </w:p>
    <w:p>
      <w:pPr>
        <w:pStyle w:val="4"/>
        <w:spacing w:before="48" w:after="48"/>
        <w:rPr>
          <w:rFonts w:hint="eastAsia" w:ascii="宋体" w:hAnsi="宋体" w:eastAsia="宋体" w:cs="宋体"/>
          <w:color w:val="auto"/>
          <w:sz w:val="28"/>
          <w:szCs w:val="28"/>
          <w:highlight w:val="none"/>
        </w:rPr>
      </w:pPr>
      <w:bookmarkStart w:id="16" w:name="_Toc184442574"/>
      <w:r>
        <w:rPr>
          <w:rFonts w:hint="eastAsia" w:ascii="宋体" w:hAnsi="宋体" w:eastAsia="宋体" w:cs="宋体"/>
          <w:color w:val="auto"/>
          <w:sz w:val="28"/>
          <w:szCs w:val="28"/>
          <w:highlight w:val="none"/>
        </w:rPr>
        <w:t>一、总体说明</w:t>
      </w:r>
      <w:bookmarkEnd w:id="16"/>
    </w:p>
    <w:p>
      <w:pPr>
        <w:pStyle w:val="5"/>
        <w:keepLines w:val="0"/>
        <w:numPr>
          <w:ilvl w:val="1"/>
          <w:numId w:val="5"/>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适用范围</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本招标文件仅适用于本次</w:t>
      </w:r>
      <w:r>
        <w:rPr>
          <w:rFonts w:hint="eastAsia" w:ascii="宋体" w:hAnsi="宋体" w:cs="宋体"/>
          <w:color w:val="auto"/>
          <w:sz w:val="24"/>
          <w:highlight w:val="none"/>
          <w:lang w:val="en-US" w:eastAsia="zh-CN"/>
        </w:rPr>
        <w:t>招标公告</w:t>
      </w:r>
      <w:r>
        <w:rPr>
          <w:rFonts w:hint="eastAsia" w:ascii="宋体" w:hAnsi="宋体" w:cs="宋体"/>
          <w:color w:val="auto"/>
          <w:sz w:val="24"/>
          <w:highlight w:val="none"/>
        </w:rPr>
        <w:t>中所叙述的项目采购。本次采购采用一次报价一次评标定标的方式，投标人的报价必须固定，且只能作一个最有竞争力的报价和方案，否则将作无效投标处理。</w:t>
      </w:r>
    </w:p>
    <w:p>
      <w:pPr>
        <w:pStyle w:val="5"/>
        <w:keepLines w:val="0"/>
        <w:numPr>
          <w:ilvl w:val="1"/>
          <w:numId w:val="5"/>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招标内容</w:t>
      </w:r>
    </w:p>
    <w:p>
      <w:pPr>
        <w:pStyle w:val="9"/>
        <w:spacing w:line="380" w:lineRule="exact"/>
        <w:ind w:firstLine="480" w:firstLineChars="200"/>
        <w:jc w:val="left"/>
        <w:rPr>
          <w:rFonts w:hint="eastAsia" w:ascii="宋体" w:hAnsi="宋体" w:eastAsia="宋体" w:cs="宋体"/>
          <w:b w:val="0"/>
          <w:color w:val="auto"/>
          <w:kern w:val="0"/>
          <w:sz w:val="24"/>
          <w:highlight w:val="none"/>
        </w:rPr>
      </w:pPr>
      <w:r>
        <w:rPr>
          <w:rFonts w:hint="eastAsia" w:ascii="宋体" w:hAnsi="宋体" w:eastAsia="宋体" w:cs="宋体"/>
          <w:b w:val="0"/>
          <w:color w:val="auto"/>
          <w:kern w:val="0"/>
          <w:sz w:val="24"/>
          <w:highlight w:val="none"/>
        </w:rPr>
        <w:t>本次招标的内容为确定广州南沙旅游发展有限公司</w:t>
      </w:r>
      <w:r>
        <w:rPr>
          <w:rFonts w:hint="eastAsia" w:ascii="宋体" w:hAnsi="宋体" w:eastAsia="宋体" w:cs="Times New Roman"/>
          <w:color w:val="auto"/>
          <w:sz w:val="24"/>
          <w:szCs w:val="20"/>
          <w:highlight w:val="none"/>
          <w:u w:val="single"/>
          <w:lang w:val="en-US" w:eastAsia="zh-CN"/>
        </w:rPr>
        <w:t>2025年粤港澳大湾区灯会活动围蔽采购安装</w:t>
      </w:r>
      <w:r>
        <w:rPr>
          <w:rFonts w:hint="eastAsia" w:ascii="宋体" w:hAnsi="宋体" w:eastAsia="宋体" w:cs="Times New Roman"/>
          <w:color w:val="auto"/>
          <w:sz w:val="24"/>
          <w:szCs w:val="20"/>
          <w:highlight w:val="none"/>
          <w:u w:val="single"/>
        </w:rPr>
        <w:t>项目</w:t>
      </w:r>
      <w:r>
        <w:rPr>
          <w:rFonts w:hint="eastAsia" w:ascii="宋体" w:hAnsi="宋体" w:eastAsia="宋体" w:cs="宋体"/>
          <w:b w:val="0"/>
          <w:color w:val="auto"/>
          <w:kern w:val="0"/>
          <w:sz w:val="24"/>
          <w:highlight w:val="none"/>
        </w:rPr>
        <w:t>的供应商。</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服务地点：</w:t>
      </w:r>
      <w:r>
        <w:rPr>
          <w:rFonts w:hint="eastAsia" w:ascii="宋体" w:hAnsi="宋体" w:cs="宋体"/>
          <w:color w:val="auto"/>
          <w:sz w:val="24"/>
          <w:highlight w:val="none"/>
          <w:lang w:val="en-US" w:eastAsia="zh-CN"/>
        </w:rPr>
        <w:t>灯会活动园区范围内（蒲州花园、滨海公园）</w:t>
      </w:r>
      <w:r>
        <w:rPr>
          <w:rFonts w:hint="eastAsia" w:ascii="宋体" w:hAnsi="宋体" w:cs="宋体"/>
          <w:color w:val="auto"/>
          <w:sz w:val="24"/>
          <w:highlight w:val="none"/>
        </w:rPr>
        <w:t>，详见用户需求书。</w:t>
      </w:r>
    </w:p>
    <w:p>
      <w:pPr>
        <w:pStyle w:val="5"/>
        <w:keepLines w:val="0"/>
        <w:numPr>
          <w:ilvl w:val="1"/>
          <w:numId w:val="5"/>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关于投标费用</w:t>
      </w:r>
    </w:p>
    <w:p>
      <w:pPr>
        <w:spacing w:line="3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rPr>
        <w:t>不论招标结果如何，投标人自行承担所有与其参加本次投标活动有关的费用</w:t>
      </w:r>
      <w:r>
        <w:rPr>
          <w:rFonts w:hint="eastAsia" w:ascii="宋体" w:hAnsi="宋体" w:cs="宋体"/>
          <w:color w:val="auto"/>
          <w:sz w:val="24"/>
          <w:highlight w:val="none"/>
          <w:lang w:val="en-GB"/>
        </w:rPr>
        <w:t>。</w:t>
      </w:r>
    </w:p>
    <w:p>
      <w:pPr>
        <w:pStyle w:val="5"/>
        <w:keepLines w:val="0"/>
        <w:numPr>
          <w:ilvl w:val="1"/>
          <w:numId w:val="5"/>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定义</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“招标人”系指依法进行招标的国家机关、事业单位、团体组织，本项目招标人是广州南沙旅游发展有限公司。</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“投标人”系指向招标人提交投标文件的合格供应商。</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“中标单位”系指经评标委员会评审推荐、招标人确认的获得本项目中标资格的投标人。</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“实质性响应”系指符合招标文件的所有要求、条款、条件和规定，且没有不利于项目实施质量效果和服务保障的重大偏离或保留。</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“重大偏离或保留”系指影响到采购文件规定的范围、质量和性能或限制了招标人的权力和投标人义务的规定，而纠正这些偏离将影响到其它投标人的公平竞争地位。</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本招标文件所涉及的日期和时间，除特别说明外均指北京时间，天数为日历日。</w:t>
      </w:r>
    </w:p>
    <w:p>
      <w:pPr>
        <w:pStyle w:val="5"/>
        <w:keepLines w:val="0"/>
        <w:numPr>
          <w:ilvl w:val="1"/>
          <w:numId w:val="5"/>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知识产权</w:t>
      </w:r>
    </w:p>
    <w:p>
      <w:pPr>
        <w:spacing w:line="3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GB"/>
        </w:rPr>
        <w:t>1.投标人必须保证，招标人在中华人民共和国境内使用投标</w:t>
      </w:r>
      <w:r>
        <w:rPr>
          <w:rFonts w:hint="eastAsia" w:ascii="宋体" w:hAnsi="宋体" w:cs="宋体"/>
          <w:color w:val="auto"/>
          <w:sz w:val="24"/>
          <w:highlight w:val="none"/>
        </w:rPr>
        <w:t>货物</w:t>
      </w:r>
      <w:r>
        <w:rPr>
          <w:rFonts w:hint="eastAsia" w:ascii="宋体" w:hAnsi="宋体" w:cs="宋体"/>
          <w:color w:val="auto"/>
          <w:sz w:val="24"/>
          <w:highlight w:val="none"/>
          <w:lang w:val="en-GB"/>
        </w:rPr>
        <w:t>、资料、技术、服务或其任何一部分时，享有不受限制的无偿使用权，如有第三方向招标人提出侵犯其专利权、商标权或其它知识产权的主张，该责任应由投标人承担。</w:t>
      </w:r>
    </w:p>
    <w:p>
      <w:pPr>
        <w:spacing w:line="3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GB"/>
        </w:rPr>
        <w:t>2.投标报价应包含所有应向所有权人支付的专利权、商标权或其它知识产权的一切相关费用。</w:t>
      </w:r>
    </w:p>
    <w:p>
      <w:pPr>
        <w:pStyle w:val="5"/>
        <w:keepLines w:val="0"/>
        <w:numPr>
          <w:ilvl w:val="1"/>
          <w:numId w:val="5"/>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纪律与保密事项</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1.投标人不得相互串通投标报价，不得妨碍其他投标人的公平竞争，不得损害招标人或其他投标人的合法权益。投标人不得以向招标人、评标委员会成员行贿或者采取其他不正当手段谋取中标。</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2.在确定中标供应商之前，投标人不得与招标人就投标价格、投标方案等实质性内容进行谈判，也不得私下接触评标委员会成员。</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3.在确定中标供应商之前，投标人试图在投标文件审查、澄清、比较和评价时对评标委员会、招标人和招标人施加任何影响都可能导致其投标无效。</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4.获得本招标文件者，不得将招标文件用作本次投标以外的任何用途，若有要求，开标后，投标人应归还招标文件中的保密文件和资料。</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由招标人向投标人提供招标文件等所有其它资料，均为保密资料，仅被用于它所规定的用途。除得到招标人的同意外，不能向任何第三方透露。开标结束后，应招标人要求，投标人应归还所有从招标人处获得的保密资料。</w:t>
      </w:r>
    </w:p>
    <w:p>
      <w:pPr>
        <w:pStyle w:val="4"/>
        <w:spacing w:before="48" w:after="48" w:line="380" w:lineRule="exact"/>
        <w:rPr>
          <w:rFonts w:hint="eastAsia" w:ascii="宋体" w:hAnsi="宋体" w:eastAsia="宋体" w:cs="宋体"/>
          <w:color w:val="auto"/>
          <w:sz w:val="28"/>
          <w:szCs w:val="28"/>
          <w:highlight w:val="none"/>
        </w:rPr>
      </w:pPr>
    </w:p>
    <w:p>
      <w:pPr>
        <w:pStyle w:val="4"/>
        <w:spacing w:before="48" w:after="48"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二、招标文件</w:t>
      </w:r>
    </w:p>
    <w:p>
      <w:pPr>
        <w:pStyle w:val="5"/>
        <w:keepLines w:val="0"/>
        <w:numPr>
          <w:ilvl w:val="1"/>
          <w:numId w:val="6"/>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关于招标文件</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招标文件是招标人作为阐明所需服务的基本要求，招标文件、投标文件、评标结果和相关承诺确认文件均作为任何一方当事人履约的重要依据。</w:t>
      </w:r>
    </w:p>
    <w:p>
      <w:pPr>
        <w:pStyle w:val="5"/>
        <w:keepLines w:val="0"/>
        <w:numPr>
          <w:ilvl w:val="1"/>
          <w:numId w:val="6"/>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招标文件的组成</w:t>
      </w:r>
    </w:p>
    <w:p>
      <w:pPr>
        <w:numPr>
          <w:ilvl w:val="2"/>
          <w:numId w:val="6"/>
        </w:numPr>
        <w:tabs>
          <w:tab w:val="left" w:pos="-5220"/>
        </w:tabs>
        <w:spacing w:line="38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招标公告</w:t>
      </w:r>
    </w:p>
    <w:p>
      <w:pPr>
        <w:numPr>
          <w:ilvl w:val="2"/>
          <w:numId w:val="6"/>
        </w:numPr>
        <w:tabs>
          <w:tab w:val="left" w:pos="-522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投标人须知</w:t>
      </w:r>
    </w:p>
    <w:p>
      <w:pPr>
        <w:numPr>
          <w:ilvl w:val="2"/>
          <w:numId w:val="6"/>
        </w:numPr>
        <w:tabs>
          <w:tab w:val="left" w:pos="-522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用户需求书</w:t>
      </w:r>
    </w:p>
    <w:p>
      <w:pPr>
        <w:numPr>
          <w:ilvl w:val="2"/>
          <w:numId w:val="6"/>
        </w:numPr>
        <w:tabs>
          <w:tab w:val="left" w:pos="-522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附件（格式）</w:t>
      </w:r>
    </w:p>
    <w:p>
      <w:pPr>
        <w:numPr>
          <w:ilvl w:val="2"/>
          <w:numId w:val="6"/>
        </w:numPr>
        <w:tabs>
          <w:tab w:val="left" w:pos="-5220"/>
        </w:tabs>
        <w:spacing w:line="380" w:lineRule="exact"/>
        <w:rPr>
          <w:rFonts w:hint="eastAsia" w:ascii="宋体" w:hAnsi="宋体" w:cs="宋体"/>
          <w:color w:val="auto"/>
          <w:highlight w:val="none"/>
        </w:rPr>
      </w:pPr>
      <w:r>
        <w:rPr>
          <w:rFonts w:hint="eastAsia" w:ascii="宋体" w:hAnsi="宋体" w:cs="宋体"/>
          <w:color w:val="auto"/>
          <w:sz w:val="24"/>
          <w:highlight w:val="none"/>
        </w:rPr>
        <w:t>评标细则</w:t>
      </w:r>
    </w:p>
    <w:p>
      <w:pPr>
        <w:numPr>
          <w:ilvl w:val="2"/>
          <w:numId w:val="6"/>
        </w:numPr>
        <w:tabs>
          <w:tab w:val="left" w:pos="-5220"/>
        </w:tabs>
        <w:spacing w:line="380" w:lineRule="exact"/>
        <w:rPr>
          <w:rFonts w:hint="eastAsia" w:ascii="宋体" w:hAnsi="宋体" w:cs="宋体"/>
          <w:color w:val="auto"/>
          <w:highlight w:val="none"/>
        </w:rPr>
      </w:pPr>
      <w:r>
        <w:rPr>
          <w:rFonts w:hint="eastAsia" w:ascii="宋体" w:hAnsi="宋体" w:cs="宋体"/>
          <w:color w:val="auto"/>
          <w:sz w:val="24"/>
          <w:highlight w:val="none"/>
        </w:rPr>
        <w:t>合同文本</w:t>
      </w:r>
    </w:p>
    <w:p>
      <w:pPr>
        <w:pStyle w:val="5"/>
        <w:keepLines w:val="0"/>
        <w:numPr>
          <w:ilvl w:val="1"/>
          <w:numId w:val="6"/>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招标文件的澄清和修改</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1、投标人对招标文件有疑问的，可向招标人依法提出询问，招标人在三个工作日内对投标人询问的内容作出答复。</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2、招标文件的修改内容是招标文件的组成部分。</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3、为使投标人准备投标时有充分时间对招标文件的修改部分进行研究，招标人可顺延投标截止时间，变更时间信息将在广州南沙资产经营集团有限公司（http://www.gnao.com.cn/Index/index1）网站上发布变更公告。</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4、投标人在规定的时间内未对招标文件提出澄清或疑问的，将视为对招标文件无异议。</w:t>
      </w:r>
    </w:p>
    <w:p>
      <w:pPr>
        <w:pStyle w:val="4"/>
        <w:rPr>
          <w:color w:val="auto"/>
          <w:highlight w:val="none"/>
        </w:rPr>
      </w:pPr>
    </w:p>
    <w:p>
      <w:pPr>
        <w:pStyle w:val="4"/>
        <w:spacing w:before="48" w:after="48" w:line="380" w:lineRule="exact"/>
        <w:rPr>
          <w:rFonts w:hint="eastAsia" w:ascii="宋体" w:hAnsi="宋体" w:eastAsia="宋体" w:cs="宋体"/>
          <w:color w:val="auto"/>
          <w:sz w:val="28"/>
          <w:szCs w:val="28"/>
          <w:highlight w:val="none"/>
        </w:rPr>
      </w:pPr>
      <w:bookmarkStart w:id="17" w:name="_Toc184442576"/>
      <w:r>
        <w:rPr>
          <w:rFonts w:hint="eastAsia" w:ascii="宋体" w:hAnsi="宋体" w:eastAsia="宋体" w:cs="宋体"/>
          <w:color w:val="auto"/>
          <w:sz w:val="28"/>
          <w:szCs w:val="28"/>
          <w:highlight w:val="none"/>
        </w:rPr>
        <w:t>三、投标总则</w:t>
      </w:r>
      <w:bookmarkEnd w:id="17"/>
    </w:p>
    <w:p>
      <w:pPr>
        <w:pStyle w:val="5"/>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投标文件的编写</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投标人应仔细阅读招标文件的所有内容，并按招标文件的规定及附件要求的内容和格式，提交完整的投标文件，并保证所提供全部资料的真实性，所有不完整的投标将被拒绝。</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投标文件和来往函件应用中文书写，投标人提供的支持文件、技术资料和印刷的文献可以用其它语言，但相应内容应附有中文翻译本，以中文为准，计量单位应采用中华人民共和国法定计量单位。</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投标总价是以投标人可独立完成本项目，并在通过准确核算后，可满足预期实施效果、符合自身合法利益的前提下所作出的综合性合理最终含税报价。投标人应自行增加项目正常、合法及使用所必需但招标文件没有列明或包含的内容及费用，并在投标文件中加以详细说明，如果投标人在中标并签署合同后，在提供招标范围内的货物及服务工作中出现的任何遗漏，均由中标人免费提供，采购人将不再支付任何费用。对超出常规、具有特别意义或会引起竞争非议的报价须作出特别说明。</w:t>
      </w:r>
    </w:p>
    <w:p>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招标文件中，如标有“★”的地方均为必须完全满足指标，投标人须进行实质性响应，投标人若有一项带“★”的条款未响应或不满足，将按无效投标处理。</w:t>
      </w:r>
    </w:p>
    <w:p>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招标文件中，如标有“</w:t>
      </w:r>
      <w:r>
        <w:rPr>
          <w:rFonts w:hint="eastAsia" w:ascii="宋体" w:hAnsi="宋体" w:cs="宋体"/>
          <w:color w:val="auto"/>
          <w:sz w:val="24"/>
          <w:highlight w:val="none"/>
        </w:rPr>
        <w:t>▲</w:t>
      </w:r>
      <w:r>
        <w:rPr>
          <w:rFonts w:hint="eastAsia" w:ascii="宋体" w:hAnsi="宋体" w:cs="宋体"/>
          <w:b/>
          <w:color w:val="auto"/>
          <w:sz w:val="24"/>
          <w:highlight w:val="none"/>
        </w:rPr>
        <w:t>”的地方均为重要参数和指标要求条款，投标人若有部分“</w:t>
      </w:r>
      <w:r>
        <w:rPr>
          <w:rFonts w:hint="eastAsia" w:ascii="宋体" w:hAnsi="宋体" w:cs="宋体"/>
          <w:color w:val="auto"/>
          <w:sz w:val="24"/>
          <w:highlight w:val="none"/>
        </w:rPr>
        <w:t>▲</w:t>
      </w:r>
      <w:r>
        <w:rPr>
          <w:rFonts w:hint="eastAsia" w:ascii="宋体" w:hAnsi="宋体" w:cs="宋体"/>
          <w:b/>
          <w:color w:val="auto"/>
          <w:sz w:val="24"/>
          <w:highlight w:val="none"/>
        </w:rPr>
        <w:t>”条款未响应或不满足，将导致其响应性评审严重扣分。</w:t>
      </w:r>
    </w:p>
    <w:p>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 xml:space="preserve">★本项目最高限价为：¥ </w:t>
      </w:r>
      <w:r>
        <w:rPr>
          <w:rFonts w:hint="eastAsia" w:ascii="宋体" w:hAnsi="宋体" w:cs="宋体"/>
          <w:b/>
          <w:color w:val="auto"/>
          <w:sz w:val="24"/>
          <w:highlight w:val="none"/>
          <w:lang w:val="en-US" w:eastAsia="zh-CN"/>
        </w:rPr>
        <w:t>488000.00元（大写:人民币肆拾捌万捌仟元整）</w:t>
      </w:r>
      <w:bookmarkStart w:id="18" w:name="_Toc136662919"/>
      <w:bookmarkStart w:id="19" w:name="_Toc397349838"/>
      <w:bookmarkStart w:id="20" w:name="_Toc397349687"/>
      <w:bookmarkStart w:id="21" w:name="_Toc367885865"/>
      <w:bookmarkStart w:id="22" w:name="_Toc367884850"/>
      <w:bookmarkStart w:id="23" w:name="_Toc157504573"/>
      <w:bookmarkStart w:id="24" w:name="_Toc136682895"/>
      <w:bookmarkStart w:id="25" w:name="_Toc361989945"/>
      <w:bookmarkStart w:id="26" w:name="_Toc119321130"/>
      <w:bookmarkStart w:id="27" w:name="_Toc361990148"/>
      <w:r>
        <w:rPr>
          <w:rFonts w:hint="eastAsia" w:ascii="宋体" w:hAnsi="宋体" w:cs="宋体"/>
          <w:b/>
          <w:color w:val="auto"/>
          <w:sz w:val="24"/>
          <w:highlight w:val="none"/>
        </w:rPr>
        <w:t>。投标人报价超出最高限价视为非实质性响应投标而予以拒绝。</w:t>
      </w:r>
    </w:p>
    <w:bookmarkEnd w:id="18"/>
    <w:bookmarkEnd w:id="19"/>
    <w:bookmarkEnd w:id="20"/>
    <w:bookmarkEnd w:id="21"/>
    <w:bookmarkEnd w:id="22"/>
    <w:bookmarkEnd w:id="23"/>
    <w:bookmarkEnd w:id="24"/>
    <w:bookmarkEnd w:id="25"/>
    <w:bookmarkEnd w:id="26"/>
    <w:bookmarkEnd w:id="27"/>
    <w:p>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人项目报价低于最高限价80%（含80%）的，必须出具详细的成本分析（包含项目实施各项工作的具体成本、办公、交通、税费、利润等的详细说明）及相关佐证材料，投标人未提供成本分析或者不能合理说明成本偏低原因的，评标委员会有权视为以低于成本的报价竞标，按无效投标处理。</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应对投标内容提供完整的、详细的、清晰的技术说明，如投标人对指定的技术要求建议做任何改动，应在投标文件中清楚地注明；投标人对招标文件的对应要求应当给予唯一的实质性响应，否则将视为不响应。技术参数要求中标注有具体数值要求的，投标人必须在服务响应表中标注实际数值，不标注数值者视为不响应。</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投标人响应招标需求应具体、明确，含糊不清、不确切、直接复制招标需求指标要求的或伪造、变造证明材料的，按照不完全响应或完全不响应处理。构成提供虚假材料的，移送监管部门查处。</w:t>
      </w:r>
    </w:p>
    <w:p>
      <w:pPr>
        <w:spacing w:line="380" w:lineRule="exact"/>
        <w:ind w:firstLine="480" w:firstLineChars="200"/>
        <w:rPr>
          <w:rFonts w:hint="eastAsia" w:ascii="宋体" w:hAnsi="宋体" w:cs="宋体"/>
          <w:color w:val="auto"/>
          <w:highlight w:val="none"/>
        </w:rPr>
      </w:pPr>
      <w:r>
        <w:rPr>
          <w:rFonts w:hint="eastAsia" w:ascii="宋体" w:hAnsi="宋体" w:cs="宋体"/>
          <w:color w:val="auto"/>
          <w:sz w:val="24"/>
          <w:highlight w:val="none"/>
        </w:rPr>
        <w:t>投标文件按规定加盖的投标人公章必须为企业法人公章，且与投标人名称一致，不能以其它业务章或附属机构章代替。需签名之处必须由法定代表人或投标授权代表签署。</w:t>
      </w:r>
    </w:p>
    <w:p>
      <w:pPr>
        <w:pStyle w:val="5"/>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投标文件的组成</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投标文件由资格文件、商务文件、技术文件、报价文件构成，按第四章的顺序和要求编制。</w:t>
      </w:r>
    </w:p>
    <w:p>
      <w:pPr>
        <w:pStyle w:val="5"/>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投标</w:t>
      </w:r>
    </w:p>
    <w:p>
      <w:pPr>
        <w:spacing w:line="380" w:lineRule="exact"/>
        <w:ind w:firstLine="480" w:firstLineChars="200"/>
        <w:rPr>
          <w:rFonts w:hint="eastAsia" w:ascii="宋体" w:hAnsi="宋体" w:cs="宋体"/>
          <w:b/>
          <w:color w:val="auto"/>
          <w:sz w:val="24"/>
          <w:highlight w:val="none"/>
          <w:u w:val="single"/>
        </w:rPr>
      </w:pPr>
      <w:r>
        <w:rPr>
          <w:rFonts w:hint="eastAsia" w:ascii="宋体" w:hAnsi="宋体" w:cs="宋体"/>
          <w:color w:val="auto"/>
          <w:sz w:val="24"/>
          <w:highlight w:val="none"/>
        </w:rPr>
        <w:t>全部投标文件应一式五份，正本 1份（内装投标文件正本 1份，投标文件电子文件 1份，电子文件为U盘介质，采用Word和PDF格式，Word内容应与投标人打印产生的纸质投标文件内容一致，PDF内容必须是纸质投标文件正本扫描件（含盖章、签署），不留密码，无病毒，不压缩。），副本4 份，在文件封面显著注明“正本”和“副本”字样，并加盖公章。 副本内容可采用正本的复印件，如果正本与副本不符，应以正本为准。投标文件应由投标人的合法授权代表正式签署，任何更改（如有）应由原签署人签字。</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所有投标文件应在投标截止时间前送达投标文件递交地点（时间及地点以第一章</w:t>
      </w:r>
      <w:r>
        <w:rPr>
          <w:rFonts w:hint="eastAsia" w:ascii="宋体" w:hAnsi="宋体" w:cs="宋体"/>
          <w:color w:val="auto"/>
          <w:sz w:val="24"/>
          <w:highlight w:val="none"/>
          <w:lang w:val="en-US" w:eastAsia="zh-CN"/>
        </w:rPr>
        <w:t>招标公告</w:t>
      </w:r>
      <w:r>
        <w:rPr>
          <w:rFonts w:hint="eastAsia" w:ascii="宋体" w:hAnsi="宋体" w:cs="宋体"/>
          <w:color w:val="auto"/>
          <w:sz w:val="24"/>
          <w:highlight w:val="none"/>
        </w:rPr>
        <w:t>为准），拒绝以下情况之一的投标文件：</w:t>
      </w:r>
    </w:p>
    <w:p>
      <w:pPr>
        <w:numPr>
          <w:ilvl w:val="2"/>
          <w:numId w:val="7"/>
        </w:numPr>
        <w:tabs>
          <w:tab w:val="left" w:pos="-5220"/>
        </w:tabs>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迟于投标截止时间递交的；</w:t>
      </w:r>
    </w:p>
    <w:p>
      <w:pPr>
        <w:numPr>
          <w:ilvl w:val="2"/>
          <w:numId w:val="7"/>
        </w:numPr>
        <w:tabs>
          <w:tab w:val="left" w:pos="-5220"/>
        </w:tabs>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以电报、电话、电传、传真或邮递形式递交的；</w:t>
      </w:r>
    </w:p>
    <w:p>
      <w:pPr>
        <w:numPr>
          <w:ilvl w:val="2"/>
          <w:numId w:val="7"/>
        </w:numPr>
        <w:tabs>
          <w:tab w:val="left" w:pos="-5220"/>
        </w:tabs>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密封不严、册装不整的；</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所有投标文件必须封入密封的信封或包装，在封口上加盖投标人的公章，并在每一信封或包装的封面上写明：</w:t>
      </w:r>
    </w:p>
    <w:tbl>
      <w:tblPr>
        <w:tblStyle w:val="15"/>
        <w:tblW w:w="7905" w:type="dxa"/>
        <w:tblInd w:w="8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收件人名称：</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项目名称：                                </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包装内容：投标文件正本/副本</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投标人名称：</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投标人地址：</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 系 人：</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联系电话：</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在规定的开标时间    年   月   日   时  分前不得启封</w:t>
            </w:r>
          </w:p>
        </w:tc>
      </w:tr>
    </w:tbl>
    <w:p>
      <w:pPr>
        <w:numPr>
          <w:ilvl w:val="2"/>
          <w:numId w:val="7"/>
        </w:numPr>
        <w:tabs>
          <w:tab w:val="left" w:pos="360"/>
          <w:tab w:val="left" w:pos="780"/>
          <w:tab w:val="left" w:pos="840"/>
        </w:tabs>
        <w:spacing w:line="380" w:lineRule="exact"/>
        <w:ind w:left="840" w:hanging="480"/>
        <w:rPr>
          <w:rFonts w:hint="eastAsia" w:ascii="宋体" w:hAnsi="宋体" w:cs="宋体"/>
          <w:color w:val="auto"/>
          <w:sz w:val="24"/>
          <w:highlight w:val="none"/>
        </w:rPr>
      </w:pPr>
      <w:r>
        <w:rPr>
          <w:rFonts w:hint="eastAsia" w:ascii="宋体" w:hAnsi="宋体" w:cs="宋体"/>
          <w:color w:val="auto"/>
          <w:sz w:val="24"/>
          <w:highlight w:val="none"/>
        </w:rPr>
        <w:t>招标人对不可抗力事件造成的投标文件的损坏、丢失不承担任何责任。</w:t>
      </w:r>
    </w:p>
    <w:p>
      <w:pPr>
        <w:numPr>
          <w:ilvl w:val="2"/>
          <w:numId w:val="7"/>
        </w:numPr>
        <w:tabs>
          <w:tab w:val="left" w:pos="360"/>
          <w:tab w:val="left" w:pos="780"/>
          <w:tab w:val="left" w:pos="840"/>
        </w:tabs>
        <w:spacing w:line="380" w:lineRule="exact"/>
        <w:ind w:left="840" w:hanging="480"/>
        <w:rPr>
          <w:rFonts w:hint="eastAsia" w:ascii="宋体" w:hAnsi="宋体" w:cs="宋体"/>
          <w:color w:val="auto"/>
          <w:sz w:val="24"/>
          <w:highlight w:val="none"/>
        </w:rPr>
      </w:pPr>
      <w:r>
        <w:rPr>
          <w:rFonts w:hint="eastAsia" w:ascii="宋体" w:hAnsi="宋体" w:cs="宋体"/>
          <w:color w:val="auto"/>
          <w:sz w:val="24"/>
          <w:highlight w:val="none"/>
        </w:rPr>
        <w:t>招标人不退还投标人的投标文件及递交的其它资料。</w:t>
      </w:r>
    </w:p>
    <w:p>
      <w:pPr>
        <w:pStyle w:val="5"/>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投标有效期</w:t>
      </w:r>
    </w:p>
    <w:p>
      <w:pPr>
        <w:spacing w:line="380" w:lineRule="exact"/>
        <w:ind w:firstLine="480" w:firstLineChars="200"/>
        <w:rPr>
          <w:rFonts w:hint="eastAsia" w:ascii="宋体" w:hAnsi="宋体" w:cs="宋体"/>
          <w:color w:val="auto"/>
          <w:highlight w:val="none"/>
        </w:rPr>
      </w:pPr>
      <w:r>
        <w:rPr>
          <w:rFonts w:hint="eastAsia" w:ascii="宋体" w:hAnsi="宋体" w:cs="宋体"/>
          <w:color w:val="auto"/>
          <w:sz w:val="24"/>
          <w:highlight w:val="none"/>
        </w:rPr>
        <w:t>从投标截止日起，投标有效期为</w:t>
      </w:r>
      <w:r>
        <w:rPr>
          <w:rFonts w:hint="eastAsia" w:ascii="宋体" w:hAnsi="宋体" w:cs="宋体"/>
          <w:color w:val="auto"/>
          <w:sz w:val="24"/>
          <w:highlight w:val="none"/>
          <w:lang w:val="en-US" w:eastAsia="zh-CN"/>
        </w:rPr>
        <w:t>90</w:t>
      </w:r>
      <w:r>
        <w:rPr>
          <w:rFonts w:hint="eastAsia" w:ascii="宋体" w:hAnsi="宋体" w:cs="宋体"/>
          <w:color w:val="auto"/>
          <w:sz w:val="24"/>
          <w:highlight w:val="none"/>
        </w:rPr>
        <w:t>天，中标人的投标有效期自动延长至合同终止为止。在特殊情况下，招标人可于投标有效期满之前要求投标人同意延长有效期，要求与答复均应以书面形式进行。投标人可以拒绝上述延长投标有效期的要求，但其投标将会被拒绝；同意延期的投标人根据原截止期，其权利及责任相应也延至新的截止期。</w:t>
      </w:r>
    </w:p>
    <w:p>
      <w:pPr>
        <w:pStyle w:val="5"/>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投标的修改和撤回</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1、投标人在投标截止时间前，可采用书面通知的形式向招标人修改或撤回其投标文件。</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2、在投标截止时间后，投标人不得对其投标文件作任何修改及撤回。</w:t>
      </w:r>
    </w:p>
    <w:p>
      <w:pPr>
        <w:pStyle w:val="5"/>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开标</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开标过程由专人负责记录，并存档备验。</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1、开标会由招标人主持，邀请投标人参加，投标人按招标文件中规定的日期、时间和地点自行前往参加开标。</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开标时，由招标人相关工作人员检查投标文件的密封情况；经确认无误后，由招标人相关工作人员当众拆封，宣布投标人名称、投标价格和招标文件规定的需要宣布的其他内容。开标记录表由记录人、唱标人、投标人代表和有关人员签名确认，如开标记录表上内容与投标文件不一致时，投标人代表须当场提出。                                                                              </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3、开标过程应当由招标人负责记录，由参加开标的各投标人代表和相关工作人员签字确认后随招标文件一并存档。</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4、投标人代表对开标过程和开标记录有疑义，以及认为招标人相关工作人员有需要回避的情形的，应当场提出询问或者回避申请。招标人对投标人代表提出的询问或者回避申请应当及时处理。</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5、在招标文件要求提交投标文件截止时间前收到的所有投标文件不足三家时，不予以拆封、宣读，作流标处理。</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7、投标文件送交评标委员会评审。投标文件报价出现前后不一致的，除招标文件另有规定外，按照下列规定修正：</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（1）投标文件中开标一览表（报价表）内容与投标文件中相应内容不一致的，以开标一览表（报价表）为准；</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（3）单价金额小数点或者百分比有明显错位的，以开标一览表（报价表）的总价为准，并修改单价；</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同时出现两种以上不一致的，按照前款规定的顺序修正。修正后的报价经投标人确认后产生约束力，投标人不确认的，其投标无效。</w:t>
      </w:r>
    </w:p>
    <w:p>
      <w:pPr>
        <w:pStyle w:val="5"/>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highlight w:val="none"/>
        </w:rPr>
      </w:pPr>
      <w:r>
        <w:rPr>
          <w:rFonts w:hint="eastAsia" w:cs="宋体"/>
          <w:color w:val="auto"/>
          <w:sz w:val="24"/>
          <w:highlight w:val="none"/>
        </w:rPr>
        <w:t>评标</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评标工作由招标人负责组织，具体评标事务由依法组建的评标委员会负责，并独立履行下列职责：</w:t>
      </w:r>
    </w:p>
    <w:p>
      <w:pPr>
        <w:numPr>
          <w:ilvl w:val="0"/>
          <w:numId w:val="8"/>
        </w:numPr>
        <w:tabs>
          <w:tab w:val="left" w:pos="1134"/>
          <w:tab w:val="clear" w:pos="144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审查投标文件是否符合招标文件要求，并作出评价；</w:t>
      </w:r>
    </w:p>
    <w:p>
      <w:pPr>
        <w:numPr>
          <w:ilvl w:val="0"/>
          <w:numId w:val="8"/>
        </w:numPr>
        <w:tabs>
          <w:tab w:val="left" w:pos="1134"/>
          <w:tab w:val="left" w:pos="1571"/>
          <w:tab w:val="clear" w:pos="144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要求投标人对投标文件有关事项作出解释或者澄清；</w:t>
      </w:r>
    </w:p>
    <w:p>
      <w:pPr>
        <w:numPr>
          <w:ilvl w:val="0"/>
          <w:numId w:val="8"/>
        </w:numPr>
        <w:tabs>
          <w:tab w:val="left" w:pos="1134"/>
          <w:tab w:val="left" w:pos="1571"/>
          <w:tab w:val="clear" w:pos="144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推荐中标候选人名单；</w:t>
      </w:r>
    </w:p>
    <w:p>
      <w:pPr>
        <w:numPr>
          <w:ilvl w:val="0"/>
          <w:numId w:val="8"/>
        </w:numPr>
        <w:tabs>
          <w:tab w:val="left" w:pos="1134"/>
          <w:tab w:val="left" w:pos="1571"/>
          <w:tab w:val="clear" w:pos="144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向招标人或者有关部门报告非法干预评标工作的行为。</w:t>
      </w:r>
    </w:p>
    <w:p>
      <w:pPr>
        <w:numPr>
          <w:ilvl w:val="2"/>
          <w:numId w:val="7"/>
        </w:numPr>
        <w:tabs>
          <w:tab w:val="left" w:pos="360"/>
          <w:tab w:val="left" w:pos="780"/>
          <w:tab w:val="left" w:pos="840"/>
        </w:tabs>
        <w:spacing w:line="380" w:lineRule="exact"/>
        <w:ind w:left="840" w:hanging="480"/>
        <w:rPr>
          <w:rFonts w:hint="eastAsia" w:ascii="宋体" w:hAnsi="宋体" w:cs="宋体"/>
          <w:color w:val="auto"/>
          <w:sz w:val="24"/>
          <w:highlight w:val="none"/>
        </w:rPr>
      </w:pPr>
      <w:r>
        <w:rPr>
          <w:rFonts w:hint="eastAsia" w:ascii="宋体" w:hAnsi="宋体" w:cs="宋体"/>
          <w:color w:val="auto"/>
          <w:sz w:val="24"/>
          <w:highlight w:val="none"/>
        </w:rPr>
        <w:t>评标方法</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本项目采用综合评审法：在最大限度地满足招标文件实质性要求前提下，按照招标文件中规定的各项因素进行综合评审后，以评标总得分最高的投标人作为中标候选人。</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综合评审的主要因素是：价格、技术、信誉、业绩、服务、对招标文件的响应程度，以及相应的比重或者权值等（详见评标细则）。</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评标时，评标委员会各成员应当独立对每个有效投标人的标书进行评价、打分，然后汇总每个投标人每项评分因素的得分。</w:t>
      </w:r>
    </w:p>
    <w:p>
      <w:pPr>
        <w:numPr>
          <w:ilvl w:val="2"/>
          <w:numId w:val="7"/>
        </w:numPr>
        <w:tabs>
          <w:tab w:val="left" w:pos="360"/>
          <w:tab w:val="left" w:pos="780"/>
          <w:tab w:val="left" w:pos="840"/>
        </w:tabs>
        <w:spacing w:line="380" w:lineRule="exact"/>
        <w:ind w:left="840" w:hanging="480"/>
        <w:rPr>
          <w:rFonts w:hint="eastAsia" w:ascii="宋体" w:hAnsi="宋体" w:cs="宋体"/>
          <w:color w:val="auto"/>
          <w:sz w:val="24"/>
          <w:highlight w:val="none"/>
        </w:rPr>
      </w:pPr>
      <w:r>
        <w:rPr>
          <w:rFonts w:hint="eastAsia" w:ascii="宋体" w:hAnsi="宋体" w:cs="宋体"/>
          <w:color w:val="auto"/>
          <w:sz w:val="24"/>
          <w:highlight w:val="none"/>
        </w:rPr>
        <w:t>评标过程的保密性</w:t>
      </w:r>
    </w:p>
    <w:p>
      <w:pPr>
        <w:numPr>
          <w:ilvl w:val="0"/>
          <w:numId w:val="9"/>
        </w:numPr>
        <w:tabs>
          <w:tab w:val="left" w:pos="900"/>
          <w:tab w:val="left" w:pos="2160"/>
        </w:tabs>
        <w:spacing w:line="380" w:lineRule="exact"/>
        <w:ind w:left="1242" w:hanging="737"/>
        <w:rPr>
          <w:rFonts w:hint="eastAsia" w:ascii="宋体" w:hAnsi="宋体" w:cs="宋体"/>
          <w:color w:val="auto"/>
          <w:sz w:val="24"/>
          <w:highlight w:val="none"/>
        </w:rPr>
      </w:pPr>
      <w:r>
        <w:rPr>
          <w:rFonts w:hint="eastAsia" w:ascii="宋体" w:hAnsi="宋体" w:cs="宋体"/>
          <w:color w:val="auto"/>
          <w:sz w:val="24"/>
          <w:highlight w:val="none"/>
        </w:rPr>
        <w:t>公开开标后，直至向中标人授予合同时止，凡与审查、澄清、评价和比较投标有关的资料以及授标意见等，均不得向投标人及与评标无关的其他人透露。</w:t>
      </w:r>
    </w:p>
    <w:p>
      <w:pPr>
        <w:numPr>
          <w:ilvl w:val="0"/>
          <w:numId w:val="9"/>
        </w:numPr>
        <w:tabs>
          <w:tab w:val="left" w:pos="900"/>
          <w:tab w:val="left" w:pos="2160"/>
        </w:tabs>
        <w:spacing w:line="380" w:lineRule="exact"/>
        <w:ind w:left="1242" w:hanging="737"/>
        <w:rPr>
          <w:rFonts w:hint="eastAsia" w:ascii="宋体" w:hAnsi="宋体" w:cs="宋体"/>
          <w:color w:val="auto"/>
          <w:sz w:val="24"/>
          <w:highlight w:val="none"/>
        </w:rPr>
      </w:pPr>
      <w:r>
        <w:rPr>
          <w:rFonts w:hint="eastAsia" w:ascii="宋体" w:hAnsi="宋体" w:cs="宋体"/>
          <w:color w:val="auto"/>
          <w:sz w:val="24"/>
          <w:highlight w:val="none"/>
        </w:rPr>
        <w:t>在评标过程中，如果投标人试图在投标文件审查、澄清、比较及授予合同方面向采购人、评标委员会施加任何影响，其投标将被拒绝。</w:t>
      </w:r>
    </w:p>
    <w:p>
      <w:pPr>
        <w:numPr>
          <w:ilvl w:val="2"/>
          <w:numId w:val="7"/>
        </w:numPr>
        <w:tabs>
          <w:tab w:val="left" w:pos="360"/>
          <w:tab w:val="left" w:pos="780"/>
          <w:tab w:val="left" w:pos="840"/>
        </w:tabs>
        <w:spacing w:line="380" w:lineRule="exact"/>
        <w:ind w:left="840" w:hanging="480"/>
        <w:rPr>
          <w:rFonts w:hint="eastAsia" w:ascii="宋体" w:hAnsi="宋体" w:cs="宋体"/>
          <w:color w:val="auto"/>
          <w:sz w:val="24"/>
          <w:highlight w:val="none"/>
        </w:rPr>
      </w:pPr>
      <w:r>
        <w:rPr>
          <w:rFonts w:hint="eastAsia" w:ascii="宋体" w:hAnsi="宋体" w:cs="宋体"/>
          <w:color w:val="auto"/>
          <w:sz w:val="24"/>
          <w:highlight w:val="none"/>
        </w:rPr>
        <w:t>评标工作程序</w:t>
      </w:r>
    </w:p>
    <w:p>
      <w:pPr>
        <w:numPr>
          <w:ilvl w:val="0"/>
          <w:numId w:val="10"/>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投标文件初审。</w:t>
      </w:r>
    </w:p>
    <w:p>
      <w:pPr>
        <w:tabs>
          <w:tab w:val="left" w:pos="560"/>
        </w:tabs>
        <w:spacing w:line="380" w:lineRule="exact"/>
        <w:ind w:left="420" w:leftChars="200" w:firstLine="556" w:firstLineChars="232"/>
        <w:rPr>
          <w:rFonts w:hint="eastAsia" w:ascii="宋体" w:hAnsi="宋体" w:cs="宋体"/>
          <w:color w:val="auto"/>
          <w:sz w:val="24"/>
          <w:highlight w:val="none"/>
        </w:rPr>
      </w:pPr>
      <w:r>
        <w:rPr>
          <w:rFonts w:hint="eastAsia" w:ascii="宋体" w:hAnsi="宋体" w:cs="宋体"/>
          <w:color w:val="auto"/>
          <w:sz w:val="24"/>
          <w:highlight w:val="none"/>
        </w:rPr>
        <w:t>符合性检查。依据招标文件的规定，从投标文件的有效性、完整性和对招标文件的响应程度进行审查，以确定是否对招标文件的实质性要求作出响应。若符合要求，则进入下一阶段评审；若不符合要求，则不得进入下一阶段评审。</w:t>
      </w:r>
    </w:p>
    <w:p>
      <w:pPr>
        <w:spacing w:line="380" w:lineRule="exact"/>
        <w:ind w:left="840" w:leftChars="400"/>
        <w:rPr>
          <w:rFonts w:hint="eastAsia" w:ascii="宋体" w:hAnsi="宋体" w:cs="宋体"/>
          <w:color w:val="auto"/>
          <w:sz w:val="24"/>
          <w:highlight w:val="none"/>
        </w:rPr>
      </w:pPr>
      <w:r>
        <w:rPr>
          <w:rFonts w:hint="eastAsia" w:ascii="宋体" w:hAnsi="宋体" w:cs="宋体"/>
          <w:color w:val="auto"/>
          <w:sz w:val="24"/>
          <w:highlight w:val="none"/>
        </w:rPr>
        <w:t>投标文件应符合下列情况，否则在符合性检查时可按无效投标处理：</w:t>
      </w:r>
    </w:p>
    <w:p>
      <w:pPr>
        <w:numPr>
          <w:ilvl w:val="0"/>
          <w:numId w:val="11"/>
        </w:numPr>
        <w:spacing w:line="380" w:lineRule="exact"/>
        <w:ind w:left="1701" w:hanging="283"/>
        <w:rPr>
          <w:rFonts w:hint="eastAsia" w:ascii="宋体" w:hAnsi="宋体" w:cs="宋体"/>
          <w:color w:val="auto"/>
          <w:sz w:val="24"/>
          <w:highlight w:val="none"/>
        </w:rPr>
      </w:pPr>
      <w:r>
        <w:rPr>
          <w:rFonts w:hint="eastAsia" w:ascii="宋体" w:hAnsi="宋体" w:cs="宋体"/>
          <w:color w:val="auto"/>
          <w:sz w:val="24"/>
          <w:highlight w:val="none"/>
        </w:rPr>
        <w:t>投标报价确定且不高于最高限价；</w:t>
      </w:r>
    </w:p>
    <w:p>
      <w:pPr>
        <w:numPr>
          <w:ilvl w:val="0"/>
          <w:numId w:val="11"/>
        </w:numPr>
        <w:spacing w:line="380" w:lineRule="exact"/>
        <w:ind w:left="1701" w:hanging="283"/>
        <w:rPr>
          <w:rFonts w:hint="eastAsia" w:ascii="宋体" w:hAnsi="宋体" w:cs="宋体"/>
          <w:color w:val="auto"/>
          <w:sz w:val="24"/>
          <w:highlight w:val="none"/>
        </w:rPr>
      </w:pPr>
      <w:r>
        <w:rPr>
          <w:rFonts w:hint="eastAsia" w:ascii="宋体" w:hAnsi="宋体" w:cs="宋体"/>
          <w:color w:val="auto"/>
          <w:sz w:val="24"/>
          <w:highlight w:val="none"/>
        </w:rPr>
        <w:t>按招标文件规定，有投标人盖章及其法定代表人（或法定代表人委托的投标授权代表）的签字或签章；</w:t>
      </w:r>
    </w:p>
    <w:p>
      <w:pPr>
        <w:numPr>
          <w:ilvl w:val="0"/>
          <w:numId w:val="11"/>
        </w:numPr>
        <w:spacing w:line="380" w:lineRule="exact"/>
        <w:ind w:left="1701" w:hanging="283"/>
        <w:rPr>
          <w:rFonts w:hint="eastAsia" w:ascii="宋体" w:hAnsi="宋体" w:cs="宋体"/>
          <w:color w:val="auto"/>
          <w:sz w:val="24"/>
          <w:highlight w:val="none"/>
        </w:rPr>
      </w:pPr>
      <w:r>
        <w:rPr>
          <w:rFonts w:hint="eastAsia" w:ascii="宋体" w:hAnsi="宋体" w:cs="宋体"/>
          <w:color w:val="auto"/>
          <w:sz w:val="24"/>
          <w:highlight w:val="none"/>
        </w:rPr>
        <w:t>投标文件完全满足招标文件中带“★”号的条款和指标，符合招标文件的其他要求，没有重大偏离；</w:t>
      </w:r>
    </w:p>
    <w:p>
      <w:pPr>
        <w:numPr>
          <w:ilvl w:val="0"/>
          <w:numId w:val="11"/>
        </w:numPr>
        <w:spacing w:line="380" w:lineRule="exact"/>
        <w:ind w:left="1701" w:hanging="283"/>
        <w:rPr>
          <w:rFonts w:hint="eastAsia" w:ascii="宋体" w:hAnsi="宋体" w:cs="宋体"/>
          <w:color w:val="auto"/>
          <w:sz w:val="24"/>
          <w:highlight w:val="none"/>
        </w:rPr>
      </w:pPr>
      <w:r>
        <w:rPr>
          <w:rFonts w:hint="eastAsia" w:ascii="宋体" w:hAnsi="宋体" w:cs="宋体"/>
          <w:color w:val="auto"/>
          <w:sz w:val="24"/>
          <w:highlight w:val="none"/>
        </w:rPr>
        <w:t>符合法律、法规和招标文件中规定的其他实质性要求：</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在参与项目所在地市的各级或以上招投标活动中未被列入不良行为记录名单并正处于处罚期内；</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投标文件未出现制作严重不符合要求，按要求提供重要的样板、物证或资料；</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未故意提供虚假材料谋取中标；</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未采取不正当手段诋毁、排斥其他投标人；</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未在评标、定标过程中对采购人、评标委员会及其工作人员施加影响，有碍招标公平、公正；</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符合专业条件，对技术、商务要求能有效地作实质性响应，未出现重大偏离或保留；</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评审期间按评委会要求提交经授权代表签字的澄清、说明、补正或调整补充部分未改变投标文件的实质性内容及修正报价未超出允许规定范围；</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 xml:space="preserve">未拒绝、对抗评委会所作的决定或合理要求； </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未出现按有关法律、法规、规章规定属于中标无效的及符合采购文件中载明会导致无效投标的其它规定和要求。</w:t>
      </w:r>
    </w:p>
    <w:p>
      <w:pPr>
        <w:numPr>
          <w:ilvl w:val="0"/>
          <w:numId w:val="10"/>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澄清有关问题。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除上述规定的情形之外，评标委员会在评审过程中，不得接收来自评审现场以外的任何形式的文件资料。除评标委员会主动要求澄清、说明或者纠正外，评标定标期间，任何投标人均不得就与其投标相关的任何问题与评标委员会联系。</w:t>
      </w:r>
    </w:p>
    <w:p>
      <w:pPr>
        <w:numPr>
          <w:ilvl w:val="0"/>
          <w:numId w:val="10"/>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比较与评价。按照招标文件中规定的评标方法和标准，对符合性检查合格的投标文件进行商务和技术评估，综合比较与评价。综合评审法评分权重详见评标细则。</w:t>
      </w:r>
    </w:p>
    <w:p>
      <w:pPr>
        <w:numPr>
          <w:ilvl w:val="0"/>
          <w:numId w:val="10"/>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推荐中标候选人名单。综合评审法按评审后综合得分由高到低顺序排列。综合得分相同的，按投标报价由低到高排列。综合得分且投标报价相同的，按技术评分由高到低顺序排列。综合评分相同，且投标报价和技术评分均相同的，名次由评标委员会抽签决定。</w:t>
      </w:r>
    </w:p>
    <w:p>
      <w:pPr>
        <w:numPr>
          <w:ilvl w:val="0"/>
          <w:numId w:val="10"/>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编写评审报告。</w:t>
      </w:r>
    </w:p>
    <w:p>
      <w:pPr>
        <w:numPr>
          <w:ilvl w:val="2"/>
          <w:numId w:val="7"/>
        </w:numPr>
        <w:tabs>
          <w:tab w:val="left" w:pos="-3600"/>
          <w:tab w:val="left" w:pos="720"/>
          <w:tab w:val="left" w:pos="780"/>
        </w:tabs>
        <w:spacing w:line="380" w:lineRule="exact"/>
        <w:ind w:left="1080" w:hanging="800"/>
        <w:rPr>
          <w:rFonts w:hint="eastAsia" w:ascii="宋体" w:hAnsi="宋体" w:cs="宋体"/>
          <w:color w:val="auto"/>
          <w:sz w:val="24"/>
          <w:highlight w:val="none"/>
        </w:rPr>
      </w:pPr>
      <w:r>
        <w:rPr>
          <w:rFonts w:hint="eastAsia" w:ascii="宋体" w:hAnsi="宋体" w:cs="宋体"/>
          <w:color w:val="auto"/>
          <w:sz w:val="24"/>
          <w:highlight w:val="none"/>
        </w:rPr>
        <w:t>废标的认定</w:t>
      </w:r>
    </w:p>
    <w:p>
      <w:pPr>
        <w:numPr>
          <w:ilvl w:val="0"/>
          <w:numId w:val="13"/>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符合专业条件的承包商或者对招标文件作实质响应的承包商不足三家的；</w:t>
      </w:r>
    </w:p>
    <w:p>
      <w:pPr>
        <w:numPr>
          <w:ilvl w:val="0"/>
          <w:numId w:val="13"/>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出现影响采购公正的违法、违规行为的；</w:t>
      </w:r>
    </w:p>
    <w:p>
      <w:pPr>
        <w:numPr>
          <w:ilvl w:val="0"/>
          <w:numId w:val="13"/>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投标人的报价均超过了最高限额的；</w:t>
      </w:r>
    </w:p>
    <w:p>
      <w:pPr>
        <w:numPr>
          <w:ilvl w:val="0"/>
          <w:numId w:val="13"/>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因重大变故，采购任务取消的。</w:t>
      </w:r>
    </w:p>
    <w:p>
      <w:pPr>
        <w:pStyle w:val="5"/>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定标</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招标人确认评标委员会推荐的评标结果后，由招标人对中标候选人的资格和履约能力进行再次审查，凡发现中标候选人有下列情形之一的，将移交招投标监督管理部门依法处理：</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cs="宋体"/>
          <w:color w:val="auto"/>
          <w:sz w:val="24"/>
          <w:highlight w:val="none"/>
        </w:rPr>
      </w:pPr>
      <w:r>
        <w:rPr>
          <w:rFonts w:hint="eastAsia" w:ascii="宋体" w:hAnsi="宋体" w:cs="宋体"/>
          <w:color w:val="auto"/>
          <w:sz w:val="24"/>
          <w:highlight w:val="none"/>
        </w:rPr>
        <w:t>提供虚假材料谋取中标的；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cs="宋体"/>
          <w:color w:val="auto"/>
          <w:sz w:val="24"/>
          <w:highlight w:val="none"/>
        </w:rPr>
      </w:pPr>
      <w:r>
        <w:rPr>
          <w:rFonts w:hint="eastAsia" w:ascii="宋体" w:hAnsi="宋体" w:cs="宋体"/>
          <w:color w:val="auto"/>
          <w:sz w:val="24"/>
          <w:highlight w:val="none"/>
        </w:rPr>
        <w:t>采取不正当手段诋毁、排挤其他投标人的；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cs="宋体"/>
          <w:color w:val="auto"/>
          <w:sz w:val="24"/>
          <w:highlight w:val="none"/>
        </w:rPr>
      </w:pPr>
      <w:r>
        <w:rPr>
          <w:rFonts w:hint="eastAsia" w:ascii="宋体" w:hAnsi="宋体" w:cs="宋体"/>
          <w:color w:val="auto"/>
          <w:sz w:val="24"/>
          <w:highlight w:val="none"/>
        </w:rPr>
        <w:t>与招标人、其他投标人恶意串通的；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cs="宋体"/>
          <w:color w:val="auto"/>
          <w:sz w:val="24"/>
          <w:highlight w:val="none"/>
        </w:rPr>
      </w:pPr>
      <w:r>
        <w:rPr>
          <w:rFonts w:hint="eastAsia" w:ascii="宋体" w:hAnsi="宋体" w:cs="宋体"/>
          <w:color w:val="auto"/>
          <w:sz w:val="24"/>
          <w:highlight w:val="none"/>
        </w:rPr>
        <w:t>向招标人行贿或者提供其他不正当利益的；</w:t>
      </w:r>
    </w:p>
    <w:p>
      <w:pPr>
        <w:numPr>
          <w:ilvl w:val="2"/>
          <w:numId w:val="7"/>
        </w:numPr>
        <w:tabs>
          <w:tab w:val="left" w:pos="-3600"/>
          <w:tab w:val="left" w:pos="720"/>
          <w:tab w:val="left" w:pos="780"/>
        </w:tabs>
        <w:spacing w:line="380" w:lineRule="exact"/>
        <w:ind w:left="851" w:leftChars="200" w:hanging="431"/>
        <w:rPr>
          <w:rFonts w:hint="eastAsia" w:ascii="宋体" w:hAnsi="宋体" w:cs="宋体"/>
          <w:color w:val="auto"/>
          <w:sz w:val="24"/>
          <w:highlight w:val="none"/>
        </w:rPr>
      </w:pPr>
      <w:r>
        <w:rPr>
          <w:rFonts w:hint="eastAsia" w:ascii="宋体" w:hAnsi="宋体" w:cs="宋体"/>
          <w:color w:val="auto"/>
          <w:sz w:val="24"/>
          <w:highlight w:val="none"/>
        </w:rPr>
        <w:t>在招标过程中与好吧人进行协商谈判、不按照招标文件和中标人的投标文件订立合同，或者与招标人另行订立背离合同实质性内容的协议的；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cs="宋体"/>
          <w:color w:val="auto"/>
          <w:sz w:val="24"/>
          <w:highlight w:val="none"/>
        </w:rPr>
      </w:pPr>
      <w:r>
        <w:rPr>
          <w:rFonts w:hint="eastAsia" w:ascii="宋体" w:hAnsi="宋体" w:cs="宋体"/>
          <w:color w:val="auto"/>
          <w:sz w:val="24"/>
          <w:highlight w:val="none"/>
        </w:rPr>
        <w:t>拒绝有关部门监督检查或者提供虚假情况的。</w:t>
      </w:r>
    </w:p>
    <w:p>
      <w:pPr>
        <w:numPr>
          <w:ilvl w:val="2"/>
          <w:numId w:val="7"/>
        </w:numPr>
        <w:spacing w:line="380" w:lineRule="exact"/>
        <w:ind w:left="1497" w:leftChars="200" w:hanging="1077"/>
        <w:rPr>
          <w:rFonts w:hint="eastAsia" w:ascii="宋体" w:hAnsi="宋体" w:cs="宋体"/>
          <w:color w:val="auto"/>
          <w:sz w:val="24"/>
          <w:highlight w:val="none"/>
        </w:rPr>
      </w:pPr>
      <w:r>
        <w:rPr>
          <w:rFonts w:hint="eastAsia" w:ascii="宋体" w:hAnsi="宋体" w:cs="宋体"/>
          <w:color w:val="auto"/>
          <w:sz w:val="24"/>
          <w:highlight w:val="none"/>
        </w:rPr>
        <w:t>投标人有前款1至6项情形之一的，中标无效。</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TW"/>
        </w:rPr>
        <w:t>中标</w:t>
      </w:r>
      <w:r>
        <w:rPr>
          <w:rFonts w:hint="eastAsia" w:ascii="宋体" w:hAnsi="宋体" w:cs="宋体"/>
          <w:color w:val="auto"/>
          <w:sz w:val="24"/>
          <w:highlight w:val="none"/>
        </w:rPr>
        <w:t>供应商</w:t>
      </w:r>
      <w:r>
        <w:rPr>
          <w:rFonts w:hint="eastAsia" w:ascii="宋体" w:hAnsi="宋体" w:cs="宋体"/>
          <w:color w:val="auto"/>
          <w:sz w:val="24"/>
          <w:highlight w:val="none"/>
          <w:lang w:eastAsia="zh-TW"/>
        </w:rPr>
        <w:t>确定后</w:t>
      </w:r>
      <w:r>
        <w:rPr>
          <w:rFonts w:hint="eastAsia" w:ascii="宋体" w:hAnsi="宋体" w:cs="宋体"/>
          <w:color w:val="auto"/>
          <w:sz w:val="24"/>
          <w:highlight w:val="none"/>
        </w:rPr>
        <w:t>，招标人</w:t>
      </w:r>
      <w:r>
        <w:rPr>
          <w:rFonts w:hint="eastAsia" w:ascii="宋体" w:hAnsi="宋体" w:cs="宋体"/>
          <w:color w:val="auto"/>
          <w:sz w:val="24"/>
          <w:highlight w:val="none"/>
          <w:lang w:eastAsia="zh-TW"/>
        </w:rPr>
        <w:t>将在</w:t>
      </w:r>
      <w:r>
        <w:rPr>
          <w:rFonts w:hint="eastAsia" w:ascii="宋体" w:hAnsi="宋体" w:cs="宋体"/>
          <w:color w:val="auto"/>
          <w:sz w:val="24"/>
          <w:highlight w:val="none"/>
        </w:rPr>
        <w:t>广州南沙资产经营集团有限公司网站（http://www.gnao.com.cn)上发布</w:t>
      </w:r>
      <w:r>
        <w:rPr>
          <w:rFonts w:hint="eastAsia" w:ascii="宋体" w:hAnsi="宋体" w:cs="宋体"/>
          <w:color w:val="auto"/>
          <w:sz w:val="24"/>
          <w:highlight w:val="none"/>
          <w:lang w:eastAsia="zh-TW"/>
        </w:rPr>
        <w:t>中标</w:t>
      </w:r>
      <w:r>
        <w:rPr>
          <w:rFonts w:hint="eastAsia" w:ascii="宋体" w:hAnsi="宋体" w:cs="宋体"/>
          <w:color w:val="auto"/>
          <w:sz w:val="24"/>
          <w:highlight w:val="none"/>
        </w:rPr>
        <w:t>结果公告，公告期满后</w:t>
      </w:r>
      <w:r>
        <w:rPr>
          <w:rFonts w:hint="eastAsia" w:ascii="宋体" w:hAnsi="宋体" w:cs="宋体"/>
          <w:color w:val="auto"/>
          <w:sz w:val="24"/>
          <w:highlight w:val="none"/>
          <w:lang w:eastAsia="zh-TW"/>
        </w:rPr>
        <w:t>向中标</w:t>
      </w:r>
      <w:r>
        <w:rPr>
          <w:rFonts w:hint="eastAsia" w:ascii="宋体" w:hAnsi="宋体" w:cs="宋体"/>
          <w:color w:val="auto"/>
          <w:sz w:val="24"/>
          <w:highlight w:val="none"/>
        </w:rPr>
        <w:t>人</w:t>
      </w:r>
      <w:r>
        <w:rPr>
          <w:rFonts w:hint="eastAsia" w:ascii="宋体" w:hAnsi="宋体" w:cs="宋体"/>
          <w:color w:val="auto"/>
          <w:sz w:val="24"/>
          <w:highlight w:val="none"/>
          <w:lang w:eastAsia="zh-TW"/>
        </w:rPr>
        <w:t>发出《中标通知书》</w:t>
      </w:r>
      <w:r>
        <w:rPr>
          <w:rFonts w:hint="eastAsia" w:ascii="宋体" w:hAnsi="宋体" w:cs="宋体"/>
          <w:color w:val="auto"/>
          <w:sz w:val="24"/>
          <w:highlight w:val="none"/>
        </w:rPr>
        <w:t>，</w:t>
      </w:r>
      <w:r>
        <w:rPr>
          <w:rFonts w:hint="eastAsia" w:ascii="宋体" w:hAnsi="宋体" w:cs="宋体"/>
          <w:color w:val="auto"/>
          <w:sz w:val="24"/>
          <w:highlight w:val="none"/>
          <w:lang w:eastAsia="zh-TW"/>
        </w:rPr>
        <w:t>《中标通知书》对中标</w:t>
      </w:r>
      <w:r>
        <w:rPr>
          <w:rFonts w:hint="eastAsia" w:ascii="宋体" w:hAnsi="宋体" w:cs="宋体"/>
          <w:color w:val="auto"/>
          <w:sz w:val="24"/>
          <w:highlight w:val="none"/>
        </w:rPr>
        <w:t>供应商</w:t>
      </w:r>
      <w:r>
        <w:rPr>
          <w:rFonts w:hint="eastAsia" w:ascii="宋体" w:hAnsi="宋体" w:cs="宋体"/>
          <w:color w:val="auto"/>
          <w:sz w:val="24"/>
          <w:highlight w:val="none"/>
          <w:lang w:eastAsia="zh-TW"/>
        </w:rPr>
        <w:t>和</w:t>
      </w:r>
      <w:r>
        <w:rPr>
          <w:rFonts w:hint="eastAsia" w:ascii="宋体" w:hAnsi="宋体" w:cs="宋体"/>
          <w:color w:val="auto"/>
          <w:sz w:val="24"/>
          <w:highlight w:val="none"/>
        </w:rPr>
        <w:t>招标人</w:t>
      </w:r>
      <w:r>
        <w:rPr>
          <w:rFonts w:hint="eastAsia" w:ascii="宋体" w:hAnsi="宋体" w:cs="宋体"/>
          <w:color w:val="auto"/>
          <w:sz w:val="24"/>
          <w:highlight w:val="none"/>
          <w:lang w:eastAsia="zh-TW"/>
        </w:rPr>
        <w:t>具有同等法律效力。</w:t>
      </w:r>
      <w:r>
        <w:rPr>
          <w:rFonts w:hint="eastAsia" w:ascii="宋体" w:hAnsi="宋体" w:cs="宋体"/>
          <w:color w:val="auto"/>
          <w:sz w:val="24"/>
          <w:highlight w:val="none"/>
        </w:rPr>
        <w:t>中标人放弃中标的，应当依法承担法律责任。</w:t>
      </w:r>
    </w:p>
    <w:p>
      <w:pPr>
        <w:pStyle w:val="5"/>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bookmarkStart w:id="28" w:name="_Toc184442577"/>
      <w:r>
        <w:rPr>
          <w:rFonts w:hint="eastAsia" w:cs="宋体"/>
          <w:color w:val="auto"/>
          <w:sz w:val="24"/>
          <w:highlight w:val="none"/>
        </w:rPr>
        <w:t>签约</w:t>
      </w:r>
      <w:bookmarkEnd w:id="28"/>
    </w:p>
    <w:p>
      <w:pPr>
        <w:keepNext w:val="0"/>
        <w:keepLines w:val="0"/>
        <w:widowControl/>
        <w:numPr>
          <w:ilvl w:val="-1"/>
          <w:numId w:val="0"/>
        </w:numPr>
        <w:autoSpaceDE w:val="0"/>
        <w:autoSpaceDN w:val="0"/>
        <w:adjustRightInd w:val="0"/>
        <w:snapToGrid w:val="0"/>
        <w:spacing w:before="0" w:after="0" w:line="380" w:lineRule="exact"/>
        <w:ind w:left="11" w:right="32" w:firstLine="549" w:firstLineChars="0"/>
        <w:jc w:val="left"/>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采购人应当自《中标通知书》发出之日起三十日内，按照招标文件和中标供应商投标文件的约定，与中标供应商签订合同。所签订的合同不得对招标文件和中标供应商投标文件作实质性修改。</w:t>
      </w:r>
    </w:p>
    <w:p>
      <w:pPr>
        <w:pStyle w:val="5"/>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投标费用说明</w:t>
      </w:r>
    </w:p>
    <w:p>
      <w:pPr>
        <w:autoSpaceDE w:val="0"/>
        <w:autoSpaceDN w:val="0"/>
        <w:adjustRightInd w:val="0"/>
        <w:snapToGrid w:val="0"/>
        <w:spacing w:line="380" w:lineRule="exact"/>
        <w:ind w:left="11" w:right="32" w:firstLine="549"/>
        <w:rPr>
          <w:rFonts w:hint="eastAsia" w:ascii="宋体" w:hAnsi="宋体" w:cs="宋体"/>
          <w:color w:val="auto"/>
          <w:sz w:val="24"/>
          <w:szCs w:val="24"/>
          <w:highlight w:val="none"/>
        </w:rPr>
      </w:pPr>
      <w:r>
        <w:rPr>
          <w:rFonts w:hint="eastAsia" w:ascii="宋体" w:hAnsi="宋体" w:cs="宋体"/>
          <w:color w:val="auto"/>
          <w:sz w:val="24"/>
          <w:szCs w:val="24"/>
          <w:highlight w:val="none"/>
        </w:rPr>
        <w:t>投标供应商应承担所有与准备和参加投标有关的费用。不论投标的结果如何，招标人均无义务和责任承担。</w:t>
      </w:r>
    </w:p>
    <w:p>
      <w:pPr>
        <w:pStyle w:val="20"/>
        <w:spacing w:line="360" w:lineRule="auto"/>
        <w:ind w:firstLine="480" w:firstLineChars="200"/>
        <w:jc w:val="right"/>
        <w:rPr>
          <w:rFonts w:hint="eastAsia" w:ascii="宋体" w:hAnsi="宋体" w:eastAsia="宋体" w:cs="宋体"/>
          <w:color w:val="auto"/>
          <w:highlight w:val="none"/>
        </w:rPr>
      </w:pPr>
    </w:p>
    <w:p>
      <w:pPr>
        <w:pStyle w:val="20"/>
        <w:spacing w:line="360" w:lineRule="auto"/>
        <w:ind w:firstLine="480" w:firstLineChars="200"/>
        <w:jc w:val="right"/>
        <w:rPr>
          <w:rFonts w:hint="eastAsia" w:ascii="宋体" w:hAnsi="宋体" w:eastAsia="宋体" w:cs="宋体"/>
          <w:color w:val="auto"/>
          <w:highlight w:val="none"/>
        </w:rPr>
      </w:pPr>
    </w:p>
    <w:p>
      <w:pPr>
        <w:pStyle w:val="20"/>
        <w:spacing w:line="360" w:lineRule="auto"/>
        <w:ind w:firstLine="480" w:firstLineChars="200"/>
        <w:jc w:val="right"/>
        <w:rPr>
          <w:rFonts w:hint="eastAsia" w:ascii="宋体" w:hAnsi="宋体" w:eastAsia="宋体" w:cs="宋体"/>
          <w:color w:val="auto"/>
          <w:highlight w:val="none"/>
        </w:rPr>
      </w:pPr>
    </w:p>
    <w:p>
      <w:pPr>
        <w:pStyle w:val="20"/>
        <w:spacing w:line="360" w:lineRule="auto"/>
        <w:ind w:firstLine="480" w:firstLineChars="200"/>
        <w:jc w:val="right"/>
        <w:rPr>
          <w:rFonts w:hint="eastAsia" w:ascii="宋体" w:hAnsi="宋体" w:eastAsia="宋体" w:cs="宋体"/>
          <w:color w:val="auto"/>
          <w:highlight w:val="none"/>
        </w:rPr>
      </w:pPr>
    </w:p>
    <w:p>
      <w:pPr>
        <w:pStyle w:val="20"/>
        <w:spacing w:line="360" w:lineRule="auto"/>
        <w:ind w:firstLine="480" w:firstLineChars="200"/>
        <w:jc w:val="right"/>
        <w:rPr>
          <w:rFonts w:hint="eastAsia" w:ascii="宋体" w:hAnsi="宋体" w:eastAsia="宋体" w:cs="宋体"/>
          <w:color w:val="auto"/>
          <w:highlight w:val="none"/>
        </w:rPr>
      </w:pPr>
    </w:p>
    <w:p>
      <w:pPr>
        <w:pStyle w:val="20"/>
        <w:spacing w:line="360" w:lineRule="auto"/>
        <w:ind w:firstLine="480" w:firstLineChars="200"/>
        <w:jc w:val="right"/>
        <w:rPr>
          <w:rFonts w:hint="eastAsia" w:ascii="宋体" w:hAnsi="宋体" w:eastAsia="宋体" w:cs="宋体"/>
          <w:color w:val="auto"/>
          <w:highlight w:val="none"/>
        </w:rPr>
      </w:pPr>
    </w:p>
    <w:p>
      <w:pPr>
        <w:pStyle w:val="20"/>
        <w:spacing w:line="360" w:lineRule="auto"/>
        <w:ind w:firstLine="480" w:firstLineChars="200"/>
        <w:jc w:val="right"/>
        <w:rPr>
          <w:rFonts w:hint="eastAsia" w:ascii="宋体" w:hAnsi="宋体" w:eastAsia="宋体" w:cs="宋体"/>
          <w:color w:val="auto"/>
          <w:highlight w:val="none"/>
        </w:rPr>
      </w:pPr>
    </w:p>
    <w:p>
      <w:pPr>
        <w:pStyle w:val="20"/>
        <w:spacing w:line="360" w:lineRule="auto"/>
        <w:ind w:firstLine="480" w:firstLineChars="200"/>
        <w:jc w:val="right"/>
        <w:rPr>
          <w:rFonts w:hint="eastAsia" w:ascii="宋体" w:hAnsi="宋体" w:eastAsia="宋体" w:cs="宋体"/>
          <w:color w:val="auto"/>
          <w:highlight w:val="none"/>
        </w:rPr>
      </w:pPr>
    </w:p>
    <w:p>
      <w:pPr>
        <w:pStyle w:val="20"/>
        <w:spacing w:line="360" w:lineRule="auto"/>
        <w:ind w:firstLine="480" w:firstLineChars="200"/>
        <w:jc w:val="right"/>
        <w:rPr>
          <w:rFonts w:hint="eastAsia" w:ascii="宋体" w:hAnsi="宋体" w:eastAsia="宋体" w:cs="宋体"/>
          <w:color w:val="auto"/>
          <w:highlight w:val="none"/>
        </w:rPr>
      </w:pPr>
    </w:p>
    <w:p>
      <w:pPr>
        <w:pStyle w:val="20"/>
        <w:spacing w:line="360" w:lineRule="auto"/>
        <w:ind w:firstLine="480" w:firstLineChars="200"/>
        <w:jc w:val="right"/>
        <w:rPr>
          <w:rFonts w:hint="eastAsia" w:ascii="宋体" w:hAnsi="宋体" w:eastAsia="宋体" w:cs="宋体"/>
          <w:color w:val="auto"/>
          <w:highlight w:val="none"/>
        </w:rPr>
      </w:pPr>
    </w:p>
    <w:p>
      <w:pPr>
        <w:pStyle w:val="20"/>
        <w:spacing w:line="360" w:lineRule="auto"/>
        <w:ind w:firstLine="480" w:firstLineChars="200"/>
        <w:jc w:val="right"/>
        <w:rPr>
          <w:rFonts w:hint="eastAsia" w:ascii="宋体" w:hAnsi="宋体" w:eastAsia="宋体" w:cs="宋体"/>
          <w:color w:val="auto"/>
          <w:highlight w:val="none"/>
        </w:rPr>
      </w:pPr>
    </w:p>
    <w:p>
      <w:pPr>
        <w:pStyle w:val="20"/>
        <w:spacing w:line="360" w:lineRule="auto"/>
        <w:ind w:firstLine="480" w:firstLineChars="200"/>
        <w:jc w:val="right"/>
        <w:rPr>
          <w:rFonts w:hint="eastAsia" w:ascii="宋体" w:hAnsi="宋体" w:eastAsia="宋体" w:cs="宋体"/>
          <w:color w:val="auto"/>
          <w:highlight w:val="none"/>
        </w:rPr>
      </w:pPr>
    </w:p>
    <w:p>
      <w:pPr>
        <w:pStyle w:val="20"/>
        <w:spacing w:line="360" w:lineRule="auto"/>
        <w:ind w:firstLine="480" w:firstLineChars="200"/>
        <w:jc w:val="right"/>
        <w:rPr>
          <w:rFonts w:hint="eastAsia" w:ascii="宋体" w:hAnsi="宋体" w:eastAsia="宋体" w:cs="宋体"/>
          <w:color w:val="auto"/>
          <w:highlight w:val="none"/>
        </w:rPr>
      </w:pPr>
    </w:p>
    <w:p>
      <w:pPr>
        <w:pStyle w:val="20"/>
        <w:spacing w:line="360" w:lineRule="auto"/>
        <w:ind w:firstLine="480" w:firstLineChars="200"/>
        <w:jc w:val="right"/>
        <w:rPr>
          <w:rFonts w:hint="eastAsia" w:ascii="宋体" w:hAnsi="宋体" w:eastAsia="宋体" w:cs="宋体"/>
          <w:color w:val="auto"/>
          <w:highlight w:val="none"/>
        </w:rPr>
      </w:pPr>
    </w:p>
    <w:p>
      <w:pPr>
        <w:pStyle w:val="20"/>
        <w:spacing w:line="360" w:lineRule="auto"/>
        <w:ind w:firstLine="480" w:firstLineChars="200"/>
        <w:jc w:val="right"/>
        <w:rPr>
          <w:rFonts w:hint="eastAsia" w:ascii="宋体" w:hAnsi="宋体" w:eastAsia="宋体" w:cs="宋体"/>
          <w:color w:val="auto"/>
          <w:highlight w:val="none"/>
        </w:rPr>
      </w:pPr>
    </w:p>
    <w:p>
      <w:pPr>
        <w:pStyle w:val="20"/>
        <w:spacing w:line="360" w:lineRule="auto"/>
        <w:jc w:val="both"/>
        <w:rPr>
          <w:rFonts w:hint="eastAsia" w:ascii="宋体" w:hAnsi="宋体" w:eastAsia="宋体" w:cs="宋体"/>
          <w:color w:val="auto"/>
          <w:highlight w:val="none"/>
        </w:rPr>
      </w:pPr>
    </w:p>
    <w:p>
      <w:pPr>
        <w:jc w:val="center"/>
        <w:rPr>
          <w:rFonts w:hint="eastAsia" w:ascii="宋体" w:hAnsi="宋体" w:eastAsia="宋体" w:cs="宋体"/>
          <w:b/>
          <w:bCs/>
          <w:color w:val="auto"/>
          <w:sz w:val="40"/>
          <w:szCs w:val="40"/>
          <w:highlight w:val="none"/>
        </w:rPr>
      </w:pPr>
    </w:p>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40"/>
          <w:szCs w:val="40"/>
          <w:highlight w:val="none"/>
        </w:rPr>
        <w:t>第三章 用户需求书</w:t>
      </w:r>
    </w:p>
    <w:p>
      <w:pPr>
        <w:jc w:val="center"/>
        <w:rPr>
          <w:rFonts w:hint="eastAsia" w:ascii="宋体" w:hAnsi="宋体" w:eastAsia="宋体" w:cs="宋体"/>
          <w:b/>
          <w:bCs/>
          <w:color w:val="auto"/>
          <w:sz w:val="32"/>
          <w:szCs w:val="32"/>
          <w:highlight w:val="none"/>
        </w:rPr>
      </w:pP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一、项目要求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本次招标范围为</w:t>
      </w:r>
      <w:r>
        <w:rPr>
          <w:rFonts w:hint="eastAsia" w:ascii="宋体" w:hAnsi="宋体" w:eastAsia="宋体" w:cs="Times New Roman"/>
          <w:color w:val="auto"/>
          <w:sz w:val="24"/>
          <w:szCs w:val="20"/>
          <w:highlight w:val="none"/>
          <w:u w:val="single"/>
          <w:lang w:val="en-US" w:eastAsia="zh-CN"/>
        </w:rPr>
        <w:t>2025年粤港澳大湾区灯会活动围蔽采购安装项目</w:t>
      </w:r>
      <w:r>
        <w:rPr>
          <w:rFonts w:hint="eastAsia" w:ascii="宋体" w:hAnsi="宋体" w:eastAsia="宋体" w:cs="宋体"/>
          <w:color w:val="auto"/>
          <w:sz w:val="24"/>
          <w:highlight w:val="none"/>
        </w:rPr>
        <w:t>采购清单。</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*所有投标产品在合理使用情况下造成的损坏，中标单位如无充足的理由，在保修期内须提供免费保修或保换服务。</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*投标人根据提供的投标报价明细表，以综合单价自行报价。</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*本项目的材料、拆卸、安装、调试、检验、验收都由中标单位负责。</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*推荐参数为最低标准参数，供应商所投产品参数须高于需求表中的参数。</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*推荐参数为最低标准参数，供应商所投产品参数须高于需求表中的参数。</w:t>
      </w:r>
    </w:p>
    <w:p>
      <w:pPr>
        <w:spacing w:line="380" w:lineRule="exact"/>
        <w:ind w:firstLine="482" w:firstLineChars="200"/>
        <w:rPr>
          <w:rFonts w:hint="eastAsia" w:ascii="宋体" w:hAnsi="宋体" w:eastAsia="宋体"/>
          <w:b/>
          <w:bCs/>
          <w:color w:val="auto"/>
          <w:sz w:val="24"/>
          <w:highlight w:val="none"/>
        </w:rPr>
      </w:pP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中标人</w:t>
      </w:r>
      <w:r>
        <w:rPr>
          <w:rFonts w:hint="eastAsia" w:ascii="宋体" w:hAnsi="宋体" w:eastAsia="宋体"/>
          <w:b/>
          <w:bCs/>
          <w:color w:val="auto"/>
          <w:sz w:val="24"/>
          <w:highlight w:val="none"/>
        </w:rPr>
        <w:t>在安装上应考虑</w:t>
      </w:r>
      <w:r>
        <w:rPr>
          <w:rFonts w:hint="eastAsia" w:ascii="宋体" w:hAnsi="宋体" w:eastAsia="宋体"/>
          <w:b/>
          <w:bCs/>
          <w:color w:val="auto"/>
          <w:sz w:val="24"/>
          <w:highlight w:val="none"/>
          <w:lang w:val="en-US" w:eastAsia="zh-CN"/>
        </w:rPr>
        <w:t>产品之间的卡扣</w:t>
      </w:r>
      <w:r>
        <w:rPr>
          <w:rFonts w:ascii="宋体" w:hAnsi="宋体" w:eastAsia="宋体"/>
          <w:b/>
          <w:bCs/>
          <w:color w:val="auto"/>
          <w:sz w:val="24"/>
          <w:highlight w:val="none"/>
        </w:rPr>
        <w:t>结构</w:t>
      </w:r>
      <w:r>
        <w:rPr>
          <w:rFonts w:hint="eastAsia" w:ascii="宋体" w:hAnsi="宋体" w:eastAsia="宋体"/>
          <w:b/>
          <w:bCs/>
          <w:color w:val="auto"/>
          <w:sz w:val="24"/>
          <w:highlight w:val="none"/>
        </w:rPr>
        <w:t>，并需得到招标人认可。</w:t>
      </w:r>
    </w:p>
    <w:p>
      <w:pPr>
        <w:jc w:val="center"/>
        <w:rPr>
          <w:rFonts w:hint="eastAsia" w:ascii="宋体" w:hAnsi="宋体" w:cs="宋体"/>
          <w:b/>
          <w:bCs/>
          <w:color w:val="auto"/>
          <w:sz w:val="32"/>
          <w:szCs w:val="32"/>
          <w:highlight w:val="none"/>
        </w:rPr>
      </w:pPr>
    </w:p>
    <w:p>
      <w:pPr>
        <w:pStyle w:val="6"/>
        <w:rPr>
          <w:rFonts w:hint="eastAsia" w:ascii="宋体" w:hAnsi="宋体" w:cs="宋体"/>
          <w:b/>
          <w:bCs/>
          <w:color w:val="auto"/>
          <w:sz w:val="32"/>
          <w:szCs w:val="32"/>
          <w:highlight w:val="none"/>
        </w:rPr>
      </w:pPr>
    </w:p>
    <w:p>
      <w:pPr>
        <w:rPr>
          <w:rFonts w:hint="eastAsia" w:ascii="宋体" w:hAnsi="宋体" w:cs="宋体"/>
          <w:b/>
          <w:bCs/>
          <w:color w:val="auto"/>
          <w:sz w:val="32"/>
          <w:szCs w:val="32"/>
          <w:highlight w:val="none"/>
        </w:rPr>
      </w:pPr>
    </w:p>
    <w:p>
      <w:pPr>
        <w:pStyle w:val="6"/>
        <w:rPr>
          <w:rFonts w:hint="eastAsia" w:ascii="宋体" w:hAnsi="宋体" w:cs="宋体"/>
          <w:b/>
          <w:bCs/>
          <w:color w:val="auto"/>
          <w:sz w:val="32"/>
          <w:szCs w:val="32"/>
          <w:highlight w:val="none"/>
        </w:rPr>
      </w:pPr>
    </w:p>
    <w:p>
      <w:pPr>
        <w:rPr>
          <w:rFonts w:hint="eastAsia" w:ascii="宋体" w:hAnsi="宋体" w:cs="宋体"/>
          <w:b/>
          <w:bCs/>
          <w:color w:val="auto"/>
          <w:sz w:val="32"/>
          <w:szCs w:val="32"/>
          <w:highlight w:val="none"/>
        </w:rPr>
      </w:pPr>
    </w:p>
    <w:p>
      <w:pPr>
        <w:pStyle w:val="6"/>
        <w:rPr>
          <w:rFonts w:hint="eastAsia" w:ascii="宋体" w:hAnsi="宋体" w:cs="宋体"/>
          <w:b/>
          <w:bCs/>
          <w:color w:val="auto"/>
          <w:sz w:val="32"/>
          <w:szCs w:val="32"/>
          <w:highlight w:val="none"/>
        </w:rPr>
      </w:pPr>
    </w:p>
    <w:p>
      <w:pPr>
        <w:rPr>
          <w:rFonts w:hint="eastAsia" w:ascii="宋体" w:hAnsi="宋体" w:cs="宋体"/>
          <w:b/>
          <w:bCs/>
          <w:color w:val="auto"/>
          <w:sz w:val="32"/>
          <w:szCs w:val="32"/>
          <w:highlight w:val="none"/>
        </w:rPr>
      </w:pPr>
    </w:p>
    <w:p>
      <w:pPr>
        <w:pStyle w:val="6"/>
        <w:rPr>
          <w:rFonts w:hint="eastAsia" w:ascii="宋体" w:hAnsi="宋体" w:cs="宋体"/>
          <w:b/>
          <w:bCs/>
          <w:color w:val="auto"/>
          <w:sz w:val="32"/>
          <w:szCs w:val="32"/>
          <w:highlight w:val="none"/>
        </w:rPr>
      </w:pPr>
    </w:p>
    <w:p>
      <w:pPr>
        <w:rPr>
          <w:rFonts w:hint="eastAsia" w:ascii="宋体" w:hAnsi="宋体" w:cs="宋体"/>
          <w:b/>
          <w:bCs/>
          <w:color w:val="auto"/>
          <w:sz w:val="32"/>
          <w:szCs w:val="32"/>
          <w:highlight w:val="none"/>
        </w:rPr>
      </w:pPr>
    </w:p>
    <w:p>
      <w:pPr>
        <w:pStyle w:val="6"/>
        <w:rPr>
          <w:rFonts w:hint="eastAsia"/>
          <w:color w:val="auto"/>
          <w:highlight w:val="none"/>
        </w:rPr>
      </w:pPr>
    </w:p>
    <w:p>
      <w:pPr>
        <w:rPr>
          <w:rFonts w:hint="eastAsia" w:ascii="宋体" w:hAnsi="宋体" w:cs="宋体"/>
          <w:b/>
          <w:bCs/>
          <w:color w:val="auto"/>
          <w:sz w:val="32"/>
          <w:szCs w:val="32"/>
          <w:highlight w:val="none"/>
        </w:rPr>
      </w:pPr>
    </w:p>
    <w:p>
      <w:pPr>
        <w:pStyle w:val="6"/>
        <w:rPr>
          <w:rFonts w:hint="eastAsia" w:ascii="宋体" w:hAnsi="宋体" w:cs="宋体"/>
          <w:b/>
          <w:bCs/>
          <w:color w:val="auto"/>
          <w:sz w:val="32"/>
          <w:szCs w:val="32"/>
          <w:highlight w:val="none"/>
        </w:rPr>
      </w:pPr>
    </w:p>
    <w:p>
      <w:pPr>
        <w:rPr>
          <w:rFonts w:hint="eastAsia" w:ascii="宋体" w:hAnsi="宋体" w:cs="宋体"/>
          <w:b/>
          <w:bCs/>
          <w:color w:val="auto"/>
          <w:sz w:val="32"/>
          <w:szCs w:val="32"/>
          <w:highlight w:val="none"/>
        </w:rPr>
      </w:pPr>
    </w:p>
    <w:p>
      <w:pPr>
        <w:ind w:firstLine="0" w:firstLineChars="0"/>
        <w:rPr>
          <w:rFonts w:hint="eastAsia" w:eastAsia="宋体"/>
          <w:b/>
          <w:bCs/>
          <w:color w:val="auto"/>
          <w:sz w:val="22"/>
          <w:szCs w:val="22"/>
          <w:highlight w:val="none"/>
          <w:u w:val="none"/>
        </w:rPr>
      </w:pPr>
      <w:r>
        <w:rPr>
          <w:rFonts w:hint="eastAsia" w:eastAsia="宋体"/>
          <w:b/>
          <w:bCs/>
          <w:color w:val="auto"/>
          <w:sz w:val="22"/>
          <w:szCs w:val="22"/>
          <w:highlight w:val="none"/>
          <w:u w:val="none"/>
        </w:rPr>
        <w:t>二、</w:t>
      </w:r>
      <w:r>
        <w:rPr>
          <w:rFonts w:hint="eastAsia" w:ascii="宋体" w:hAnsi="宋体" w:eastAsia="宋体" w:cs="Times New Roman"/>
          <w:b/>
          <w:bCs/>
          <w:color w:val="auto"/>
          <w:sz w:val="22"/>
          <w:szCs w:val="18"/>
          <w:highlight w:val="none"/>
          <w:u w:val="none"/>
          <w:lang w:val="en-US" w:eastAsia="zh-CN"/>
        </w:rPr>
        <w:t>2025年粤港澳大湾区灯会活动围蔽采购安装项目</w:t>
      </w:r>
      <w:r>
        <w:rPr>
          <w:rFonts w:hint="eastAsia" w:eastAsia="宋体"/>
          <w:b/>
          <w:bCs/>
          <w:color w:val="auto"/>
          <w:sz w:val="22"/>
          <w:szCs w:val="22"/>
          <w:highlight w:val="none"/>
          <w:u w:val="none"/>
        </w:rPr>
        <w:t>需求表</w:t>
      </w:r>
    </w:p>
    <w:p>
      <w:pPr>
        <w:ind w:firstLine="0" w:firstLineChars="0"/>
        <w:rPr>
          <w:rFonts w:hint="eastAsia" w:eastAsia="宋体"/>
          <w:b/>
          <w:bCs/>
          <w:color w:val="auto"/>
          <w:sz w:val="24"/>
          <w:szCs w:val="24"/>
          <w:highlight w:val="none"/>
          <w:u w:val="single"/>
        </w:rPr>
      </w:pPr>
    </w:p>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8"/>
        <w:gridCol w:w="1836"/>
        <w:gridCol w:w="1019"/>
        <w:gridCol w:w="2800"/>
        <w:gridCol w:w="1278"/>
        <w:gridCol w:w="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项目</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安装位置</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参数</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临时活动防护高围挡</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蒲州花园</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2.4*1米(防爆铁马)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边框25*50*1.0mm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网板0.7mm冲孔网片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內撑20*40*1.0mm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重量30公斤左右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底部为带斜坡花纹钢板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（含转角、带门洞围挡）</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690</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临时活动防护矮围挡</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蒲州花园</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1.2*1米（防爆铁马）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边框25*50*1.0mm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网板0.7mm冲孔网片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內撑20*40*1.0mm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重量19公斤左右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（含转角、带门洞围挡）</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199</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8"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铁丝网围栏</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蒲州花园</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45直径热镀锌双螺旋加密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(间距40厘米计算)</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177</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临时活动防护高围挡</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滨海公园</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2.4*1米(防爆铁马)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边框25*50*1.0mm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网板0.7mm冲孔网片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內撑20*40*1.0mm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底部为带斜坡花纹钢板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重量30公斤左右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（含转角、带门洞围挡）</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406</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7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83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铁托架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（带四轮可拆卸）</w:t>
            </w:r>
          </w:p>
        </w:tc>
        <w:tc>
          <w:tcPr>
            <w:tcW w:w="10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28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长2.5米*宽1.1米*高1.2米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（钢材厚度4mm）</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8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场地平整</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蒲州、滨海</w:t>
            </w:r>
          </w:p>
        </w:tc>
        <w:tc>
          <w:tcPr>
            <w:tcW w:w="2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整体场平整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（由于场地安装情况较为复杂且不平整，投标方需结相关资料或自勘察场地综合报价）</w:t>
            </w:r>
          </w:p>
        </w:tc>
        <w:tc>
          <w:tcPr>
            <w:tcW w:w="12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运输费</w:t>
            </w:r>
          </w:p>
        </w:tc>
        <w:tc>
          <w:tcPr>
            <w:tcW w:w="127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19"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28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整体安装费、二次搬运费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（本次灯会展示范围大而长、投标方需结相关资料或自勘察场地综合报价）</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bl>
    <w:p>
      <w:pPr>
        <w:spacing w:line="380" w:lineRule="exact"/>
        <w:ind w:firstLine="480" w:firstLineChars="200"/>
        <w:rPr>
          <w:rFonts w:hint="eastAsia" w:ascii="宋体" w:hAnsi="宋体"/>
          <w:color w:val="auto"/>
          <w:sz w:val="24"/>
          <w:highlight w:val="none"/>
        </w:rPr>
      </w:pPr>
      <w:r>
        <w:rPr>
          <w:rFonts w:ascii="宋体" w:hAnsi="宋体"/>
          <w:color w:val="auto"/>
          <w:sz w:val="24"/>
          <w:highlight w:val="none"/>
        </w:rPr>
        <w:br w:type="page"/>
      </w:r>
    </w:p>
    <w:p>
      <w:pPr>
        <w:spacing w:line="360" w:lineRule="auto"/>
        <w:jc w:val="center"/>
        <w:rPr>
          <w:color w:val="auto"/>
          <w:sz w:val="44"/>
          <w:highlight w:val="none"/>
        </w:rPr>
      </w:pPr>
      <w:r>
        <w:rPr>
          <w:rFonts w:hint="eastAsia"/>
          <w:b/>
          <w:bCs/>
          <w:color w:val="auto"/>
          <w:sz w:val="44"/>
          <w:highlight w:val="none"/>
        </w:rPr>
        <w:t>第四章 附件（格式）</w:t>
      </w:r>
    </w:p>
    <w:p>
      <w:pPr>
        <w:pStyle w:val="4"/>
        <w:rPr>
          <w:color w:val="auto"/>
          <w:highlight w:val="none"/>
        </w:rPr>
      </w:pPr>
    </w:p>
    <w:p>
      <w:pPr>
        <w:pStyle w:val="11"/>
        <w:tabs>
          <w:tab w:val="left" w:pos="1260"/>
        </w:tabs>
        <w:adjustRightInd w:val="0"/>
        <w:snapToGrid w:val="0"/>
        <w:spacing w:line="360" w:lineRule="auto"/>
        <w:jc w:val="center"/>
        <w:rPr>
          <w:rFonts w:hint="eastAsia" w:hAnsi="宋体"/>
          <w:b/>
          <w:color w:val="auto"/>
          <w:spacing w:val="100"/>
          <w:w w:val="110"/>
          <w:sz w:val="48"/>
          <w:szCs w:val="48"/>
          <w:highlight w:val="none"/>
        </w:rPr>
      </w:pPr>
    </w:p>
    <w:p>
      <w:pPr>
        <w:pStyle w:val="11"/>
        <w:tabs>
          <w:tab w:val="left" w:pos="1260"/>
        </w:tabs>
        <w:adjustRightInd w:val="0"/>
        <w:snapToGrid w:val="0"/>
        <w:spacing w:line="360" w:lineRule="auto"/>
        <w:rPr>
          <w:rFonts w:hint="eastAsia" w:hAnsi="宋体"/>
          <w:b/>
          <w:color w:val="auto"/>
          <w:spacing w:val="100"/>
          <w:w w:val="110"/>
          <w:sz w:val="48"/>
          <w:szCs w:val="48"/>
          <w:highlight w:val="none"/>
        </w:rPr>
      </w:pPr>
    </w:p>
    <w:p>
      <w:pPr>
        <w:pStyle w:val="11"/>
        <w:tabs>
          <w:tab w:val="left" w:pos="1260"/>
        </w:tabs>
        <w:adjustRightInd w:val="0"/>
        <w:snapToGrid w:val="0"/>
        <w:spacing w:line="360" w:lineRule="auto"/>
        <w:jc w:val="center"/>
        <w:rPr>
          <w:rFonts w:hint="eastAsia" w:hAnsi="宋体"/>
          <w:b/>
          <w:color w:val="auto"/>
          <w:spacing w:val="100"/>
          <w:w w:val="110"/>
          <w:sz w:val="48"/>
          <w:szCs w:val="48"/>
          <w:highlight w:val="none"/>
        </w:rPr>
      </w:pPr>
    </w:p>
    <w:p>
      <w:pPr>
        <w:pStyle w:val="11"/>
        <w:tabs>
          <w:tab w:val="left" w:pos="1260"/>
        </w:tabs>
        <w:adjustRightInd w:val="0"/>
        <w:snapToGrid w:val="0"/>
        <w:spacing w:line="360" w:lineRule="auto"/>
        <w:jc w:val="center"/>
        <w:rPr>
          <w:rFonts w:hint="eastAsia" w:hAnsi="宋体"/>
          <w:b/>
          <w:color w:val="auto"/>
          <w:spacing w:val="100"/>
          <w:sz w:val="48"/>
          <w:szCs w:val="48"/>
          <w:highlight w:val="none"/>
        </w:rPr>
      </w:pPr>
      <w:r>
        <w:rPr>
          <w:rFonts w:hint="eastAsia" w:hAnsi="宋体"/>
          <w:b/>
          <w:color w:val="auto"/>
          <w:spacing w:val="100"/>
          <w:sz w:val="48"/>
          <w:szCs w:val="48"/>
          <w:highlight w:val="none"/>
        </w:rPr>
        <w:t>投标文件</w:t>
      </w:r>
    </w:p>
    <w:p>
      <w:pPr>
        <w:pStyle w:val="11"/>
        <w:adjustRightInd w:val="0"/>
        <w:snapToGrid w:val="0"/>
        <w:spacing w:line="360" w:lineRule="auto"/>
        <w:jc w:val="center"/>
        <w:rPr>
          <w:rFonts w:hint="eastAsia" w:hAnsi="宋体"/>
          <w:b/>
          <w:color w:val="auto"/>
          <w:sz w:val="48"/>
          <w:szCs w:val="48"/>
          <w:highlight w:val="none"/>
        </w:rPr>
      </w:pPr>
      <w:r>
        <w:rPr>
          <w:rFonts w:hint="eastAsia" w:hAnsi="宋体"/>
          <w:b/>
          <w:color w:val="auto"/>
          <w:sz w:val="48"/>
          <w:szCs w:val="48"/>
          <w:highlight w:val="none"/>
        </w:rPr>
        <w:t>（正本/副本）</w:t>
      </w:r>
    </w:p>
    <w:p>
      <w:pPr>
        <w:pStyle w:val="11"/>
        <w:adjustRightInd w:val="0"/>
        <w:snapToGrid w:val="0"/>
        <w:spacing w:line="360" w:lineRule="auto"/>
        <w:rPr>
          <w:rFonts w:hint="eastAsia" w:hAnsi="宋体"/>
          <w:b/>
          <w:color w:val="auto"/>
          <w:szCs w:val="28"/>
          <w:highlight w:val="none"/>
        </w:rPr>
      </w:pPr>
    </w:p>
    <w:p>
      <w:pPr>
        <w:pStyle w:val="11"/>
        <w:adjustRightInd w:val="0"/>
        <w:snapToGrid w:val="0"/>
        <w:spacing w:line="360" w:lineRule="auto"/>
        <w:jc w:val="center"/>
        <w:rPr>
          <w:rFonts w:hint="eastAsia" w:hAnsi="宋体"/>
          <w:b/>
          <w:color w:val="auto"/>
          <w:szCs w:val="28"/>
          <w:highlight w:val="none"/>
        </w:rPr>
      </w:pPr>
    </w:p>
    <w:p>
      <w:pPr>
        <w:pStyle w:val="10"/>
        <w:adjustRightInd w:val="0"/>
        <w:snapToGrid w:val="0"/>
        <w:spacing w:line="360" w:lineRule="auto"/>
        <w:ind w:firstLine="1124" w:firstLineChars="400"/>
        <w:rPr>
          <w:rFonts w:hint="eastAsia" w:ascii="宋体" w:hAnsi="宋体"/>
          <w:b/>
          <w:color w:val="auto"/>
          <w:sz w:val="28"/>
          <w:szCs w:val="28"/>
          <w:highlight w:val="none"/>
        </w:rPr>
      </w:pPr>
    </w:p>
    <w:p>
      <w:pPr>
        <w:pStyle w:val="10"/>
        <w:adjustRightInd w:val="0"/>
        <w:snapToGrid w:val="0"/>
        <w:spacing w:line="360" w:lineRule="auto"/>
        <w:ind w:firstLine="1124" w:firstLineChars="400"/>
        <w:rPr>
          <w:rFonts w:hint="eastAsia" w:ascii="宋体" w:hAnsi="宋体"/>
          <w:b/>
          <w:color w:val="auto"/>
          <w:sz w:val="28"/>
          <w:szCs w:val="28"/>
          <w:highlight w:val="none"/>
        </w:rPr>
      </w:pPr>
    </w:p>
    <w:p>
      <w:pPr>
        <w:pStyle w:val="10"/>
        <w:adjustRightInd w:val="0"/>
        <w:snapToGrid w:val="0"/>
        <w:spacing w:line="360" w:lineRule="auto"/>
        <w:ind w:firstLine="1124" w:firstLineChars="400"/>
        <w:rPr>
          <w:rFonts w:hint="eastAsia" w:ascii="宋体" w:hAnsi="宋体"/>
          <w:b/>
          <w:color w:val="auto"/>
          <w:sz w:val="28"/>
          <w:szCs w:val="28"/>
          <w:highlight w:val="none"/>
        </w:rPr>
      </w:pPr>
    </w:p>
    <w:p>
      <w:pPr>
        <w:pStyle w:val="10"/>
        <w:adjustRightInd w:val="0"/>
        <w:snapToGrid w:val="0"/>
        <w:spacing w:line="360" w:lineRule="auto"/>
        <w:ind w:firstLine="1124" w:firstLineChars="400"/>
        <w:rPr>
          <w:rFonts w:hint="eastAsia" w:ascii="宋体" w:hAnsi="宋体"/>
          <w:b/>
          <w:color w:val="auto"/>
          <w:szCs w:val="28"/>
          <w:highlight w:val="none"/>
        </w:rPr>
      </w:pPr>
      <w:r>
        <w:rPr>
          <w:rFonts w:hint="eastAsia" w:ascii="宋体" w:hAnsi="宋体"/>
          <w:b/>
          <w:color w:val="auto"/>
          <w:sz w:val="28"/>
          <w:szCs w:val="28"/>
          <w:highlight w:val="none"/>
        </w:rPr>
        <w:t>项目名称：</w:t>
      </w:r>
      <w:r>
        <w:rPr>
          <w:rFonts w:hint="eastAsia" w:ascii="宋体" w:hAnsi="宋体"/>
          <w:b/>
          <w:color w:val="auto"/>
          <w:sz w:val="28"/>
          <w:szCs w:val="28"/>
          <w:highlight w:val="none"/>
          <w:u w:val="single"/>
        </w:rPr>
        <w:t xml:space="preserve">                                 </w:t>
      </w:r>
    </w:p>
    <w:p>
      <w:pPr>
        <w:pStyle w:val="11"/>
        <w:adjustRightInd w:val="0"/>
        <w:snapToGrid w:val="0"/>
        <w:spacing w:line="360" w:lineRule="auto"/>
        <w:ind w:firstLine="632" w:firstLineChars="300"/>
        <w:rPr>
          <w:rFonts w:hint="eastAsia" w:hAnsi="宋体"/>
          <w:b/>
          <w:color w:val="auto"/>
          <w:szCs w:val="28"/>
          <w:highlight w:val="none"/>
        </w:rPr>
      </w:pPr>
    </w:p>
    <w:p>
      <w:pPr>
        <w:pStyle w:val="11"/>
        <w:adjustRightInd w:val="0"/>
        <w:snapToGrid w:val="0"/>
        <w:spacing w:line="360" w:lineRule="auto"/>
        <w:ind w:firstLine="632" w:firstLineChars="300"/>
        <w:rPr>
          <w:rFonts w:hint="eastAsia" w:hAnsi="宋体"/>
          <w:b/>
          <w:color w:val="auto"/>
          <w:szCs w:val="28"/>
          <w:highlight w:val="none"/>
        </w:rPr>
      </w:pPr>
    </w:p>
    <w:p>
      <w:pPr>
        <w:pStyle w:val="11"/>
        <w:adjustRightInd w:val="0"/>
        <w:snapToGrid w:val="0"/>
        <w:spacing w:line="360" w:lineRule="auto"/>
        <w:ind w:firstLine="632" w:firstLineChars="300"/>
        <w:rPr>
          <w:rFonts w:hint="eastAsia" w:hAnsi="宋体"/>
          <w:b/>
          <w:color w:val="auto"/>
          <w:szCs w:val="28"/>
          <w:highlight w:val="none"/>
        </w:rPr>
      </w:pPr>
    </w:p>
    <w:p>
      <w:pPr>
        <w:pStyle w:val="11"/>
        <w:adjustRightInd w:val="0"/>
        <w:snapToGrid w:val="0"/>
        <w:spacing w:line="360" w:lineRule="auto"/>
        <w:ind w:firstLine="632" w:firstLineChars="300"/>
        <w:rPr>
          <w:rFonts w:hint="eastAsia" w:hAnsi="宋体"/>
          <w:b/>
          <w:color w:val="auto"/>
          <w:szCs w:val="28"/>
          <w:highlight w:val="none"/>
        </w:rPr>
      </w:pPr>
    </w:p>
    <w:p>
      <w:pPr>
        <w:pStyle w:val="11"/>
        <w:adjustRightInd w:val="0"/>
        <w:snapToGrid w:val="0"/>
        <w:spacing w:line="360" w:lineRule="auto"/>
        <w:ind w:firstLine="632" w:firstLineChars="300"/>
        <w:rPr>
          <w:rFonts w:hint="eastAsia" w:hAnsi="宋体"/>
          <w:b/>
          <w:color w:val="auto"/>
          <w:szCs w:val="28"/>
          <w:highlight w:val="none"/>
        </w:rPr>
      </w:pPr>
    </w:p>
    <w:p>
      <w:pPr>
        <w:pStyle w:val="11"/>
        <w:adjustRightInd w:val="0"/>
        <w:snapToGrid w:val="0"/>
        <w:spacing w:line="360" w:lineRule="auto"/>
        <w:ind w:firstLine="632" w:firstLineChars="300"/>
        <w:rPr>
          <w:rFonts w:hint="eastAsia" w:hAnsi="宋体"/>
          <w:b/>
          <w:color w:val="auto"/>
          <w:szCs w:val="28"/>
          <w:highlight w:val="none"/>
        </w:rPr>
      </w:pPr>
    </w:p>
    <w:p>
      <w:pPr>
        <w:spacing w:line="380" w:lineRule="exact"/>
        <w:ind w:firstLine="420" w:firstLineChars="200"/>
        <w:rPr>
          <w:rFonts w:hint="eastAsia" w:ascii="宋体" w:hAnsi="宋体"/>
          <w:color w:val="auto"/>
          <w:szCs w:val="28"/>
          <w:highlight w:val="none"/>
          <w:u w:val="single"/>
        </w:rPr>
      </w:pPr>
      <w:r>
        <w:rPr>
          <w:rFonts w:hint="eastAsia" w:ascii="宋体" w:hAnsi="宋体"/>
          <w:color w:val="auto"/>
          <w:szCs w:val="28"/>
          <w:highlight w:val="none"/>
        </w:rPr>
        <w:t>投标人名称：</w:t>
      </w:r>
      <w:r>
        <w:rPr>
          <w:rFonts w:hint="eastAsia" w:ascii="宋体" w:hAnsi="宋体"/>
          <w:color w:val="auto"/>
          <w:szCs w:val="28"/>
          <w:highlight w:val="none"/>
          <w:u w:val="single"/>
        </w:rPr>
        <w:t xml:space="preserve">                                     </w:t>
      </w:r>
    </w:p>
    <w:p>
      <w:pPr>
        <w:spacing w:line="380" w:lineRule="exact"/>
        <w:ind w:firstLine="420" w:firstLineChars="200"/>
        <w:rPr>
          <w:rFonts w:hint="eastAsia" w:ascii="宋体" w:hAnsi="宋体"/>
          <w:color w:val="auto"/>
          <w:szCs w:val="28"/>
          <w:highlight w:val="none"/>
        </w:rPr>
      </w:pPr>
      <w:r>
        <w:rPr>
          <w:rFonts w:hint="eastAsia" w:ascii="宋体" w:hAnsi="宋体"/>
          <w:color w:val="auto"/>
          <w:szCs w:val="28"/>
          <w:highlight w:val="none"/>
        </w:rPr>
        <w:t>投标人地址：</w:t>
      </w:r>
      <w:r>
        <w:rPr>
          <w:rFonts w:hint="eastAsia" w:ascii="宋体" w:hAnsi="宋体"/>
          <w:color w:val="auto"/>
          <w:szCs w:val="28"/>
          <w:highlight w:val="none"/>
          <w:u w:val="single"/>
        </w:rPr>
        <w:t xml:space="preserve">                                     </w:t>
      </w:r>
    </w:p>
    <w:p>
      <w:pPr>
        <w:spacing w:line="380" w:lineRule="exact"/>
        <w:ind w:firstLine="420" w:firstLineChars="200"/>
        <w:rPr>
          <w:rFonts w:hint="eastAsia" w:ascii="宋体" w:hAnsi="宋体"/>
          <w:color w:val="auto"/>
          <w:szCs w:val="28"/>
          <w:highlight w:val="none"/>
        </w:rPr>
      </w:pPr>
      <w:r>
        <w:rPr>
          <w:rFonts w:hint="eastAsia" w:ascii="宋体" w:hAnsi="宋体"/>
          <w:color w:val="auto"/>
          <w:szCs w:val="28"/>
          <w:highlight w:val="none"/>
        </w:rPr>
        <w:t>联</w:t>
      </w:r>
      <w:r>
        <w:rPr>
          <w:rFonts w:ascii="宋体" w:hAnsi="宋体"/>
          <w:color w:val="auto"/>
          <w:szCs w:val="28"/>
          <w:highlight w:val="none"/>
        </w:rPr>
        <w:t xml:space="preserve"> 系 人：</w:t>
      </w:r>
      <w:r>
        <w:rPr>
          <w:rFonts w:hint="eastAsia" w:ascii="宋体" w:hAnsi="宋体"/>
          <w:color w:val="auto"/>
          <w:szCs w:val="28"/>
          <w:highlight w:val="none"/>
          <w:u w:val="single"/>
        </w:rPr>
        <w:t xml:space="preserve">                                       </w:t>
      </w:r>
    </w:p>
    <w:p>
      <w:pPr>
        <w:spacing w:line="380" w:lineRule="exact"/>
        <w:ind w:firstLine="420" w:firstLineChars="200"/>
        <w:rPr>
          <w:rFonts w:hint="eastAsia" w:ascii="宋体" w:hAnsi="宋体"/>
          <w:color w:val="auto"/>
          <w:szCs w:val="28"/>
          <w:highlight w:val="none"/>
        </w:rPr>
      </w:pPr>
      <w:r>
        <w:rPr>
          <w:rFonts w:hint="eastAsia" w:ascii="宋体" w:hAnsi="宋体"/>
          <w:color w:val="auto"/>
          <w:szCs w:val="28"/>
          <w:highlight w:val="none"/>
        </w:rPr>
        <w:t>联系电话：</w:t>
      </w:r>
      <w:r>
        <w:rPr>
          <w:rFonts w:hint="eastAsia" w:ascii="宋体" w:hAnsi="宋体"/>
          <w:color w:val="auto"/>
          <w:szCs w:val="28"/>
          <w:highlight w:val="none"/>
          <w:u w:val="single"/>
        </w:rPr>
        <w:t xml:space="preserve">                                       </w:t>
      </w:r>
    </w:p>
    <w:p>
      <w:pPr>
        <w:spacing w:line="380" w:lineRule="exact"/>
        <w:ind w:firstLine="420" w:firstLineChars="200"/>
        <w:rPr>
          <w:rFonts w:hint="eastAsia" w:ascii="宋体" w:hAnsi="宋体"/>
          <w:color w:val="auto"/>
          <w:szCs w:val="28"/>
          <w:highlight w:val="none"/>
        </w:rPr>
      </w:pPr>
      <w:r>
        <w:rPr>
          <w:rFonts w:hint="eastAsia" w:ascii="宋体" w:hAnsi="宋体"/>
          <w:color w:val="auto"/>
          <w:szCs w:val="28"/>
          <w:highlight w:val="none"/>
        </w:rPr>
        <w:t>传真电话（或电子邮箱）：</w:t>
      </w:r>
      <w:r>
        <w:rPr>
          <w:rFonts w:hint="eastAsia" w:ascii="宋体" w:hAnsi="宋体"/>
          <w:color w:val="auto"/>
          <w:szCs w:val="28"/>
          <w:highlight w:val="none"/>
          <w:u w:val="single"/>
        </w:rPr>
        <w:t xml:space="preserve">                         </w:t>
      </w:r>
    </w:p>
    <w:p>
      <w:pPr>
        <w:pStyle w:val="9"/>
        <w:ind w:firstLine="420" w:firstLineChars="200"/>
        <w:rPr>
          <w:color w:val="auto"/>
          <w:highlight w:val="none"/>
        </w:rPr>
      </w:pPr>
      <w:r>
        <w:rPr>
          <w:rFonts w:hint="eastAsia" w:ascii="宋体" w:hAnsi="宋体" w:eastAsia="宋体" w:cs="Arial"/>
          <w:b w:val="0"/>
          <w:color w:val="auto"/>
          <w:sz w:val="21"/>
          <w:szCs w:val="28"/>
          <w:highlight w:val="none"/>
        </w:rPr>
        <w:t>日期：</w:t>
      </w:r>
      <w:r>
        <w:rPr>
          <w:rFonts w:hint="eastAsia" w:ascii="宋体" w:hAnsi="宋体" w:eastAsia="宋体"/>
          <w:b w:val="0"/>
          <w:color w:val="auto"/>
          <w:sz w:val="21"/>
          <w:szCs w:val="28"/>
          <w:highlight w:val="none"/>
        </w:rPr>
        <w:t xml:space="preserve">     </w:t>
      </w:r>
      <w:r>
        <w:rPr>
          <w:rFonts w:hint="eastAsia" w:ascii="宋体" w:hAnsi="宋体"/>
          <w:color w:val="auto"/>
          <w:szCs w:val="28"/>
          <w:highlight w:val="none"/>
        </w:rPr>
        <w:t xml:space="preserve">                           </w:t>
      </w:r>
    </w:p>
    <w:p>
      <w:pPr>
        <w:pStyle w:val="5"/>
        <w:rPr>
          <w:rFonts w:hint="eastAsia"/>
          <w:bCs/>
          <w:color w:val="auto"/>
          <w:sz w:val="24"/>
          <w:highlight w:val="none"/>
        </w:rPr>
      </w:pPr>
      <w:r>
        <w:rPr>
          <w:rFonts w:hint="eastAsia"/>
          <w:bCs/>
          <w:color w:val="auto"/>
          <w:sz w:val="24"/>
          <w:highlight w:val="none"/>
        </w:rPr>
        <w:t>附件</w:t>
      </w:r>
      <w:bookmarkStart w:id="29" w:name="_Toc34535367"/>
      <w:bookmarkStart w:id="30" w:name="_Toc35834921"/>
      <w:bookmarkStart w:id="31" w:name="_Toc28489505"/>
      <w:bookmarkStart w:id="32" w:name="_Toc14450847"/>
      <w:bookmarkStart w:id="33" w:name="_Toc109467920"/>
      <w:r>
        <w:rPr>
          <w:rFonts w:hint="eastAsia"/>
          <w:bCs/>
          <w:color w:val="auto"/>
          <w:sz w:val="24"/>
          <w:highlight w:val="none"/>
        </w:rPr>
        <w:t xml:space="preserve">1                     </w:t>
      </w:r>
    </w:p>
    <w:p>
      <w:pPr>
        <w:pStyle w:val="5"/>
        <w:jc w:val="center"/>
        <w:rPr>
          <w:rFonts w:hint="eastAsia"/>
          <w:bCs/>
          <w:color w:val="auto"/>
          <w:sz w:val="24"/>
          <w:highlight w:val="none"/>
        </w:rPr>
      </w:pPr>
      <w:r>
        <w:rPr>
          <w:rFonts w:hint="eastAsia"/>
          <w:bCs/>
          <w:color w:val="auto"/>
          <w:sz w:val="24"/>
          <w:highlight w:val="none"/>
        </w:rPr>
        <w:t>法定代表人证明书</w:t>
      </w:r>
      <w:bookmarkEnd w:id="29"/>
      <w:bookmarkEnd w:id="30"/>
      <w:bookmarkEnd w:id="31"/>
      <w:bookmarkEnd w:id="32"/>
      <w:bookmarkEnd w:id="33"/>
    </w:p>
    <w:p>
      <w:pPr>
        <w:pStyle w:val="22"/>
        <w:rPr>
          <w:rFonts w:hint="eastAsia"/>
          <w:color w:val="auto"/>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先生/女士，现任我公司</w:t>
      </w:r>
      <w:r>
        <w:rPr>
          <w:rFonts w:hint="eastAsia" w:ascii="宋体" w:hAnsi="宋体"/>
          <w:color w:val="auto"/>
          <w:sz w:val="24"/>
          <w:highlight w:val="none"/>
          <w:u w:val="single"/>
        </w:rPr>
        <w:t xml:space="preserve">         </w:t>
      </w:r>
      <w:r>
        <w:rPr>
          <w:rFonts w:hint="eastAsia" w:ascii="宋体" w:hAnsi="宋体"/>
          <w:color w:val="auto"/>
          <w:sz w:val="24"/>
          <w:highlight w:val="none"/>
        </w:rPr>
        <w:t>职务，为法定代表人，特此证明。</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单位（盖公章）：</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附：</w:t>
      </w:r>
    </w:p>
    <w:p>
      <w:pPr>
        <w:spacing w:line="360" w:lineRule="auto"/>
        <w:rPr>
          <w:rFonts w:hint="eastAsia" w:ascii="宋体" w:hAnsi="宋体"/>
          <w:color w:val="auto"/>
          <w:sz w:val="24"/>
          <w:highlight w:val="none"/>
        </w:rPr>
      </w:pPr>
      <w:r>
        <w:rPr>
          <w:rFonts w:hint="eastAsia" w:ascii="宋体" w:hAnsi="宋体"/>
          <w:color w:val="auto"/>
          <w:sz w:val="24"/>
          <w:highlight w:val="none"/>
        </w:rPr>
        <w:t>代表人性别：</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年龄：</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营业执照（注册号）：</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经济性质：</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r>
        <w:rPr>
          <w:rFonts w:hint="eastAsia" w:ascii="宋体" w:hAnsi="宋体"/>
          <w:color w:val="auto"/>
          <w:sz w:val="24"/>
          <w:highlight w:val="none"/>
        </w:rPr>
        <w:t>主营（产）：</w:t>
      </w:r>
      <w:r>
        <w:rPr>
          <w:rFonts w:hint="eastAsia" w:ascii="宋体" w:hAnsi="宋体"/>
          <w:color w:val="auto"/>
          <w:sz w:val="24"/>
          <w:highlight w:val="none"/>
          <w:u w:val="single"/>
        </w:rPr>
        <w:t xml:space="preserve">                              </w:t>
      </w:r>
    </w:p>
    <w:p>
      <w:pPr>
        <w:spacing w:line="360" w:lineRule="auto"/>
        <w:rPr>
          <w:rFonts w:hint="eastAsia" w:ascii="宋体" w:hAnsi="宋体"/>
          <w:bCs/>
          <w:color w:val="auto"/>
          <w:sz w:val="24"/>
          <w:highlight w:val="none"/>
          <w:u w:val="single"/>
        </w:rPr>
      </w:pPr>
    </w:p>
    <w:p>
      <w:pPr>
        <w:spacing w:line="360" w:lineRule="auto"/>
        <w:rPr>
          <w:rFonts w:hint="eastAsia" w:ascii="宋体" w:hAnsi="宋体"/>
          <w:bCs/>
          <w:color w:val="auto"/>
          <w:sz w:val="24"/>
          <w:highlight w:val="none"/>
          <w:u w:val="single"/>
        </w:rPr>
      </w:pPr>
      <w:r>
        <w:rPr>
          <w:rFonts w:ascii="宋体" w:hAnsi="宋体"/>
          <w:bCs/>
          <w:color w:val="auto"/>
          <w:sz w:val="20"/>
          <w:highlight w:val="none"/>
          <w:u w:val="single"/>
        </w:rPr>
        <mc:AlternateContent>
          <mc:Choice Requires="wps">
            <w:drawing>
              <wp:anchor distT="0" distB="0" distL="114300" distR="114300" simplePos="0" relativeHeight="251661312" behindDoc="0" locked="0" layoutInCell="1" allowOverlap="1">
                <wp:simplePos x="0" y="0"/>
                <wp:positionH relativeFrom="column">
                  <wp:posOffset>1844675</wp:posOffset>
                </wp:positionH>
                <wp:positionV relativeFrom="paragraph">
                  <wp:posOffset>52070</wp:posOffset>
                </wp:positionV>
                <wp:extent cx="1714500" cy="434340"/>
                <wp:effectExtent l="4445" t="5080" r="14605" b="17780"/>
                <wp:wrapNone/>
                <wp:docPr id="12" name="文本框 12"/>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加盖投标人公章</w:t>
                            </w:r>
                          </w:p>
                          <w:p>
                            <w:pPr>
                              <w:jc w:val="center"/>
                            </w:pPr>
                          </w:p>
                        </w:txbxContent>
                      </wps:txbx>
                      <wps:bodyPr upright="1"/>
                    </wps:wsp>
                  </a:graphicData>
                </a:graphic>
              </wp:anchor>
            </w:drawing>
          </mc:Choice>
          <mc:Fallback>
            <w:pict>
              <v:shape id="_x0000_s1026" o:spid="_x0000_s1026" o:spt="202" type="#_x0000_t202" style="position:absolute;left:0pt;margin-left:145.25pt;margin-top:4.1pt;height:34.2pt;width:135pt;z-index:251661312;mso-width-relative:page;mso-height-relative:page;" fillcolor="#FFFFFF" filled="t" stroked="t" coordsize="21600,21600" o:gfxdata="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anLqtcAAAAIAQAADwAAAAAAAAABACAAAAAi&#10;AAAAZHJzL2Rvd25yZXYueG1sUEsBAhQAFAAAAAgAh07iQMIuKo4LAgAAOAQAAA4AAAAAAAAAAQAg&#10;AAAAJgEAAGRycy9lMm9Eb2MueG1sUEsFBgAAAAAGAAYAWQEAAKMFAAAAAA==&#10;">
                <v:fill on="t" focussize="0,0"/>
                <v:stroke color="#000000" joinstyle="miter"/>
                <v:imagedata o:title=""/>
                <o:lock v:ext="edit" aspectratio="f"/>
                <v:textbox>
                  <w:txbxContent>
                    <w:p>
                      <w:pPr>
                        <w:jc w:val="center"/>
                      </w:pPr>
                      <w:r>
                        <w:rPr>
                          <w:rFonts w:hint="eastAsia"/>
                        </w:rPr>
                        <w:t>加盖投标人公章</w:t>
                      </w:r>
                    </w:p>
                    <w:p>
                      <w:pPr>
                        <w:jc w:val="center"/>
                      </w:pPr>
                    </w:p>
                  </w:txbxContent>
                </v:textbox>
              </v:shape>
            </w:pict>
          </mc:Fallback>
        </mc:AlternateContent>
      </w:r>
    </w:p>
    <w:tbl>
      <w:tblPr>
        <w:tblStyle w:val="15"/>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jc w:val="center"/>
        </w:trPr>
        <w:tc>
          <w:tcPr>
            <w:tcW w:w="7740" w:type="dxa"/>
            <w:vAlign w:val="center"/>
          </w:tcPr>
          <w:p>
            <w:pPr>
              <w:spacing w:line="460" w:lineRule="exact"/>
              <w:ind w:right="-85"/>
              <w:jc w:val="center"/>
              <w:rPr>
                <w:rFonts w:hint="eastAsia" w:ascii="宋体" w:hAnsi="宋体"/>
                <w:color w:val="auto"/>
                <w:highlight w:val="none"/>
              </w:rPr>
            </w:pPr>
            <w:r>
              <w:rPr>
                <w:rFonts w:hint="eastAsia" w:ascii="宋体" w:hAnsi="宋体"/>
                <w:color w:val="auto"/>
                <w:highlight w:val="none"/>
              </w:rPr>
              <w:t>（法人代表身份证复印件）</w:t>
            </w:r>
          </w:p>
        </w:tc>
      </w:tr>
    </w:tbl>
    <w:p>
      <w:pPr>
        <w:spacing w:line="360" w:lineRule="auto"/>
        <w:ind w:left="420" w:hanging="420" w:hangingChars="200"/>
        <w:rPr>
          <w:rFonts w:hint="eastAsia" w:ascii="宋体" w:hAnsi="宋体"/>
          <w:bCs/>
          <w:color w:val="auto"/>
          <w:highlight w:val="none"/>
        </w:rPr>
      </w:pPr>
    </w:p>
    <w:p>
      <w:pPr>
        <w:spacing w:line="360" w:lineRule="auto"/>
        <w:ind w:left="422" w:hanging="422" w:hangingChars="200"/>
        <w:rPr>
          <w:rFonts w:hint="eastAsia" w:ascii="宋体" w:hAnsi="宋体"/>
          <w:b/>
          <w:bCs/>
          <w:color w:val="auto"/>
          <w:highlight w:val="none"/>
        </w:rPr>
      </w:pPr>
      <w:r>
        <w:rPr>
          <w:rFonts w:hint="eastAsia" w:ascii="宋体" w:hAnsi="宋体"/>
          <w:b/>
          <w:bCs/>
          <w:color w:val="auto"/>
          <w:highlight w:val="none"/>
        </w:rPr>
        <w:t>注：法定代表人的姓名必须与营业执照法定代表人姓名完全一致。</w:t>
      </w:r>
    </w:p>
    <w:p>
      <w:pPr>
        <w:pStyle w:val="5"/>
        <w:rPr>
          <w:rFonts w:hint="eastAsia"/>
          <w:bCs/>
          <w:color w:val="auto"/>
          <w:sz w:val="24"/>
          <w:highlight w:val="none"/>
        </w:rPr>
      </w:pPr>
      <w:r>
        <w:rPr>
          <w:color w:val="auto"/>
          <w:highlight w:val="none"/>
        </w:rPr>
        <w:br w:type="page"/>
      </w:r>
      <w:bookmarkStart w:id="34" w:name="_Toc34535368"/>
      <w:bookmarkStart w:id="35" w:name="_Toc109467921"/>
      <w:bookmarkStart w:id="36" w:name="_Toc28489506"/>
      <w:bookmarkStart w:id="37" w:name="_Toc35834922"/>
      <w:bookmarkStart w:id="38" w:name="_Toc14450848"/>
      <w:r>
        <w:rPr>
          <w:rFonts w:hint="eastAsia"/>
          <w:bCs/>
          <w:color w:val="auto"/>
          <w:sz w:val="24"/>
          <w:highlight w:val="none"/>
        </w:rPr>
        <w:t xml:space="preserve">附件2                    </w:t>
      </w:r>
    </w:p>
    <w:p>
      <w:pPr>
        <w:pStyle w:val="5"/>
        <w:jc w:val="center"/>
        <w:rPr>
          <w:rFonts w:hint="eastAsia"/>
          <w:bCs/>
          <w:color w:val="auto"/>
          <w:sz w:val="24"/>
          <w:highlight w:val="none"/>
        </w:rPr>
      </w:pPr>
      <w:r>
        <w:rPr>
          <w:rFonts w:hint="eastAsia"/>
          <w:bCs/>
          <w:color w:val="auto"/>
          <w:sz w:val="24"/>
          <w:highlight w:val="none"/>
        </w:rPr>
        <w:t>法定代表人授权委托书</w:t>
      </w:r>
      <w:bookmarkEnd w:id="34"/>
      <w:bookmarkEnd w:id="35"/>
      <w:bookmarkEnd w:id="36"/>
      <w:bookmarkEnd w:id="37"/>
      <w:bookmarkEnd w:id="38"/>
    </w:p>
    <w:p>
      <w:pPr>
        <w:pStyle w:val="22"/>
        <w:rPr>
          <w:rFonts w:hint="eastAsia"/>
          <w:color w:val="auto"/>
          <w:highlight w:val="none"/>
        </w:rPr>
      </w:pPr>
    </w:p>
    <w:p>
      <w:pPr>
        <w:spacing w:line="360" w:lineRule="auto"/>
        <w:ind w:left="2" w:firstLine="460" w:firstLineChars="192"/>
        <w:rPr>
          <w:rFonts w:hint="eastAsia" w:ascii="宋体" w:hAnsi="宋体"/>
          <w:bCs/>
          <w:color w:val="auto"/>
          <w:sz w:val="24"/>
          <w:highlight w:val="none"/>
        </w:rPr>
      </w:pPr>
      <w:r>
        <w:rPr>
          <w:rFonts w:hint="eastAsia" w:ascii="宋体" w:hAnsi="宋体"/>
          <w:bCs/>
          <w:color w:val="auto"/>
          <w:sz w:val="24"/>
          <w:highlight w:val="none"/>
        </w:rPr>
        <w:t>兹授权</w:t>
      </w:r>
      <w:r>
        <w:rPr>
          <w:rFonts w:hint="eastAsia" w:ascii="宋体" w:hAnsi="宋体"/>
          <w:bCs/>
          <w:color w:val="auto"/>
          <w:sz w:val="24"/>
          <w:highlight w:val="none"/>
          <w:u w:val="single"/>
        </w:rPr>
        <w:t xml:space="preserve">     </w:t>
      </w:r>
      <w:r>
        <w:rPr>
          <w:rFonts w:hint="eastAsia" w:ascii="宋体" w:hAnsi="宋体"/>
          <w:bCs/>
          <w:color w:val="auto"/>
          <w:sz w:val="24"/>
          <w:highlight w:val="none"/>
        </w:rPr>
        <w:t>（身份证号</w:t>
      </w:r>
      <w:r>
        <w:rPr>
          <w:rFonts w:hint="eastAsia" w:ascii="宋体" w:hAnsi="宋体"/>
          <w:bCs/>
          <w:color w:val="auto"/>
          <w:sz w:val="24"/>
          <w:highlight w:val="none"/>
          <w:u w:val="single"/>
        </w:rPr>
        <w:t xml:space="preserve">：                      </w:t>
      </w:r>
      <w:r>
        <w:rPr>
          <w:rFonts w:hint="eastAsia" w:ascii="宋体" w:hAnsi="宋体"/>
          <w:bCs/>
          <w:color w:val="auto"/>
          <w:sz w:val="24"/>
          <w:highlight w:val="none"/>
        </w:rPr>
        <w:t xml:space="preserve"> ，性别：</w:t>
      </w:r>
      <w:r>
        <w:rPr>
          <w:rFonts w:hint="eastAsia" w:ascii="宋体" w:hAnsi="宋体"/>
          <w:bCs/>
          <w:color w:val="auto"/>
          <w:sz w:val="24"/>
          <w:highlight w:val="none"/>
          <w:u w:val="single"/>
        </w:rPr>
        <w:t xml:space="preserve">   </w:t>
      </w:r>
      <w:r>
        <w:rPr>
          <w:rFonts w:hint="eastAsia" w:ascii="宋体" w:hAnsi="宋体"/>
          <w:bCs/>
          <w:color w:val="auto"/>
          <w:sz w:val="24"/>
          <w:highlight w:val="none"/>
        </w:rPr>
        <w:t>，年龄：</w:t>
      </w:r>
      <w:r>
        <w:rPr>
          <w:rFonts w:hint="eastAsia" w:ascii="宋体" w:hAnsi="宋体"/>
          <w:bCs/>
          <w:color w:val="auto"/>
          <w:sz w:val="24"/>
          <w:highlight w:val="none"/>
          <w:u w:val="single"/>
        </w:rPr>
        <w:t xml:space="preserve">     </w:t>
      </w:r>
      <w:r>
        <w:rPr>
          <w:rFonts w:hint="eastAsia" w:ascii="宋体" w:hAnsi="宋体"/>
          <w:bCs/>
          <w:color w:val="auto"/>
          <w:sz w:val="24"/>
          <w:highlight w:val="none"/>
        </w:rPr>
        <w:t>，职务：</w:t>
      </w:r>
      <w:r>
        <w:rPr>
          <w:rFonts w:hint="eastAsia" w:ascii="宋体" w:hAnsi="宋体"/>
          <w:bCs/>
          <w:color w:val="auto"/>
          <w:sz w:val="24"/>
          <w:highlight w:val="none"/>
          <w:u w:val="single"/>
        </w:rPr>
        <w:t xml:space="preserve">     </w:t>
      </w:r>
      <w:r>
        <w:rPr>
          <w:rFonts w:hint="eastAsia" w:ascii="宋体" w:hAnsi="宋体"/>
          <w:bCs/>
          <w:color w:val="auto"/>
          <w:sz w:val="24"/>
          <w:highlight w:val="none"/>
        </w:rPr>
        <w:t>，联系电话：</w:t>
      </w:r>
      <w:r>
        <w:rPr>
          <w:rFonts w:hint="eastAsia" w:ascii="宋体" w:hAnsi="宋体"/>
          <w:bCs/>
          <w:color w:val="auto"/>
          <w:sz w:val="24"/>
          <w:highlight w:val="none"/>
          <w:u w:val="single"/>
        </w:rPr>
        <w:t xml:space="preserve">                </w:t>
      </w:r>
      <w:r>
        <w:rPr>
          <w:rFonts w:hint="eastAsia" w:ascii="宋体" w:hAnsi="宋体"/>
          <w:bCs/>
          <w:color w:val="auto"/>
          <w:sz w:val="24"/>
          <w:highlight w:val="none"/>
        </w:rPr>
        <w:t>），作为投标人代表以本公司的名义处理一切与之有关的事宜。</w:t>
      </w:r>
    </w:p>
    <w:p>
      <w:pPr>
        <w:spacing w:line="360" w:lineRule="auto"/>
        <w:ind w:left="2" w:firstLine="460" w:firstLineChars="192"/>
        <w:rPr>
          <w:rFonts w:hint="eastAsia" w:ascii="宋体" w:hAnsi="宋体"/>
          <w:bCs/>
          <w:color w:val="auto"/>
          <w:sz w:val="24"/>
          <w:highlight w:val="none"/>
        </w:rPr>
      </w:pPr>
      <w:r>
        <w:rPr>
          <w:rFonts w:hint="eastAsia" w:ascii="宋体" w:hAnsi="宋体"/>
          <w:color w:val="auto"/>
          <w:sz w:val="24"/>
          <w:highlight w:val="none"/>
        </w:rPr>
        <w:t>代理人无转委权。</w:t>
      </w:r>
    </w:p>
    <w:p>
      <w:pPr>
        <w:spacing w:line="360" w:lineRule="auto"/>
        <w:ind w:left="2" w:firstLine="460" w:firstLineChars="192"/>
        <w:rPr>
          <w:rFonts w:hint="eastAsia" w:ascii="宋体" w:hAnsi="宋体"/>
          <w:color w:val="auto"/>
          <w:sz w:val="24"/>
          <w:highlight w:val="none"/>
        </w:rPr>
      </w:pPr>
      <w:r>
        <w:rPr>
          <w:rFonts w:hint="eastAsia" w:ascii="宋体" w:hAnsi="宋体"/>
          <w:bCs/>
          <w:color w:val="auto"/>
          <w:sz w:val="24"/>
          <w:highlight w:val="none"/>
        </w:rPr>
        <w:t>本授权书于</w:t>
      </w:r>
      <w:r>
        <w:rPr>
          <w:rFonts w:hint="eastAsia" w:ascii="宋体" w:hAnsi="宋体"/>
          <w:bCs/>
          <w:color w:val="auto"/>
          <w:sz w:val="24"/>
          <w:highlight w:val="none"/>
          <w:u w:val="single"/>
        </w:rPr>
        <w:t xml:space="preserve">    </w:t>
      </w:r>
      <w:r>
        <w:rPr>
          <w:rFonts w:hint="eastAsia" w:ascii="宋体" w:hAnsi="宋体"/>
          <w:bCs/>
          <w:color w:val="auto"/>
          <w:sz w:val="24"/>
          <w:highlight w:val="none"/>
        </w:rPr>
        <w:t>年</w:t>
      </w:r>
      <w:r>
        <w:rPr>
          <w:rFonts w:hint="eastAsia" w:ascii="宋体" w:hAnsi="宋体"/>
          <w:bCs/>
          <w:color w:val="auto"/>
          <w:sz w:val="24"/>
          <w:highlight w:val="none"/>
          <w:u w:val="single"/>
        </w:rPr>
        <w:t xml:space="preserve">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rPr>
        <w:t>日签字生效，</w:t>
      </w:r>
      <w:r>
        <w:rPr>
          <w:rFonts w:hint="eastAsia" w:ascii="宋体" w:hAnsi="宋体"/>
          <w:color w:val="auto"/>
          <w:sz w:val="24"/>
          <w:highlight w:val="none"/>
        </w:rPr>
        <w:t>有效日期：</w:t>
      </w:r>
      <w:r>
        <w:rPr>
          <w:rFonts w:hint="eastAsia" w:ascii="宋体" w:hAnsi="宋体"/>
          <w:bCs/>
          <w:color w:val="auto"/>
          <w:sz w:val="24"/>
          <w:highlight w:val="none"/>
          <w:u w:val="single"/>
        </w:rPr>
        <w:t xml:space="preserve">    </w:t>
      </w:r>
      <w:r>
        <w:rPr>
          <w:rFonts w:hint="eastAsia" w:ascii="宋体" w:hAnsi="宋体"/>
          <w:bCs/>
          <w:color w:val="auto"/>
          <w:sz w:val="24"/>
          <w:highlight w:val="none"/>
        </w:rPr>
        <w:t>年</w:t>
      </w:r>
      <w:r>
        <w:rPr>
          <w:rFonts w:hint="eastAsia" w:ascii="宋体" w:hAnsi="宋体"/>
          <w:bCs/>
          <w:color w:val="auto"/>
          <w:sz w:val="24"/>
          <w:highlight w:val="none"/>
          <w:u w:val="single"/>
        </w:rPr>
        <w:t xml:space="preserve">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rPr>
        <w:t>日。</w:t>
      </w:r>
      <w:r>
        <w:rPr>
          <w:rFonts w:hint="eastAsia" w:ascii="宋体" w:hAnsi="宋体"/>
          <w:color w:val="auto"/>
          <w:sz w:val="24"/>
          <w:highlight w:val="none"/>
        </w:rPr>
        <w:t xml:space="preserve">  </w:t>
      </w:r>
    </w:p>
    <w:p>
      <w:pPr>
        <w:spacing w:line="360" w:lineRule="auto"/>
        <w:ind w:left="2" w:firstLine="460" w:firstLineChars="192"/>
        <w:rPr>
          <w:rFonts w:hint="eastAsia" w:ascii="宋体" w:hAnsi="宋体"/>
          <w:bCs/>
          <w:color w:val="auto"/>
          <w:sz w:val="24"/>
          <w:highlight w:val="none"/>
        </w:rPr>
      </w:pPr>
      <w:r>
        <w:rPr>
          <w:rFonts w:hint="eastAsia" w:ascii="宋体" w:hAnsi="宋体"/>
          <w:bCs/>
          <w:color w:val="auto"/>
          <w:sz w:val="24"/>
          <w:highlight w:val="none"/>
        </w:rPr>
        <w:t>特此声明。</w:t>
      </w:r>
    </w:p>
    <w:p>
      <w:pPr>
        <w:spacing w:line="360" w:lineRule="auto"/>
        <w:rPr>
          <w:rFonts w:hint="eastAsia" w:ascii="宋体" w:hAnsi="宋体"/>
          <w:bCs/>
          <w:color w:val="auto"/>
          <w:sz w:val="24"/>
          <w:highlight w:val="none"/>
        </w:rPr>
      </w:pP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法定代表人签字或盖章：</w:t>
      </w:r>
      <w:r>
        <w:rPr>
          <w:rFonts w:hint="eastAsia" w:ascii="宋体" w:hAnsi="宋体"/>
          <w:bCs/>
          <w:color w:val="auto"/>
          <w:sz w:val="24"/>
          <w:highlight w:val="none"/>
          <w:u w:val="single"/>
        </w:rPr>
        <w:t xml:space="preserve">                                  </w:t>
      </w:r>
    </w:p>
    <w:p>
      <w:pPr>
        <w:spacing w:line="360" w:lineRule="auto"/>
        <w:rPr>
          <w:rFonts w:hint="eastAsia" w:ascii="宋体" w:hAnsi="宋体"/>
          <w:bCs/>
          <w:color w:val="auto"/>
          <w:sz w:val="24"/>
          <w:highlight w:val="none"/>
        </w:rPr>
      </w:pP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投标人代表（授权代表）签字或盖章：</w:t>
      </w:r>
      <w:r>
        <w:rPr>
          <w:rFonts w:hint="eastAsia" w:ascii="宋体" w:hAnsi="宋体"/>
          <w:bCs/>
          <w:color w:val="auto"/>
          <w:sz w:val="24"/>
          <w:highlight w:val="none"/>
          <w:u w:val="single"/>
        </w:rPr>
        <w:t xml:space="preserve">                    </w:t>
      </w:r>
    </w:p>
    <w:p>
      <w:pPr>
        <w:spacing w:line="360" w:lineRule="auto"/>
        <w:rPr>
          <w:rFonts w:hint="eastAsia" w:ascii="宋体" w:hAnsi="宋体"/>
          <w:bCs/>
          <w:color w:val="auto"/>
          <w:sz w:val="24"/>
          <w:highlight w:val="none"/>
        </w:rPr>
      </w:pPr>
    </w:p>
    <w:p>
      <w:pPr>
        <w:spacing w:line="360" w:lineRule="auto"/>
        <w:rPr>
          <w:rFonts w:hint="eastAsia" w:ascii="宋体" w:hAnsi="宋体"/>
          <w:bCs/>
          <w:color w:val="auto"/>
          <w:sz w:val="24"/>
          <w:highlight w:val="none"/>
          <w:u w:val="single"/>
        </w:rPr>
      </w:pPr>
      <w:r>
        <w:rPr>
          <w:rFonts w:ascii="宋体" w:hAnsi="宋体"/>
          <w:bCs/>
          <w:color w:val="auto"/>
          <w:sz w:val="20"/>
          <w:highlight w:val="none"/>
          <w:u w:val="single"/>
        </w:rPr>
        <mc:AlternateContent>
          <mc:Choice Requires="wps">
            <w:drawing>
              <wp:anchor distT="0" distB="0" distL="114300" distR="114300" simplePos="0" relativeHeight="251662336" behindDoc="0" locked="0" layoutInCell="1" allowOverlap="1">
                <wp:simplePos x="0" y="0"/>
                <wp:positionH relativeFrom="column">
                  <wp:posOffset>2171700</wp:posOffset>
                </wp:positionH>
                <wp:positionV relativeFrom="paragraph">
                  <wp:posOffset>99060</wp:posOffset>
                </wp:positionV>
                <wp:extent cx="1714500" cy="434340"/>
                <wp:effectExtent l="4445" t="5080" r="14605" b="17780"/>
                <wp:wrapNone/>
                <wp:docPr id="13" name="文本框 13"/>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加盖投标人公章</w:t>
                            </w:r>
                          </w:p>
                          <w:p/>
                        </w:txbxContent>
                      </wps:txbx>
                      <wps:bodyPr upright="1"/>
                    </wps:wsp>
                  </a:graphicData>
                </a:graphic>
              </wp:anchor>
            </w:drawing>
          </mc:Choice>
          <mc:Fallback>
            <w:pict>
              <v:shape id="_x0000_s1026" o:spid="_x0000_s1026" o:spt="202" type="#_x0000_t202" style="position:absolute;left:0pt;margin-left:171pt;margin-top:7.8pt;height:34.2pt;width:135pt;z-index:251662336;mso-width-relative:page;mso-height-relative:page;" fillcolor="#FFFFFF" filled="t" stroked="t" coordsize="21600,21600" o:gfxdata="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gZcAHXAAAACQEAAA8AAAAAAAAAAQAgAAAA&#10;IgAAAGRycy9kb3ducmV2LnhtbFBLAQIUABQAAAAIAIdO4kDJ2rgfDAIAADgEAAAOAAAAAAAAAAEA&#10;IAAAACYBAABkcnMvZTJvRG9jLnhtbFBLBQYAAAAABgAGAFkBAACkBQAAAAA=&#10;">
                <v:fill on="t" focussize="0,0"/>
                <v:stroke color="#000000" joinstyle="miter"/>
                <v:imagedata o:title=""/>
                <o:lock v:ext="edit" aspectratio="f"/>
                <v:textbox>
                  <w:txbxContent>
                    <w:p>
                      <w:pPr>
                        <w:jc w:val="center"/>
                      </w:pPr>
                      <w:r>
                        <w:rPr>
                          <w:rFonts w:hint="eastAsia"/>
                        </w:rPr>
                        <w:t>加盖投标人公章</w:t>
                      </w:r>
                    </w:p>
                    <w:p/>
                  </w:txbxContent>
                </v:textbox>
              </v:shape>
            </w:pict>
          </mc:Fallback>
        </mc:AlternateContent>
      </w:r>
    </w:p>
    <w:tbl>
      <w:tblPr>
        <w:tblStyle w:val="15"/>
        <w:tblW w:w="7740"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trPr>
        <w:tc>
          <w:tcPr>
            <w:tcW w:w="7740" w:type="dxa"/>
            <w:vAlign w:val="center"/>
          </w:tcPr>
          <w:p>
            <w:pPr>
              <w:spacing w:line="460" w:lineRule="exact"/>
              <w:ind w:right="-85" w:firstLine="589"/>
              <w:jc w:val="center"/>
              <w:rPr>
                <w:rFonts w:hint="eastAsia" w:ascii="宋体" w:hAnsi="宋体"/>
                <w:color w:val="auto"/>
                <w:highlight w:val="none"/>
              </w:rPr>
            </w:pPr>
            <w:r>
              <w:rPr>
                <w:rFonts w:hint="eastAsia" w:ascii="宋体" w:hAnsi="宋体"/>
                <w:color w:val="auto"/>
                <w:highlight w:val="none"/>
              </w:rPr>
              <w:t>（投标人代表身份证复印件）</w:t>
            </w:r>
          </w:p>
        </w:tc>
      </w:tr>
    </w:tbl>
    <w:p>
      <w:pPr>
        <w:pStyle w:val="5"/>
        <w:rPr>
          <w:rFonts w:hint="eastAsia"/>
          <w:color w:val="auto"/>
          <w:sz w:val="24"/>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5"/>
        <w:rPr>
          <w:rFonts w:hint="eastAsia"/>
          <w:bCs/>
          <w:color w:val="auto"/>
          <w:sz w:val="24"/>
          <w:highlight w:val="none"/>
        </w:rPr>
      </w:pPr>
      <w:r>
        <w:rPr>
          <w:rFonts w:hint="eastAsia"/>
          <w:bCs/>
          <w:color w:val="auto"/>
          <w:sz w:val="24"/>
          <w:highlight w:val="none"/>
        </w:rPr>
        <w:t xml:space="preserve">附件3                            </w:t>
      </w:r>
    </w:p>
    <w:p>
      <w:pPr>
        <w:pStyle w:val="5"/>
        <w:ind w:firstLine="3306" w:firstLineChars="1372"/>
        <w:rPr>
          <w:rFonts w:hint="eastAsia"/>
          <w:bCs/>
          <w:color w:val="auto"/>
          <w:sz w:val="24"/>
          <w:highlight w:val="none"/>
        </w:rPr>
      </w:pPr>
      <w:r>
        <w:rPr>
          <w:rFonts w:hint="eastAsia"/>
          <w:bCs/>
          <w:color w:val="auto"/>
          <w:sz w:val="24"/>
          <w:highlight w:val="none"/>
        </w:rPr>
        <w:t xml:space="preserve">   投标函</w:t>
      </w:r>
    </w:p>
    <w:p>
      <w:pPr>
        <w:pStyle w:val="22"/>
        <w:rPr>
          <w:rFonts w:hint="eastAsia"/>
          <w:color w:val="auto"/>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致：广州南沙旅游发展有限公司</w:t>
      </w:r>
    </w:p>
    <w:p>
      <w:pPr>
        <w:pStyle w:val="11"/>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为响应你方组织的</w:t>
      </w:r>
      <w:r>
        <w:rPr>
          <w:rFonts w:hint="eastAsia" w:hAnsi="宋体"/>
          <w:color w:val="auto"/>
          <w:sz w:val="24"/>
          <w:szCs w:val="24"/>
          <w:highlight w:val="none"/>
          <w:u w:val="single"/>
        </w:rPr>
        <w:t xml:space="preserve">  </w:t>
      </w:r>
      <w:bookmarkStart w:id="39" w:name="fsmingc_6"/>
      <w:r>
        <w:rPr>
          <w:rFonts w:hint="eastAsia" w:hAnsi="宋体"/>
          <w:color w:val="auto"/>
          <w:sz w:val="24"/>
          <w:szCs w:val="24"/>
          <w:highlight w:val="none"/>
          <w:u w:val="single"/>
        </w:rPr>
        <w:t>(项目名称)</w:t>
      </w:r>
      <w:bookmarkEnd w:id="39"/>
      <w:r>
        <w:rPr>
          <w:rFonts w:hint="eastAsia" w:hAnsi="宋体"/>
          <w:color w:val="auto"/>
          <w:sz w:val="24"/>
          <w:szCs w:val="24"/>
          <w:highlight w:val="none"/>
          <w:u w:val="single"/>
        </w:rPr>
        <w:t xml:space="preserve">  </w:t>
      </w:r>
      <w:r>
        <w:rPr>
          <w:rFonts w:hint="eastAsia" w:hAnsi="宋体"/>
          <w:color w:val="auto"/>
          <w:kern w:val="28"/>
          <w:sz w:val="24"/>
          <w:szCs w:val="24"/>
          <w:highlight w:val="none"/>
        </w:rPr>
        <w:t>项目</w:t>
      </w:r>
      <w:r>
        <w:rPr>
          <w:rFonts w:hint="eastAsia" w:hAnsi="宋体"/>
          <w:color w:val="auto"/>
          <w:sz w:val="24"/>
          <w:szCs w:val="24"/>
          <w:highlight w:val="none"/>
        </w:rPr>
        <w:t>的采购，我方愿参与投标。</w:t>
      </w:r>
    </w:p>
    <w:p>
      <w:pPr>
        <w:pStyle w:val="11"/>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我方确认收到贵方提供的</w:t>
      </w:r>
      <w:r>
        <w:rPr>
          <w:rFonts w:hAnsi="宋体"/>
          <w:color w:val="auto"/>
          <w:kern w:val="28"/>
          <w:sz w:val="24"/>
          <w:szCs w:val="24"/>
          <w:highlight w:val="none"/>
          <w:u w:val="single"/>
        </w:rPr>
        <w:t xml:space="preserve">  </w:t>
      </w:r>
      <w:bookmarkStart w:id="40" w:name="fsmingc_7"/>
      <w:r>
        <w:rPr>
          <w:rFonts w:hint="eastAsia" w:hAnsi="宋体"/>
          <w:color w:val="auto"/>
          <w:kern w:val="28"/>
          <w:sz w:val="24"/>
          <w:szCs w:val="24"/>
          <w:highlight w:val="none"/>
          <w:u w:val="single"/>
        </w:rPr>
        <w:t>(项目名称)</w:t>
      </w:r>
      <w:bookmarkEnd w:id="40"/>
      <w:r>
        <w:rPr>
          <w:rFonts w:hAnsi="宋体"/>
          <w:color w:val="auto"/>
          <w:kern w:val="28"/>
          <w:sz w:val="24"/>
          <w:szCs w:val="24"/>
          <w:highlight w:val="none"/>
          <w:u w:val="single"/>
        </w:rPr>
        <w:t xml:space="preserve">  </w:t>
      </w:r>
      <w:r>
        <w:rPr>
          <w:rFonts w:hint="eastAsia" w:hAnsi="宋体"/>
          <w:color w:val="auto"/>
          <w:sz w:val="24"/>
          <w:szCs w:val="24"/>
          <w:highlight w:val="none"/>
        </w:rPr>
        <w:t>的招标文件的全部内容。</w:t>
      </w:r>
    </w:p>
    <w:p>
      <w:pPr>
        <w:pStyle w:val="11"/>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我方在参与投标前已详细研究了招标文件的所有内容，包括澄清、修改文件（如有）和所有已提供的参考资料以及有关附件，我方完全明白并认为此招标文件没有倾向性，也不存在排斥潜在投标人的内容，我方同意招标文件的相关条款，放弃对招标文件提出误解和质疑的一切权力。</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i/>
          <w:color w:val="auto"/>
          <w:sz w:val="24"/>
          <w:highlight w:val="none"/>
          <w:u w:val="singl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作为投标人正式授权</w:t>
      </w:r>
      <w:r>
        <w:rPr>
          <w:rFonts w:hint="eastAsia" w:ascii="宋体" w:hAnsi="宋体"/>
          <w:color w:val="auto"/>
          <w:sz w:val="24"/>
          <w:highlight w:val="none"/>
          <w:u w:val="single"/>
        </w:rPr>
        <w:t xml:space="preserve">  </w:t>
      </w:r>
      <w:r>
        <w:rPr>
          <w:rFonts w:hint="eastAsia" w:ascii="宋体" w:hAnsi="宋体"/>
          <w:i/>
          <w:color w:val="auto"/>
          <w:sz w:val="24"/>
          <w:highlight w:val="none"/>
          <w:u w:val="single"/>
        </w:rPr>
        <w:t xml:space="preserve">(授权代表全名, 职务)  </w:t>
      </w:r>
      <w:r>
        <w:rPr>
          <w:rFonts w:hint="eastAsia" w:ascii="宋体" w:hAnsi="宋体"/>
          <w:color w:val="auto"/>
          <w:sz w:val="24"/>
          <w:highlight w:val="none"/>
        </w:rPr>
        <w:t>代表我方全权处理有关本投标的一切事宜。</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在此提交的投标文件，正本壹份，副本肆份及电子文件。</w:t>
      </w:r>
    </w:p>
    <w:p>
      <w:pPr>
        <w:pStyle w:val="11"/>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我方已完全明白招标文件的所有条款要求，并申明如下：</w:t>
      </w:r>
    </w:p>
    <w:p>
      <w:pPr>
        <w:pStyle w:val="11"/>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（一）按采购文件提供的相关服务的投标总价详见《开标一览表(报价表)》。</w:t>
      </w:r>
    </w:p>
    <w:p>
      <w:pPr>
        <w:pStyle w:val="11"/>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二）本投标文件的有效期为投标截止时间起90天。如中标，有效期将延至合同终止之日为止。在此提交的资格证明文件均至投标截止日有效，如有在投标有效期内失效的，我方承诺在中标后补齐一切手续，保证所有资格证明文件能在签订合同时直至合同终止日有效。</w:t>
      </w:r>
    </w:p>
    <w:p>
      <w:pPr>
        <w:pStyle w:val="11"/>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（三）我方明白并同意，在规定的投标截止日之后，投标有效期之内不得撤回投标。</w:t>
      </w:r>
    </w:p>
    <w:p>
      <w:pPr>
        <w:pStyle w:val="11"/>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（四）我方同意按照贵方可能提出的要求而提供与投标有关的任何其它数据、信息或资料。</w:t>
      </w:r>
    </w:p>
    <w:p>
      <w:pPr>
        <w:pStyle w:val="11"/>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（五）我方理解贵方不一定接受最低投标价或任何贵方可能收到的投标。</w:t>
      </w:r>
    </w:p>
    <w:p>
      <w:pPr>
        <w:pStyle w:val="11"/>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（六）我方如果中标，将保证履行招标文件及其澄清、修改文件（如有）中的全部责任和义务，按质、按量、按期完成《用户需求书》及《合同书》中的全部任务。</w:t>
      </w:r>
    </w:p>
    <w:p>
      <w:pPr>
        <w:pStyle w:val="11"/>
        <w:tabs>
          <w:tab w:val="left" w:pos="9360"/>
        </w:tabs>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（八）我方是在法律、财务和运作上独立于采购人的投标人，在此保证所提交的所有文件和全部说明是真实的和正确的。</w:t>
      </w:r>
    </w:p>
    <w:p>
      <w:pPr>
        <w:spacing w:line="360" w:lineRule="auto"/>
        <w:ind w:firstLine="410" w:firstLineChars="171"/>
        <w:rPr>
          <w:rFonts w:hint="eastAsia" w:ascii="宋体" w:hAnsi="宋体"/>
          <w:color w:val="auto"/>
          <w:sz w:val="24"/>
          <w:highlight w:val="none"/>
        </w:rPr>
      </w:pPr>
      <w:r>
        <w:rPr>
          <w:rFonts w:hint="eastAsia" w:ascii="宋体" w:hAnsi="宋体"/>
          <w:color w:val="auto"/>
          <w:sz w:val="24"/>
          <w:highlight w:val="none"/>
        </w:rPr>
        <w:t>（九）我方投标报价已包含应向知识产权所有权人支付的所有相关税费，并保证招标人在中国使用我方提供的货物或服务时，如有第三方提出侵犯其知识产权主张的，责任由我方承担。</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（十）我方对在本函及投标文件中所作的所有承诺承担法律责任。</w:t>
      </w:r>
    </w:p>
    <w:p>
      <w:pPr>
        <w:spacing w:line="360" w:lineRule="auto"/>
        <w:ind w:firstLine="720" w:firstLineChars="300"/>
        <w:rPr>
          <w:rFonts w:hint="eastAsia" w:ascii="宋体" w:hAnsi="宋体"/>
          <w:color w:val="auto"/>
          <w:sz w:val="24"/>
          <w:highlight w:val="none"/>
        </w:rPr>
      </w:pPr>
      <w:r>
        <w:rPr>
          <w:rFonts w:hint="eastAsia" w:ascii="宋体" w:hAnsi="宋体"/>
          <w:color w:val="auto"/>
          <w:sz w:val="24"/>
          <w:highlight w:val="none"/>
        </w:rPr>
        <w:t>以上内容如有虚假或与事实不符的，评审委员会可将我方做无效投标处理，我方愿意承担相应的法律责任。</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投 标 人 名 称：</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pPr>
        <w:pStyle w:val="7"/>
        <w:rPr>
          <w:color w:val="auto"/>
          <w:highlight w:val="none"/>
        </w:rPr>
      </w:pP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法定代表人或投标授权代表（签字或签章）：</w:t>
      </w:r>
      <w:r>
        <w:rPr>
          <w:rFonts w:hint="eastAsia" w:ascii="宋体" w:hAnsi="宋体"/>
          <w:color w:val="auto"/>
          <w:sz w:val="24"/>
          <w:highlight w:val="none"/>
          <w:u w:val="single"/>
        </w:rPr>
        <w:t xml:space="preserve">                            </w:t>
      </w: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投标人（公章）：</w:t>
      </w:r>
    </w:p>
    <w:p>
      <w:pPr>
        <w:spacing w:line="360" w:lineRule="auto"/>
        <w:rPr>
          <w:rFonts w:hint="eastAsia" w:ascii="宋体" w:hAnsi="宋体"/>
          <w:color w:val="auto"/>
          <w:sz w:val="24"/>
          <w:highlight w:val="none"/>
          <w:u w:val="single"/>
        </w:rPr>
      </w:pP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电话：</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传真：</w:t>
      </w:r>
    </w:p>
    <w:p>
      <w:pPr>
        <w:pStyle w:val="5"/>
        <w:rPr>
          <w:rFonts w:hint="eastAsia"/>
          <w:bCs/>
          <w:color w:val="auto"/>
          <w:sz w:val="24"/>
          <w:highlight w:val="none"/>
        </w:rPr>
      </w:pPr>
      <w:r>
        <w:rPr>
          <w:color w:val="auto"/>
          <w:highlight w:val="none"/>
        </w:rPr>
        <w:br w:type="page"/>
      </w:r>
      <w:bookmarkStart w:id="41" w:name="_Toc55816096"/>
      <w:bookmarkStart w:id="42" w:name="_Toc41448359"/>
      <w:bookmarkStart w:id="43" w:name="_Toc109467909"/>
      <w:bookmarkStart w:id="44" w:name="_Toc86065029"/>
      <w:bookmarkStart w:id="45" w:name="_Toc25224019"/>
      <w:bookmarkStart w:id="46" w:name="_Toc28489497"/>
      <w:bookmarkStart w:id="47" w:name="_Toc35834913"/>
      <w:bookmarkStart w:id="48" w:name="_Toc14450839"/>
      <w:bookmarkStart w:id="49" w:name="_Toc34535359"/>
      <w:r>
        <w:rPr>
          <w:rFonts w:hint="eastAsia"/>
          <w:bCs/>
          <w:color w:val="auto"/>
          <w:sz w:val="24"/>
          <w:highlight w:val="none"/>
        </w:rPr>
        <w:t xml:space="preserve">附件4                      </w:t>
      </w:r>
    </w:p>
    <w:p>
      <w:pPr>
        <w:pStyle w:val="5"/>
        <w:ind w:firstLine="3188" w:firstLineChars="1323"/>
        <w:rPr>
          <w:rFonts w:hint="eastAsia"/>
          <w:bCs/>
          <w:color w:val="auto"/>
          <w:sz w:val="24"/>
          <w:highlight w:val="none"/>
        </w:rPr>
      </w:pPr>
      <w:r>
        <w:rPr>
          <w:rFonts w:hint="eastAsia"/>
          <w:bCs/>
          <w:color w:val="auto"/>
          <w:sz w:val="24"/>
          <w:highlight w:val="none"/>
        </w:rPr>
        <w:t>投标人基本情况表</w:t>
      </w:r>
      <w:bookmarkEnd w:id="41"/>
      <w:bookmarkEnd w:id="42"/>
      <w:bookmarkEnd w:id="43"/>
      <w:bookmarkEnd w:id="44"/>
      <w:bookmarkEnd w:id="45"/>
    </w:p>
    <w:p>
      <w:pPr>
        <w:pStyle w:val="22"/>
        <w:rPr>
          <w:rFonts w:hint="eastAsia"/>
          <w:color w:val="auto"/>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电话号码：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r>
        <w:rPr>
          <w:rFonts w:hint="eastAsia" w:ascii="宋体" w:hAnsi="宋体"/>
          <w:color w:val="auto"/>
          <w:sz w:val="24"/>
          <w:highlight w:val="none"/>
        </w:rPr>
        <w:t>2、地    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传    真：</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r>
        <w:rPr>
          <w:rFonts w:hint="eastAsia" w:ascii="宋体" w:hAnsi="宋体"/>
          <w:color w:val="auto"/>
          <w:sz w:val="24"/>
          <w:highlight w:val="none"/>
        </w:rPr>
        <w:t>3、注册资金：</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经济性质：</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4、公司经营及资金状况：</w:t>
      </w:r>
    </w:p>
    <w:p>
      <w:pPr>
        <w:spacing w:line="360" w:lineRule="auto"/>
        <w:rPr>
          <w:rFonts w:hint="eastAsia" w:ascii="宋体" w:hAnsi="宋体"/>
          <w:color w:val="auto"/>
          <w:sz w:val="24"/>
          <w:highlight w:val="none"/>
        </w:rPr>
      </w:pPr>
      <w:r>
        <w:rPr>
          <w:rFonts w:hint="eastAsia" w:ascii="宋体" w:hAnsi="宋体"/>
          <w:color w:val="auto"/>
          <w:sz w:val="24"/>
          <w:highlight w:val="none"/>
        </w:rPr>
        <w:t>经营范围：</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5、公司开户银行名称及帐户：                  地    址：</w:t>
      </w:r>
    </w:p>
    <w:p>
      <w:pPr>
        <w:pStyle w:val="22"/>
        <w:rPr>
          <w:rFonts w:hint="eastAsia"/>
          <w:color w:val="auto"/>
          <w:highlight w:val="none"/>
        </w:rPr>
      </w:pPr>
      <w:r>
        <w:rPr>
          <w:rFonts w:hint="eastAsia"/>
          <w:color w:val="auto"/>
          <w:highlight w:val="none"/>
        </w:rPr>
        <w:t xml:space="preserve">   名称：                    </w:t>
      </w:r>
    </w:p>
    <w:p>
      <w:pPr>
        <w:spacing w:line="360" w:lineRule="auto"/>
        <w:ind w:firstLine="420" w:firstLineChars="175"/>
        <w:rPr>
          <w:rFonts w:hint="eastAsia" w:ascii="宋体" w:hAnsi="宋体"/>
          <w:color w:val="auto"/>
          <w:sz w:val="24"/>
          <w:highlight w:val="none"/>
          <w:u w:val="single"/>
        </w:rPr>
      </w:pPr>
      <w:r>
        <w:rPr>
          <w:rFonts w:hint="eastAsia" w:ascii="宋体" w:hAnsi="宋体"/>
          <w:color w:val="auto"/>
          <w:sz w:val="24"/>
          <w:highlight w:val="none"/>
        </w:rPr>
        <w:t>帐户：</w:t>
      </w:r>
    </w:p>
    <w:p>
      <w:pPr>
        <w:spacing w:line="360" w:lineRule="auto"/>
        <w:rPr>
          <w:rFonts w:hint="eastAsia" w:ascii="宋体" w:hAnsi="宋体"/>
          <w:color w:val="auto"/>
          <w:sz w:val="24"/>
          <w:highlight w:val="none"/>
        </w:rPr>
      </w:pPr>
      <w:r>
        <w:rPr>
          <w:rFonts w:hint="eastAsia" w:ascii="宋体" w:hAnsi="宋体"/>
          <w:color w:val="auto"/>
          <w:sz w:val="24"/>
          <w:highlight w:val="none"/>
        </w:rPr>
        <w:t>6、营业执照注册号：</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我/我们声明以上所述准确无误，您有权进行您认为有必要的所有调查。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投标人全称（盖公章）：</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法定代表人或投标授权代表（签字或签章）：</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日    期：     年   月   日</w:t>
      </w:r>
    </w:p>
    <w:p>
      <w:pPr>
        <w:pStyle w:val="5"/>
        <w:rPr>
          <w:rFonts w:hint="eastAsia"/>
          <w:bCs/>
          <w:color w:val="auto"/>
          <w:sz w:val="24"/>
          <w:highlight w:val="none"/>
        </w:rPr>
      </w:pPr>
      <w:r>
        <w:rPr>
          <w:color w:val="auto"/>
          <w:highlight w:val="none"/>
        </w:rPr>
        <w:br w:type="page"/>
      </w:r>
      <w:bookmarkStart w:id="50" w:name="_Toc109467910"/>
      <w:r>
        <w:rPr>
          <w:rFonts w:hint="eastAsia"/>
          <w:bCs/>
          <w:color w:val="auto"/>
          <w:sz w:val="24"/>
          <w:highlight w:val="none"/>
        </w:rPr>
        <w:t xml:space="preserve">附件5                       </w:t>
      </w:r>
    </w:p>
    <w:bookmarkEnd w:id="46"/>
    <w:bookmarkEnd w:id="47"/>
    <w:bookmarkEnd w:id="48"/>
    <w:bookmarkEnd w:id="49"/>
    <w:bookmarkEnd w:id="50"/>
    <w:p>
      <w:pPr>
        <w:pStyle w:val="5"/>
        <w:ind w:firstLine="0" w:firstLineChars="0"/>
        <w:jc w:val="center"/>
        <w:rPr>
          <w:rFonts w:hint="eastAsia"/>
          <w:bCs/>
          <w:color w:val="auto"/>
          <w:sz w:val="24"/>
          <w:highlight w:val="none"/>
        </w:rPr>
      </w:pPr>
      <w:r>
        <w:rPr>
          <w:rFonts w:hint="eastAsia"/>
          <w:bCs/>
          <w:color w:val="auto"/>
          <w:sz w:val="24"/>
          <w:highlight w:val="none"/>
        </w:rPr>
        <w:t>开标一览表(报价表)</w:t>
      </w:r>
    </w:p>
    <w:p>
      <w:pPr>
        <w:pStyle w:val="22"/>
        <w:rPr>
          <w:rFonts w:hint="eastAsia"/>
          <w:color w:val="auto"/>
          <w:highlight w:val="none"/>
        </w:rPr>
      </w:pPr>
    </w:p>
    <w:p>
      <w:pPr>
        <w:pStyle w:val="14"/>
        <w:spacing w:line="360" w:lineRule="auto"/>
        <w:ind w:left="418" w:leftChars="199"/>
        <w:rPr>
          <w:rFonts w:hint="eastAsia" w:ascii="宋体" w:hAnsi="宋体"/>
          <w:color w:val="auto"/>
          <w:sz w:val="24"/>
          <w:highlight w:val="none"/>
        </w:rPr>
      </w:pPr>
      <w:r>
        <w:rPr>
          <w:rFonts w:hint="eastAsia" w:ascii="宋体" w:hAnsi="宋体"/>
          <w:color w:val="auto"/>
          <w:sz w:val="24"/>
          <w:highlight w:val="none"/>
        </w:rPr>
        <w:t>项目名称：</w:t>
      </w:r>
      <w:r>
        <w:rPr>
          <w:rFonts w:hint="eastAsia" w:ascii="宋体" w:hAnsi="宋体" w:eastAsia="宋体" w:cs="Times New Roman"/>
          <w:color w:val="auto"/>
          <w:sz w:val="24"/>
          <w:szCs w:val="20"/>
          <w:highlight w:val="none"/>
          <w:u w:val="single"/>
          <w:lang w:val="en-US" w:eastAsia="zh-CN"/>
        </w:rPr>
        <w:t>2025年粤港澳大湾区灯会活动围蔽采购安装</w:t>
      </w:r>
      <w:r>
        <w:rPr>
          <w:rFonts w:hint="eastAsia" w:ascii="宋体" w:hAnsi="宋体" w:eastAsia="宋体" w:cs="Times New Roman"/>
          <w:color w:val="auto"/>
          <w:sz w:val="24"/>
          <w:szCs w:val="20"/>
          <w:highlight w:val="none"/>
          <w:u w:val="single"/>
        </w:rPr>
        <w:t>项目</w:t>
      </w:r>
      <w:r>
        <w:rPr>
          <w:rFonts w:hint="eastAsia" w:ascii="宋体" w:hAnsi="宋体"/>
          <w:color w:val="auto"/>
          <w:sz w:val="24"/>
          <w:highlight w:val="none"/>
        </w:rPr>
        <w:t xml:space="preserve">                </w:t>
      </w:r>
    </w:p>
    <w:tbl>
      <w:tblPr>
        <w:tblStyle w:val="15"/>
        <w:tblW w:w="71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2"/>
        <w:gridCol w:w="3135"/>
        <w:gridCol w:w="180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2222" w:type="dxa"/>
            <w:tcBorders>
              <w:tl2br w:val="nil"/>
              <w:tr2bl w:val="nil"/>
            </w:tcBorders>
            <w:vAlign w:val="center"/>
          </w:tcPr>
          <w:p>
            <w:pPr>
              <w:spacing w:line="312" w:lineRule="auto"/>
              <w:jc w:val="center"/>
              <w:rPr>
                <w:rFonts w:hint="eastAsia" w:ascii="宋体" w:hAnsi="宋体"/>
                <w:b/>
                <w:color w:val="auto"/>
                <w:highlight w:val="none"/>
              </w:rPr>
            </w:pPr>
            <w:r>
              <w:rPr>
                <w:rFonts w:hint="eastAsia" w:ascii="宋体" w:hAnsi="宋体"/>
                <w:b/>
                <w:color w:val="auto"/>
                <w:highlight w:val="none"/>
              </w:rPr>
              <w:t>服务内容</w:t>
            </w:r>
          </w:p>
        </w:tc>
        <w:tc>
          <w:tcPr>
            <w:tcW w:w="3135" w:type="dxa"/>
            <w:tcBorders>
              <w:tl2br w:val="nil"/>
              <w:tr2bl w:val="nil"/>
            </w:tcBorders>
            <w:vAlign w:val="center"/>
          </w:tcPr>
          <w:p>
            <w:pPr>
              <w:jc w:val="center"/>
              <w:rPr>
                <w:rFonts w:hint="eastAsia" w:ascii="宋体" w:hAnsi="宋体"/>
                <w:b/>
                <w:color w:val="auto"/>
                <w:highlight w:val="none"/>
              </w:rPr>
            </w:pPr>
            <w:r>
              <w:rPr>
                <w:rFonts w:hint="eastAsia" w:ascii="宋体" w:hAnsi="宋体"/>
                <w:b/>
                <w:color w:val="auto"/>
                <w:highlight w:val="none"/>
              </w:rPr>
              <w:t>投标报价（元）</w:t>
            </w:r>
          </w:p>
        </w:tc>
        <w:tc>
          <w:tcPr>
            <w:tcW w:w="1807" w:type="dxa"/>
            <w:tcBorders>
              <w:tl2br w:val="nil"/>
              <w:tr2bl w:val="nil"/>
            </w:tcBorders>
            <w:vAlign w:val="center"/>
          </w:tcPr>
          <w:p>
            <w:pPr>
              <w:spacing w:line="312" w:lineRule="auto"/>
              <w:jc w:val="center"/>
              <w:rPr>
                <w:rFonts w:hint="eastAsia" w:ascii="宋体" w:hAnsi="宋体"/>
                <w:b/>
                <w:color w:val="auto"/>
                <w:highlight w:val="none"/>
              </w:rPr>
            </w:pPr>
            <w:r>
              <w:rPr>
                <w:rFonts w:hint="eastAsia" w:ascii="宋体" w:hAnsi="宋体"/>
                <w:b/>
                <w:color w:val="auto"/>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jc w:val="center"/>
        </w:trPr>
        <w:tc>
          <w:tcPr>
            <w:tcW w:w="2222" w:type="dxa"/>
            <w:tcBorders>
              <w:tl2br w:val="nil"/>
              <w:tr2bl w:val="nil"/>
            </w:tcBorders>
            <w:vAlign w:val="center"/>
          </w:tcPr>
          <w:p>
            <w:pPr>
              <w:pStyle w:val="14"/>
              <w:spacing w:line="276" w:lineRule="auto"/>
              <w:ind w:left="-12" w:leftChars="-6" w:hanging="1"/>
              <w:jc w:val="center"/>
              <w:rPr>
                <w:rFonts w:hint="eastAsia" w:ascii="宋体" w:hAnsi="宋体"/>
                <w:color w:val="auto"/>
                <w:position w:val="6"/>
                <w:sz w:val="24"/>
                <w:szCs w:val="24"/>
                <w:highlight w:val="none"/>
                <w:u w:color="000000"/>
              </w:rPr>
            </w:pPr>
            <w:r>
              <w:rPr>
                <w:rFonts w:hint="eastAsia" w:ascii="宋体" w:hAnsi="宋体" w:eastAsia="宋体" w:cs="Times New Roman"/>
                <w:color w:val="auto"/>
                <w:sz w:val="24"/>
                <w:szCs w:val="20"/>
                <w:highlight w:val="none"/>
                <w:u w:val="single"/>
                <w:lang w:val="en-US" w:eastAsia="zh-CN"/>
              </w:rPr>
              <w:t>2025年粤港澳大湾区灯会活动围蔽采购安装</w:t>
            </w:r>
            <w:r>
              <w:rPr>
                <w:rFonts w:hint="eastAsia" w:ascii="宋体" w:hAnsi="宋体" w:eastAsia="宋体" w:cs="Times New Roman"/>
                <w:color w:val="auto"/>
                <w:sz w:val="24"/>
                <w:szCs w:val="20"/>
                <w:highlight w:val="none"/>
                <w:u w:val="single"/>
              </w:rPr>
              <w:t>项目</w:t>
            </w:r>
          </w:p>
        </w:tc>
        <w:tc>
          <w:tcPr>
            <w:tcW w:w="3135" w:type="dxa"/>
            <w:tcBorders>
              <w:tl2br w:val="nil"/>
              <w:tr2bl w:val="nil"/>
            </w:tcBorders>
            <w:vAlign w:val="center"/>
          </w:tcPr>
          <w:p>
            <w:pPr>
              <w:pageBreakBefore/>
              <w:tabs>
                <w:tab w:val="left" w:pos="654"/>
                <w:tab w:val="left" w:pos="1734"/>
                <w:tab w:val="left" w:pos="2814"/>
                <w:tab w:val="left" w:pos="3894"/>
                <w:tab w:val="left" w:pos="5334"/>
                <w:tab w:val="left" w:pos="6414"/>
                <w:tab w:val="left" w:pos="7254"/>
                <w:tab w:val="left" w:pos="8574"/>
                <w:tab w:val="left" w:pos="9654"/>
              </w:tabs>
              <w:rPr>
                <w:rFonts w:hint="eastAsia" w:ascii="宋体" w:hAnsi="宋体"/>
                <w:color w:val="auto"/>
                <w:sz w:val="24"/>
                <w:szCs w:val="24"/>
                <w:highlight w:val="none"/>
              </w:rPr>
            </w:pPr>
            <w:r>
              <w:rPr>
                <w:rFonts w:hint="eastAsia" w:ascii="宋体" w:hAnsi="宋体"/>
                <w:color w:val="auto"/>
                <w:sz w:val="24"/>
                <w:szCs w:val="24"/>
                <w:highlight w:val="none"/>
              </w:rPr>
              <w:t>投标总价：</w:t>
            </w:r>
          </w:p>
          <w:p>
            <w:pPr>
              <w:pageBreakBefore/>
              <w:tabs>
                <w:tab w:val="left" w:pos="654"/>
                <w:tab w:val="left" w:pos="1734"/>
                <w:tab w:val="left" w:pos="2814"/>
                <w:tab w:val="left" w:pos="3894"/>
                <w:tab w:val="left" w:pos="5334"/>
                <w:tab w:val="left" w:pos="6414"/>
                <w:tab w:val="left" w:pos="7254"/>
                <w:tab w:val="left" w:pos="8574"/>
                <w:tab w:val="left" w:pos="9654"/>
              </w:tabs>
              <w:rPr>
                <w:rFonts w:hint="eastAsia" w:ascii="宋体" w:hAnsi="宋体"/>
                <w:color w:val="auto"/>
                <w:sz w:val="24"/>
                <w:szCs w:val="24"/>
                <w:highlight w:val="none"/>
              </w:rPr>
            </w:pPr>
            <w:r>
              <w:rPr>
                <w:rFonts w:hint="eastAsia" w:ascii="宋体" w:hAnsi="宋体"/>
                <w:color w:val="auto"/>
                <w:sz w:val="24"/>
                <w:szCs w:val="24"/>
                <w:highlight w:val="none"/>
              </w:rPr>
              <w:t>小写（人民币大写）：</w:t>
            </w:r>
          </w:p>
        </w:tc>
        <w:tc>
          <w:tcPr>
            <w:tcW w:w="1807" w:type="dxa"/>
            <w:tcBorders>
              <w:tl2br w:val="nil"/>
              <w:tr2bl w:val="nil"/>
            </w:tcBorders>
            <w:vAlign w:val="center"/>
          </w:tcPr>
          <w:p>
            <w:pPr>
              <w:spacing w:line="312"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p>
        </w:tc>
      </w:tr>
    </w:tbl>
    <w:p>
      <w:pPr>
        <w:pStyle w:val="14"/>
        <w:spacing w:line="360" w:lineRule="auto"/>
        <w:rPr>
          <w:rFonts w:hint="eastAsia" w:ascii="宋体" w:hAnsi="宋体"/>
          <w:b/>
          <w:bCs/>
          <w:color w:val="auto"/>
          <w:sz w:val="24"/>
          <w:highlight w:val="none"/>
        </w:rPr>
      </w:pPr>
    </w:p>
    <w:p>
      <w:pPr>
        <w:pStyle w:val="14"/>
        <w:spacing w:line="360" w:lineRule="auto"/>
        <w:ind w:left="418" w:leftChars="199"/>
        <w:rPr>
          <w:rFonts w:hint="eastAsia" w:ascii="宋体" w:hAnsi="宋体"/>
          <w:color w:val="auto"/>
          <w:sz w:val="24"/>
          <w:highlight w:val="none"/>
        </w:rPr>
      </w:pPr>
    </w:p>
    <w:p>
      <w:pPr>
        <w:pStyle w:val="14"/>
        <w:spacing w:line="360" w:lineRule="auto"/>
        <w:ind w:left="418" w:leftChars="199"/>
        <w:rPr>
          <w:rFonts w:hint="eastAsia" w:ascii="宋体" w:hAnsi="宋体"/>
          <w:color w:val="auto"/>
          <w:sz w:val="24"/>
          <w:highlight w:val="none"/>
        </w:rPr>
      </w:pPr>
      <w:r>
        <w:rPr>
          <w:rFonts w:hint="eastAsia" w:ascii="宋体" w:hAnsi="宋体"/>
          <w:color w:val="auto"/>
          <w:sz w:val="24"/>
          <w:highlight w:val="none"/>
        </w:rPr>
        <w:t>投标人全称（盖公章）：</w:t>
      </w:r>
    </w:p>
    <w:p>
      <w:pPr>
        <w:pStyle w:val="14"/>
        <w:spacing w:line="360" w:lineRule="auto"/>
        <w:ind w:left="418" w:leftChars="199"/>
        <w:rPr>
          <w:rFonts w:hint="eastAsia" w:ascii="宋体" w:hAnsi="宋体"/>
          <w:color w:val="auto"/>
          <w:sz w:val="24"/>
          <w:highlight w:val="none"/>
        </w:rPr>
      </w:pPr>
      <w:r>
        <w:rPr>
          <w:rFonts w:hint="eastAsia" w:ascii="宋体" w:hAnsi="宋体"/>
          <w:color w:val="auto"/>
          <w:sz w:val="24"/>
          <w:highlight w:val="none"/>
        </w:rPr>
        <w:t>授权代表（签字或签章）：</w:t>
      </w:r>
    </w:p>
    <w:p>
      <w:pPr>
        <w:pStyle w:val="14"/>
        <w:spacing w:line="360" w:lineRule="auto"/>
        <w:ind w:left="418" w:leftChars="199"/>
        <w:rPr>
          <w:rFonts w:hint="eastAsia" w:ascii="宋体" w:hAnsi="宋体"/>
          <w:color w:val="auto"/>
          <w:sz w:val="24"/>
          <w:highlight w:val="none"/>
        </w:rPr>
      </w:pPr>
      <w:r>
        <w:rPr>
          <w:rFonts w:hint="eastAsia" w:ascii="宋体" w:hAnsi="宋体"/>
          <w:color w:val="auto"/>
          <w:sz w:val="24"/>
          <w:highlight w:val="none"/>
        </w:rPr>
        <w:t xml:space="preserve">职    务： </w:t>
      </w:r>
    </w:p>
    <w:p>
      <w:pPr>
        <w:pStyle w:val="14"/>
        <w:spacing w:line="360" w:lineRule="auto"/>
        <w:ind w:left="418" w:leftChars="199"/>
        <w:rPr>
          <w:rFonts w:hint="eastAsia" w:ascii="宋体" w:hAnsi="宋体"/>
          <w:color w:val="auto"/>
          <w:sz w:val="24"/>
          <w:highlight w:val="none"/>
        </w:rPr>
      </w:pPr>
      <w:r>
        <w:rPr>
          <w:rFonts w:hint="eastAsia" w:ascii="宋体" w:hAnsi="宋体"/>
          <w:color w:val="auto"/>
          <w:sz w:val="24"/>
          <w:highlight w:val="none"/>
        </w:rPr>
        <w:t>日    期：</w:t>
      </w:r>
    </w:p>
    <w:p>
      <w:pPr>
        <w:pStyle w:val="14"/>
        <w:spacing w:line="360" w:lineRule="auto"/>
        <w:ind w:left="418" w:leftChars="199"/>
        <w:rPr>
          <w:rFonts w:hint="eastAsia" w:ascii="宋体" w:hAnsi="宋体"/>
          <w:color w:val="auto"/>
          <w:sz w:val="24"/>
          <w:highlight w:val="none"/>
        </w:rPr>
      </w:pPr>
    </w:p>
    <w:p>
      <w:pPr>
        <w:snapToGrid w:val="0"/>
        <w:spacing w:line="360" w:lineRule="auto"/>
        <w:ind w:left="720" w:hanging="720" w:hangingChars="299"/>
        <w:rPr>
          <w:rFonts w:hint="eastAsia" w:ascii="宋体" w:hAnsi="宋体"/>
          <w:b/>
          <w:color w:val="auto"/>
          <w:sz w:val="24"/>
          <w:szCs w:val="24"/>
          <w:highlight w:val="none"/>
        </w:rPr>
      </w:pPr>
      <w:r>
        <w:rPr>
          <w:rFonts w:hint="eastAsia" w:ascii="宋体" w:hAnsi="宋体"/>
          <w:b/>
          <w:color w:val="auto"/>
          <w:sz w:val="24"/>
          <w:szCs w:val="24"/>
          <w:highlight w:val="none"/>
        </w:rPr>
        <w:t>注:1.投标人应按“用户需求书”的要求，根据实际情况进行报价。本表内的投标报价为最终报价，投标文件内不得含有任何对本报价进行修改的其他说明，否则将被视为无效投标；</w:t>
      </w:r>
    </w:p>
    <w:p>
      <w:pPr>
        <w:snapToGrid w:val="0"/>
        <w:spacing w:line="360" w:lineRule="auto"/>
        <w:ind w:left="527" w:leftChars="195" w:hanging="118" w:hangingChars="49"/>
        <w:rPr>
          <w:rFonts w:hint="eastAsia" w:ascii="宋体" w:hAnsi="宋体"/>
          <w:b/>
          <w:color w:val="auto"/>
          <w:sz w:val="24"/>
          <w:szCs w:val="24"/>
          <w:highlight w:val="none"/>
        </w:rPr>
      </w:pPr>
      <w:r>
        <w:rPr>
          <w:rFonts w:hint="eastAsia" w:ascii="宋体" w:hAnsi="宋体"/>
          <w:b/>
          <w:color w:val="auto"/>
          <w:sz w:val="24"/>
          <w:szCs w:val="24"/>
          <w:highlight w:val="none"/>
        </w:rPr>
        <w:t>2. 投标报价应综合考虑招标项目的全部费用，投标人不得再向招标人收取任何费用；</w:t>
      </w:r>
    </w:p>
    <w:p>
      <w:pPr>
        <w:snapToGrid w:val="0"/>
        <w:spacing w:line="360" w:lineRule="auto"/>
        <w:ind w:firstLine="472" w:firstLineChars="196"/>
        <w:rPr>
          <w:rFonts w:hint="eastAsia" w:ascii="宋体" w:hAnsi="宋体"/>
          <w:b/>
          <w:bCs/>
          <w:color w:val="auto"/>
          <w:sz w:val="24"/>
          <w:szCs w:val="24"/>
          <w:highlight w:val="none"/>
        </w:rPr>
      </w:pPr>
      <w:r>
        <w:rPr>
          <w:rFonts w:hint="eastAsia" w:ascii="宋体" w:hAnsi="宋体"/>
          <w:b/>
          <w:bCs/>
          <w:color w:val="auto"/>
          <w:sz w:val="24"/>
          <w:szCs w:val="24"/>
          <w:highlight w:val="none"/>
        </w:rPr>
        <w:t>3.</w:t>
      </w:r>
      <w:r>
        <w:rPr>
          <w:rFonts w:hint="eastAsia"/>
          <w:color w:val="auto"/>
          <w:sz w:val="24"/>
          <w:szCs w:val="24"/>
          <w:highlight w:val="none"/>
        </w:rPr>
        <w:t xml:space="preserve"> </w:t>
      </w:r>
      <w:r>
        <w:rPr>
          <w:rFonts w:hint="eastAsia" w:ascii="宋体" w:hAnsi="宋体"/>
          <w:b/>
          <w:color w:val="auto"/>
          <w:sz w:val="24"/>
          <w:szCs w:val="24"/>
          <w:highlight w:val="none"/>
        </w:rPr>
        <w:t>投标报价的小数点后保留两位有效数；</w:t>
      </w:r>
    </w:p>
    <w:p>
      <w:pPr>
        <w:rPr>
          <w:color w:val="auto"/>
          <w:highlight w:val="none"/>
        </w:rPr>
      </w:pPr>
    </w:p>
    <w:p>
      <w:pPr>
        <w:rPr>
          <w:color w:val="auto"/>
          <w:highlight w:val="none"/>
        </w:rPr>
      </w:pPr>
    </w:p>
    <w:p>
      <w:pPr>
        <w:pStyle w:val="4"/>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pStyle w:val="6"/>
        <w:ind w:firstLine="0" w:firstLineChars="0"/>
        <w:rPr>
          <w:rFonts w:hint="eastAsia"/>
          <w:b/>
          <w:bCs w:val="0"/>
          <w:color w:val="auto"/>
          <w:sz w:val="24"/>
          <w:szCs w:val="28"/>
          <w:highlight w:val="none"/>
          <w:lang w:val="en-US" w:eastAsia="zh-CN"/>
        </w:rPr>
        <w:sectPr>
          <w:footerReference r:id="rId3" w:type="default"/>
          <w:pgSz w:w="11906" w:h="16838"/>
          <w:pgMar w:top="1440" w:right="1800" w:bottom="1440" w:left="1800" w:header="794" w:footer="850" w:gutter="0"/>
          <w:pgNumType w:start="1"/>
          <w:cols w:space="425" w:num="1"/>
          <w:docGrid w:type="lines" w:linePitch="312" w:charSpace="0"/>
        </w:sectPr>
      </w:pPr>
    </w:p>
    <w:p>
      <w:pPr>
        <w:pStyle w:val="6"/>
        <w:rPr>
          <w:color w:val="auto"/>
          <w:highlight w:val="none"/>
        </w:rPr>
      </w:pPr>
      <w:r>
        <w:rPr>
          <w:rFonts w:hint="eastAsia"/>
          <w:color w:val="auto"/>
          <w:sz w:val="24"/>
          <w:szCs w:val="24"/>
          <w:highlight w:val="none"/>
          <w:lang w:val="en-US" w:eastAsia="zh-CN"/>
        </w:rPr>
        <w:t>附件：报价明细表</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7"/>
        <w:gridCol w:w="2720"/>
        <w:gridCol w:w="2720"/>
        <w:gridCol w:w="3236"/>
        <w:gridCol w:w="828"/>
        <w:gridCol w:w="828"/>
        <w:gridCol w:w="837"/>
        <w:gridCol w:w="828"/>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项目</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安装位置</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参数</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单价</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总价</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参考照片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9"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临时活动防护高围挡</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蒲州花园</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2.4*1米(防爆铁马)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边框25*50*1.0mm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网板0.7mm冲孔网片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內撑20*40*1.0mm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重量30公斤左右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底部为带斜坡花纹钢板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（含转角、带门洞围挡）</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wp:posOffset>
                  </wp:positionH>
                  <wp:positionV relativeFrom="paragraph">
                    <wp:posOffset>284480</wp:posOffset>
                  </wp:positionV>
                  <wp:extent cx="733425" cy="955675"/>
                  <wp:effectExtent l="0" t="0" r="9525" b="15875"/>
                  <wp:wrapNone/>
                  <wp:docPr id="7" name="图片_5"/>
                  <wp:cNvGraphicFramePr/>
                  <a:graphic xmlns:a="http://schemas.openxmlformats.org/drawingml/2006/main">
                    <a:graphicData uri="http://schemas.openxmlformats.org/drawingml/2006/picture">
                      <pic:pic xmlns:pic="http://schemas.openxmlformats.org/drawingml/2006/picture">
                        <pic:nvPicPr>
                          <pic:cNvPr id="7" name="图片_5"/>
                          <pic:cNvPicPr/>
                        </pic:nvPicPr>
                        <pic:blipFill>
                          <a:blip r:embed="rId5"/>
                          <a:stretch>
                            <a:fillRect/>
                          </a:stretch>
                        </pic:blipFill>
                        <pic:spPr>
                          <a:xfrm>
                            <a:off x="0" y="0"/>
                            <a:ext cx="733425" cy="9556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7"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临时活动防护矮围挡</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蒲州花园</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1.2*1米（防爆铁马）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边框25*50*1.0mm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网板0.7mm冲孔网片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內撑20*40*1.0mm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重量19公斤左右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（含转角、带门洞围挡）</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199</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121920</wp:posOffset>
                  </wp:positionV>
                  <wp:extent cx="696595" cy="822325"/>
                  <wp:effectExtent l="0" t="0" r="8255" b="15875"/>
                  <wp:wrapNone/>
                  <wp:docPr id="1" name="图片_6"/>
                  <wp:cNvGraphicFramePr/>
                  <a:graphic xmlns:a="http://schemas.openxmlformats.org/drawingml/2006/main">
                    <a:graphicData uri="http://schemas.openxmlformats.org/drawingml/2006/picture">
                      <pic:pic xmlns:pic="http://schemas.openxmlformats.org/drawingml/2006/picture">
                        <pic:nvPicPr>
                          <pic:cNvPr id="1" name="图片_6"/>
                          <pic:cNvPicPr/>
                        </pic:nvPicPr>
                        <pic:blipFill>
                          <a:blip r:embed="rId6"/>
                          <a:stretch>
                            <a:fillRect/>
                          </a:stretch>
                        </pic:blipFill>
                        <pic:spPr>
                          <a:xfrm>
                            <a:off x="0" y="0"/>
                            <a:ext cx="696595" cy="8223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9"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铁丝网围栏</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蒲州花园</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45直径热镀锌双螺旋加密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(间距40厘米计算)</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177</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wp:posOffset>
                  </wp:positionH>
                  <wp:positionV relativeFrom="paragraph">
                    <wp:posOffset>203835</wp:posOffset>
                  </wp:positionV>
                  <wp:extent cx="789940" cy="586740"/>
                  <wp:effectExtent l="0" t="0" r="10160" b="3810"/>
                  <wp:wrapNone/>
                  <wp:docPr id="5" name="图片_1"/>
                  <wp:cNvGraphicFramePr/>
                  <a:graphic xmlns:a="http://schemas.openxmlformats.org/drawingml/2006/main">
                    <a:graphicData uri="http://schemas.openxmlformats.org/drawingml/2006/picture">
                      <pic:pic xmlns:pic="http://schemas.openxmlformats.org/drawingml/2006/picture">
                        <pic:nvPicPr>
                          <pic:cNvPr id="5" name="图片_1"/>
                          <pic:cNvPicPr/>
                        </pic:nvPicPr>
                        <pic:blipFill>
                          <a:blip r:embed="rId7"/>
                          <a:stretch>
                            <a:fillRect/>
                          </a:stretch>
                        </pic:blipFill>
                        <pic:spPr>
                          <a:xfrm>
                            <a:off x="0" y="0"/>
                            <a:ext cx="789940" cy="5867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临时活动防护高围挡</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滨海公园</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2.4*1米(防爆铁马)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边框25*50*1.0mm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网板0.7mm冲孔网片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內撑20*40*1.0mm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底部为带斜坡花纹钢板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重量30公斤左右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（含转角、带门洞围挡）</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406</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39370</wp:posOffset>
                  </wp:positionH>
                  <wp:positionV relativeFrom="paragraph">
                    <wp:posOffset>243840</wp:posOffset>
                  </wp:positionV>
                  <wp:extent cx="727075" cy="924560"/>
                  <wp:effectExtent l="0" t="0" r="15875" b="8890"/>
                  <wp:wrapNone/>
                  <wp:docPr id="4" name="图片_7"/>
                  <wp:cNvGraphicFramePr/>
                  <a:graphic xmlns:a="http://schemas.openxmlformats.org/drawingml/2006/main">
                    <a:graphicData uri="http://schemas.openxmlformats.org/drawingml/2006/picture">
                      <pic:pic xmlns:pic="http://schemas.openxmlformats.org/drawingml/2006/picture">
                        <pic:nvPicPr>
                          <pic:cNvPr id="4" name="图片_7"/>
                          <pic:cNvPicPr/>
                        </pic:nvPicPr>
                        <pic:blipFill>
                          <a:blip r:embed="rId8"/>
                          <a:stretch>
                            <a:fillRect/>
                          </a:stretch>
                        </pic:blipFill>
                        <pic:spPr>
                          <a:xfrm>
                            <a:off x="0" y="0"/>
                            <a:ext cx="727075" cy="9245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铁托架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（带四轮可拆卸）</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长2.5米*宽1.1米*高1.2米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（钢材厚度4mm）</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-60325</wp:posOffset>
                  </wp:positionH>
                  <wp:positionV relativeFrom="paragraph">
                    <wp:posOffset>291465</wp:posOffset>
                  </wp:positionV>
                  <wp:extent cx="875665" cy="760730"/>
                  <wp:effectExtent l="0" t="0" r="635" b="1270"/>
                  <wp:wrapNone/>
                  <wp:docPr id="6" name="图片_2"/>
                  <wp:cNvGraphicFramePr/>
                  <a:graphic xmlns:a="http://schemas.openxmlformats.org/drawingml/2006/main">
                    <a:graphicData uri="http://schemas.openxmlformats.org/drawingml/2006/picture">
                      <pic:pic xmlns:pic="http://schemas.openxmlformats.org/drawingml/2006/picture">
                        <pic:nvPicPr>
                          <pic:cNvPr id="6" name="图片_2"/>
                          <pic:cNvPicPr/>
                        </pic:nvPicPr>
                        <pic:blipFill>
                          <a:blip r:embed="rId9"/>
                          <a:stretch>
                            <a:fillRect/>
                          </a:stretch>
                        </pic:blipFill>
                        <pic:spPr>
                          <a:xfrm>
                            <a:off x="0" y="0"/>
                            <a:ext cx="875665" cy="7607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959" w:type="pct"/>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场地平整</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蒲州、滨海</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整体场平整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（综合考虑）</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959"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运输费</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2"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959"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整体安装费、二次搬运费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（综合考虑）</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税费</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23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合计（含税）</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r>
    </w:tbl>
    <w:p>
      <w:pPr>
        <w:pStyle w:val="4"/>
        <w:rPr>
          <w:rFonts w:hint="eastAsia"/>
          <w:color w:val="auto"/>
          <w:sz w:val="24"/>
          <w:szCs w:val="24"/>
          <w:highlight w:val="none"/>
        </w:rPr>
        <w:sectPr>
          <w:pgSz w:w="16838" w:h="11906" w:orient="landscape"/>
          <w:pgMar w:top="1800" w:right="1440" w:bottom="1800" w:left="1440" w:header="794" w:footer="850" w:gutter="0"/>
          <w:pgNumType w:start="1"/>
          <w:cols w:space="425" w:num="1"/>
          <w:docGrid w:type="lines" w:linePitch="312" w:charSpace="0"/>
        </w:sectPr>
      </w:pPr>
    </w:p>
    <w:p>
      <w:pPr>
        <w:rPr>
          <w:rFonts w:hint="eastAsia" w:ascii="宋体" w:hAnsi="宋体" w:cs="Times New Roman"/>
          <w:b/>
          <w:bCs/>
          <w:color w:val="auto"/>
          <w:sz w:val="24"/>
          <w:highlight w:val="none"/>
        </w:rPr>
      </w:pPr>
      <w:r>
        <w:rPr>
          <w:rFonts w:hint="eastAsia" w:ascii="宋体" w:hAnsi="宋体" w:cs="Times New Roman"/>
          <w:b/>
          <w:bCs/>
          <w:color w:val="auto"/>
          <w:sz w:val="24"/>
          <w:highlight w:val="none"/>
        </w:rPr>
        <w:t>附件6</w:t>
      </w:r>
    </w:p>
    <w:p>
      <w:pPr>
        <w:pStyle w:val="5"/>
        <w:ind w:firstLine="3318" w:firstLineChars="1377"/>
        <w:rPr>
          <w:rFonts w:hint="eastAsia"/>
          <w:color w:val="auto"/>
          <w:highlight w:val="none"/>
        </w:rPr>
      </w:pPr>
      <w:r>
        <w:rPr>
          <w:rFonts w:hint="eastAsia"/>
          <w:bCs/>
          <w:color w:val="auto"/>
          <w:sz w:val="24"/>
          <w:highlight w:val="none"/>
        </w:rPr>
        <w:t>投标人业绩一览表</w:t>
      </w:r>
    </w:p>
    <w:p>
      <w:pPr>
        <w:spacing w:line="360" w:lineRule="auto"/>
        <w:ind w:right="-260" w:rightChars="-124" w:firstLine="40" w:firstLineChars="17"/>
        <w:rPr>
          <w:rFonts w:hint="eastAsia" w:ascii="宋体" w:hAnsi="宋体"/>
          <w:color w:val="auto"/>
          <w:sz w:val="24"/>
          <w:highlight w:val="none"/>
        </w:rPr>
      </w:pPr>
      <w:r>
        <w:rPr>
          <w:rFonts w:hint="eastAsia" w:ascii="宋体" w:hAnsi="宋体"/>
          <w:color w:val="auto"/>
          <w:sz w:val="24"/>
          <w:highlight w:val="none"/>
        </w:rPr>
        <w:t xml:space="preserve">项目名称：               </w:t>
      </w:r>
    </w:p>
    <w:tbl>
      <w:tblPr>
        <w:tblStyle w:val="15"/>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75"/>
        <w:gridCol w:w="1575"/>
        <w:gridCol w:w="1575"/>
        <w:gridCol w:w="1575"/>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40" w:type="dxa"/>
            <w:vAlign w:val="center"/>
          </w:tcPr>
          <w:p>
            <w:pPr>
              <w:jc w:val="center"/>
              <w:rPr>
                <w:rFonts w:hint="eastAsia" w:ascii="宋体" w:hAnsi="宋体"/>
                <w:color w:val="auto"/>
                <w:sz w:val="24"/>
                <w:highlight w:val="none"/>
              </w:rPr>
            </w:pPr>
            <w:r>
              <w:rPr>
                <w:rFonts w:hint="eastAsia" w:ascii="宋体" w:hAnsi="宋体"/>
                <w:color w:val="auto"/>
                <w:sz w:val="24"/>
                <w:highlight w:val="none"/>
              </w:rPr>
              <w:t>序号</w:t>
            </w:r>
          </w:p>
        </w:tc>
        <w:tc>
          <w:tcPr>
            <w:tcW w:w="1575" w:type="dxa"/>
            <w:vAlign w:val="center"/>
          </w:tcPr>
          <w:p>
            <w:pPr>
              <w:jc w:val="center"/>
              <w:rPr>
                <w:rFonts w:hint="eastAsia" w:ascii="宋体" w:hAnsi="宋体"/>
                <w:color w:val="auto"/>
                <w:sz w:val="24"/>
                <w:highlight w:val="none"/>
              </w:rPr>
            </w:pPr>
            <w:r>
              <w:rPr>
                <w:rFonts w:hint="eastAsia" w:ascii="宋体" w:hAnsi="宋体"/>
                <w:color w:val="auto"/>
                <w:sz w:val="24"/>
                <w:highlight w:val="none"/>
              </w:rPr>
              <w:t>项目名称</w:t>
            </w:r>
          </w:p>
        </w:tc>
        <w:tc>
          <w:tcPr>
            <w:tcW w:w="1575" w:type="dxa"/>
            <w:vAlign w:val="center"/>
          </w:tcPr>
          <w:p>
            <w:pPr>
              <w:jc w:val="center"/>
              <w:rPr>
                <w:rFonts w:hint="eastAsia" w:ascii="宋体" w:hAnsi="宋体"/>
                <w:color w:val="auto"/>
                <w:sz w:val="24"/>
                <w:highlight w:val="none"/>
              </w:rPr>
            </w:pPr>
            <w:r>
              <w:rPr>
                <w:rFonts w:hint="eastAsia" w:ascii="宋体" w:hAnsi="宋体"/>
                <w:color w:val="auto"/>
                <w:sz w:val="24"/>
                <w:highlight w:val="none"/>
              </w:rPr>
              <w:t>规模</w:t>
            </w:r>
          </w:p>
        </w:tc>
        <w:tc>
          <w:tcPr>
            <w:tcW w:w="1575" w:type="dxa"/>
            <w:vAlign w:val="center"/>
          </w:tcPr>
          <w:p>
            <w:pPr>
              <w:jc w:val="center"/>
              <w:rPr>
                <w:rFonts w:hint="eastAsia" w:ascii="宋体" w:hAnsi="宋体"/>
                <w:color w:val="auto"/>
                <w:sz w:val="24"/>
                <w:highlight w:val="none"/>
              </w:rPr>
            </w:pPr>
            <w:r>
              <w:rPr>
                <w:rFonts w:hint="eastAsia" w:ascii="宋体" w:hAnsi="宋体"/>
                <w:color w:val="auto"/>
                <w:sz w:val="24"/>
                <w:highlight w:val="none"/>
              </w:rPr>
              <w:t>合同总价</w:t>
            </w:r>
          </w:p>
        </w:tc>
        <w:tc>
          <w:tcPr>
            <w:tcW w:w="1575" w:type="dxa"/>
            <w:vAlign w:val="center"/>
          </w:tcPr>
          <w:p>
            <w:pPr>
              <w:jc w:val="center"/>
              <w:rPr>
                <w:rFonts w:hint="eastAsia" w:ascii="宋体" w:hAnsi="宋体"/>
                <w:color w:val="auto"/>
                <w:sz w:val="24"/>
                <w:highlight w:val="none"/>
              </w:rPr>
            </w:pPr>
            <w:r>
              <w:rPr>
                <w:rFonts w:hint="eastAsia" w:ascii="宋体" w:hAnsi="宋体"/>
                <w:color w:val="auto"/>
                <w:sz w:val="24"/>
                <w:highlight w:val="none"/>
              </w:rPr>
              <w:t>开始时间</w:t>
            </w:r>
          </w:p>
        </w:tc>
        <w:tc>
          <w:tcPr>
            <w:tcW w:w="1576" w:type="dxa"/>
            <w:vAlign w:val="center"/>
          </w:tcPr>
          <w:p>
            <w:pPr>
              <w:jc w:val="center"/>
              <w:rPr>
                <w:rFonts w:hint="eastAsia" w:ascii="宋体" w:hAnsi="宋体"/>
                <w:color w:val="auto"/>
                <w:sz w:val="24"/>
                <w:highlight w:val="none"/>
              </w:rPr>
            </w:pPr>
            <w:r>
              <w:rPr>
                <w:rFonts w:hint="eastAsia" w:ascii="宋体" w:hAnsi="宋体"/>
                <w:color w:val="auto"/>
                <w:sz w:val="24"/>
                <w:highlight w:val="none"/>
              </w:rPr>
              <w:t>业主单位、</w:t>
            </w:r>
          </w:p>
          <w:p>
            <w:pPr>
              <w:jc w:val="center"/>
              <w:rPr>
                <w:rFonts w:hint="eastAsia" w:ascii="宋体" w:hAnsi="宋体"/>
                <w:color w:val="auto"/>
                <w:sz w:val="24"/>
                <w:highlight w:val="none"/>
              </w:rPr>
            </w:pPr>
            <w:r>
              <w:rPr>
                <w:rFonts w:hint="eastAsia" w:ascii="宋体" w:hAnsi="宋体"/>
                <w:color w:val="auto"/>
                <w:sz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pStyle w:val="22"/>
              <w:rPr>
                <w:rFonts w:hint="eastAsia"/>
                <w:color w:val="auto"/>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bl>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投标人全称（盖公章）：</w:t>
      </w:r>
    </w:p>
    <w:p>
      <w:pPr>
        <w:spacing w:line="360" w:lineRule="auto"/>
        <w:rPr>
          <w:rFonts w:hint="eastAsia" w:ascii="宋体" w:hAnsi="宋体"/>
          <w:color w:val="auto"/>
          <w:sz w:val="24"/>
          <w:highlight w:val="none"/>
        </w:rPr>
      </w:pPr>
      <w:r>
        <w:rPr>
          <w:rFonts w:hint="eastAsia" w:ascii="宋体" w:hAnsi="宋体"/>
          <w:color w:val="auto"/>
          <w:sz w:val="24"/>
          <w:highlight w:val="none"/>
        </w:rPr>
        <w:t>法定代表人或投标授权代表（签字或签章）：</w:t>
      </w:r>
    </w:p>
    <w:p>
      <w:pPr>
        <w:spacing w:line="360" w:lineRule="auto"/>
        <w:rPr>
          <w:rFonts w:hint="eastAsia" w:ascii="宋体" w:hAnsi="宋体"/>
          <w:color w:val="auto"/>
          <w:sz w:val="24"/>
          <w:highlight w:val="none"/>
        </w:rPr>
      </w:pPr>
      <w:r>
        <w:rPr>
          <w:rFonts w:hint="eastAsia" w:ascii="宋体" w:hAnsi="宋体"/>
          <w:color w:val="auto"/>
          <w:sz w:val="24"/>
          <w:highlight w:val="none"/>
        </w:rPr>
        <w:t>日    期：     年   月   日</w:t>
      </w:r>
    </w:p>
    <w:p>
      <w:pPr>
        <w:pStyle w:val="5"/>
        <w:ind w:left="480"/>
        <w:rPr>
          <w:rFonts w:hint="eastAsia"/>
          <w:color w:val="auto"/>
          <w:highlight w:val="none"/>
        </w:rPr>
      </w:pPr>
      <w:r>
        <w:rPr>
          <w:rFonts w:hint="eastAsia"/>
          <w:color w:val="auto"/>
          <w:highlight w:val="none"/>
        </w:rPr>
        <w:t>注：1、本格式仅供参考，投标人可根据实际情况自定。</w:t>
      </w:r>
    </w:p>
    <w:p>
      <w:pPr>
        <w:ind w:firstLine="843" w:firstLineChars="400"/>
        <w:rPr>
          <w:b/>
          <w:bCs/>
          <w:color w:val="auto"/>
          <w:highlight w:val="none"/>
        </w:rPr>
      </w:pPr>
      <w:r>
        <w:rPr>
          <w:rFonts w:hint="eastAsia"/>
          <w:b/>
          <w:bCs/>
          <w:color w:val="auto"/>
          <w:highlight w:val="none"/>
        </w:rPr>
        <w:t>2、投标人应附上项目合同等相关证明材料，证明材料所需资料评见商务评分要求。</w:t>
      </w:r>
    </w:p>
    <w:p>
      <w:pPr>
        <w:rPr>
          <w:color w:val="auto"/>
          <w:highlight w:val="none"/>
        </w:rPr>
      </w:pPr>
    </w:p>
    <w:p>
      <w:pPr>
        <w:rPr>
          <w:color w:val="auto"/>
          <w:highlight w:val="none"/>
        </w:rPr>
      </w:pPr>
    </w:p>
    <w:p>
      <w:pPr>
        <w:rPr>
          <w:rFonts w:hint="eastAsia" w:ascii="宋体" w:hAnsi="宋体" w:cs="Times New Roman"/>
          <w:b/>
          <w:bCs/>
          <w:color w:val="auto"/>
          <w:sz w:val="24"/>
          <w:highlight w:val="none"/>
        </w:rPr>
      </w:pPr>
    </w:p>
    <w:p>
      <w:pPr>
        <w:rPr>
          <w:rFonts w:hint="eastAsia" w:ascii="宋体" w:hAnsi="宋体" w:cs="Times New Roman"/>
          <w:b/>
          <w:bCs/>
          <w:color w:val="auto"/>
          <w:sz w:val="24"/>
          <w:highlight w:val="none"/>
        </w:rPr>
      </w:pPr>
      <w:r>
        <w:rPr>
          <w:rFonts w:hint="eastAsia" w:ascii="宋体" w:hAnsi="宋体" w:cs="Times New Roman"/>
          <w:b/>
          <w:bCs/>
          <w:color w:val="auto"/>
          <w:sz w:val="24"/>
          <w:highlight w:val="none"/>
        </w:rPr>
        <w:br w:type="page"/>
      </w:r>
    </w:p>
    <w:p>
      <w:pPr>
        <w:rPr>
          <w:rFonts w:hint="eastAsia" w:ascii="宋体" w:hAnsi="宋体" w:cs="Times New Roman"/>
          <w:b/>
          <w:bCs/>
          <w:color w:val="auto"/>
          <w:sz w:val="24"/>
          <w:highlight w:val="none"/>
        </w:rPr>
      </w:pPr>
      <w:r>
        <w:rPr>
          <w:rFonts w:hint="eastAsia" w:ascii="宋体" w:hAnsi="宋体" w:cs="Times New Roman"/>
          <w:b/>
          <w:bCs/>
          <w:color w:val="auto"/>
          <w:sz w:val="24"/>
          <w:highlight w:val="none"/>
        </w:rPr>
        <w:t>附件7  技术文件（格式自定，可另册）</w:t>
      </w:r>
      <w:r>
        <w:rPr>
          <w:rFonts w:hint="eastAsia" w:ascii="宋体" w:hAnsi="宋体" w:cs="Times New Roman"/>
          <w:b/>
          <w:bCs/>
          <w:color w:val="auto"/>
          <w:sz w:val="24"/>
          <w:highlight w:val="none"/>
        </w:rPr>
        <w:tab/>
      </w:r>
    </w:p>
    <w:p>
      <w:pPr>
        <w:pStyle w:val="9"/>
        <w:rPr>
          <w:color w:val="auto"/>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pStyle w:val="5"/>
        <w:rPr>
          <w:rFonts w:hint="eastAsia"/>
          <w:bCs/>
          <w:color w:val="auto"/>
          <w:sz w:val="24"/>
          <w:highlight w:val="none"/>
        </w:rPr>
      </w:pPr>
      <w:r>
        <w:rPr>
          <w:rFonts w:hint="eastAsia"/>
          <w:bCs/>
          <w:color w:val="auto"/>
          <w:sz w:val="24"/>
          <w:highlight w:val="none"/>
        </w:rPr>
        <w:t>附件8</w:t>
      </w:r>
    </w:p>
    <w:p>
      <w:pPr>
        <w:pStyle w:val="5"/>
        <w:ind w:firstLine="3424" w:firstLineChars="1421"/>
        <w:rPr>
          <w:rFonts w:hint="eastAsia"/>
          <w:bCs/>
          <w:color w:val="auto"/>
          <w:sz w:val="24"/>
          <w:highlight w:val="none"/>
        </w:rPr>
      </w:pPr>
      <w:r>
        <w:rPr>
          <w:rFonts w:hint="eastAsia"/>
          <w:bCs/>
          <w:color w:val="auto"/>
          <w:sz w:val="24"/>
          <w:highlight w:val="none"/>
        </w:rPr>
        <w:t>公平竞争承诺书</w:t>
      </w:r>
    </w:p>
    <w:p>
      <w:pPr>
        <w:autoSpaceDE w:val="0"/>
        <w:autoSpaceDN w:val="0"/>
        <w:adjustRightInd w:val="0"/>
        <w:spacing w:line="360" w:lineRule="auto"/>
        <w:ind w:firstLine="240" w:firstLineChars="100"/>
        <w:jc w:val="left"/>
        <w:rPr>
          <w:rFonts w:hint="eastAsia" w:ascii="宋体" w:hAnsi="宋体" w:cs="宋体"/>
          <w:color w:val="auto"/>
          <w:sz w:val="24"/>
          <w:highlight w:val="none"/>
        </w:rPr>
      </w:pPr>
    </w:p>
    <w:p>
      <w:pPr>
        <w:autoSpaceDE w:val="0"/>
        <w:autoSpaceDN w:val="0"/>
        <w:adjustRightInd w:val="0"/>
        <w:spacing w:line="360" w:lineRule="auto"/>
        <w:ind w:firstLine="240" w:firstLineChars="100"/>
        <w:jc w:val="left"/>
        <w:rPr>
          <w:rFonts w:hint="eastAsia" w:ascii="宋体" w:hAnsi="宋体" w:cs="宋体"/>
          <w:color w:val="auto"/>
          <w:sz w:val="24"/>
          <w:highlight w:val="none"/>
        </w:rPr>
      </w:pPr>
    </w:p>
    <w:p>
      <w:pPr>
        <w:autoSpaceDE w:val="0"/>
        <w:autoSpaceDN w:val="0"/>
        <w:adjustRightInd w:val="0"/>
        <w:spacing w:line="360" w:lineRule="auto"/>
        <w:ind w:firstLine="240" w:firstLineChars="100"/>
        <w:jc w:val="left"/>
        <w:rPr>
          <w:rFonts w:hint="eastAsia" w:ascii="宋体" w:hAnsi="宋体" w:cs="宋体"/>
          <w:color w:val="auto"/>
          <w:sz w:val="24"/>
          <w:highlight w:val="none"/>
        </w:rPr>
      </w:pPr>
    </w:p>
    <w:p>
      <w:pPr>
        <w:autoSpaceDE w:val="0"/>
        <w:autoSpaceDN w:val="0"/>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本公司郑重承诺：本公司保证所提交的相关资质文件和证明材料的真实性，有良好的历史诚信记录，并将依法参与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项目的公平竞争，不以任何不正当行为谋取不当利益，否则承担相应的法律责任。</w:t>
      </w:r>
    </w:p>
    <w:p>
      <w:pPr>
        <w:autoSpaceDE w:val="0"/>
        <w:autoSpaceDN w:val="0"/>
        <w:adjustRightInd w:val="0"/>
        <w:spacing w:line="360" w:lineRule="auto"/>
        <w:jc w:val="right"/>
        <w:rPr>
          <w:rFonts w:hint="eastAsia" w:ascii="宋体" w:hAnsi="宋体" w:cs="宋体"/>
          <w:color w:val="auto"/>
          <w:sz w:val="24"/>
          <w:highlight w:val="none"/>
        </w:rPr>
      </w:pPr>
    </w:p>
    <w:p>
      <w:pPr>
        <w:autoSpaceDE w:val="0"/>
        <w:autoSpaceDN w:val="0"/>
        <w:adjustRightInd w:val="0"/>
        <w:spacing w:line="360" w:lineRule="auto"/>
        <w:jc w:val="right"/>
        <w:rPr>
          <w:rFonts w:hint="eastAsia" w:ascii="宋体" w:hAnsi="宋体" w:cs="宋体"/>
          <w:color w:val="auto"/>
          <w:sz w:val="24"/>
          <w:highlight w:val="none"/>
        </w:rPr>
      </w:pPr>
    </w:p>
    <w:p>
      <w:pPr>
        <w:autoSpaceDE w:val="0"/>
        <w:autoSpaceDN w:val="0"/>
        <w:adjustRightInd w:val="0"/>
        <w:spacing w:line="360" w:lineRule="auto"/>
        <w:jc w:val="right"/>
        <w:rPr>
          <w:rFonts w:hint="eastAsia" w:ascii="宋体" w:hAnsi="宋体" w:cs="宋体"/>
          <w:color w:val="auto"/>
          <w:sz w:val="24"/>
          <w:highlight w:val="none"/>
        </w:rPr>
      </w:pPr>
    </w:p>
    <w:p>
      <w:pPr>
        <w:autoSpaceDE w:val="0"/>
        <w:autoSpaceDN w:val="0"/>
        <w:adjustRightInd w:val="0"/>
        <w:spacing w:line="360" w:lineRule="auto"/>
        <w:jc w:val="right"/>
        <w:rPr>
          <w:rFonts w:hint="eastAsia" w:ascii="宋体" w:hAnsi="宋体" w:cs="宋体"/>
          <w:color w:val="auto"/>
          <w:sz w:val="24"/>
          <w:highlight w:val="none"/>
        </w:rPr>
      </w:pPr>
    </w:p>
    <w:p>
      <w:pPr>
        <w:autoSpaceDE w:val="0"/>
        <w:autoSpaceDN w:val="0"/>
        <w:adjustRightIn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（公司名称，加盖公章）</w:t>
      </w:r>
    </w:p>
    <w:p>
      <w:pPr>
        <w:spacing w:line="380" w:lineRule="exact"/>
        <w:ind w:firstLine="120" w:firstLineChars="50"/>
        <w:jc w:val="right"/>
        <w:rPr>
          <w:rFonts w:hint="eastAsia" w:ascii="宋体" w:hAnsi="宋体" w:cs="宋体"/>
          <w:color w:val="auto"/>
          <w:sz w:val="24"/>
          <w:highlight w:val="none"/>
        </w:rPr>
      </w:pPr>
      <w:r>
        <w:rPr>
          <w:rFonts w:hint="eastAsia" w:ascii="宋体" w:hAnsi="宋体" w:cs="宋体"/>
          <w:color w:val="auto"/>
          <w:sz w:val="24"/>
          <w:highlight w:val="none"/>
        </w:rPr>
        <w:t xml:space="preserve">时间：  </w:t>
      </w:r>
      <w:r>
        <w:rPr>
          <w:rFonts w:ascii="宋体" w:hAnsi="宋体" w:cs="宋体"/>
          <w:color w:val="auto"/>
          <w:sz w:val="24"/>
          <w:highlight w:val="none"/>
        </w:rPr>
        <w:t xml:space="preserve"> </w:t>
      </w:r>
      <w:r>
        <w:rPr>
          <w:rFonts w:hint="eastAsia" w:ascii="宋体" w:hAnsi="宋体" w:cs="宋体"/>
          <w:color w:val="auto"/>
          <w:sz w:val="24"/>
          <w:highlight w:val="none"/>
        </w:rPr>
        <w:t xml:space="preserve">年  </w:t>
      </w:r>
      <w:r>
        <w:rPr>
          <w:rFonts w:ascii="宋体" w:hAnsi="宋体" w:cs="宋体"/>
          <w:color w:val="auto"/>
          <w:sz w:val="24"/>
          <w:highlight w:val="none"/>
        </w:rPr>
        <w:t xml:space="preserve"> </w:t>
      </w:r>
      <w:r>
        <w:rPr>
          <w:rFonts w:hint="eastAsia" w:ascii="宋体" w:hAnsi="宋体" w:cs="宋体"/>
          <w:color w:val="auto"/>
          <w:sz w:val="24"/>
          <w:highlight w:val="none"/>
        </w:rPr>
        <w:t xml:space="preserve">月  </w:t>
      </w:r>
      <w:r>
        <w:rPr>
          <w:rFonts w:ascii="宋体" w:hAnsi="宋体" w:cs="宋体"/>
          <w:color w:val="auto"/>
          <w:sz w:val="24"/>
          <w:highlight w:val="none"/>
        </w:rPr>
        <w:t xml:space="preserve"> </w:t>
      </w:r>
      <w:r>
        <w:rPr>
          <w:rFonts w:hint="eastAsia" w:ascii="宋体" w:hAnsi="宋体" w:cs="宋体"/>
          <w:color w:val="auto"/>
          <w:sz w:val="24"/>
          <w:highlight w:val="none"/>
        </w:rPr>
        <w:t>日</w:t>
      </w:r>
    </w:p>
    <w:p>
      <w:pPr>
        <w:rPr>
          <w:color w:val="auto"/>
          <w:highlight w:val="none"/>
        </w:rPr>
      </w:pPr>
    </w:p>
    <w:p>
      <w:pPr>
        <w:pStyle w:val="9"/>
        <w:rPr>
          <w:color w:val="auto"/>
          <w:highlight w:val="none"/>
        </w:rPr>
      </w:pPr>
    </w:p>
    <w:p>
      <w:pPr>
        <w:rPr>
          <w:color w:val="auto"/>
          <w:highlight w:val="none"/>
        </w:rPr>
      </w:pPr>
    </w:p>
    <w:p>
      <w:pPr>
        <w:pStyle w:val="9"/>
        <w:rPr>
          <w:color w:val="auto"/>
          <w:highlight w:val="none"/>
        </w:rPr>
      </w:pPr>
    </w:p>
    <w:p>
      <w:pPr>
        <w:rPr>
          <w:color w:val="auto"/>
          <w:highlight w:val="none"/>
        </w:rPr>
      </w:pPr>
    </w:p>
    <w:p>
      <w:pPr>
        <w:pStyle w:val="9"/>
        <w:rPr>
          <w:color w:val="auto"/>
          <w:highlight w:val="none"/>
        </w:rPr>
      </w:pPr>
    </w:p>
    <w:p>
      <w:pPr>
        <w:rPr>
          <w:color w:val="auto"/>
          <w:highlight w:val="none"/>
        </w:rPr>
      </w:pPr>
    </w:p>
    <w:p>
      <w:pPr>
        <w:pStyle w:val="9"/>
        <w:rPr>
          <w:color w:val="auto"/>
          <w:highlight w:val="none"/>
        </w:rPr>
      </w:pPr>
    </w:p>
    <w:p>
      <w:pPr>
        <w:rPr>
          <w:color w:val="auto"/>
          <w:highlight w:val="none"/>
        </w:rPr>
      </w:pPr>
    </w:p>
    <w:p>
      <w:pPr>
        <w:pStyle w:val="9"/>
        <w:rPr>
          <w:color w:val="auto"/>
          <w:highlight w:val="none"/>
        </w:rPr>
      </w:pPr>
    </w:p>
    <w:p>
      <w:pPr>
        <w:rPr>
          <w:color w:val="auto"/>
          <w:highlight w:val="none"/>
        </w:rPr>
      </w:pPr>
    </w:p>
    <w:p>
      <w:pPr>
        <w:pStyle w:val="9"/>
        <w:rPr>
          <w:color w:val="auto"/>
          <w:highlight w:val="none"/>
        </w:rPr>
      </w:pPr>
    </w:p>
    <w:p>
      <w:pPr>
        <w:rPr>
          <w:color w:val="auto"/>
          <w:highlight w:val="none"/>
        </w:rPr>
      </w:pPr>
    </w:p>
    <w:p>
      <w:pPr>
        <w:pStyle w:val="4"/>
        <w:rPr>
          <w:color w:val="auto"/>
          <w:highlight w:val="none"/>
        </w:rPr>
      </w:pPr>
    </w:p>
    <w:p>
      <w:pPr>
        <w:rPr>
          <w:color w:val="auto"/>
          <w:highlight w:val="none"/>
        </w:rPr>
      </w:pPr>
    </w:p>
    <w:p>
      <w:pPr>
        <w:pStyle w:val="9"/>
        <w:rPr>
          <w:color w:val="auto"/>
          <w:highlight w:val="none"/>
        </w:rPr>
      </w:pPr>
    </w:p>
    <w:p>
      <w:pPr>
        <w:spacing w:line="360" w:lineRule="auto"/>
        <w:jc w:val="center"/>
        <w:outlineLvl w:val="0"/>
        <w:rPr>
          <w:rFonts w:hint="eastAsia" w:ascii="宋体" w:hAnsi="宋体"/>
          <w:b/>
          <w:bCs/>
          <w:color w:val="auto"/>
          <w:sz w:val="84"/>
          <w:highlight w:val="none"/>
        </w:rPr>
      </w:pPr>
      <w:bookmarkStart w:id="51" w:name="_Toc14490"/>
      <w:r>
        <w:rPr>
          <w:rFonts w:hint="eastAsia"/>
          <w:b/>
          <w:bCs/>
          <w:color w:val="auto"/>
          <w:sz w:val="44"/>
          <w:highlight w:val="none"/>
        </w:rPr>
        <w:t>第五章 评标细则</w:t>
      </w:r>
      <w:bookmarkEnd w:id="51"/>
    </w:p>
    <w:p>
      <w:pPr>
        <w:pStyle w:val="5"/>
        <w:adjustRightInd/>
        <w:spacing w:before="0" w:after="0" w:line="440" w:lineRule="exact"/>
        <w:rPr>
          <w:rFonts w:hint="eastAsia"/>
          <w:color w:val="auto"/>
          <w:sz w:val="24"/>
          <w:szCs w:val="24"/>
          <w:highlight w:val="none"/>
        </w:rPr>
      </w:pPr>
      <w:bookmarkStart w:id="52" w:name="_Toc148420064"/>
      <w:bookmarkStart w:id="53" w:name="_Toc109467926"/>
      <w:bookmarkStart w:id="54" w:name="_Toc107383641"/>
      <w:bookmarkStart w:id="55" w:name="_Toc148060900"/>
      <w:bookmarkStart w:id="56" w:name="_Toc131922497"/>
      <w:bookmarkStart w:id="57" w:name="_Toc61327422"/>
      <w:bookmarkStart w:id="58" w:name="_Toc107460006"/>
      <w:bookmarkStart w:id="59" w:name="_Toc138568666"/>
      <w:bookmarkStart w:id="60" w:name="_Toc107385313"/>
      <w:bookmarkStart w:id="61" w:name="_Toc150050896"/>
      <w:bookmarkStart w:id="62" w:name="_Toc131904924"/>
      <w:bookmarkStart w:id="63" w:name="_Toc138506086"/>
      <w:bookmarkStart w:id="64" w:name="_Toc169334810"/>
      <w:r>
        <w:rPr>
          <w:rFonts w:hint="eastAsia"/>
          <w:color w:val="auto"/>
          <w:sz w:val="24"/>
          <w:szCs w:val="24"/>
          <w:highlight w:val="none"/>
        </w:rPr>
        <w:t>一、说明</w:t>
      </w:r>
      <w:bookmarkEnd w:id="52"/>
      <w:bookmarkEnd w:id="53"/>
      <w:bookmarkEnd w:id="54"/>
      <w:bookmarkEnd w:id="55"/>
      <w:bookmarkEnd w:id="56"/>
      <w:bookmarkEnd w:id="57"/>
      <w:bookmarkEnd w:id="58"/>
      <w:bookmarkEnd w:id="59"/>
      <w:bookmarkEnd w:id="60"/>
      <w:bookmarkEnd w:id="61"/>
      <w:bookmarkEnd w:id="62"/>
      <w:bookmarkEnd w:id="63"/>
      <w:bookmarkEnd w:id="64"/>
    </w:p>
    <w:p>
      <w:pPr>
        <w:spacing w:line="440" w:lineRule="exact"/>
        <w:rPr>
          <w:rFonts w:hint="eastAsia" w:ascii="宋体" w:hAnsi="宋体"/>
          <w:b/>
          <w:bCs/>
          <w:color w:val="auto"/>
          <w:sz w:val="24"/>
          <w:szCs w:val="24"/>
          <w:highlight w:val="none"/>
        </w:rPr>
      </w:pPr>
      <w:bookmarkStart w:id="65" w:name="_Toc61327423"/>
      <w:r>
        <w:rPr>
          <w:rFonts w:hint="eastAsia" w:ascii="宋体" w:hAnsi="宋体"/>
          <w:b/>
          <w:bCs/>
          <w:color w:val="auto"/>
          <w:sz w:val="24"/>
          <w:szCs w:val="24"/>
          <w:highlight w:val="none"/>
        </w:rPr>
        <w:t>1.概述</w:t>
      </w:r>
      <w:bookmarkEnd w:id="65"/>
    </w:p>
    <w:p>
      <w:pPr>
        <w:pStyle w:val="10"/>
        <w:spacing w:line="440" w:lineRule="exact"/>
        <w:ind w:firstLine="476"/>
        <w:rPr>
          <w:rFonts w:hint="eastAsia" w:ascii="宋体" w:hAnsi="宋体"/>
          <w:color w:val="auto"/>
          <w:sz w:val="24"/>
          <w:szCs w:val="24"/>
          <w:highlight w:val="none"/>
        </w:rPr>
      </w:pPr>
      <w:r>
        <w:rPr>
          <w:rFonts w:hint="eastAsia" w:ascii="宋体" w:hAnsi="宋体"/>
          <w:color w:val="auto"/>
          <w:sz w:val="24"/>
          <w:szCs w:val="24"/>
          <w:highlight w:val="none"/>
        </w:rPr>
        <w:t>根据《中华人民共和国招标投标法》和国家及地方采购有关文件精神，在保证</w:t>
      </w:r>
      <w:r>
        <w:rPr>
          <w:rFonts w:hint="eastAsia" w:ascii="宋体" w:hAnsi="宋体" w:eastAsia="宋体" w:cs="Times New Roman"/>
          <w:color w:val="auto"/>
          <w:sz w:val="24"/>
          <w:szCs w:val="20"/>
          <w:highlight w:val="none"/>
          <w:u w:val="single"/>
          <w:lang w:val="en-US" w:eastAsia="zh-CN"/>
        </w:rPr>
        <w:t>2025年粤港澳大湾区灯会活动围蔽采购安装</w:t>
      </w:r>
      <w:r>
        <w:rPr>
          <w:rFonts w:hint="eastAsia" w:ascii="宋体" w:hAnsi="宋体" w:eastAsia="宋体" w:cs="Times New Roman"/>
          <w:color w:val="auto"/>
          <w:sz w:val="24"/>
          <w:szCs w:val="20"/>
          <w:highlight w:val="none"/>
          <w:u w:val="single"/>
        </w:rPr>
        <w:t>项目</w:t>
      </w:r>
      <w:r>
        <w:rPr>
          <w:rFonts w:hint="eastAsia" w:ascii="宋体" w:hAnsi="宋体"/>
          <w:color w:val="auto"/>
          <w:sz w:val="24"/>
          <w:szCs w:val="24"/>
          <w:highlight w:val="none"/>
        </w:rPr>
        <w:t>（以下简称项目）招标公开、公平、公正的基础上，结合项目的技术和商务需求，编制本评标文件。</w:t>
      </w:r>
    </w:p>
    <w:p>
      <w:pPr>
        <w:spacing w:line="440" w:lineRule="exact"/>
        <w:rPr>
          <w:rFonts w:hint="eastAsia" w:ascii="宋体" w:hAnsi="宋体"/>
          <w:b/>
          <w:bCs/>
          <w:color w:val="auto"/>
          <w:sz w:val="24"/>
          <w:szCs w:val="24"/>
          <w:highlight w:val="none"/>
        </w:rPr>
      </w:pPr>
      <w:bookmarkStart w:id="66" w:name="_Toc61327424"/>
      <w:r>
        <w:rPr>
          <w:rFonts w:hint="eastAsia" w:ascii="宋体" w:hAnsi="宋体"/>
          <w:b/>
          <w:bCs/>
          <w:color w:val="auto"/>
          <w:sz w:val="24"/>
          <w:szCs w:val="24"/>
          <w:highlight w:val="none"/>
        </w:rPr>
        <w:t>2.定义</w:t>
      </w:r>
      <w:bookmarkEnd w:id="66"/>
    </w:p>
    <w:p>
      <w:pPr>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招标人</w:t>
      </w:r>
      <w:r>
        <w:rPr>
          <w:rFonts w:hint="eastAsia" w:ascii="宋体" w:hAnsi="宋体"/>
          <w:color w:val="auto"/>
          <w:sz w:val="24"/>
          <w:szCs w:val="24"/>
          <w:highlight w:val="none"/>
        </w:rPr>
        <w:t xml:space="preserve">：系指广州南沙旅游发展有限公司。                             </w:t>
      </w:r>
    </w:p>
    <w:p>
      <w:pPr>
        <w:spacing w:line="360"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业主/用户</w:t>
      </w:r>
      <w:r>
        <w:rPr>
          <w:rFonts w:hint="eastAsia" w:ascii="宋体" w:hAnsi="宋体"/>
          <w:color w:val="auto"/>
          <w:sz w:val="24"/>
          <w:szCs w:val="24"/>
          <w:highlight w:val="none"/>
        </w:rPr>
        <w:t>：系指本项目的最终使用单位。</w:t>
      </w:r>
    </w:p>
    <w:p>
      <w:pPr>
        <w:spacing w:line="440" w:lineRule="exact"/>
        <w:rPr>
          <w:rFonts w:hint="eastAsia" w:ascii="宋体" w:hAnsi="宋体"/>
          <w:b/>
          <w:bCs/>
          <w:color w:val="auto"/>
          <w:sz w:val="24"/>
          <w:szCs w:val="24"/>
          <w:highlight w:val="none"/>
        </w:rPr>
      </w:pPr>
      <w:bookmarkStart w:id="67" w:name="_Toc61327425"/>
      <w:r>
        <w:rPr>
          <w:rFonts w:hint="eastAsia" w:ascii="宋体" w:hAnsi="宋体"/>
          <w:b/>
          <w:bCs/>
          <w:color w:val="auto"/>
          <w:sz w:val="24"/>
          <w:szCs w:val="24"/>
          <w:highlight w:val="none"/>
        </w:rPr>
        <w:t>3.评标委员会组成</w:t>
      </w:r>
      <w:bookmarkEnd w:id="67"/>
    </w:p>
    <w:p>
      <w:pPr>
        <w:pStyle w:val="1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highlight w:val="none"/>
        </w:rPr>
        <w:t>本次招标依法组建评标委员会。本次评标的评委会依法由5位评委组成。评委会负责全部的评审工作，任何人不得干预评委会的工作。</w:t>
      </w:r>
    </w:p>
    <w:p>
      <w:pPr>
        <w:pStyle w:val="5"/>
        <w:adjustRightInd/>
        <w:spacing w:before="0" w:after="0" w:line="440" w:lineRule="exact"/>
        <w:rPr>
          <w:rFonts w:hint="eastAsia"/>
          <w:color w:val="auto"/>
          <w:sz w:val="24"/>
          <w:szCs w:val="24"/>
          <w:highlight w:val="none"/>
        </w:rPr>
      </w:pPr>
      <w:bookmarkStart w:id="68" w:name="_Toc61327427"/>
      <w:bookmarkStart w:id="69" w:name="_Toc109467927"/>
      <w:bookmarkStart w:id="70" w:name="_Toc131922498"/>
      <w:bookmarkStart w:id="71" w:name="_Toc150050897"/>
      <w:bookmarkStart w:id="72" w:name="_Toc131904925"/>
      <w:bookmarkStart w:id="73" w:name="_Toc107385314"/>
      <w:bookmarkStart w:id="74" w:name="_Toc107383642"/>
      <w:bookmarkStart w:id="75" w:name="_Toc138568667"/>
      <w:bookmarkStart w:id="76" w:name="_Toc169334811"/>
      <w:bookmarkStart w:id="77" w:name="_Toc148060901"/>
      <w:bookmarkStart w:id="78" w:name="_Toc148420065"/>
      <w:bookmarkStart w:id="79" w:name="_Toc107460007"/>
      <w:bookmarkStart w:id="80" w:name="_Toc138506087"/>
      <w:r>
        <w:rPr>
          <w:rFonts w:hint="eastAsia"/>
          <w:color w:val="auto"/>
          <w:sz w:val="24"/>
          <w:szCs w:val="24"/>
          <w:highlight w:val="none"/>
        </w:rPr>
        <w:t>二、评标须知</w:t>
      </w:r>
      <w:bookmarkEnd w:id="68"/>
      <w:bookmarkEnd w:id="69"/>
      <w:bookmarkEnd w:id="70"/>
      <w:bookmarkEnd w:id="71"/>
      <w:bookmarkEnd w:id="72"/>
      <w:bookmarkEnd w:id="73"/>
      <w:bookmarkEnd w:id="74"/>
      <w:bookmarkEnd w:id="75"/>
      <w:bookmarkEnd w:id="76"/>
      <w:bookmarkEnd w:id="77"/>
      <w:bookmarkEnd w:id="78"/>
      <w:bookmarkEnd w:id="79"/>
      <w:bookmarkEnd w:id="80"/>
    </w:p>
    <w:p>
      <w:pPr>
        <w:spacing w:line="440" w:lineRule="exact"/>
        <w:rPr>
          <w:rFonts w:hint="eastAsia" w:ascii="宋体" w:hAnsi="宋体"/>
          <w:b/>
          <w:bCs/>
          <w:color w:val="auto"/>
          <w:sz w:val="24"/>
          <w:szCs w:val="24"/>
          <w:highlight w:val="none"/>
        </w:rPr>
      </w:pPr>
      <w:bookmarkStart w:id="81" w:name="_Toc61327428"/>
      <w:r>
        <w:rPr>
          <w:rFonts w:hint="eastAsia" w:ascii="宋体" w:hAnsi="宋体"/>
          <w:b/>
          <w:bCs/>
          <w:color w:val="auto"/>
          <w:sz w:val="24"/>
          <w:szCs w:val="24"/>
          <w:highlight w:val="none"/>
        </w:rPr>
        <w:t>1.关于评标方案</w:t>
      </w:r>
      <w:bookmarkEnd w:id="81"/>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（1）评标委员会的每位成员（简称评委）应认真地阅读并确认已经正确理解了评标方案；</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（2）评委如对评标方案有异议，应在评标开始前提出。</w:t>
      </w:r>
    </w:p>
    <w:p>
      <w:pPr>
        <w:spacing w:line="440" w:lineRule="exact"/>
        <w:rPr>
          <w:rFonts w:hint="eastAsia" w:ascii="宋体" w:hAnsi="宋体"/>
          <w:b/>
          <w:bCs/>
          <w:color w:val="auto"/>
          <w:sz w:val="24"/>
          <w:szCs w:val="24"/>
          <w:highlight w:val="none"/>
        </w:rPr>
      </w:pPr>
      <w:bookmarkStart w:id="82" w:name="_Toc61327429"/>
      <w:r>
        <w:rPr>
          <w:rFonts w:hint="eastAsia" w:ascii="宋体" w:hAnsi="宋体"/>
          <w:b/>
          <w:bCs/>
          <w:color w:val="auto"/>
          <w:sz w:val="24"/>
          <w:szCs w:val="24"/>
          <w:highlight w:val="none"/>
        </w:rPr>
        <w:t>2.关于评标纪律</w:t>
      </w:r>
      <w:bookmarkEnd w:id="82"/>
    </w:p>
    <w:p>
      <w:pPr>
        <w:spacing w:line="440" w:lineRule="exact"/>
        <w:ind w:left="588" w:hanging="588" w:hangingChars="245"/>
        <w:rPr>
          <w:rFonts w:hint="eastAsia" w:ascii="宋体" w:hAnsi="宋体"/>
          <w:color w:val="auto"/>
          <w:sz w:val="24"/>
          <w:szCs w:val="24"/>
          <w:highlight w:val="none"/>
        </w:rPr>
      </w:pPr>
      <w:r>
        <w:rPr>
          <w:rFonts w:hint="eastAsia" w:ascii="宋体" w:hAnsi="宋体"/>
          <w:color w:val="auto"/>
          <w:sz w:val="24"/>
          <w:szCs w:val="24"/>
          <w:highlight w:val="none"/>
        </w:rPr>
        <w:t>（1）评标委员会成员不得与任何投标人或者与招标结果有利害关系的人进行私下接触，不得收受投标人、中介人、其他利害关系人的财物或者其他好处；</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（2）评委应本着客观、公正的原则独立给出评价意见；</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（3）评委之间不得相互串通进行评分；</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（4）评委不得试图影响其他评委的评价意见。</w:t>
      </w:r>
    </w:p>
    <w:p>
      <w:pPr>
        <w:spacing w:line="440" w:lineRule="exact"/>
        <w:rPr>
          <w:rFonts w:hint="eastAsia" w:ascii="宋体" w:hAnsi="宋体"/>
          <w:b/>
          <w:bCs/>
          <w:color w:val="auto"/>
          <w:sz w:val="24"/>
          <w:szCs w:val="24"/>
          <w:highlight w:val="none"/>
        </w:rPr>
      </w:pPr>
      <w:bookmarkStart w:id="83" w:name="_Toc61327430"/>
      <w:r>
        <w:rPr>
          <w:rFonts w:hint="eastAsia" w:ascii="宋体" w:hAnsi="宋体"/>
          <w:b/>
          <w:bCs/>
          <w:color w:val="auto"/>
          <w:sz w:val="24"/>
          <w:szCs w:val="24"/>
          <w:highlight w:val="none"/>
        </w:rPr>
        <w:t>3.关于评标责任</w:t>
      </w:r>
      <w:bookmarkEnd w:id="83"/>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（1）评委应在其书面评审意见上签字确认；</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（2）评委对其所提出的评审意见承担个人责任。</w:t>
      </w:r>
    </w:p>
    <w:p>
      <w:pPr>
        <w:spacing w:line="440" w:lineRule="exact"/>
        <w:rPr>
          <w:rFonts w:hint="eastAsia" w:ascii="宋体" w:hAnsi="宋体"/>
          <w:b/>
          <w:bCs/>
          <w:color w:val="auto"/>
          <w:sz w:val="24"/>
          <w:szCs w:val="24"/>
          <w:highlight w:val="none"/>
        </w:rPr>
      </w:pPr>
      <w:bookmarkStart w:id="84" w:name="_Toc61327431"/>
      <w:r>
        <w:rPr>
          <w:rFonts w:hint="eastAsia" w:ascii="宋体" w:hAnsi="宋体"/>
          <w:b/>
          <w:bCs/>
          <w:color w:val="auto"/>
          <w:sz w:val="24"/>
          <w:szCs w:val="24"/>
          <w:highlight w:val="none"/>
        </w:rPr>
        <w:t>4.关于回避</w:t>
      </w:r>
      <w:bookmarkEnd w:id="84"/>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有下列情形之一的，不得担任评标委员会成员，如事先不知情的，应在招标人宣读投标人名单及评标纪律后主动提出回避：</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（1）是投标人或者投标人主要负责人的近亲属；</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（2）项目主管部门或行政监督部门的人员；</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（3）与投标人有经济利益关系，可能影响对投标公正评审的；</w:t>
      </w:r>
    </w:p>
    <w:p>
      <w:pPr>
        <w:spacing w:line="440" w:lineRule="exact"/>
        <w:ind w:left="600" w:hanging="600" w:hangingChars="250"/>
        <w:rPr>
          <w:rFonts w:hint="eastAsia" w:ascii="宋体" w:hAnsi="宋体"/>
          <w:color w:val="auto"/>
          <w:sz w:val="24"/>
          <w:szCs w:val="24"/>
          <w:highlight w:val="none"/>
        </w:rPr>
      </w:pPr>
      <w:r>
        <w:rPr>
          <w:rFonts w:hint="eastAsia" w:ascii="宋体" w:hAnsi="宋体"/>
          <w:color w:val="auto"/>
          <w:sz w:val="24"/>
          <w:szCs w:val="24"/>
          <w:highlight w:val="none"/>
        </w:rPr>
        <w:t>（4）曾因在招标、评标以及其他与招标投标有关活动中从事违法行为而受过行政处罚或刑事处罚的。</w:t>
      </w:r>
    </w:p>
    <w:p>
      <w:pPr>
        <w:spacing w:line="440" w:lineRule="exact"/>
        <w:rPr>
          <w:rFonts w:hint="eastAsia" w:ascii="宋体" w:hAnsi="宋体"/>
          <w:b/>
          <w:bCs/>
          <w:color w:val="auto"/>
          <w:sz w:val="24"/>
          <w:szCs w:val="24"/>
          <w:highlight w:val="none"/>
        </w:rPr>
      </w:pPr>
      <w:bookmarkStart w:id="85" w:name="_Toc61327432"/>
      <w:r>
        <w:rPr>
          <w:rFonts w:hint="eastAsia" w:ascii="宋体" w:hAnsi="宋体"/>
          <w:b/>
          <w:bCs/>
          <w:color w:val="auto"/>
          <w:sz w:val="24"/>
          <w:szCs w:val="24"/>
          <w:highlight w:val="none"/>
        </w:rPr>
        <w:t>5.关于保密</w:t>
      </w:r>
      <w:bookmarkEnd w:id="85"/>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评标委员会成员和与评标活动有关的工作人员不得透露对投标文件的评审和比较、中标候选人的推荐情况以及评标有关的其他情况。</w:t>
      </w:r>
    </w:p>
    <w:p>
      <w:pPr>
        <w:pStyle w:val="9"/>
        <w:spacing w:line="440" w:lineRule="exact"/>
        <w:ind w:firstLine="480" w:firstLineChars="200"/>
        <w:rPr>
          <w:rFonts w:hint="eastAsia" w:ascii="宋体" w:hAnsi="宋体" w:eastAsia="宋体"/>
          <w:color w:val="auto"/>
          <w:sz w:val="24"/>
          <w:szCs w:val="24"/>
          <w:highlight w:val="none"/>
        </w:rPr>
      </w:pPr>
      <w:r>
        <w:rPr>
          <w:rFonts w:hint="eastAsia" w:ascii="宋体" w:hAnsi="宋体" w:eastAsia="宋体"/>
          <w:b w:val="0"/>
          <w:color w:val="auto"/>
          <w:sz w:val="24"/>
          <w:szCs w:val="24"/>
          <w:highlight w:val="none"/>
        </w:rPr>
        <w:t>前款所称与评标活动有关的工作人员，是指评标委员会成员以外的因参与评标监督工作或者事务性工作而知悉有关评标情况的所有人员。</w:t>
      </w:r>
    </w:p>
    <w:p>
      <w:pPr>
        <w:spacing w:line="440" w:lineRule="exact"/>
        <w:rPr>
          <w:rFonts w:hint="eastAsia" w:ascii="宋体" w:hAnsi="宋体"/>
          <w:b/>
          <w:bCs/>
          <w:color w:val="auto"/>
          <w:sz w:val="24"/>
          <w:szCs w:val="24"/>
          <w:highlight w:val="none"/>
        </w:rPr>
      </w:pPr>
      <w:bookmarkStart w:id="86" w:name="_Toc61327433"/>
      <w:r>
        <w:rPr>
          <w:rFonts w:hint="eastAsia" w:ascii="宋体" w:hAnsi="宋体"/>
          <w:b/>
          <w:bCs/>
          <w:color w:val="auto"/>
          <w:sz w:val="24"/>
          <w:szCs w:val="24"/>
          <w:highlight w:val="none"/>
        </w:rPr>
        <w:t>6.罚则</w:t>
      </w:r>
      <w:bookmarkEnd w:id="86"/>
    </w:p>
    <w:p>
      <w:pPr>
        <w:spacing w:line="440" w:lineRule="exact"/>
        <w:ind w:left="600" w:hanging="600" w:hangingChars="250"/>
        <w:rPr>
          <w:rFonts w:hint="eastAsia" w:ascii="宋体" w:hAnsi="宋体"/>
          <w:color w:val="auto"/>
          <w:sz w:val="24"/>
          <w:szCs w:val="24"/>
          <w:highlight w:val="none"/>
        </w:rPr>
      </w:pPr>
      <w:r>
        <w:rPr>
          <w:rFonts w:hint="eastAsia" w:ascii="宋体" w:hAnsi="宋体"/>
          <w:color w:val="auto"/>
          <w:sz w:val="24"/>
          <w:szCs w:val="24"/>
          <w:highlight w:val="none"/>
        </w:rPr>
        <w:t>（1）评标委员会成员在评标过程中擅离职守，影响评标程序正常进行，或者在评标过程中不能客观公正地履行职责的，给予警告；情节严重的，取消担任评标委员会成员的资格，不得再参加任何依法必须进行招标项目的评标，并处一万元以下的罚款；</w:t>
      </w:r>
    </w:p>
    <w:p>
      <w:pPr>
        <w:spacing w:line="440" w:lineRule="exact"/>
        <w:ind w:left="600" w:hanging="600" w:hangingChars="250"/>
        <w:rPr>
          <w:rFonts w:hint="eastAsia" w:ascii="宋体" w:hAnsi="宋体"/>
          <w:color w:val="auto"/>
          <w:sz w:val="24"/>
          <w:szCs w:val="24"/>
          <w:highlight w:val="none"/>
        </w:rPr>
      </w:pPr>
      <w:r>
        <w:rPr>
          <w:rFonts w:hint="eastAsia" w:ascii="宋体" w:hAnsi="宋体"/>
          <w:color w:val="auto"/>
          <w:sz w:val="24"/>
          <w:szCs w:val="24"/>
          <w:highlight w:val="none"/>
        </w:rPr>
        <w:t>（2）评标委员会成员收受投标人、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pPr>
        <w:pStyle w:val="5"/>
        <w:adjustRightInd/>
        <w:spacing w:before="0" w:after="0" w:line="440" w:lineRule="exact"/>
        <w:rPr>
          <w:rFonts w:hint="eastAsia"/>
          <w:color w:val="auto"/>
          <w:sz w:val="24"/>
          <w:szCs w:val="24"/>
          <w:highlight w:val="none"/>
        </w:rPr>
      </w:pPr>
      <w:bookmarkStart w:id="87" w:name="_Toc138568668"/>
      <w:bookmarkStart w:id="88" w:name="_Toc61327434"/>
      <w:bookmarkStart w:id="89" w:name="_Toc109467928"/>
      <w:bookmarkStart w:id="90" w:name="_Toc150050898"/>
      <w:bookmarkStart w:id="91" w:name="_Toc138506088"/>
      <w:bookmarkStart w:id="92" w:name="_Toc131922499"/>
      <w:bookmarkStart w:id="93" w:name="_Toc131904926"/>
      <w:bookmarkStart w:id="94" w:name="_Toc148420066"/>
      <w:bookmarkStart w:id="95" w:name="_Toc107383643"/>
      <w:bookmarkStart w:id="96" w:name="_Toc169334812"/>
      <w:bookmarkStart w:id="97" w:name="_Toc107460008"/>
      <w:bookmarkStart w:id="98" w:name="_Toc107385315"/>
      <w:bookmarkStart w:id="99" w:name="_Toc148060902"/>
      <w:r>
        <w:rPr>
          <w:rFonts w:hint="eastAsia"/>
          <w:color w:val="auto"/>
          <w:sz w:val="24"/>
          <w:szCs w:val="24"/>
          <w:highlight w:val="none"/>
        </w:rPr>
        <w:t>三、评标原则</w:t>
      </w:r>
      <w:bookmarkEnd w:id="87"/>
      <w:bookmarkEnd w:id="88"/>
      <w:bookmarkEnd w:id="89"/>
      <w:bookmarkEnd w:id="90"/>
      <w:bookmarkEnd w:id="91"/>
      <w:bookmarkEnd w:id="92"/>
      <w:bookmarkEnd w:id="93"/>
      <w:bookmarkEnd w:id="94"/>
      <w:bookmarkEnd w:id="95"/>
      <w:bookmarkEnd w:id="96"/>
      <w:bookmarkEnd w:id="97"/>
      <w:bookmarkEnd w:id="98"/>
      <w:bookmarkEnd w:id="99"/>
    </w:p>
    <w:p>
      <w:pPr>
        <w:pStyle w:val="10"/>
        <w:spacing w:line="440" w:lineRule="exact"/>
        <w:ind w:firstLine="476"/>
        <w:rPr>
          <w:rFonts w:hint="eastAsia" w:ascii="宋体" w:hAnsi="宋体"/>
          <w:color w:val="auto"/>
          <w:sz w:val="24"/>
          <w:szCs w:val="24"/>
          <w:highlight w:val="none"/>
        </w:rPr>
      </w:pPr>
      <w:r>
        <w:rPr>
          <w:rFonts w:hint="eastAsia" w:ascii="宋体" w:hAnsi="宋体"/>
          <w:color w:val="auto"/>
          <w:sz w:val="24"/>
          <w:szCs w:val="24"/>
          <w:highlight w:val="none"/>
        </w:rPr>
        <w:t>评标工作应依据《中华人民共和国招标投标法》以及《评标委员会和评标方法暂行规定》和地方政府关于政府招投标的有关规定，遵循“公平、公正、科学、择优”的原则进行。评标委员会将按照规定只对通过符合性检查的投标文件进行评价和比较。</w:t>
      </w:r>
    </w:p>
    <w:p>
      <w:pPr>
        <w:pStyle w:val="5"/>
        <w:adjustRightInd/>
        <w:spacing w:before="0" w:after="0" w:line="440" w:lineRule="exact"/>
        <w:rPr>
          <w:rFonts w:hint="eastAsia"/>
          <w:b w:val="0"/>
          <w:bCs/>
          <w:color w:val="auto"/>
          <w:sz w:val="24"/>
          <w:szCs w:val="24"/>
          <w:highlight w:val="none"/>
        </w:rPr>
      </w:pPr>
      <w:bookmarkStart w:id="100" w:name="_Toc104902926"/>
      <w:bookmarkStart w:id="101" w:name="_Toc102211721"/>
      <w:bookmarkStart w:id="102" w:name="_Toc67911939"/>
      <w:bookmarkStart w:id="103" w:name="_Toc104874462"/>
      <w:bookmarkStart w:id="104" w:name="_Toc148060903"/>
      <w:bookmarkStart w:id="105" w:name="_Toc131922500"/>
      <w:bookmarkStart w:id="106" w:name="_Toc95304220"/>
      <w:bookmarkStart w:id="107" w:name="_Toc124401379"/>
      <w:bookmarkStart w:id="108" w:name="_Toc125770205"/>
      <w:bookmarkStart w:id="109" w:name="_Toc108001797"/>
      <w:bookmarkStart w:id="110" w:name="_Toc148420067"/>
      <w:bookmarkStart w:id="111" w:name="_Toc101553658"/>
      <w:bookmarkStart w:id="112" w:name="_Toc34535377"/>
      <w:bookmarkStart w:id="113" w:name="_Toc150050899"/>
      <w:bookmarkStart w:id="114" w:name="_Toc108243613"/>
      <w:bookmarkStart w:id="115" w:name="_Toc169334813"/>
      <w:bookmarkStart w:id="116" w:name="_Toc35834931"/>
      <w:bookmarkStart w:id="117" w:name="_Toc68620009"/>
      <w:bookmarkStart w:id="118" w:name="_Toc124570684"/>
      <w:bookmarkStart w:id="119" w:name="_Toc131904927"/>
      <w:bookmarkStart w:id="120" w:name="_Toc124646431"/>
      <w:bookmarkStart w:id="121" w:name="_Toc66722109"/>
      <w:bookmarkStart w:id="122" w:name="_Toc101553553"/>
      <w:bookmarkStart w:id="123" w:name="_Toc113277289"/>
      <w:bookmarkStart w:id="124" w:name="_Toc95249604"/>
      <w:bookmarkStart w:id="125" w:name="_Toc28489525"/>
      <w:bookmarkStart w:id="126" w:name="_Toc138568669"/>
      <w:bookmarkStart w:id="127" w:name="_Toc138506089"/>
      <w:r>
        <w:rPr>
          <w:rFonts w:hint="eastAsia"/>
          <w:color w:val="auto"/>
          <w:sz w:val="24"/>
          <w:szCs w:val="24"/>
          <w:highlight w:val="none"/>
        </w:rPr>
        <w:t>四、评标方法及流程</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本次招标的评标方法采用综合评审法。评标分三个阶段进行：投标文件符合性检查和投标文件详细评审。具体方法及流程如下：</w:t>
      </w:r>
    </w:p>
    <w:p>
      <w:pPr>
        <w:numPr>
          <w:ilvl w:val="0"/>
          <w:numId w:val="14"/>
        </w:numPr>
        <w:spacing w:line="440" w:lineRule="exact"/>
        <w:rPr>
          <w:rFonts w:hint="eastAsia" w:ascii="宋体" w:hAnsi="宋体"/>
          <w:bCs/>
          <w:color w:val="auto"/>
          <w:sz w:val="24"/>
          <w:szCs w:val="24"/>
          <w:highlight w:val="none"/>
        </w:rPr>
      </w:pPr>
      <w:r>
        <w:rPr>
          <w:rFonts w:hint="eastAsia" w:ascii="宋体" w:hAnsi="宋体"/>
          <w:bCs/>
          <w:color w:val="auto"/>
          <w:sz w:val="24"/>
          <w:szCs w:val="24"/>
          <w:highlight w:val="none"/>
        </w:rPr>
        <w:t>投标文件资格性审查</w:t>
      </w:r>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评标委员会按照《符合性审查表》内容对投标人进行资格审查。合格投标人不足3家的，不得评标。未通过符合性审查的投标人不进入下一步评标</w:t>
      </w:r>
      <w:r>
        <w:rPr>
          <w:rFonts w:hint="eastAsia" w:ascii="宋体" w:hAnsi="宋体"/>
          <w:color w:val="auto"/>
          <w:sz w:val="24"/>
          <w:szCs w:val="24"/>
          <w:highlight w:val="none"/>
        </w:rPr>
        <w:t>。</w:t>
      </w:r>
    </w:p>
    <w:p>
      <w:pPr>
        <w:spacing w:line="440" w:lineRule="exact"/>
        <w:rPr>
          <w:rFonts w:hint="eastAsia" w:ascii="宋体" w:hAnsi="宋体"/>
          <w:bCs/>
          <w:color w:val="auto"/>
          <w:sz w:val="24"/>
          <w:szCs w:val="24"/>
          <w:highlight w:val="none"/>
        </w:rPr>
      </w:pPr>
      <w:r>
        <w:rPr>
          <w:rFonts w:hint="eastAsia" w:ascii="宋体" w:hAnsi="宋体"/>
          <w:bCs/>
          <w:color w:val="auto"/>
          <w:sz w:val="24"/>
          <w:szCs w:val="24"/>
          <w:highlight w:val="none"/>
        </w:rPr>
        <w:t>（2）投标文件符合性检查</w:t>
      </w:r>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1）各评委对各投标文件按照招标文件要求的响应情况进行符合性检查。符合性检查必须根据采购文件中对投标人的要求和投标文件中的响应进行。</w:t>
      </w:r>
    </w:p>
    <w:p>
      <w:pPr>
        <w:spacing w:line="440" w:lineRule="exact"/>
        <w:ind w:left="-2" w:leftChars="-1"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2）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spacing w:line="440" w:lineRule="exact"/>
        <w:ind w:left="-2" w:leftChars="-1"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3）在评审中发现关键指标/服务要求等未能达到招标文件中的规定或有虚假情况时，评标委员会有权取消其评审资格。</w:t>
      </w:r>
    </w:p>
    <w:p>
      <w:pPr>
        <w:spacing w:line="440" w:lineRule="exact"/>
        <w:ind w:left="-2" w:leftChars="-1"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5）投标人只有完全通过符合性检查，才能进入下一阶段的详细评审，否则视为无效投标。（详见符合性检查表）</w:t>
      </w:r>
    </w:p>
    <w:p>
      <w:pPr>
        <w:spacing w:line="440" w:lineRule="exact"/>
        <w:rPr>
          <w:rFonts w:hint="eastAsia" w:ascii="宋体" w:hAnsi="宋体"/>
          <w:bCs/>
          <w:color w:val="auto"/>
          <w:sz w:val="24"/>
          <w:szCs w:val="24"/>
          <w:highlight w:val="none"/>
        </w:rPr>
      </w:pPr>
      <w:r>
        <w:rPr>
          <w:rFonts w:hint="eastAsia" w:ascii="宋体" w:hAnsi="宋体"/>
          <w:bCs/>
          <w:color w:val="auto"/>
          <w:sz w:val="24"/>
          <w:szCs w:val="24"/>
          <w:highlight w:val="none"/>
        </w:rPr>
        <w:t>（3）投标文件详细评审</w:t>
      </w:r>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当通过资格性审查及符合性检查的投标人多于或等于三家时，按照评标程序的规定和依据评分标准以及各项权重、资格性审查及符合性检查结果，各位评委单独就每个投标人的技术状况、商务状况进行评审和比较，评出其技术评分和商务评分。将技术得分、商务得分和价格得分相加得出综合得分，并按综合得分由高至低排出名次（出现并列得分时，价格低者排名在前）。评标委员会依据得分情况推荐出综合得分排名前三名分别作为第一中标候选人、第二中标候选人、第三中标候选人。</w:t>
      </w:r>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当通过资格性审查或符合性检查的投标人少于三家时，否决所有投标文件，依法重新招标。</w:t>
      </w:r>
    </w:p>
    <w:p>
      <w:pPr>
        <w:pStyle w:val="5"/>
        <w:adjustRightInd/>
        <w:spacing w:before="0" w:after="0" w:line="440" w:lineRule="exact"/>
        <w:rPr>
          <w:rFonts w:hint="eastAsia"/>
          <w:b w:val="0"/>
          <w:bCs/>
          <w:color w:val="auto"/>
          <w:sz w:val="24"/>
          <w:szCs w:val="24"/>
          <w:highlight w:val="none"/>
        </w:rPr>
      </w:pPr>
      <w:bookmarkStart w:id="128" w:name="_Toc108243614"/>
      <w:bookmarkStart w:id="129" w:name="_Toc34535378"/>
      <w:bookmarkStart w:id="130" w:name="_Toc28489528"/>
      <w:bookmarkStart w:id="131" w:name="_Toc148420068"/>
      <w:bookmarkStart w:id="132" w:name="_Toc28142596"/>
      <w:bookmarkStart w:id="133" w:name="_Toc150050900"/>
      <w:bookmarkStart w:id="134" w:name="_Toc101553659"/>
      <w:bookmarkStart w:id="135" w:name="_Toc68620010"/>
      <w:bookmarkStart w:id="136" w:name="_Toc95249605"/>
      <w:bookmarkStart w:id="137" w:name="_Toc113277290"/>
      <w:bookmarkStart w:id="138" w:name="_Toc67911940"/>
      <w:bookmarkStart w:id="139" w:name="_Toc124646432"/>
      <w:bookmarkStart w:id="140" w:name="_Toc102211722"/>
      <w:bookmarkStart w:id="141" w:name="_Toc124401380"/>
      <w:bookmarkStart w:id="142" w:name="_Toc95304221"/>
      <w:bookmarkStart w:id="143" w:name="_Toc131904928"/>
      <w:bookmarkStart w:id="144" w:name="_Toc108001798"/>
      <w:bookmarkStart w:id="145" w:name="_Toc148060904"/>
      <w:bookmarkStart w:id="146" w:name="_Toc124570685"/>
      <w:bookmarkStart w:id="147" w:name="_Toc104902927"/>
      <w:bookmarkStart w:id="148" w:name="_Toc104874463"/>
      <w:bookmarkStart w:id="149" w:name="_Toc131922501"/>
      <w:bookmarkStart w:id="150" w:name="_Toc125770206"/>
      <w:bookmarkStart w:id="151" w:name="_Toc35834932"/>
      <w:bookmarkStart w:id="152" w:name="_Toc169334814"/>
      <w:bookmarkStart w:id="153" w:name="_Toc101553554"/>
      <w:bookmarkStart w:id="154" w:name="_Toc138568670"/>
      <w:bookmarkStart w:id="155" w:name="_Toc138506090"/>
      <w:bookmarkStart w:id="156" w:name="_Toc66722110"/>
      <w:r>
        <w:rPr>
          <w:rFonts w:hint="eastAsia"/>
          <w:color w:val="auto"/>
          <w:sz w:val="24"/>
          <w:szCs w:val="24"/>
          <w:highlight w:val="none"/>
        </w:rPr>
        <w:t>五、评分标准和权重</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spacing w:line="440" w:lineRule="exact"/>
        <w:rPr>
          <w:rFonts w:hint="eastAsia" w:ascii="宋体" w:hAnsi="宋体"/>
          <w:b/>
          <w:color w:val="auto"/>
          <w:sz w:val="24"/>
          <w:szCs w:val="24"/>
          <w:highlight w:val="none"/>
        </w:rPr>
      </w:pPr>
      <w:bookmarkStart w:id="157" w:name="_Toc28142597"/>
      <w:bookmarkStart w:id="158" w:name="_Toc28489529"/>
      <w:bookmarkStart w:id="159" w:name="_Toc31424230"/>
      <w:bookmarkStart w:id="160" w:name="_Toc26163628"/>
      <w:r>
        <w:rPr>
          <w:rFonts w:hint="eastAsia" w:ascii="宋体" w:hAnsi="宋体"/>
          <w:b/>
          <w:color w:val="auto"/>
          <w:sz w:val="24"/>
          <w:szCs w:val="24"/>
          <w:highlight w:val="none"/>
        </w:rPr>
        <w:t>1.评分标准</w:t>
      </w:r>
      <w:bookmarkEnd w:id="157"/>
      <w:bookmarkEnd w:id="158"/>
      <w:bookmarkEnd w:id="159"/>
      <w:bookmarkEnd w:id="160"/>
    </w:p>
    <w:p>
      <w:pPr>
        <w:spacing w:line="440" w:lineRule="exact"/>
        <w:ind w:left="1" w:firstLine="460" w:firstLineChars="192"/>
        <w:jc w:val="left"/>
        <w:rPr>
          <w:rFonts w:hint="eastAsia" w:ascii="宋体" w:hAnsi="宋体"/>
          <w:bCs/>
          <w:color w:val="auto"/>
          <w:sz w:val="24"/>
          <w:szCs w:val="24"/>
          <w:highlight w:val="none"/>
        </w:rPr>
      </w:pPr>
      <w:r>
        <w:rPr>
          <w:rFonts w:hint="eastAsia" w:ascii="宋体" w:hAnsi="宋体"/>
          <w:bCs/>
          <w:color w:val="auto"/>
          <w:sz w:val="24"/>
          <w:szCs w:val="24"/>
          <w:highlight w:val="none"/>
        </w:rPr>
        <w:t>评委根据各通过资格性审查及符合性检查投标人的投标文件，并逐项列出投标文件的全部投标偏差。</w:t>
      </w:r>
    </w:p>
    <w:p>
      <w:pPr>
        <w:spacing w:line="440" w:lineRule="exact"/>
        <w:ind w:left="1" w:firstLine="460" w:firstLineChars="192"/>
        <w:jc w:val="left"/>
        <w:rPr>
          <w:rFonts w:hint="eastAsia" w:ascii="宋体" w:hAnsi="宋体"/>
          <w:bCs/>
          <w:color w:val="auto"/>
          <w:sz w:val="24"/>
          <w:szCs w:val="24"/>
          <w:highlight w:val="none"/>
        </w:rPr>
      </w:pPr>
      <w:r>
        <w:rPr>
          <w:rFonts w:hint="eastAsia" w:ascii="宋体" w:hAnsi="宋体"/>
          <w:bCs/>
          <w:color w:val="auto"/>
          <w:sz w:val="24"/>
          <w:szCs w:val="24"/>
          <w:highlight w:val="none"/>
        </w:rPr>
        <w:t>评分应考虑到投标文件与招标文件之间的细微偏差。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在详细评审时对细微偏差作不利于该投标人的量化。</w:t>
      </w:r>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评委对投标文件的技术及商务响应情况进行评分。评分采用量化方法。</w:t>
      </w:r>
    </w:p>
    <w:p>
      <w:pPr>
        <w:spacing w:line="440" w:lineRule="exact"/>
        <w:ind w:firstLine="403" w:firstLineChars="168"/>
        <w:rPr>
          <w:rFonts w:hint="eastAsia" w:ascii="宋体" w:hAnsi="宋体"/>
          <w:bCs/>
          <w:color w:val="auto"/>
          <w:sz w:val="24"/>
          <w:szCs w:val="24"/>
          <w:highlight w:val="none"/>
        </w:rPr>
      </w:pPr>
      <w:r>
        <w:rPr>
          <w:rFonts w:hint="eastAsia" w:ascii="宋体" w:hAnsi="宋体"/>
          <w:bCs/>
          <w:color w:val="auto"/>
          <w:sz w:val="24"/>
          <w:szCs w:val="24"/>
          <w:highlight w:val="none"/>
        </w:rPr>
        <w:t>技术、商务、价格评分应分别考虑下列因素：</w:t>
      </w:r>
    </w:p>
    <w:p>
      <w:pPr>
        <w:spacing w:line="440" w:lineRule="exact"/>
        <w:ind w:left="540"/>
        <w:rPr>
          <w:rFonts w:hint="eastAsia" w:ascii="宋体" w:hAnsi="宋体"/>
          <w:bCs/>
          <w:color w:val="auto"/>
          <w:sz w:val="24"/>
          <w:szCs w:val="24"/>
          <w:highlight w:val="none"/>
        </w:rPr>
      </w:pPr>
      <w:r>
        <w:rPr>
          <w:rFonts w:hint="eastAsia" w:ascii="宋体" w:hAnsi="宋体"/>
          <w:bCs/>
          <w:color w:val="auto"/>
          <w:sz w:val="24"/>
          <w:szCs w:val="24"/>
          <w:highlight w:val="none"/>
        </w:rPr>
        <w:t>（1）技术评分（见技术评分标准）</w:t>
      </w:r>
    </w:p>
    <w:p>
      <w:pPr>
        <w:spacing w:line="440" w:lineRule="exact"/>
        <w:ind w:left="540"/>
        <w:rPr>
          <w:rFonts w:hint="eastAsia" w:ascii="宋体" w:hAnsi="宋体"/>
          <w:bCs/>
          <w:color w:val="auto"/>
          <w:sz w:val="24"/>
          <w:szCs w:val="24"/>
          <w:highlight w:val="none"/>
        </w:rPr>
      </w:pPr>
      <w:r>
        <w:rPr>
          <w:rFonts w:hint="eastAsia" w:ascii="宋体" w:hAnsi="宋体"/>
          <w:bCs/>
          <w:color w:val="auto"/>
          <w:sz w:val="24"/>
          <w:szCs w:val="24"/>
          <w:highlight w:val="none"/>
        </w:rPr>
        <w:t>（2）商务评分（见商务评分标准）</w:t>
      </w:r>
    </w:p>
    <w:p>
      <w:pPr>
        <w:spacing w:line="440" w:lineRule="exact"/>
        <w:ind w:left="1" w:firstLine="460" w:firstLineChars="192"/>
        <w:jc w:val="left"/>
        <w:rPr>
          <w:rFonts w:hint="eastAsia" w:ascii="宋体" w:hAnsi="宋体"/>
          <w:bCs/>
          <w:color w:val="auto"/>
          <w:sz w:val="24"/>
          <w:szCs w:val="24"/>
          <w:highlight w:val="none"/>
        </w:rPr>
      </w:pPr>
      <w:r>
        <w:rPr>
          <w:rFonts w:hint="eastAsia" w:ascii="宋体" w:hAnsi="宋体"/>
          <w:bCs/>
          <w:color w:val="auto"/>
          <w:sz w:val="24"/>
          <w:szCs w:val="24"/>
          <w:highlight w:val="none"/>
        </w:rPr>
        <w:t>（3）价格的开启和评分（见</w:t>
      </w:r>
      <w:r>
        <w:rPr>
          <w:rFonts w:hint="eastAsia" w:ascii="宋体" w:hAnsi="宋体"/>
          <w:bCs/>
          <w:color w:val="auto"/>
          <w:sz w:val="24"/>
          <w:szCs w:val="24"/>
          <w:highlight w:val="none"/>
          <w:lang w:val="en-US" w:eastAsia="zh-CN"/>
        </w:rPr>
        <w:t>经济</w:t>
      </w:r>
      <w:r>
        <w:rPr>
          <w:rFonts w:hint="eastAsia" w:ascii="宋体" w:hAnsi="宋体"/>
          <w:bCs/>
          <w:color w:val="auto"/>
          <w:sz w:val="24"/>
          <w:szCs w:val="24"/>
          <w:highlight w:val="none"/>
        </w:rPr>
        <w:t>评分标准）</w:t>
      </w:r>
    </w:p>
    <w:p>
      <w:pPr>
        <w:spacing w:line="440" w:lineRule="exact"/>
        <w:rPr>
          <w:rFonts w:hint="eastAsia" w:ascii="宋体" w:hAnsi="宋体"/>
          <w:b/>
          <w:color w:val="auto"/>
          <w:sz w:val="24"/>
          <w:szCs w:val="24"/>
          <w:highlight w:val="none"/>
        </w:rPr>
      </w:pPr>
      <w:bookmarkStart w:id="161" w:name="_Toc26163629"/>
      <w:bookmarkStart w:id="162" w:name="_Toc28489530"/>
      <w:bookmarkStart w:id="163" w:name="_Toc28142598"/>
      <w:r>
        <w:rPr>
          <w:rFonts w:hint="eastAsia" w:ascii="宋体" w:hAnsi="宋体"/>
          <w:b/>
          <w:color w:val="auto"/>
          <w:sz w:val="24"/>
          <w:szCs w:val="24"/>
          <w:highlight w:val="none"/>
        </w:rPr>
        <w:t>2.权重分配</w:t>
      </w:r>
      <w:bookmarkEnd w:id="161"/>
      <w:bookmarkEnd w:id="162"/>
      <w:bookmarkEnd w:id="163"/>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评分项目</w:t>
            </w:r>
          </w:p>
        </w:tc>
        <w:tc>
          <w:tcPr>
            <w:tcW w:w="2130" w:type="dxa"/>
            <w:vAlign w:val="center"/>
          </w:tcPr>
          <w:p>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技术部分</w:t>
            </w:r>
          </w:p>
        </w:tc>
        <w:tc>
          <w:tcPr>
            <w:tcW w:w="2131" w:type="dxa"/>
            <w:vAlign w:val="center"/>
          </w:tcPr>
          <w:p>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商务部分</w:t>
            </w:r>
          </w:p>
        </w:tc>
        <w:tc>
          <w:tcPr>
            <w:tcW w:w="2131" w:type="dxa"/>
            <w:vAlign w:val="center"/>
          </w:tcPr>
          <w:p>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2130" w:type="dxa"/>
            <w:vAlign w:val="center"/>
          </w:tcPr>
          <w:p>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权重</w:t>
            </w:r>
          </w:p>
        </w:tc>
        <w:tc>
          <w:tcPr>
            <w:tcW w:w="2130" w:type="dxa"/>
            <w:vAlign w:val="center"/>
          </w:tcPr>
          <w:p>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20</w:t>
            </w:r>
            <w:r>
              <w:rPr>
                <w:rFonts w:hint="eastAsia" w:ascii="宋体" w:hAnsi="宋体"/>
                <w:bCs/>
                <w:color w:val="auto"/>
                <w:sz w:val="24"/>
                <w:szCs w:val="24"/>
                <w:highlight w:val="none"/>
              </w:rPr>
              <w:t>%</w:t>
            </w:r>
          </w:p>
        </w:tc>
        <w:tc>
          <w:tcPr>
            <w:tcW w:w="2131" w:type="dxa"/>
            <w:vAlign w:val="center"/>
          </w:tcPr>
          <w:p>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20</w:t>
            </w:r>
            <w:r>
              <w:rPr>
                <w:rFonts w:hint="eastAsia" w:ascii="宋体" w:hAnsi="宋体"/>
                <w:bCs/>
                <w:color w:val="auto"/>
                <w:sz w:val="24"/>
                <w:szCs w:val="24"/>
                <w:highlight w:val="none"/>
              </w:rPr>
              <w:t>%</w:t>
            </w:r>
          </w:p>
        </w:tc>
        <w:tc>
          <w:tcPr>
            <w:tcW w:w="2131" w:type="dxa"/>
            <w:vAlign w:val="center"/>
          </w:tcPr>
          <w:p>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60</w:t>
            </w:r>
            <w:r>
              <w:rPr>
                <w:rFonts w:hint="eastAsia" w:ascii="宋体" w:hAnsi="宋体"/>
                <w:bCs/>
                <w:color w:val="auto"/>
                <w:sz w:val="24"/>
                <w:szCs w:val="24"/>
                <w:highlight w:val="none"/>
              </w:rPr>
              <w:t>%</w:t>
            </w:r>
          </w:p>
        </w:tc>
      </w:tr>
    </w:tbl>
    <w:p>
      <w:pPr>
        <w:spacing w:line="440" w:lineRule="exact"/>
        <w:rPr>
          <w:rFonts w:hint="eastAsia" w:ascii="宋体" w:hAnsi="宋体"/>
          <w:b/>
          <w:color w:val="auto"/>
          <w:sz w:val="24"/>
          <w:szCs w:val="24"/>
          <w:highlight w:val="none"/>
        </w:rPr>
      </w:pPr>
      <w:bookmarkStart w:id="164" w:name="_Toc28489531"/>
      <w:bookmarkStart w:id="165" w:name="_Toc26163630"/>
      <w:bookmarkStart w:id="166" w:name="_Toc28142599"/>
      <w:r>
        <w:rPr>
          <w:rFonts w:hint="eastAsia" w:ascii="宋体" w:hAnsi="宋体"/>
          <w:b/>
          <w:color w:val="auto"/>
          <w:sz w:val="24"/>
          <w:szCs w:val="24"/>
          <w:highlight w:val="none"/>
        </w:rPr>
        <w:t>3.综合得分</w:t>
      </w:r>
      <w:bookmarkEnd w:id="164"/>
      <w:bookmarkEnd w:id="165"/>
      <w:bookmarkEnd w:id="166"/>
    </w:p>
    <w:p>
      <w:pPr>
        <w:spacing w:line="440" w:lineRule="exact"/>
        <w:ind w:left="540"/>
        <w:rPr>
          <w:rFonts w:hint="eastAsia" w:ascii="宋体" w:hAnsi="宋体"/>
          <w:bCs/>
          <w:color w:val="auto"/>
          <w:sz w:val="24"/>
          <w:szCs w:val="24"/>
          <w:highlight w:val="none"/>
        </w:rPr>
      </w:pPr>
      <w:r>
        <w:rPr>
          <w:rFonts w:hint="eastAsia" w:ascii="宋体" w:hAnsi="宋体"/>
          <w:color w:val="auto"/>
          <w:sz w:val="24"/>
          <w:szCs w:val="24"/>
          <w:highlight w:val="none"/>
        </w:rPr>
        <w:t>综合得分=技术部分得分+商务部分得分+价格部分得分</w:t>
      </w:r>
    </w:p>
    <w:p>
      <w:pPr>
        <w:spacing w:line="440" w:lineRule="exact"/>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评标委员会根据投标人</w:t>
      </w:r>
      <w:r>
        <w:rPr>
          <w:rFonts w:hint="eastAsia" w:ascii="宋体" w:hAnsi="宋体"/>
          <w:color w:val="auto"/>
          <w:sz w:val="24"/>
          <w:szCs w:val="24"/>
          <w:highlight w:val="none"/>
        </w:rPr>
        <w:t>综合得分</w:t>
      </w:r>
      <w:r>
        <w:rPr>
          <w:rFonts w:hint="eastAsia" w:ascii="宋体" w:hAnsi="宋体"/>
          <w:bCs/>
          <w:color w:val="auto"/>
          <w:sz w:val="24"/>
          <w:szCs w:val="24"/>
          <w:highlight w:val="none"/>
        </w:rPr>
        <w:t>高低排定名次</w:t>
      </w:r>
      <w:r>
        <w:rPr>
          <w:rFonts w:hint="eastAsia"/>
          <w:color w:val="auto"/>
          <w:sz w:val="24"/>
          <w:szCs w:val="24"/>
          <w:highlight w:val="none"/>
        </w:rPr>
        <w:t>，如果综合得分相同时，以有效投标报价低者排前，评标委员会编写评标报告，并全体签字确认，推荐满足采购文件要求且综合得分排序的名次最高者为第一中标候选人，推荐满足采购文件要求且综合得分排序的名次次高者为第二中标候选人</w:t>
      </w:r>
      <w:r>
        <w:rPr>
          <w:rFonts w:hint="eastAsia" w:ascii="宋体" w:hAnsi="宋体"/>
          <w:bCs/>
          <w:color w:val="auto"/>
          <w:sz w:val="24"/>
          <w:szCs w:val="24"/>
          <w:highlight w:val="none"/>
        </w:rPr>
        <w:t>。</w:t>
      </w:r>
    </w:p>
    <w:p>
      <w:pPr>
        <w:pStyle w:val="5"/>
        <w:adjustRightInd/>
        <w:spacing w:before="0" w:after="0" w:line="440" w:lineRule="exact"/>
        <w:rPr>
          <w:rFonts w:hint="eastAsia"/>
          <w:b w:val="0"/>
          <w:bCs/>
          <w:color w:val="auto"/>
          <w:sz w:val="24"/>
          <w:szCs w:val="24"/>
          <w:highlight w:val="none"/>
        </w:rPr>
      </w:pPr>
      <w:bookmarkStart w:id="167" w:name="_Toc101553555"/>
      <w:bookmarkStart w:id="168" w:name="_Toc148060905"/>
      <w:bookmarkStart w:id="169" w:name="_Toc102211723"/>
      <w:bookmarkStart w:id="170" w:name="_Toc148420069"/>
      <w:bookmarkStart w:id="171" w:name="_Toc68620011"/>
      <w:bookmarkStart w:id="172" w:name="_Toc131904929"/>
      <w:bookmarkStart w:id="173" w:name="_Toc101553660"/>
      <w:bookmarkStart w:id="174" w:name="_Toc138568671"/>
      <w:bookmarkStart w:id="175" w:name="_Toc95249606"/>
      <w:bookmarkStart w:id="176" w:name="_Toc124401381"/>
      <w:bookmarkStart w:id="177" w:name="_Toc108001799"/>
      <w:bookmarkStart w:id="178" w:name="_Toc66722111"/>
      <w:bookmarkStart w:id="179" w:name="_Toc28142600"/>
      <w:bookmarkStart w:id="180" w:name="_Toc131922502"/>
      <w:bookmarkStart w:id="181" w:name="_Toc104902928"/>
      <w:bookmarkStart w:id="182" w:name="_Toc35834933"/>
      <w:bookmarkStart w:id="183" w:name="_Toc28489532"/>
      <w:bookmarkStart w:id="184" w:name="_Toc169334815"/>
      <w:bookmarkStart w:id="185" w:name="_Toc113277291"/>
      <w:bookmarkStart w:id="186" w:name="_Toc138506091"/>
      <w:bookmarkStart w:id="187" w:name="_Toc95304222"/>
      <w:bookmarkStart w:id="188" w:name="_Toc125770207"/>
      <w:bookmarkStart w:id="189" w:name="_Toc124570686"/>
      <w:bookmarkStart w:id="190" w:name="_Toc108243615"/>
      <w:bookmarkStart w:id="191" w:name="_Toc67911941"/>
      <w:bookmarkStart w:id="192" w:name="_Toc34535379"/>
      <w:bookmarkStart w:id="193" w:name="_Toc124646433"/>
      <w:bookmarkStart w:id="194" w:name="_Toc104874464"/>
      <w:bookmarkStart w:id="195" w:name="_Toc150050901"/>
      <w:r>
        <w:rPr>
          <w:rFonts w:hint="eastAsia"/>
          <w:color w:val="auto"/>
          <w:sz w:val="24"/>
          <w:szCs w:val="24"/>
          <w:highlight w:val="none"/>
        </w:rPr>
        <w:t>六.定标和授标</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spacing w:line="440" w:lineRule="exact"/>
        <w:ind w:left="1" w:firstLine="460" w:firstLineChars="192"/>
        <w:jc w:val="left"/>
        <w:rPr>
          <w:rFonts w:hint="eastAsia" w:ascii="宋体" w:hAnsi="宋体"/>
          <w:bCs/>
          <w:color w:val="auto"/>
          <w:sz w:val="24"/>
          <w:szCs w:val="24"/>
          <w:highlight w:val="none"/>
        </w:rPr>
      </w:pPr>
      <w:r>
        <w:rPr>
          <w:rFonts w:hint="eastAsia" w:ascii="宋体" w:hAnsi="宋体"/>
          <w:bCs/>
          <w:color w:val="auto"/>
          <w:sz w:val="24"/>
          <w:szCs w:val="24"/>
          <w:highlight w:val="none"/>
        </w:rPr>
        <w:t>第一中标候选人未能通过资格后审或放弃中标、或因不可抗力提出不能履行合同的，采购人可以确定排名次高的第二中标候选人为中标人。</w:t>
      </w:r>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评标委员会提出评标书面报告和推荐候选中标意见报采购人确认，确认后由采购人与预中标人进行最终澄清及对投标人的资格和履约能力进行再次审查，形成最终合同的基础文件。如在最终澄清过程中，发现预中标人存在重大问题造成其履约能力不能满足要求的，可以取消其中标资格。</w:t>
      </w:r>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最终澄清完成后，由采购人确认的结果发出中标通知书。中标人应按采购文件规定向采购人提交相应文件，并在规定时间内与采购人签订合同。</w:t>
      </w:r>
    </w:p>
    <w:p>
      <w:pPr>
        <w:pStyle w:val="5"/>
        <w:adjustRightInd/>
        <w:spacing w:before="0" w:after="0" w:line="440" w:lineRule="exact"/>
        <w:rPr>
          <w:rFonts w:hint="eastAsia"/>
          <w:bCs/>
          <w:color w:val="auto"/>
          <w:sz w:val="24"/>
          <w:szCs w:val="24"/>
          <w:highlight w:val="none"/>
        </w:rPr>
      </w:pPr>
      <w:bookmarkStart w:id="196" w:name="_Toc150050902"/>
      <w:bookmarkStart w:id="197" w:name="_Toc124401382"/>
      <w:bookmarkStart w:id="198" w:name="_Toc34535380"/>
      <w:bookmarkStart w:id="199" w:name="_Toc104874465"/>
      <w:bookmarkStart w:id="200" w:name="_Toc101553556"/>
      <w:bookmarkStart w:id="201" w:name="_Toc169334816"/>
      <w:bookmarkStart w:id="202" w:name="_Toc101553661"/>
      <w:bookmarkStart w:id="203" w:name="_Toc124646434"/>
      <w:bookmarkStart w:id="204" w:name="_Toc148060906"/>
      <w:bookmarkStart w:id="205" w:name="_Toc67911942"/>
      <w:bookmarkStart w:id="206" w:name="_Toc131922503"/>
      <w:bookmarkStart w:id="207" w:name="_Toc108243616"/>
      <w:bookmarkStart w:id="208" w:name="_Toc125770208"/>
      <w:bookmarkStart w:id="209" w:name="_Toc113277292"/>
      <w:bookmarkStart w:id="210" w:name="_Toc66722112"/>
      <w:bookmarkStart w:id="211" w:name="_Toc148420070"/>
      <w:bookmarkStart w:id="212" w:name="_Toc28489533"/>
      <w:bookmarkStart w:id="213" w:name="_Toc138568672"/>
      <w:bookmarkStart w:id="214" w:name="_Toc138506092"/>
      <w:bookmarkStart w:id="215" w:name="_Toc108001800"/>
      <w:bookmarkStart w:id="216" w:name="_Toc68620012"/>
      <w:bookmarkStart w:id="217" w:name="_Toc95304223"/>
      <w:bookmarkStart w:id="218" w:name="_Toc35834934"/>
      <w:bookmarkStart w:id="219" w:name="_Toc104902929"/>
      <w:bookmarkStart w:id="220" w:name="_Toc124570687"/>
      <w:bookmarkStart w:id="221" w:name="_Toc131904930"/>
      <w:bookmarkStart w:id="222" w:name="_Toc95249607"/>
      <w:bookmarkStart w:id="223" w:name="_Toc28142601"/>
      <w:bookmarkStart w:id="224" w:name="_Toc102211724"/>
      <w:r>
        <w:rPr>
          <w:rFonts w:hint="eastAsia"/>
          <w:color w:val="auto"/>
          <w:sz w:val="24"/>
          <w:szCs w:val="24"/>
          <w:highlight w:val="none"/>
        </w:rPr>
        <w:t>七.附件</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spacing w:line="440" w:lineRule="exact"/>
        <w:ind w:firstLine="460" w:firstLineChars="192"/>
        <w:rPr>
          <w:rFonts w:hint="eastAsia" w:ascii="宋体" w:hAnsi="宋体"/>
          <w:bCs/>
          <w:color w:val="auto"/>
          <w:sz w:val="24"/>
          <w:szCs w:val="24"/>
          <w:highlight w:val="none"/>
        </w:rPr>
      </w:pPr>
      <w:r>
        <w:rPr>
          <w:rFonts w:hint="eastAsia" w:ascii="宋体" w:hAnsi="宋体"/>
          <w:bCs/>
          <w:color w:val="auto"/>
          <w:sz w:val="24"/>
          <w:szCs w:val="24"/>
          <w:highlight w:val="none"/>
        </w:rPr>
        <w:t>本评标文件包括以下评标过程中所需文件附件：</w:t>
      </w:r>
    </w:p>
    <w:p>
      <w:pPr>
        <w:pStyle w:val="6"/>
        <w:rPr>
          <w:rFonts w:hint="eastAsia" w:ascii="宋体" w:hAnsi="宋体"/>
          <w:bCs/>
          <w:color w:val="auto"/>
          <w:sz w:val="24"/>
          <w:szCs w:val="24"/>
          <w:highlight w:val="none"/>
        </w:rPr>
      </w:pPr>
    </w:p>
    <w:p>
      <w:pPr>
        <w:rPr>
          <w:rFonts w:hint="eastAsia" w:ascii="宋体" w:hAnsi="宋体"/>
          <w:bCs/>
          <w:color w:val="auto"/>
          <w:sz w:val="24"/>
          <w:szCs w:val="24"/>
          <w:highlight w:val="none"/>
        </w:rPr>
      </w:pPr>
    </w:p>
    <w:p>
      <w:pPr>
        <w:pStyle w:val="6"/>
        <w:rPr>
          <w:rFonts w:hint="eastAsia" w:ascii="宋体" w:hAnsi="宋体"/>
          <w:bCs/>
          <w:color w:val="auto"/>
          <w:sz w:val="24"/>
          <w:szCs w:val="24"/>
          <w:highlight w:val="none"/>
        </w:rPr>
      </w:pPr>
    </w:p>
    <w:p>
      <w:pPr>
        <w:rPr>
          <w:rFonts w:hint="eastAsia"/>
          <w:color w:val="auto"/>
          <w:highlight w:val="none"/>
        </w:rPr>
      </w:pPr>
    </w:p>
    <w:p>
      <w:pPr>
        <w:pStyle w:val="32"/>
        <w:rPr>
          <w:rFonts w:hint="eastAsia" w:ascii="宋体" w:hAnsi="宋体" w:cs="Arial"/>
          <w:b/>
          <w:color w:val="auto"/>
          <w:sz w:val="24"/>
          <w:szCs w:val="22"/>
          <w:highlight w:val="none"/>
          <w:lang w:val="en-US" w:eastAsia="zh-CN"/>
        </w:rPr>
      </w:pPr>
      <w:r>
        <w:rPr>
          <w:rFonts w:hint="eastAsia" w:ascii="宋体" w:hAnsi="宋体" w:cs="Times New Roman"/>
          <w:bCs/>
          <w:color w:val="auto"/>
          <w:sz w:val="24"/>
          <w:szCs w:val="24"/>
          <w:highlight w:val="none"/>
        </w:rPr>
        <w:t>附件;1 符合性审查表；2.评分表；3.</w:t>
      </w:r>
      <w:r>
        <w:rPr>
          <w:rFonts w:hint="eastAsia" w:ascii="宋体" w:hAnsi="宋体" w:cs="Times New Roman"/>
          <w:b w:val="0"/>
          <w:bCs/>
          <w:color w:val="auto"/>
          <w:sz w:val="24"/>
          <w:szCs w:val="24"/>
          <w:highlight w:val="none"/>
          <w:lang w:val="en-US" w:eastAsia="zh-CN"/>
        </w:rPr>
        <w:t>经济部分评分表</w:t>
      </w:r>
    </w:p>
    <w:p>
      <w:pPr>
        <w:spacing w:line="440" w:lineRule="exact"/>
        <w:ind w:firstLine="480" w:firstLineChars="200"/>
        <w:rPr>
          <w:rFonts w:hint="eastAsia" w:ascii="宋体" w:hAnsi="宋体"/>
          <w:bCs/>
          <w:color w:val="auto"/>
          <w:sz w:val="24"/>
          <w:szCs w:val="24"/>
          <w:highlight w:val="none"/>
        </w:rPr>
      </w:pPr>
    </w:p>
    <w:p>
      <w:pPr>
        <w:spacing w:before="312" w:beforeLines="100" w:after="312" w:afterLines="100"/>
        <w:rPr>
          <w:rFonts w:hint="eastAsia" w:ascii="宋体" w:hAnsi="宋体"/>
          <w:b/>
          <w:color w:val="auto"/>
          <w:sz w:val="24"/>
          <w:highlight w:val="none"/>
        </w:rPr>
      </w:pPr>
      <w:r>
        <w:rPr>
          <w:rFonts w:ascii="宋体" w:hAnsi="宋体"/>
          <w:bCs/>
          <w:color w:val="auto"/>
          <w:sz w:val="24"/>
          <w:highlight w:val="none"/>
        </w:rPr>
        <w:br w:type="page"/>
      </w:r>
      <w:r>
        <w:rPr>
          <w:rFonts w:hint="eastAsia" w:ascii="宋体" w:hAnsi="宋体"/>
          <w:b/>
          <w:color w:val="auto"/>
          <w:sz w:val="24"/>
          <w:highlight w:val="none"/>
        </w:rPr>
        <w:t xml:space="preserve">附件1                                    </w:t>
      </w:r>
    </w:p>
    <w:p>
      <w:pPr>
        <w:spacing w:before="312" w:beforeLines="100" w:after="312" w:afterLines="100"/>
        <w:jc w:val="center"/>
        <w:rPr>
          <w:rFonts w:hint="eastAsia" w:ascii="宋体" w:hAnsi="宋体"/>
          <w:b/>
          <w:color w:val="auto"/>
          <w:sz w:val="24"/>
          <w:highlight w:val="none"/>
        </w:rPr>
      </w:pPr>
      <w:r>
        <w:rPr>
          <w:rFonts w:hint="eastAsia" w:ascii="宋体" w:hAnsi="宋体"/>
          <w:b/>
          <w:color w:val="auto"/>
          <w:sz w:val="24"/>
          <w:highlight w:val="none"/>
        </w:rPr>
        <w:t>符合性审查表</w:t>
      </w:r>
    </w:p>
    <w:tbl>
      <w:tblPr>
        <w:tblStyle w:val="15"/>
        <w:tblW w:w="89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0"/>
        <w:gridCol w:w="4200"/>
        <w:gridCol w:w="1279"/>
        <w:gridCol w:w="1344"/>
        <w:gridCol w:w="1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630" w:type="dxa"/>
            <w:vAlign w:val="center"/>
          </w:tcPr>
          <w:p>
            <w:pPr>
              <w:jc w:val="center"/>
              <w:rPr>
                <w:b/>
                <w:bCs/>
                <w:color w:val="auto"/>
                <w:szCs w:val="21"/>
                <w:highlight w:val="none"/>
              </w:rPr>
            </w:pPr>
            <w:r>
              <w:rPr>
                <w:rFonts w:hint="eastAsia"/>
                <w:b/>
                <w:bCs/>
                <w:color w:val="auto"/>
                <w:szCs w:val="21"/>
                <w:highlight w:val="none"/>
              </w:rPr>
              <w:t>序号</w:t>
            </w:r>
          </w:p>
        </w:tc>
        <w:tc>
          <w:tcPr>
            <w:tcW w:w="4200" w:type="dxa"/>
            <w:tcBorders>
              <w:tl2br w:val="single" w:color="auto" w:sz="4" w:space="0"/>
            </w:tcBorders>
          </w:tcPr>
          <w:p>
            <w:pPr>
              <w:rPr>
                <w:b/>
                <w:bCs/>
                <w:color w:val="auto"/>
                <w:szCs w:val="21"/>
                <w:highlight w:val="none"/>
              </w:rPr>
            </w:pPr>
            <w:r>
              <w:rPr>
                <w:rFonts w:hint="eastAsia"/>
                <w:b/>
                <w:bCs/>
                <w:color w:val="auto"/>
                <w:szCs w:val="21"/>
                <w:highlight w:val="none"/>
              </w:rPr>
              <w:t xml:space="preserve">                 投标人名称</w:t>
            </w:r>
          </w:p>
          <w:p>
            <w:pPr>
              <w:rPr>
                <w:b/>
                <w:bCs/>
                <w:color w:val="auto"/>
                <w:szCs w:val="21"/>
                <w:highlight w:val="none"/>
              </w:rPr>
            </w:pPr>
          </w:p>
          <w:p>
            <w:pPr>
              <w:rPr>
                <w:b/>
                <w:bCs/>
                <w:color w:val="auto"/>
                <w:szCs w:val="21"/>
                <w:highlight w:val="none"/>
              </w:rPr>
            </w:pPr>
            <w:r>
              <w:rPr>
                <w:rFonts w:hint="eastAsia"/>
                <w:b/>
                <w:bCs/>
                <w:color w:val="auto"/>
                <w:szCs w:val="21"/>
                <w:highlight w:val="none"/>
              </w:rPr>
              <w:t>符合性审查内容</w:t>
            </w:r>
          </w:p>
        </w:tc>
        <w:tc>
          <w:tcPr>
            <w:tcW w:w="1279" w:type="dxa"/>
            <w:vAlign w:val="center"/>
          </w:tcPr>
          <w:p>
            <w:pPr>
              <w:jc w:val="center"/>
              <w:rPr>
                <w:b/>
                <w:bCs/>
                <w:color w:val="auto"/>
                <w:szCs w:val="21"/>
                <w:highlight w:val="none"/>
              </w:rPr>
            </w:pPr>
            <w:r>
              <w:rPr>
                <w:rFonts w:hint="eastAsia"/>
                <w:b/>
                <w:bCs/>
                <w:color w:val="auto"/>
                <w:szCs w:val="21"/>
                <w:highlight w:val="none"/>
              </w:rPr>
              <w:t>投标人1</w:t>
            </w:r>
          </w:p>
        </w:tc>
        <w:tc>
          <w:tcPr>
            <w:tcW w:w="1344" w:type="dxa"/>
            <w:vAlign w:val="center"/>
          </w:tcPr>
          <w:p>
            <w:pPr>
              <w:jc w:val="center"/>
              <w:rPr>
                <w:b/>
                <w:bCs/>
                <w:color w:val="auto"/>
                <w:szCs w:val="21"/>
                <w:highlight w:val="none"/>
              </w:rPr>
            </w:pPr>
            <w:r>
              <w:rPr>
                <w:rFonts w:hint="eastAsia"/>
                <w:b/>
                <w:bCs/>
                <w:color w:val="auto"/>
                <w:szCs w:val="21"/>
                <w:highlight w:val="none"/>
              </w:rPr>
              <w:t>投标人2</w:t>
            </w:r>
          </w:p>
        </w:tc>
        <w:tc>
          <w:tcPr>
            <w:tcW w:w="1525" w:type="dxa"/>
            <w:vAlign w:val="center"/>
          </w:tcPr>
          <w:p>
            <w:pPr>
              <w:jc w:val="center"/>
              <w:rPr>
                <w:b/>
                <w:bCs/>
                <w:color w:val="auto"/>
                <w:szCs w:val="21"/>
                <w:highlight w:val="none"/>
              </w:rPr>
            </w:pPr>
            <w:r>
              <w:rPr>
                <w:rFonts w:hint="eastAsia"/>
                <w:b/>
                <w:bCs/>
                <w:color w:val="auto"/>
                <w:szCs w:val="21"/>
                <w:highlight w:val="none"/>
              </w:rPr>
              <w:t>投标人3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630" w:type="dxa"/>
            <w:vAlign w:val="center"/>
          </w:tcPr>
          <w:p>
            <w:pPr>
              <w:pStyle w:val="23"/>
              <w:adjustRightInd w:val="0"/>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200" w:type="dxa"/>
            <w:vAlign w:val="center"/>
          </w:tcPr>
          <w:p>
            <w:pPr>
              <w:adjustRightIn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投标文件密封性</w:t>
            </w:r>
            <w:r>
              <w:rPr>
                <w:rFonts w:hint="eastAsia" w:ascii="宋体" w:hAnsi="宋体" w:eastAsia="宋体" w:cs="Arial"/>
                <w:color w:val="auto"/>
                <w:szCs w:val="21"/>
                <w:highlight w:val="none"/>
                <w:lang w:val="en-US" w:eastAsia="zh-CN"/>
              </w:rPr>
              <w:t>完</w:t>
            </w:r>
            <w:r>
              <w:rPr>
                <w:rFonts w:hint="eastAsia" w:ascii="宋体" w:hAnsi="宋体" w:eastAsia="宋体" w:cs="Arial"/>
                <w:color w:val="auto"/>
                <w:szCs w:val="21"/>
                <w:highlight w:val="none"/>
              </w:rPr>
              <w:t>好</w:t>
            </w:r>
          </w:p>
        </w:tc>
        <w:tc>
          <w:tcPr>
            <w:tcW w:w="1279" w:type="dxa"/>
            <w:vAlign w:val="center"/>
          </w:tcPr>
          <w:p>
            <w:pPr>
              <w:jc w:val="center"/>
              <w:rPr>
                <w:b/>
                <w:bCs/>
                <w:color w:val="auto"/>
                <w:szCs w:val="21"/>
                <w:highlight w:val="none"/>
              </w:rPr>
            </w:pPr>
          </w:p>
        </w:tc>
        <w:tc>
          <w:tcPr>
            <w:tcW w:w="1344" w:type="dxa"/>
            <w:vAlign w:val="center"/>
          </w:tcPr>
          <w:p>
            <w:pPr>
              <w:jc w:val="center"/>
              <w:rPr>
                <w:b/>
                <w:bCs/>
                <w:color w:val="auto"/>
                <w:szCs w:val="21"/>
                <w:highlight w:val="none"/>
              </w:rPr>
            </w:pPr>
          </w:p>
        </w:tc>
        <w:tc>
          <w:tcPr>
            <w:tcW w:w="1525" w:type="dxa"/>
            <w:vAlign w:val="center"/>
          </w:tcPr>
          <w:p>
            <w:pPr>
              <w:jc w:val="center"/>
              <w:rPr>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630" w:type="dxa"/>
            <w:vAlign w:val="center"/>
          </w:tcPr>
          <w:p>
            <w:pPr>
              <w:pStyle w:val="23"/>
              <w:adjustRightInd w:val="0"/>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4200" w:type="dxa"/>
            <w:vAlign w:val="center"/>
          </w:tcPr>
          <w:p>
            <w:pPr>
              <w:rPr>
                <w:rFonts w:hint="eastAsia" w:ascii="宋体" w:hAnsi="宋体" w:cs="宋体"/>
                <w:color w:val="auto"/>
                <w:szCs w:val="21"/>
                <w:highlight w:val="none"/>
              </w:rPr>
            </w:pPr>
            <w:r>
              <w:rPr>
                <w:rFonts w:hint="eastAsia" w:ascii="宋体" w:hAnsi="宋体"/>
                <w:color w:val="auto"/>
                <w:szCs w:val="21"/>
                <w:highlight w:val="none"/>
              </w:rPr>
              <w:t>按采购文件规定，有投标人盖章及其法定代表人（或法定代表人委托的投标授权代表）的签字或签章。</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6" w:hRule="atLeast"/>
          <w:jc w:val="center"/>
        </w:trPr>
        <w:tc>
          <w:tcPr>
            <w:tcW w:w="630" w:type="dxa"/>
            <w:vAlign w:val="center"/>
          </w:tcPr>
          <w:p>
            <w:pPr>
              <w:pStyle w:val="23"/>
              <w:adjustRightInd w:val="0"/>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4200" w:type="dxa"/>
            <w:vAlign w:val="center"/>
          </w:tcPr>
          <w:p>
            <w:pPr>
              <w:rPr>
                <w:rFonts w:hint="eastAsia" w:ascii="宋体" w:hAnsi="宋体"/>
                <w:color w:val="auto"/>
                <w:szCs w:val="21"/>
                <w:highlight w:val="none"/>
              </w:rPr>
            </w:pPr>
            <w:r>
              <w:rPr>
                <w:rFonts w:hint="eastAsia" w:ascii="宋体" w:hAnsi="宋体" w:cs="宋体"/>
                <w:color w:val="auto"/>
                <w:szCs w:val="21"/>
                <w:highlight w:val="none"/>
              </w:rPr>
              <w:t>投标函已提交并符合采购文件要求，且投标有效期满足采购文件要求。</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8" w:hRule="atLeast"/>
          <w:jc w:val="center"/>
        </w:trPr>
        <w:tc>
          <w:tcPr>
            <w:tcW w:w="630" w:type="dxa"/>
            <w:vAlign w:val="center"/>
          </w:tcPr>
          <w:p>
            <w:pPr>
              <w:pStyle w:val="23"/>
              <w:adjustRightInd w:val="0"/>
              <w:spacing w:line="264" w:lineRule="auto"/>
              <w:ind w:firstLine="0" w:firstLineChars="0"/>
              <w:jc w:val="center"/>
              <w:rPr>
                <w:rFonts w:hint="eastAsia" w:ascii="宋体" w:hAnsi="宋体"/>
                <w:bCs/>
                <w:color w:val="auto"/>
                <w:szCs w:val="21"/>
                <w:highlight w:val="none"/>
              </w:rPr>
            </w:pPr>
            <w:r>
              <w:rPr>
                <w:rFonts w:hint="eastAsia" w:ascii="宋体" w:hAnsi="宋体"/>
                <w:bCs/>
                <w:color w:val="auto"/>
                <w:szCs w:val="21"/>
                <w:highlight w:val="none"/>
              </w:rPr>
              <w:t>4</w:t>
            </w:r>
          </w:p>
        </w:tc>
        <w:tc>
          <w:tcPr>
            <w:tcW w:w="4200" w:type="dxa"/>
            <w:vAlign w:val="center"/>
          </w:tcPr>
          <w:p>
            <w:pPr>
              <w:adjustRightInd w:val="0"/>
              <w:spacing w:line="264" w:lineRule="auto"/>
              <w:rPr>
                <w:rFonts w:hint="eastAsia" w:ascii="宋体" w:hAnsi="宋体"/>
                <w:bCs/>
                <w:color w:val="auto"/>
                <w:szCs w:val="21"/>
                <w:highlight w:val="none"/>
              </w:rPr>
            </w:pPr>
            <w:r>
              <w:rPr>
                <w:rFonts w:hint="eastAsia" w:ascii="宋体" w:hAnsi="宋体"/>
                <w:color w:val="auto"/>
                <w:szCs w:val="21"/>
                <w:highlight w:val="none"/>
              </w:rPr>
              <w:t>本项目不拆分，不接受联合体投标。</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7" w:hRule="atLeast"/>
          <w:jc w:val="center"/>
        </w:trPr>
        <w:tc>
          <w:tcPr>
            <w:tcW w:w="630" w:type="dxa"/>
            <w:vAlign w:val="center"/>
          </w:tcPr>
          <w:p>
            <w:pPr>
              <w:pStyle w:val="23"/>
              <w:adjustRightInd w:val="0"/>
              <w:spacing w:line="264" w:lineRule="auto"/>
              <w:ind w:firstLine="0" w:firstLineChars="0"/>
              <w:jc w:val="center"/>
              <w:rPr>
                <w:rFonts w:hint="eastAsia" w:ascii="宋体" w:hAnsi="宋体"/>
                <w:bCs/>
                <w:color w:val="auto"/>
                <w:szCs w:val="21"/>
                <w:highlight w:val="none"/>
              </w:rPr>
            </w:pPr>
            <w:r>
              <w:rPr>
                <w:rFonts w:hint="eastAsia" w:ascii="宋体" w:hAnsi="宋体"/>
                <w:bCs/>
                <w:color w:val="auto"/>
                <w:szCs w:val="21"/>
                <w:highlight w:val="none"/>
              </w:rPr>
              <w:t>5</w:t>
            </w:r>
          </w:p>
        </w:tc>
        <w:tc>
          <w:tcPr>
            <w:tcW w:w="4200" w:type="dxa"/>
            <w:vAlign w:val="center"/>
          </w:tcPr>
          <w:p>
            <w:pPr>
              <w:adjustRightInd w:val="0"/>
              <w:spacing w:line="264" w:lineRule="auto"/>
              <w:rPr>
                <w:color w:val="auto"/>
                <w:szCs w:val="21"/>
                <w:highlight w:val="none"/>
              </w:rPr>
            </w:pPr>
            <w:r>
              <w:rPr>
                <w:rFonts w:hint="eastAsia"/>
                <w:color w:val="auto"/>
                <w:szCs w:val="21"/>
                <w:highlight w:val="none"/>
              </w:rPr>
              <w:t>未被列入“信用中国”网站(www.creditchina.gov.cn)“记录失信被执行人或重大税收违法案件当事人名单或政府采购严重违法失信行为”记录名单（以在“信用中国”网站（www.creditchina.gov.cn）及中国政府采购网查询结果为准，加盖企业公章，如相关失信记录已失效，供应商需提供相关证明资料）。</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630" w:type="dxa"/>
            <w:vAlign w:val="center"/>
          </w:tcPr>
          <w:p>
            <w:pPr>
              <w:pStyle w:val="23"/>
              <w:adjustRightInd w:val="0"/>
              <w:spacing w:line="264" w:lineRule="auto"/>
              <w:ind w:firstLine="0" w:firstLineChars="0"/>
              <w:jc w:val="center"/>
              <w:rPr>
                <w:rFonts w:hint="eastAsia" w:ascii="宋体" w:hAnsi="宋体"/>
                <w:bCs/>
                <w:color w:val="auto"/>
                <w:szCs w:val="21"/>
                <w:highlight w:val="none"/>
              </w:rPr>
            </w:pPr>
            <w:r>
              <w:rPr>
                <w:rFonts w:hint="eastAsia" w:ascii="宋体" w:hAnsi="宋体"/>
                <w:bCs/>
                <w:color w:val="auto"/>
                <w:szCs w:val="21"/>
                <w:highlight w:val="none"/>
              </w:rPr>
              <w:t>6</w:t>
            </w:r>
          </w:p>
        </w:tc>
        <w:tc>
          <w:tcPr>
            <w:tcW w:w="4200" w:type="dxa"/>
            <w:vAlign w:val="center"/>
          </w:tcPr>
          <w:p>
            <w:pPr>
              <w:adjustRightInd w:val="0"/>
              <w:spacing w:line="264" w:lineRule="auto"/>
              <w:rPr>
                <w:color w:val="auto"/>
                <w:szCs w:val="21"/>
                <w:highlight w:val="none"/>
              </w:rPr>
            </w:pPr>
            <w:r>
              <w:rPr>
                <w:rFonts w:hint="eastAsia" w:ascii="宋体" w:hAnsi="宋体"/>
                <w:color w:val="auto"/>
                <w:szCs w:val="21"/>
                <w:highlight w:val="none"/>
              </w:rPr>
              <w:t>单位负责人为同一人或者存在直接控股、管理关系的不同供应商，不得同时参加本项采购投标。</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630" w:type="dxa"/>
            <w:vAlign w:val="center"/>
          </w:tcPr>
          <w:p>
            <w:pPr>
              <w:pStyle w:val="23"/>
              <w:adjustRightInd w:val="0"/>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4200" w:type="dxa"/>
            <w:vAlign w:val="center"/>
          </w:tcPr>
          <w:p>
            <w:pPr>
              <w:rPr>
                <w:color w:val="auto"/>
                <w:szCs w:val="21"/>
                <w:highlight w:val="none"/>
              </w:rPr>
            </w:pPr>
            <w:r>
              <w:rPr>
                <w:rFonts w:hint="eastAsia"/>
                <w:color w:val="auto"/>
                <w:szCs w:val="21"/>
                <w:highlight w:val="none"/>
              </w:rPr>
              <w:t>投标保证金符合采购文件规定。</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630" w:type="dxa"/>
            <w:vAlign w:val="center"/>
          </w:tcPr>
          <w:p>
            <w:pPr>
              <w:pStyle w:val="23"/>
              <w:adjustRightInd w:val="0"/>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4200" w:type="dxa"/>
            <w:vAlign w:val="center"/>
          </w:tcPr>
          <w:p>
            <w:pPr>
              <w:rPr>
                <w:color w:val="auto"/>
                <w:szCs w:val="21"/>
                <w:highlight w:val="none"/>
              </w:rPr>
            </w:pPr>
            <w:r>
              <w:rPr>
                <w:rFonts w:hint="eastAsia"/>
                <w:color w:val="auto"/>
                <w:szCs w:val="21"/>
                <w:highlight w:val="none"/>
              </w:rPr>
              <w:t>投标报价不超过本项目最高限价且符合招标文件</w:t>
            </w:r>
            <w:r>
              <w:rPr>
                <w:rFonts w:hint="eastAsia" w:ascii="宋体" w:hAnsi="宋体" w:cs="宋体"/>
                <w:b/>
                <w:color w:val="auto"/>
                <w:sz w:val="24"/>
                <w:highlight w:val="none"/>
              </w:rPr>
              <w:t>★</w:t>
            </w:r>
            <w:r>
              <w:rPr>
                <w:rFonts w:hint="eastAsia"/>
                <w:color w:val="auto"/>
                <w:szCs w:val="21"/>
                <w:highlight w:val="none"/>
              </w:rPr>
              <w:t>规定。</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630" w:type="dxa"/>
            <w:vAlign w:val="center"/>
          </w:tcPr>
          <w:p>
            <w:pPr>
              <w:jc w:val="center"/>
              <w:rPr>
                <w:color w:val="auto"/>
                <w:szCs w:val="21"/>
                <w:highlight w:val="none"/>
              </w:rPr>
            </w:pPr>
            <w:r>
              <w:rPr>
                <w:rFonts w:hint="eastAsia"/>
                <w:color w:val="auto"/>
                <w:szCs w:val="21"/>
                <w:highlight w:val="none"/>
              </w:rPr>
              <w:t>结论</w:t>
            </w:r>
          </w:p>
        </w:tc>
        <w:tc>
          <w:tcPr>
            <w:tcW w:w="4200" w:type="dxa"/>
            <w:vAlign w:val="center"/>
          </w:tcPr>
          <w:p>
            <w:pPr>
              <w:rPr>
                <w:color w:val="auto"/>
                <w:szCs w:val="21"/>
                <w:highlight w:val="none"/>
              </w:rPr>
            </w:pPr>
            <w:r>
              <w:rPr>
                <w:rFonts w:hint="eastAsia"/>
                <w:color w:val="auto"/>
                <w:szCs w:val="21"/>
                <w:highlight w:val="none"/>
              </w:rPr>
              <w:t>是否通过符合性审查，进入下一阶段</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bl>
    <w:p>
      <w:pPr>
        <w:tabs>
          <w:tab w:val="left" w:pos="720"/>
        </w:tabs>
        <w:snapToGrid w:val="0"/>
        <w:rPr>
          <w:rFonts w:ascii="宋体"/>
          <w:color w:val="auto"/>
          <w:szCs w:val="21"/>
          <w:highlight w:val="none"/>
        </w:rPr>
      </w:pPr>
      <w:r>
        <w:rPr>
          <w:rFonts w:hint="eastAsia" w:ascii="宋体"/>
          <w:color w:val="auto"/>
          <w:szCs w:val="21"/>
          <w:highlight w:val="none"/>
        </w:rPr>
        <w:t>备注：1、“是否通过并进入下一阶段评审”一栏应写“通过”或“不通过”。</w:t>
      </w:r>
    </w:p>
    <w:p>
      <w:pPr>
        <w:tabs>
          <w:tab w:val="left" w:pos="720"/>
        </w:tabs>
        <w:snapToGrid w:val="0"/>
        <w:ind w:left="840" w:leftChars="300" w:hanging="210" w:hangingChars="100"/>
        <w:rPr>
          <w:rFonts w:ascii="宋体"/>
          <w:color w:val="auto"/>
          <w:szCs w:val="21"/>
          <w:highlight w:val="none"/>
        </w:rPr>
      </w:pPr>
      <w:r>
        <w:rPr>
          <w:rFonts w:hint="eastAsia" w:ascii="宋体"/>
          <w:color w:val="auto"/>
          <w:szCs w:val="21"/>
          <w:highlight w:val="none"/>
        </w:rPr>
        <w:t>2、满足以上任何一种情形用“</w:t>
      </w:r>
      <w:r>
        <w:rPr>
          <w:rFonts w:hint="eastAsia" w:ascii="宋体" w:hAnsi="宋体"/>
          <w:color w:val="auto"/>
          <w:szCs w:val="21"/>
          <w:highlight w:val="none"/>
        </w:rPr>
        <w:t>○</w:t>
      </w:r>
      <w:r>
        <w:rPr>
          <w:rFonts w:hint="eastAsia" w:ascii="宋体"/>
          <w:color w:val="auto"/>
          <w:szCs w:val="21"/>
          <w:highlight w:val="none"/>
        </w:rPr>
        <w:t>”表示，不满足用“×”表示。出现一个“×”的结论为“不通过”。表中全部为“</w:t>
      </w:r>
      <w:r>
        <w:rPr>
          <w:rFonts w:hint="eastAsia" w:ascii="宋体" w:hAnsi="宋体"/>
          <w:color w:val="auto"/>
          <w:szCs w:val="21"/>
          <w:highlight w:val="none"/>
        </w:rPr>
        <w:t>○</w:t>
      </w:r>
      <w:r>
        <w:rPr>
          <w:rFonts w:hint="eastAsia" w:ascii="宋体"/>
          <w:color w:val="auto"/>
          <w:szCs w:val="21"/>
          <w:highlight w:val="none"/>
        </w:rPr>
        <w:t>”，结论为：“通过”方可进入下一阶段评审。</w:t>
      </w:r>
    </w:p>
    <w:p>
      <w:pPr>
        <w:spacing w:before="312" w:beforeLines="100" w:after="312" w:afterLines="100"/>
        <w:rPr>
          <w:rFonts w:hint="eastAsia" w:ascii="宋体" w:hAnsi="宋体"/>
          <w:b/>
          <w:color w:val="auto"/>
          <w:szCs w:val="21"/>
          <w:highlight w:val="none"/>
        </w:rPr>
      </w:pPr>
      <w:r>
        <w:rPr>
          <w:rFonts w:hint="eastAsia" w:ascii="宋体" w:hAnsi="宋体"/>
          <w:b/>
          <w:color w:val="auto"/>
          <w:szCs w:val="21"/>
          <w:highlight w:val="none"/>
        </w:rPr>
        <w:t xml:space="preserve">评审人员签名：                                           </w:t>
      </w:r>
    </w:p>
    <w:p>
      <w:pPr>
        <w:spacing w:before="312" w:beforeLines="100" w:after="312" w:afterLines="100"/>
        <w:ind w:firstLine="5060" w:firstLineChars="2400"/>
        <w:rPr>
          <w:rFonts w:hint="eastAsia" w:ascii="宋体" w:hAnsi="宋体"/>
          <w:b/>
          <w:color w:val="auto"/>
          <w:sz w:val="24"/>
          <w:highlight w:val="none"/>
        </w:rPr>
      </w:pPr>
      <w:r>
        <w:rPr>
          <w:rFonts w:hint="eastAsia" w:ascii="宋体" w:hAnsi="宋体"/>
          <w:b/>
          <w:color w:val="auto"/>
          <w:szCs w:val="21"/>
          <w:highlight w:val="none"/>
        </w:rPr>
        <w:t>日期：</w:t>
      </w:r>
      <w:r>
        <w:rPr>
          <w:rFonts w:hint="eastAsia" w:ascii="宋体" w:hAnsi="宋体"/>
          <w:b/>
          <w:color w:val="auto"/>
          <w:szCs w:val="21"/>
          <w:highlight w:val="none"/>
          <w:lang w:val="en-US" w:eastAsia="zh-CN"/>
        </w:rPr>
        <w:t xml:space="preserve">      </w:t>
      </w:r>
      <w:r>
        <w:rPr>
          <w:rFonts w:hint="eastAsia" w:ascii="宋体" w:hAnsi="宋体"/>
          <w:b/>
          <w:color w:val="auto"/>
          <w:szCs w:val="21"/>
          <w:highlight w:val="none"/>
        </w:rPr>
        <w:t>年</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 xml:space="preserve">  </w:t>
      </w:r>
      <w:r>
        <w:rPr>
          <w:rFonts w:hint="eastAsia" w:ascii="宋体" w:hAnsi="宋体"/>
          <w:b/>
          <w:color w:val="auto"/>
          <w:szCs w:val="21"/>
          <w:highlight w:val="none"/>
        </w:rPr>
        <w:t>月</w:t>
      </w:r>
      <w:r>
        <w:rPr>
          <w:rFonts w:hint="eastAsia" w:ascii="宋体" w:hAnsi="宋体"/>
          <w:b/>
          <w:color w:val="auto"/>
          <w:szCs w:val="21"/>
          <w:highlight w:val="none"/>
          <w:u w:val="single"/>
        </w:rPr>
        <w:t xml:space="preserve">    </w:t>
      </w:r>
      <w:r>
        <w:rPr>
          <w:rFonts w:hint="eastAsia" w:ascii="宋体" w:hAnsi="宋体"/>
          <w:b/>
          <w:color w:val="auto"/>
          <w:szCs w:val="21"/>
          <w:highlight w:val="none"/>
        </w:rPr>
        <w:t>日</w:t>
      </w:r>
    </w:p>
    <w:p>
      <w:pPr>
        <w:rPr>
          <w:rFonts w:hint="eastAsia" w:ascii="宋体" w:hAnsi="宋体"/>
          <w:b/>
          <w:color w:val="auto"/>
          <w:sz w:val="24"/>
          <w:highlight w:val="none"/>
        </w:rPr>
      </w:pPr>
      <w:r>
        <w:rPr>
          <w:rFonts w:hint="eastAsia" w:ascii="宋体" w:hAnsi="宋体"/>
          <w:b/>
          <w:color w:val="auto"/>
          <w:sz w:val="24"/>
          <w:highlight w:val="none"/>
        </w:rPr>
        <w:br w:type="page"/>
      </w:r>
    </w:p>
    <w:p>
      <w:pPr>
        <w:spacing w:before="312" w:beforeLines="100" w:after="312" w:afterLines="100"/>
        <w:rPr>
          <w:rFonts w:hint="eastAsia" w:ascii="宋体" w:hAnsi="宋体"/>
          <w:b/>
          <w:color w:val="auto"/>
          <w:sz w:val="24"/>
          <w:highlight w:val="none"/>
        </w:rPr>
      </w:pPr>
      <w:r>
        <w:rPr>
          <w:rFonts w:hint="eastAsia" w:ascii="宋体" w:hAnsi="宋体"/>
          <w:b/>
          <w:color w:val="auto"/>
          <w:sz w:val="24"/>
          <w:highlight w:val="none"/>
        </w:rPr>
        <w:t xml:space="preserve">附件2   评分表 </w:t>
      </w:r>
    </w:p>
    <w:tbl>
      <w:tblPr>
        <w:tblStyle w:val="15"/>
        <w:tblW w:w="886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30"/>
        <w:gridCol w:w="1082"/>
        <w:gridCol w:w="4882"/>
        <w:gridCol w:w="757"/>
        <w:gridCol w:w="720"/>
        <w:gridCol w:w="6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1" w:hRule="atLeast"/>
        </w:trPr>
        <w:tc>
          <w:tcPr>
            <w:tcW w:w="730" w:type="dxa"/>
            <w:vAlign w:val="center"/>
          </w:tcPr>
          <w:p>
            <w:pPr>
              <w:jc w:val="center"/>
              <w:rPr>
                <w:rFonts w:hint="eastAsia" w:ascii="宋体" w:hAnsi="宋体" w:cs="宋体"/>
                <w:b/>
                <w:bCs/>
                <w:color w:val="auto"/>
                <w:highlight w:val="none"/>
              </w:rPr>
            </w:pPr>
            <w:r>
              <w:rPr>
                <w:rFonts w:hint="eastAsia" w:ascii="宋体" w:hAnsi="宋体" w:cs="宋体"/>
                <w:b/>
                <w:bCs/>
                <w:color w:val="auto"/>
                <w:szCs w:val="21"/>
                <w:highlight w:val="none"/>
              </w:rPr>
              <w:t>序号</w:t>
            </w:r>
          </w:p>
        </w:tc>
        <w:tc>
          <w:tcPr>
            <w:tcW w:w="5964" w:type="dxa"/>
            <w:gridSpan w:val="2"/>
            <w:vAlign w:val="center"/>
          </w:tcPr>
          <w:p>
            <w:pPr>
              <w:jc w:val="center"/>
              <w:rPr>
                <w:rFonts w:hint="eastAsia" w:ascii="宋体" w:hAnsi="宋体" w:cs="宋体"/>
                <w:b/>
                <w:bCs/>
                <w:color w:val="auto"/>
                <w:highlight w:val="none"/>
              </w:rPr>
            </w:pPr>
            <w:r>
              <w:rPr>
                <w:rFonts w:hint="eastAsia" w:ascii="宋体" w:hAnsi="宋体" w:cs="宋体"/>
                <w:b/>
                <w:bCs/>
                <w:color w:val="auto"/>
                <w:szCs w:val="21"/>
                <w:highlight w:val="none"/>
              </w:rPr>
              <w:t>评审分项</w:t>
            </w:r>
          </w:p>
        </w:tc>
        <w:tc>
          <w:tcPr>
            <w:tcW w:w="2167" w:type="dxa"/>
            <w:gridSpan w:val="3"/>
            <w:vAlign w:val="center"/>
          </w:tcPr>
          <w:p>
            <w:pPr>
              <w:jc w:val="center"/>
              <w:rPr>
                <w:rFonts w:hint="eastAsia" w:ascii="宋体" w:hAnsi="宋体" w:cs="宋体"/>
                <w:b/>
                <w:bCs/>
                <w:color w:val="auto"/>
                <w:highlight w:val="none"/>
              </w:rPr>
            </w:pPr>
            <w:r>
              <w:rPr>
                <w:rFonts w:hint="eastAsia" w:ascii="宋体" w:hAnsi="宋体" w:cs="宋体"/>
                <w:b/>
                <w:bCs/>
                <w:color w:val="auto"/>
                <w:szCs w:val="21"/>
                <w:highlight w:val="none"/>
              </w:rPr>
              <w:t>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0" w:type="dxa"/>
            <w:vAlign w:val="center"/>
          </w:tcPr>
          <w:p>
            <w:pPr>
              <w:jc w:val="center"/>
              <w:rPr>
                <w:rFonts w:hint="eastAsia" w:ascii="宋体" w:hAnsi="宋体" w:cs="宋体"/>
                <w:b/>
                <w:bCs/>
                <w:color w:val="auto"/>
                <w:highlight w:val="none"/>
              </w:rPr>
            </w:pPr>
            <w:r>
              <w:rPr>
                <w:rFonts w:hint="eastAsia" w:ascii="宋体" w:hAnsi="宋体" w:cs="宋体"/>
                <w:b/>
                <w:bCs/>
                <w:color w:val="auto"/>
                <w:highlight w:val="none"/>
              </w:rPr>
              <w:t>分值构成</w:t>
            </w:r>
          </w:p>
        </w:tc>
        <w:tc>
          <w:tcPr>
            <w:tcW w:w="5964" w:type="dxa"/>
            <w:gridSpan w:val="2"/>
          </w:tcPr>
          <w:p>
            <w:pPr>
              <w:rPr>
                <w:rFonts w:hint="eastAsia"/>
                <w:color w:val="auto"/>
                <w:highlight w:val="none"/>
              </w:rPr>
            </w:pPr>
            <w:r>
              <w:rPr>
                <w:rFonts w:hint="eastAsia"/>
                <w:color w:val="auto"/>
                <w:highlight w:val="none"/>
              </w:rPr>
              <w:t>商务部分</w:t>
            </w:r>
            <w:r>
              <w:rPr>
                <w:rFonts w:hint="eastAsia"/>
                <w:color w:val="auto"/>
                <w:highlight w:val="none"/>
                <w:lang w:eastAsia="zh-CN"/>
              </w:rPr>
              <w:t>2</w:t>
            </w:r>
            <w:r>
              <w:rPr>
                <w:rFonts w:hint="eastAsia"/>
                <w:color w:val="auto"/>
                <w:highlight w:val="none"/>
                <w:lang w:val="en-US" w:eastAsia="zh-CN"/>
              </w:rPr>
              <w:t>0</w:t>
            </w:r>
            <w:r>
              <w:rPr>
                <w:rFonts w:hint="eastAsia"/>
                <w:color w:val="auto"/>
                <w:highlight w:val="none"/>
              </w:rPr>
              <w:t>分</w:t>
            </w:r>
          </w:p>
          <w:p>
            <w:pPr>
              <w:rPr>
                <w:rFonts w:hint="eastAsia"/>
                <w:color w:val="auto"/>
                <w:highlight w:val="none"/>
              </w:rPr>
            </w:pPr>
            <w:r>
              <w:rPr>
                <w:rFonts w:hint="eastAsia"/>
                <w:color w:val="auto"/>
                <w:highlight w:val="none"/>
              </w:rPr>
              <w:t>技术部分</w:t>
            </w:r>
            <w:r>
              <w:rPr>
                <w:rFonts w:hint="eastAsia"/>
                <w:color w:val="auto"/>
                <w:highlight w:val="none"/>
                <w:lang w:val="en-US" w:eastAsia="zh-CN"/>
              </w:rPr>
              <w:t>20</w:t>
            </w:r>
            <w:r>
              <w:rPr>
                <w:rFonts w:hint="eastAsia"/>
                <w:color w:val="auto"/>
                <w:highlight w:val="none"/>
              </w:rPr>
              <w:t>分</w:t>
            </w:r>
          </w:p>
          <w:p>
            <w:pPr>
              <w:rPr>
                <w:rFonts w:hint="eastAsia"/>
                <w:color w:val="auto"/>
                <w:highlight w:val="none"/>
              </w:rPr>
            </w:pPr>
            <w:r>
              <w:rPr>
                <w:rFonts w:hint="eastAsia" w:ascii="宋体" w:hAnsi="宋体"/>
                <w:bCs/>
                <w:color w:val="auto"/>
                <w:sz w:val="24"/>
                <w:szCs w:val="24"/>
                <w:highlight w:val="none"/>
              </w:rPr>
              <w:t>价格</w:t>
            </w:r>
            <w:r>
              <w:rPr>
                <w:rFonts w:hint="eastAsia"/>
                <w:color w:val="auto"/>
                <w:highlight w:val="none"/>
              </w:rPr>
              <w:t>部分</w:t>
            </w:r>
            <w:r>
              <w:rPr>
                <w:rFonts w:hint="eastAsia"/>
                <w:color w:val="auto"/>
                <w:highlight w:val="none"/>
                <w:lang w:eastAsia="zh-CN"/>
              </w:rPr>
              <w:t>6</w:t>
            </w:r>
            <w:r>
              <w:rPr>
                <w:rFonts w:hint="eastAsia"/>
                <w:color w:val="auto"/>
                <w:highlight w:val="none"/>
              </w:rPr>
              <w:t>0分</w:t>
            </w:r>
          </w:p>
        </w:tc>
        <w:tc>
          <w:tcPr>
            <w:tcW w:w="757" w:type="dxa"/>
            <w:vAlign w:val="center"/>
          </w:tcPr>
          <w:p>
            <w:pPr>
              <w:jc w:val="center"/>
              <w:rPr>
                <w:rFonts w:hint="eastAsia" w:ascii="宋体" w:hAnsi="宋体" w:cs="宋体"/>
                <w:color w:val="auto"/>
                <w:highlight w:val="none"/>
              </w:rPr>
            </w:pPr>
            <w:r>
              <w:rPr>
                <w:rFonts w:hint="eastAsia" w:ascii="宋体" w:hAnsi="宋体" w:cs="宋体"/>
                <w:b/>
                <w:bCs/>
                <w:color w:val="auto"/>
                <w:szCs w:val="21"/>
                <w:highlight w:val="none"/>
              </w:rPr>
              <w:t>投标人1</w:t>
            </w:r>
          </w:p>
        </w:tc>
        <w:tc>
          <w:tcPr>
            <w:tcW w:w="720" w:type="dxa"/>
            <w:vAlign w:val="center"/>
          </w:tcPr>
          <w:p>
            <w:pPr>
              <w:jc w:val="center"/>
              <w:rPr>
                <w:rFonts w:hint="eastAsia" w:ascii="宋体" w:hAnsi="宋体" w:cs="宋体"/>
                <w:color w:val="auto"/>
                <w:highlight w:val="none"/>
              </w:rPr>
            </w:pPr>
            <w:r>
              <w:rPr>
                <w:rFonts w:hint="eastAsia" w:ascii="宋体" w:hAnsi="宋体" w:cs="宋体"/>
                <w:b/>
                <w:bCs/>
                <w:color w:val="auto"/>
                <w:szCs w:val="21"/>
                <w:highlight w:val="none"/>
              </w:rPr>
              <w:t>投标人2</w:t>
            </w:r>
          </w:p>
        </w:tc>
        <w:tc>
          <w:tcPr>
            <w:tcW w:w="690" w:type="dxa"/>
            <w:vAlign w:val="center"/>
          </w:tcPr>
          <w:p>
            <w:pPr>
              <w:jc w:val="center"/>
              <w:rPr>
                <w:rFonts w:hint="eastAsia" w:ascii="宋体" w:hAnsi="宋体" w:cs="宋体"/>
                <w:color w:val="auto"/>
                <w:highlight w:val="none"/>
              </w:rPr>
            </w:pPr>
            <w:r>
              <w:rPr>
                <w:rFonts w:hint="eastAsia" w:ascii="宋体" w:hAnsi="宋体" w:cs="宋体"/>
                <w:b/>
                <w:bCs/>
                <w:color w:val="auto"/>
                <w:szCs w:val="21"/>
                <w:highlight w:val="none"/>
              </w:rPr>
              <w:t>投标人3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23" w:hRule="atLeast"/>
        </w:trPr>
        <w:tc>
          <w:tcPr>
            <w:tcW w:w="730" w:type="dxa"/>
            <w:vMerge w:val="restart"/>
            <w:vAlign w:val="center"/>
          </w:tcPr>
          <w:p>
            <w:pPr>
              <w:jc w:val="center"/>
              <w:rPr>
                <w:rFonts w:hint="eastAsia" w:ascii="宋体" w:hAnsi="宋体" w:cs="宋体"/>
                <w:color w:val="auto"/>
                <w:highlight w:val="none"/>
              </w:rPr>
            </w:pPr>
          </w:p>
          <w:p>
            <w:pPr>
              <w:jc w:val="center"/>
              <w:rPr>
                <w:rFonts w:hint="eastAsia" w:ascii="宋体" w:hAnsi="宋体" w:cs="宋体"/>
                <w:color w:val="auto"/>
                <w:highlight w:val="none"/>
              </w:rPr>
            </w:pPr>
          </w:p>
          <w:p>
            <w:pPr>
              <w:jc w:val="center"/>
              <w:rPr>
                <w:rFonts w:hint="eastAsia" w:ascii="宋体" w:hAnsi="宋体" w:cs="宋体"/>
                <w:color w:val="auto"/>
                <w:highlight w:val="none"/>
              </w:rPr>
            </w:pPr>
            <w:r>
              <w:rPr>
                <w:rFonts w:hint="eastAsia" w:ascii="宋体" w:hAnsi="宋体" w:cs="宋体"/>
                <w:b/>
                <w:bCs/>
                <w:color w:val="auto"/>
                <w:highlight w:val="none"/>
                <w:lang w:val="en-US" w:eastAsia="zh-CN"/>
              </w:rPr>
              <w:t>商务</w:t>
            </w:r>
            <w:r>
              <w:rPr>
                <w:rFonts w:hint="eastAsia" w:ascii="宋体" w:hAnsi="宋体" w:cs="宋体"/>
                <w:b/>
                <w:bCs/>
                <w:color w:val="auto"/>
                <w:highlight w:val="none"/>
              </w:rPr>
              <w:t>部分（</w:t>
            </w:r>
            <w:r>
              <w:rPr>
                <w:rFonts w:hint="eastAsia" w:ascii="宋体" w:hAnsi="宋体" w:cs="宋体"/>
                <w:b/>
                <w:bCs/>
                <w:color w:val="auto"/>
                <w:highlight w:val="none"/>
                <w:lang w:val="en-US" w:eastAsia="zh-CN"/>
              </w:rPr>
              <w:t>20</w:t>
            </w:r>
            <w:r>
              <w:rPr>
                <w:rFonts w:hint="eastAsia" w:ascii="宋体" w:hAnsi="宋体" w:cs="宋体"/>
                <w:b/>
                <w:bCs/>
                <w:color w:val="auto"/>
                <w:highlight w:val="none"/>
              </w:rPr>
              <w:t>分）</w:t>
            </w:r>
          </w:p>
        </w:tc>
        <w:tc>
          <w:tcPr>
            <w:tcW w:w="1082" w:type="dxa"/>
            <w:vAlign w:val="center"/>
          </w:tcPr>
          <w:p>
            <w:pPr>
              <w:jc w:val="center"/>
              <w:rPr>
                <w:rFonts w:hint="eastAsia" w:ascii="宋体" w:hAnsi="宋体" w:cs="宋体"/>
                <w:color w:val="auto"/>
                <w:highlight w:val="none"/>
              </w:rPr>
            </w:pPr>
            <w:r>
              <w:rPr>
                <w:rFonts w:hint="eastAsia" w:ascii="宋体" w:hAnsi="宋体" w:cs="宋体"/>
                <w:color w:val="auto"/>
                <w:highlight w:val="none"/>
                <w:lang w:val="en-US" w:eastAsia="zh-CN"/>
              </w:rPr>
              <w:t>企业</w:t>
            </w:r>
            <w:r>
              <w:rPr>
                <w:rFonts w:hint="eastAsia" w:ascii="宋体" w:hAnsi="宋体" w:cs="宋体"/>
                <w:color w:val="auto"/>
                <w:highlight w:val="none"/>
              </w:rPr>
              <w:t>业绩</w:t>
            </w:r>
          </w:p>
          <w:p>
            <w:pPr>
              <w:jc w:val="center"/>
              <w:rPr>
                <w:rFonts w:hint="eastAsia" w:ascii="宋体" w:hAnsi="宋体" w:cs="宋体"/>
                <w:color w:val="auto"/>
                <w:highlight w:val="none"/>
              </w:rPr>
            </w:pPr>
            <w:r>
              <w:rPr>
                <w:rFonts w:hint="eastAsia" w:ascii="宋体" w:hAnsi="宋体" w:cs="宋体"/>
                <w:color w:val="auto"/>
                <w:highlight w:val="none"/>
              </w:rPr>
              <w:t>（满分1</w:t>
            </w:r>
            <w:r>
              <w:rPr>
                <w:rFonts w:hint="eastAsia" w:ascii="宋体" w:hAnsi="宋体" w:cs="宋体"/>
                <w:color w:val="auto"/>
                <w:highlight w:val="none"/>
                <w:lang w:val="en-US" w:eastAsia="zh-CN"/>
              </w:rPr>
              <w:t>5</w:t>
            </w:r>
            <w:r>
              <w:rPr>
                <w:rFonts w:hint="eastAsia" w:ascii="宋体" w:hAnsi="宋体" w:cs="宋体"/>
                <w:color w:val="auto"/>
                <w:highlight w:val="none"/>
              </w:rPr>
              <w:t>分）</w:t>
            </w:r>
          </w:p>
        </w:tc>
        <w:tc>
          <w:tcPr>
            <w:tcW w:w="4882" w:type="dxa"/>
          </w:tcPr>
          <w:p>
            <w:pPr>
              <w:rPr>
                <w:rFonts w:hint="eastAsia" w:ascii="宋体" w:hAnsi="宋体" w:cs="宋体"/>
                <w:color w:val="auto"/>
                <w:sz w:val="20"/>
                <w:szCs w:val="20"/>
                <w:highlight w:val="none"/>
              </w:rPr>
            </w:pPr>
            <w:r>
              <w:rPr>
                <w:rFonts w:hint="eastAsia" w:ascii="宋体" w:hAnsi="宋体" w:cs="宋体"/>
                <w:color w:val="auto"/>
                <w:sz w:val="20"/>
                <w:szCs w:val="20"/>
                <w:highlight w:val="none"/>
              </w:rPr>
              <w:t>投标人自2021年</w:t>
            </w:r>
            <w:r>
              <w:rPr>
                <w:color w:val="auto"/>
                <w:highlight w:val="none"/>
              </w:rPr>
              <w:t>1月1日</w:t>
            </w:r>
            <w:r>
              <w:rPr>
                <w:rFonts w:hint="eastAsia" w:ascii="宋体" w:hAnsi="宋体" w:cs="宋体"/>
                <w:color w:val="auto"/>
                <w:sz w:val="20"/>
                <w:szCs w:val="20"/>
                <w:highlight w:val="none"/>
              </w:rPr>
              <w:t>至今（以</w:t>
            </w:r>
            <w:r>
              <w:rPr>
                <w:color w:val="auto"/>
                <w:highlight w:val="none"/>
              </w:rPr>
              <w:t>中标通知书或</w:t>
            </w:r>
            <w:r>
              <w:rPr>
                <w:rFonts w:hint="eastAsia" w:ascii="宋体" w:hAnsi="宋体" w:cs="宋体"/>
                <w:color w:val="auto"/>
                <w:sz w:val="20"/>
                <w:szCs w:val="20"/>
                <w:highlight w:val="none"/>
              </w:rPr>
              <w:t>合同签订的时间为准）完成类似项目（围挡、护栏、围蔽等）的业绩</w:t>
            </w:r>
            <w:r>
              <w:rPr>
                <w:rFonts w:hint="eastAsia" w:ascii="宋体" w:hAnsi="宋体" w:cs="宋体"/>
                <w:color w:val="auto"/>
                <w:sz w:val="20"/>
                <w:szCs w:val="20"/>
                <w:highlight w:val="none"/>
                <w:lang w:val="en-US" w:eastAsia="zh-CN"/>
              </w:rPr>
              <w:t>且</w:t>
            </w:r>
            <w:r>
              <w:rPr>
                <w:rFonts w:hint="eastAsia" w:ascii="宋体" w:hAnsi="宋体" w:cs="宋体"/>
                <w:color w:val="auto"/>
                <w:sz w:val="20"/>
                <w:szCs w:val="20"/>
                <w:highlight w:val="none"/>
              </w:rPr>
              <w:t>合同金额</w:t>
            </w:r>
            <w:r>
              <w:rPr>
                <w:rFonts w:hint="eastAsia" w:ascii="宋体" w:hAnsi="宋体" w:eastAsia="宋体" w:cs="宋体"/>
                <w:bCs/>
                <w:color w:val="auto"/>
                <w:sz w:val="21"/>
                <w:szCs w:val="21"/>
                <w:highlight w:val="none"/>
              </w:rPr>
              <w:t>≥</w:t>
            </w:r>
            <w:r>
              <w:rPr>
                <w:rFonts w:hint="eastAsia" w:ascii="宋体" w:hAnsi="宋体" w:cs="宋体"/>
                <w:color w:val="auto"/>
                <w:sz w:val="20"/>
                <w:szCs w:val="20"/>
                <w:highlight w:val="none"/>
                <w:lang w:eastAsia="zh-CN"/>
              </w:rPr>
              <w:t>3</w:t>
            </w:r>
            <w:r>
              <w:rPr>
                <w:rFonts w:hint="eastAsia" w:ascii="宋体" w:hAnsi="宋体" w:cs="宋体"/>
                <w:color w:val="auto"/>
                <w:sz w:val="20"/>
                <w:szCs w:val="20"/>
                <w:highlight w:val="none"/>
                <w:lang w:val="en-US" w:eastAsia="zh-CN"/>
              </w:rPr>
              <w:t>0</w:t>
            </w:r>
            <w:r>
              <w:rPr>
                <w:rFonts w:hint="eastAsia" w:ascii="宋体" w:hAnsi="宋体" w:cs="宋体"/>
                <w:color w:val="auto"/>
                <w:sz w:val="20"/>
                <w:szCs w:val="20"/>
                <w:highlight w:val="none"/>
              </w:rPr>
              <w:t>万</w:t>
            </w:r>
            <w:r>
              <w:rPr>
                <w:rFonts w:hint="eastAsia" w:ascii="宋体" w:hAnsi="宋体" w:cs="宋体"/>
                <w:color w:val="auto"/>
                <w:sz w:val="20"/>
                <w:szCs w:val="20"/>
                <w:highlight w:val="none"/>
                <w:lang w:val="en-US" w:eastAsia="zh-CN"/>
              </w:rPr>
              <w:t>元</w:t>
            </w:r>
            <w:r>
              <w:rPr>
                <w:rFonts w:hint="eastAsia" w:ascii="宋体" w:hAnsi="宋体" w:cs="宋体"/>
                <w:color w:val="auto"/>
                <w:sz w:val="20"/>
                <w:szCs w:val="20"/>
                <w:highlight w:val="none"/>
              </w:rPr>
              <w:t>或以上的，每</w:t>
            </w:r>
            <w:r>
              <w:rPr>
                <w:rFonts w:hint="eastAsia" w:ascii="宋体" w:hAnsi="宋体" w:cs="宋体"/>
                <w:color w:val="auto"/>
                <w:sz w:val="20"/>
                <w:szCs w:val="20"/>
                <w:highlight w:val="none"/>
                <w:lang w:val="en-US" w:eastAsia="zh-CN"/>
              </w:rPr>
              <w:t>提供</w:t>
            </w:r>
            <w:r>
              <w:rPr>
                <w:rFonts w:hint="eastAsia" w:ascii="宋体" w:hAnsi="宋体" w:cs="宋体"/>
                <w:color w:val="auto"/>
                <w:sz w:val="20"/>
                <w:szCs w:val="20"/>
                <w:highlight w:val="none"/>
              </w:rPr>
              <w:t>一个业绩得</w:t>
            </w:r>
            <w:r>
              <w:rPr>
                <w:rFonts w:hint="eastAsia" w:ascii="宋体" w:hAnsi="宋体" w:cs="宋体"/>
                <w:color w:val="auto"/>
                <w:sz w:val="20"/>
                <w:szCs w:val="20"/>
                <w:highlight w:val="none"/>
                <w:lang w:eastAsia="zh-CN"/>
              </w:rPr>
              <w:t>3</w:t>
            </w:r>
            <w:r>
              <w:rPr>
                <w:rFonts w:hint="eastAsia" w:ascii="宋体" w:hAnsi="宋体" w:cs="宋体"/>
                <w:color w:val="auto"/>
                <w:sz w:val="20"/>
                <w:szCs w:val="20"/>
                <w:highlight w:val="none"/>
              </w:rPr>
              <w:t>分，本项得分最高1</w:t>
            </w:r>
            <w:r>
              <w:rPr>
                <w:rFonts w:hint="eastAsia" w:ascii="宋体" w:hAnsi="宋体" w:cs="宋体"/>
                <w:color w:val="auto"/>
                <w:sz w:val="20"/>
                <w:szCs w:val="20"/>
                <w:highlight w:val="none"/>
                <w:lang w:eastAsia="zh-CN"/>
              </w:rPr>
              <w:t>5</w:t>
            </w:r>
            <w:r>
              <w:rPr>
                <w:rFonts w:hint="eastAsia" w:ascii="宋体" w:hAnsi="宋体" w:cs="宋体"/>
                <w:color w:val="auto"/>
                <w:sz w:val="20"/>
                <w:szCs w:val="20"/>
                <w:highlight w:val="none"/>
              </w:rPr>
              <w:t>分。</w:t>
            </w:r>
          </w:p>
          <w:p>
            <w:pPr>
              <w:rPr>
                <w:rFonts w:hint="eastAsia" w:ascii="宋体" w:hAnsi="宋体" w:cs="宋体"/>
                <w:color w:val="auto"/>
                <w:sz w:val="20"/>
                <w:szCs w:val="20"/>
                <w:highlight w:val="none"/>
              </w:rPr>
            </w:pPr>
            <w:r>
              <w:rPr>
                <w:rFonts w:hint="eastAsia" w:ascii="宋体" w:hAnsi="宋体" w:eastAsia="宋体" w:cs="宋体"/>
                <w:b/>
                <w:bCs/>
                <w:color w:val="auto"/>
                <w:sz w:val="20"/>
                <w:szCs w:val="20"/>
                <w:highlight w:val="none"/>
                <w:u w:val="none"/>
                <w:lang w:val="en-US" w:eastAsia="zh-CN" w:bidi="ar"/>
              </w:rPr>
              <w:t>注：</w:t>
            </w:r>
            <w:r>
              <w:rPr>
                <w:rFonts w:hint="eastAsia" w:ascii="宋体" w:hAnsi="宋体" w:cs="宋体"/>
                <w:b/>
                <w:bCs/>
                <w:color w:val="auto"/>
                <w:sz w:val="20"/>
                <w:szCs w:val="20"/>
                <w:highlight w:val="none"/>
              </w:rPr>
              <w:t>提供合同复印件或中标通知书复印件</w:t>
            </w:r>
            <w:r>
              <w:rPr>
                <w:rFonts w:hint="default" w:ascii="宋体" w:hAnsi="宋体" w:cs="宋体"/>
                <w:b/>
                <w:bCs/>
                <w:color w:val="auto"/>
                <w:sz w:val="20"/>
                <w:szCs w:val="20"/>
                <w:highlight w:val="none"/>
                <w:lang w:val="en-US"/>
              </w:rPr>
              <w:t>等资料</w:t>
            </w:r>
            <w:r>
              <w:rPr>
                <w:rFonts w:hint="eastAsia" w:ascii="宋体" w:hAnsi="宋体" w:cs="宋体"/>
                <w:b/>
                <w:bCs/>
                <w:color w:val="auto"/>
                <w:sz w:val="20"/>
                <w:szCs w:val="20"/>
                <w:highlight w:val="none"/>
              </w:rPr>
              <w:t>需加盖公章，合同可以复印合同的关键页面（合同首页、服务内容关键页、双方签字盖章页）</w:t>
            </w:r>
            <w:r>
              <w:rPr>
                <w:rFonts w:hint="eastAsia" w:ascii="宋体" w:hAnsi="宋体" w:cs="宋体"/>
                <w:b/>
                <w:bCs/>
                <w:color w:val="auto"/>
                <w:sz w:val="20"/>
                <w:szCs w:val="20"/>
                <w:highlight w:val="none"/>
                <w:lang w:eastAsia="zh-CN"/>
              </w:rPr>
              <w:t>，</w:t>
            </w:r>
            <w:r>
              <w:rPr>
                <w:rFonts w:hint="eastAsia" w:ascii="宋体" w:hAnsi="宋体" w:cs="宋体"/>
                <w:b/>
                <w:bCs/>
                <w:color w:val="auto"/>
                <w:sz w:val="20"/>
                <w:szCs w:val="20"/>
                <w:highlight w:val="none"/>
              </w:rPr>
              <w:t>不提供或提供不符合要求者不得分。</w:t>
            </w:r>
          </w:p>
        </w:tc>
        <w:tc>
          <w:tcPr>
            <w:tcW w:w="757" w:type="dxa"/>
          </w:tcPr>
          <w:p>
            <w:pPr>
              <w:jc w:val="left"/>
              <w:rPr>
                <w:rFonts w:hint="eastAsia" w:ascii="宋体" w:hAnsi="宋体" w:cs="宋体"/>
                <w:color w:val="auto"/>
                <w:highlight w:val="none"/>
              </w:rPr>
            </w:pPr>
          </w:p>
        </w:tc>
        <w:tc>
          <w:tcPr>
            <w:tcW w:w="720" w:type="dxa"/>
          </w:tcPr>
          <w:p>
            <w:pPr>
              <w:jc w:val="left"/>
              <w:rPr>
                <w:rFonts w:hint="eastAsia" w:ascii="宋体" w:hAnsi="宋体" w:cs="宋体"/>
                <w:color w:val="auto"/>
                <w:highlight w:val="none"/>
              </w:rPr>
            </w:pPr>
          </w:p>
        </w:tc>
        <w:tc>
          <w:tcPr>
            <w:tcW w:w="690" w:type="dxa"/>
          </w:tcPr>
          <w:p>
            <w:pPr>
              <w:jc w:val="left"/>
              <w:rPr>
                <w:rFonts w:hint="eastAsia" w:ascii="宋体" w:hAnsi="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730" w:type="dxa"/>
            <w:vMerge w:val="continue"/>
            <w:vAlign w:val="center"/>
          </w:tcPr>
          <w:p>
            <w:pPr>
              <w:jc w:val="center"/>
              <w:rPr>
                <w:rFonts w:hint="eastAsia" w:ascii="宋体" w:hAnsi="宋体" w:cs="宋体"/>
                <w:color w:val="auto"/>
                <w:highlight w:val="none"/>
              </w:rPr>
            </w:pPr>
          </w:p>
        </w:tc>
        <w:tc>
          <w:tcPr>
            <w:tcW w:w="108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企业实力</w:t>
            </w:r>
          </w:p>
          <w:p>
            <w:pPr>
              <w:keepNext w:val="0"/>
              <w:keepLines w:val="0"/>
              <w:widowControl/>
              <w:suppressLineNumbers w:val="0"/>
              <w:jc w:val="center"/>
              <w:textAlignment w:val="center"/>
              <w:rPr>
                <w:rFonts w:hint="eastAsia" w:ascii="宋体" w:hAnsi="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（满分5分）</w:t>
            </w:r>
          </w:p>
        </w:tc>
        <w:tc>
          <w:tcPr>
            <w:tcW w:w="4882"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1、提供IS09001质量体系认证证书，得1分；</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2、提供环境管理体系认证证书，得2分；</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3、提供职业健康安全管理体系认证证书，得2分；</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4、未提供不得分。   </w:t>
            </w:r>
          </w:p>
          <w:p>
            <w:pPr>
              <w:keepNext w:val="0"/>
              <w:keepLines w:val="0"/>
              <w:widowControl/>
              <w:suppressLineNumbers w:val="0"/>
              <w:jc w:val="left"/>
              <w:textAlignment w:val="center"/>
              <w:rPr>
                <w:rFonts w:hint="eastAsia"/>
                <w:color w:val="auto"/>
                <w:sz w:val="20"/>
                <w:szCs w:val="20"/>
                <w:highlight w:val="none"/>
                <w:lang w:val="zh-CN"/>
              </w:rPr>
            </w:pPr>
            <w:r>
              <w:rPr>
                <w:rStyle w:val="29"/>
                <w:rFonts w:hint="eastAsia"/>
                <w:color w:val="auto"/>
                <w:sz w:val="20"/>
                <w:szCs w:val="20"/>
                <w:highlight w:val="none"/>
                <w:lang w:val="en-US" w:eastAsia="zh-CN" w:bidi="ar"/>
              </w:rPr>
              <w:t>注：</w:t>
            </w:r>
            <w:r>
              <w:rPr>
                <w:rStyle w:val="29"/>
                <w:color w:val="auto"/>
                <w:sz w:val="20"/>
                <w:szCs w:val="20"/>
                <w:highlight w:val="none"/>
                <w:lang w:val="en-US" w:eastAsia="zh-CN" w:bidi="ar"/>
              </w:rPr>
              <w:t>提供证书扫描件及全国认证认可信息公共服务平台（http://cx.cnca.cn/）或国家认证认可监督管理委员会官网（https://www.cnca.gov.cn/）查询截图。未提供或提供无效的不得分。须提供在有效内的证书复印件并加盖投标人公章。</w:t>
            </w:r>
          </w:p>
        </w:tc>
        <w:tc>
          <w:tcPr>
            <w:tcW w:w="757" w:type="dxa"/>
          </w:tcPr>
          <w:p>
            <w:pPr>
              <w:jc w:val="left"/>
              <w:rPr>
                <w:rFonts w:hint="eastAsia" w:ascii="宋体" w:hAnsi="宋体" w:cs="宋体"/>
                <w:color w:val="auto"/>
                <w:highlight w:val="none"/>
              </w:rPr>
            </w:pPr>
          </w:p>
        </w:tc>
        <w:tc>
          <w:tcPr>
            <w:tcW w:w="720" w:type="dxa"/>
          </w:tcPr>
          <w:p>
            <w:pPr>
              <w:jc w:val="left"/>
              <w:rPr>
                <w:rFonts w:hint="eastAsia" w:ascii="宋体" w:hAnsi="宋体" w:cs="宋体"/>
                <w:color w:val="auto"/>
                <w:highlight w:val="none"/>
              </w:rPr>
            </w:pPr>
          </w:p>
        </w:tc>
        <w:tc>
          <w:tcPr>
            <w:tcW w:w="690" w:type="dxa"/>
          </w:tcPr>
          <w:p>
            <w:pPr>
              <w:jc w:val="left"/>
              <w:rPr>
                <w:rFonts w:hint="eastAsia" w:ascii="宋体" w:hAnsi="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59" w:hRule="atLeast"/>
        </w:trPr>
        <w:tc>
          <w:tcPr>
            <w:tcW w:w="730" w:type="dxa"/>
            <w:vMerge w:val="restart"/>
            <w:vAlign w:val="center"/>
          </w:tcPr>
          <w:p>
            <w:pPr>
              <w:jc w:val="center"/>
              <w:rPr>
                <w:rFonts w:hint="eastAsia" w:ascii="宋体" w:hAnsi="宋体" w:cs="宋体"/>
                <w:color w:val="auto"/>
                <w:highlight w:val="none"/>
              </w:rPr>
            </w:pPr>
            <w:r>
              <w:rPr>
                <w:rFonts w:hint="eastAsia" w:ascii="宋体" w:hAnsi="宋体" w:cs="宋体"/>
                <w:b/>
                <w:bCs/>
                <w:color w:val="auto"/>
                <w:highlight w:val="none"/>
                <w:lang w:val="en-US" w:eastAsia="zh-CN"/>
              </w:rPr>
              <w:t>技术</w:t>
            </w:r>
            <w:r>
              <w:rPr>
                <w:rFonts w:hint="eastAsia" w:ascii="宋体" w:hAnsi="宋体" w:cs="宋体"/>
                <w:b/>
                <w:bCs/>
                <w:color w:val="auto"/>
                <w:highlight w:val="none"/>
              </w:rPr>
              <w:t>部分（</w:t>
            </w:r>
            <w:r>
              <w:rPr>
                <w:rFonts w:hint="eastAsia" w:ascii="宋体" w:hAnsi="宋体" w:cs="宋体"/>
                <w:b/>
                <w:bCs/>
                <w:color w:val="auto"/>
                <w:highlight w:val="none"/>
                <w:lang w:eastAsia="zh-CN"/>
              </w:rPr>
              <w:t>2</w:t>
            </w:r>
            <w:r>
              <w:rPr>
                <w:rFonts w:hint="eastAsia" w:ascii="宋体" w:hAnsi="宋体" w:cs="宋体"/>
                <w:b/>
                <w:bCs/>
                <w:color w:val="auto"/>
                <w:highlight w:val="none"/>
                <w:lang w:val="en-US" w:eastAsia="zh-CN"/>
              </w:rPr>
              <w:t>0</w:t>
            </w:r>
            <w:r>
              <w:rPr>
                <w:rFonts w:hint="eastAsia" w:ascii="宋体" w:hAnsi="宋体" w:cs="宋体"/>
                <w:b/>
                <w:bCs/>
                <w:color w:val="auto"/>
                <w:highlight w:val="none"/>
              </w:rPr>
              <w:t>分）</w:t>
            </w:r>
          </w:p>
        </w:tc>
        <w:tc>
          <w:tcPr>
            <w:tcW w:w="1082" w:type="dxa"/>
            <w:vAlign w:val="center"/>
          </w:tcPr>
          <w:p>
            <w:pPr>
              <w:keepNext w:val="0"/>
              <w:keepLines w:val="0"/>
              <w:widowControl/>
              <w:suppressLineNumbers w:val="0"/>
              <w:jc w:val="center"/>
              <w:textAlignment w:val="center"/>
              <w:rPr>
                <w:rFonts w:hint="eastAsia" w:ascii="宋体" w:hAnsi="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制造能力（满分10分）</w:t>
            </w:r>
          </w:p>
        </w:tc>
        <w:tc>
          <w:tcPr>
            <w:tcW w:w="4882" w:type="dxa"/>
            <w:vAlign w:val="center"/>
          </w:tcPr>
          <w:p>
            <w:pPr>
              <w:keepNext w:val="0"/>
              <w:keepLines w:val="0"/>
              <w:widowControl/>
              <w:suppressLineNumbers w:val="0"/>
              <w:jc w:val="left"/>
              <w:textAlignment w:val="center"/>
              <w:rPr>
                <w:rFonts w:hint="eastAsia" w:ascii="宋体" w:hAnsi="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1.制造能力强，除外购件外无需外协可完全自行加工生产标的物7-10分。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2.制造能力较强，除外购件及个别特殊零部件外无需外协可自行加工生产标的物4-6分。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3.制造能力强一般，除外购件外，有较多的外协加工生成标的物1-3分。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4、未提供不得分。    </w:t>
            </w:r>
          </w:p>
        </w:tc>
        <w:tc>
          <w:tcPr>
            <w:tcW w:w="757" w:type="dxa"/>
          </w:tcPr>
          <w:p>
            <w:pPr>
              <w:jc w:val="left"/>
              <w:rPr>
                <w:rFonts w:hint="eastAsia" w:ascii="宋体" w:hAnsi="宋体" w:cs="宋体"/>
                <w:color w:val="auto"/>
                <w:szCs w:val="21"/>
                <w:highlight w:val="none"/>
              </w:rPr>
            </w:pPr>
          </w:p>
        </w:tc>
        <w:tc>
          <w:tcPr>
            <w:tcW w:w="720" w:type="dxa"/>
          </w:tcPr>
          <w:p>
            <w:pPr>
              <w:jc w:val="left"/>
              <w:rPr>
                <w:rFonts w:hint="eastAsia" w:ascii="宋体" w:hAnsi="宋体" w:cs="宋体"/>
                <w:color w:val="auto"/>
                <w:szCs w:val="21"/>
                <w:highlight w:val="none"/>
              </w:rPr>
            </w:pPr>
          </w:p>
        </w:tc>
        <w:tc>
          <w:tcPr>
            <w:tcW w:w="690" w:type="dxa"/>
          </w:tcPr>
          <w:p>
            <w:pPr>
              <w:jc w:val="left"/>
              <w:rPr>
                <w:rFonts w:hint="eastAsia" w:ascii="宋体" w:hAnsi="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18" w:hRule="atLeast"/>
        </w:trPr>
        <w:tc>
          <w:tcPr>
            <w:tcW w:w="730" w:type="dxa"/>
            <w:vMerge w:val="continue"/>
            <w:vAlign w:val="center"/>
          </w:tcPr>
          <w:p>
            <w:pPr>
              <w:jc w:val="center"/>
              <w:rPr>
                <w:color w:val="auto"/>
                <w:highlight w:val="none"/>
              </w:rPr>
            </w:pPr>
          </w:p>
        </w:tc>
        <w:tc>
          <w:tcPr>
            <w:tcW w:w="1082" w:type="dxa"/>
            <w:vAlign w:val="center"/>
          </w:tcPr>
          <w:p>
            <w:pPr>
              <w:keepNext w:val="0"/>
              <w:keepLines w:val="0"/>
              <w:widowControl/>
              <w:suppressLineNumbers w:val="0"/>
              <w:jc w:val="center"/>
              <w:textAlignment w:val="center"/>
              <w:rPr>
                <w:rFonts w:hint="eastAsia" w:ascii="宋体" w:hAnsi="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技术调试及售后服务承诺及保证措施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（满分10分）</w:t>
            </w:r>
          </w:p>
        </w:tc>
        <w:tc>
          <w:tcPr>
            <w:tcW w:w="4882" w:type="dxa"/>
            <w:vAlign w:val="center"/>
          </w:tcPr>
          <w:p>
            <w:pPr>
              <w:keepNext w:val="0"/>
              <w:keepLines w:val="0"/>
              <w:widowControl/>
              <w:suppressLineNumbers w:val="0"/>
              <w:jc w:val="left"/>
              <w:textAlignment w:val="center"/>
              <w:rPr>
                <w:rFonts w:hint="eastAsia" w:ascii="宋体" w:hAnsi="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1.技术及售后服务承诺方案具体，有质保体系，优良7-10分</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2。技术及售后服务承诺方案具体，有质保体系，较好4-6分</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3.技术及售后服务承诺方案具体，有质保体系，一般1-3分</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4、未提供不得分。    </w:t>
            </w:r>
          </w:p>
        </w:tc>
        <w:tc>
          <w:tcPr>
            <w:tcW w:w="757" w:type="dxa"/>
          </w:tcPr>
          <w:p>
            <w:pPr>
              <w:jc w:val="left"/>
              <w:rPr>
                <w:color w:val="auto"/>
                <w:szCs w:val="21"/>
                <w:highlight w:val="none"/>
              </w:rPr>
            </w:pPr>
          </w:p>
        </w:tc>
        <w:tc>
          <w:tcPr>
            <w:tcW w:w="720" w:type="dxa"/>
          </w:tcPr>
          <w:p>
            <w:pPr>
              <w:rPr>
                <w:color w:val="auto"/>
                <w:szCs w:val="21"/>
                <w:highlight w:val="none"/>
              </w:rPr>
            </w:pPr>
          </w:p>
        </w:tc>
        <w:tc>
          <w:tcPr>
            <w:tcW w:w="690" w:type="dxa"/>
          </w:tcPr>
          <w:p>
            <w:pPr>
              <w:jc w:val="left"/>
              <w:rPr>
                <w:color w:val="auto"/>
                <w:highlight w:val="none"/>
              </w:rPr>
            </w:pPr>
          </w:p>
        </w:tc>
      </w:tr>
    </w:tbl>
    <w:p>
      <w:pPr>
        <w:spacing w:before="0" w:beforeLines="0" w:after="0" w:afterLines="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备注：1、</w:t>
      </w:r>
      <w:r>
        <w:rPr>
          <w:rFonts w:hint="eastAsia" w:ascii="宋体" w:hAnsi="宋体" w:cs="宋体"/>
          <w:color w:val="auto"/>
          <w:szCs w:val="21"/>
          <w:highlight w:val="none"/>
        </w:rPr>
        <w:t>招标</w:t>
      </w:r>
      <w:r>
        <w:rPr>
          <w:rFonts w:hint="eastAsia" w:ascii="宋体" w:hAnsi="宋体" w:cs="宋体"/>
          <w:color w:val="auto"/>
          <w:szCs w:val="21"/>
          <w:highlight w:val="none"/>
          <w:lang w:val="zh-CN"/>
        </w:rPr>
        <w:t>文件要求提交的与评价指标体系相关的各类有效资料，供应商如未按要求提交的，该项评分为零分；</w:t>
      </w:r>
    </w:p>
    <w:p>
      <w:pPr>
        <w:spacing w:before="0" w:beforeLines="0" w:after="0" w:afterLines="0"/>
        <w:ind w:firstLine="630" w:firstLineChars="300"/>
        <w:jc w:val="left"/>
        <w:rPr>
          <w:rFonts w:hint="eastAsia" w:ascii="宋体" w:hAnsi="宋体"/>
          <w:b/>
          <w:color w:val="auto"/>
          <w:szCs w:val="21"/>
          <w:highlight w:val="none"/>
        </w:rPr>
      </w:pPr>
      <w:r>
        <w:rPr>
          <w:rFonts w:hint="eastAsia" w:ascii="宋体" w:hAnsi="宋体" w:cs="宋体"/>
          <w:color w:val="auto"/>
          <w:szCs w:val="21"/>
          <w:highlight w:val="none"/>
          <w:lang w:val="zh-CN"/>
        </w:rPr>
        <w:t>2、将每个评委的评分汇总，各评委评分的算术平均值，即为该投标人的最终技术得分。（四舍五入后，小数点后保留两位有效数）。</w:t>
      </w:r>
    </w:p>
    <w:p>
      <w:pPr>
        <w:pStyle w:val="4"/>
        <w:rPr>
          <w:color w:val="auto"/>
          <w:highlight w:val="none"/>
        </w:rPr>
      </w:pPr>
      <w:r>
        <w:rPr>
          <w:rFonts w:hint="eastAsia" w:ascii="宋体" w:hAnsi="宋体"/>
          <w:color w:val="auto"/>
          <w:sz w:val="21"/>
          <w:szCs w:val="21"/>
          <w:highlight w:val="none"/>
        </w:rPr>
        <w:t>评审人员签名：                                   日期：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pPr>
        <w:rPr>
          <w:rFonts w:ascii="宋体" w:hAnsi="宋体"/>
          <w:b/>
          <w:color w:val="auto"/>
          <w:sz w:val="24"/>
          <w:highlight w:val="none"/>
        </w:rPr>
      </w:pPr>
      <w:r>
        <w:rPr>
          <w:rFonts w:ascii="宋体" w:hAnsi="宋体"/>
          <w:b/>
          <w:color w:val="auto"/>
          <w:sz w:val="24"/>
          <w:highlight w:val="none"/>
        </w:rPr>
        <w:br w:type="page"/>
      </w:r>
    </w:p>
    <w:p>
      <w:pPr>
        <w:rPr>
          <w:rFonts w:ascii="宋体" w:hAnsi="宋体"/>
          <w:b/>
          <w:color w:val="auto"/>
          <w:sz w:val="24"/>
          <w:highlight w:val="none"/>
        </w:rPr>
        <w:sectPr>
          <w:pgSz w:w="11906" w:h="16838"/>
          <w:pgMar w:top="1440" w:right="1800" w:bottom="1440" w:left="1800" w:header="794" w:footer="850" w:gutter="0"/>
          <w:pgNumType w:start="1"/>
          <w:cols w:space="425" w:num="1"/>
          <w:docGrid w:type="lines" w:linePitch="312" w:charSpace="0"/>
        </w:sectPr>
      </w:pPr>
    </w:p>
    <w:p>
      <w:pPr>
        <w:spacing w:before="312" w:beforeLines="100" w:after="312" w:afterLines="100"/>
        <w:rPr>
          <w:rFonts w:hint="eastAsia" w:ascii="宋体" w:hAnsi="宋体" w:eastAsia="宋体" w:cs="Arial"/>
          <w:b/>
          <w:color w:val="auto"/>
          <w:sz w:val="24"/>
          <w:szCs w:val="22"/>
          <w:highlight w:val="none"/>
          <w:lang w:val="en-US" w:eastAsia="zh-CN"/>
        </w:rPr>
      </w:pPr>
      <w:r>
        <w:rPr>
          <w:rFonts w:hint="eastAsia" w:ascii="宋体" w:hAnsi="宋体" w:eastAsia="宋体" w:cs="Arial"/>
          <w:b/>
          <w:color w:val="auto"/>
          <w:sz w:val="24"/>
          <w:szCs w:val="22"/>
          <w:highlight w:val="none"/>
          <w:lang w:eastAsia="zh-CN"/>
        </w:rPr>
        <w:t>附件</w:t>
      </w:r>
      <w:r>
        <w:rPr>
          <w:rFonts w:hint="eastAsia" w:ascii="宋体" w:hAnsi="宋体" w:eastAsia="宋体" w:cs="Arial"/>
          <w:b/>
          <w:color w:val="auto"/>
          <w:sz w:val="24"/>
          <w:szCs w:val="22"/>
          <w:highlight w:val="none"/>
          <w:lang w:val="en-US" w:eastAsia="zh-CN"/>
        </w:rPr>
        <w:t>3：经济部分评分表</w:t>
      </w:r>
    </w:p>
    <w:tbl>
      <w:tblPr>
        <w:tblStyle w:val="15"/>
        <w:tblW w:w="126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8"/>
        <w:gridCol w:w="2039"/>
        <w:gridCol w:w="1335"/>
        <w:gridCol w:w="1725"/>
        <w:gridCol w:w="5085"/>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投标人名称</w:t>
            </w:r>
          </w:p>
        </w:tc>
        <w:tc>
          <w:tcPr>
            <w:tcW w:w="1335"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报价（元）</w:t>
            </w:r>
          </w:p>
        </w:tc>
        <w:tc>
          <w:tcPr>
            <w:tcW w:w="1725"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评标基准价（元）</w:t>
            </w:r>
          </w:p>
        </w:tc>
        <w:tc>
          <w:tcPr>
            <w:tcW w:w="5085" w:type="dxa"/>
            <w:vMerge w:val="restar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评分内容</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33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2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085" w:type="dxa"/>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Calibri"/>
                <w:i w:val="0"/>
                <w:iCs w:val="0"/>
                <w:color w:val="auto"/>
                <w:sz w:val="24"/>
                <w:szCs w:val="24"/>
                <w:highlight w:val="none"/>
                <w:u w:val="none"/>
              </w:rPr>
            </w:pP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若经过符合性审查，（1）入围投标单位为3至5家的，则经济标报价部分以入围投标单位的有效总报价的算术平均值</w:t>
            </w:r>
            <w:r>
              <w:rPr>
                <w:rFonts w:hint="eastAsia" w:ascii="宋体" w:hAnsi="宋体" w:cs="宋体" w:eastAsiaTheme="minorEastAsia"/>
                <w:color w:val="auto"/>
                <w:sz w:val="24"/>
                <w:szCs w:val="24"/>
                <w:highlight w:val="none"/>
                <w:u w:val="single"/>
              </w:rPr>
              <w:t xml:space="preserve">下浮 X </w:t>
            </w:r>
            <w:r>
              <w:rPr>
                <w:rFonts w:hint="eastAsia" w:ascii="宋体" w:hAnsi="宋体" w:eastAsia="宋体" w:cs="宋体"/>
                <w:i w:val="0"/>
                <w:iCs w:val="0"/>
                <w:color w:val="auto"/>
                <w:kern w:val="0"/>
                <w:sz w:val="24"/>
                <w:szCs w:val="24"/>
                <w:highlight w:val="none"/>
                <w:u w:val="none"/>
                <w:lang w:val="en-US" w:eastAsia="zh-CN" w:bidi="ar"/>
              </w:rPr>
              <w:t>作为基准价；（2）入围投标单位为6家或以上的，则去掉一家最高报价、一家最低报价后，经济标报价部分以剩余入围投标单位有效报价的算术平均值</w:t>
            </w:r>
            <w:r>
              <w:rPr>
                <w:rFonts w:hint="eastAsia" w:ascii="宋体" w:hAnsi="宋体" w:cs="宋体" w:eastAsiaTheme="minorEastAsia"/>
                <w:color w:val="auto"/>
                <w:sz w:val="24"/>
                <w:szCs w:val="24"/>
                <w:highlight w:val="none"/>
                <w:u w:val="single"/>
              </w:rPr>
              <w:t xml:space="preserve">下浮 X </w:t>
            </w:r>
            <w:r>
              <w:rPr>
                <w:rFonts w:hint="eastAsia" w:ascii="宋体" w:hAnsi="宋体" w:eastAsia="宋体" w:cs="宋体"/>
                <w:i w:val="0"/>
                <w:iCs w:val="0"/>
                <w:color w:val="auto"/>
                <w:kern w:val="0"/>
                <w:sz w:val="24"/>
                <w:szCs w:val="24"/>
                <w:highlight w:val="none"/>
                <w:u w:val="none"/>
                <w:lang w:val="en-US" w:eastAsia="zh-CN" w:bidi="ar"/>
              </w:rPr>
              <w:t>作为基准价。</w:t>
            </w:r>
          </w:p>
          <w:p>
            <w:pPr>
              <w:wordWrap w:val="0"/>
              <w:spacing w:line="360" w:lineRule="auto"/>
              <w:ind w:firstLine="0" w:firstLineChars="0"/>
              <w:rPr>
                <w:rFonts w:hint="eastAsia" w:asciiTheme="minorHAnsi" w:hAnsiTheme="minorHAnsi" w:eastAsiaTheme="minorEastAsia" w:cstheme="minorBidi"/>
                <w:color w:val="auto"/>
                <w:szCs w:val="24"/>
                <w:highlight w:val="none"/>
                <w:lang w:val="en-US" w:eastAsia="zh-CN"/>
              </w:rPr>
            </w:pPr>
            <w:r>
              <w:rPr>
                <w:rFonts w:hint="default" w:ascii="Arial" w:hAnsi="Arial" w:cs="Arial" w:eastAsiaTheme="minorEastAsia"/>
                <w:color w:val="auto"/>
                <w:sz w:val="24"/>
                <w:szCs w:val="24"/>
                <w:highlight w:val="none"/>
                <w:u w:val="single"/>
              </w:rPr>
              <w:t>▲</w:t>
            </w:r>
            <w:r>
              <w:rPr>
                <w:rFonts w:hint="eastAsia" w:ascii="宋体" w:hAnsi="宋体" w:cs="宋体" w:eastAsiaTheme="minorEastAsia"/>
                <w:color w:val="auto"/>
                <w:sz w:val="24"/>
                <w:szCs w:val="24"/>
                <w:highlight w:val="none"/>
                <w:u w:val="single"/>
              </w:rPr>
              <w:t xml:space="preserve">下浮率 X：从 </w:t>
            </w:r>
            <w:r>
              <w:rPr>
                <w:rFonts w:hint="eastAsia" w:ascii="宋体" w:hAnsi="宋体" w:cs="宋体" w:eastAsiaTheme="minorEastAsia"/>
                <w:color w:val="auto"/>
                <w:sz w:val="24"/>
                <w:szCs w:val="24"/>
                <w:highlight w:val="none"/>
                <w:u w:val="single"/>
                <w:lang w:val="en-US" w:eastAsia="zh-CN"/>
              </w:rPr>
              <w:t>2</w:t>
            </w:r>
            <w:r>
              <w:rPr>
                <w:rFonts w:hint="eastAsia" w:ascii="宋体" w:hAnsi="宋体" w:cs="宋体" w:eastAsiaTheme="minorEastAsia"/>
                <w:color w:val="auto"/>
                <w:sz w:val="24"/>
                <w:szCs w:val="24"/>
                <w:highlight w:val="none"/>
                <w:u w:val="single"/>
              </w:rPr>
              <w:t>%、</w:t>
            </w:r>
            <w:r>
              <w:rPr>
                <w:rFonts w:hint="eastAsia" w:ascii="宋体" w:hAnsi="宋体" w:cs="宋体" w:eastAsiaTheme="minorEastAsia"/>
                <w:color w:val="auto"/>
                <w:sz w:val="24"/>
                <w:szCs w:val="24"/>
                <w:highlight w:val="none"/>
                <w:u w:val="single"/>
                <w:lang w:val="en-US" w:eastAsia="zh-CN"/>
              </w:rPr>
              <w:t>3</w:t>
            </w:r>
            <w:r>
              <w:rPr>
                <w:rFonts w:hint="eastAsia" w:ascii="宋体" w:hAnsi="宋体" w:cs="宋体" w:eastAsiaTheme="minorEastAsia"/>
                <w:color w:val="auto"/>
                <w:sz w:val="24"/>
                <w:szCs w:val="24"/>
                <w:highlight w:val="none"/>
                <w:u w:val="single"/>
              </w:rPr>
              <w:t>%、</w:t>
            </w:r>
            <w:r>
              <w:rPr>
                <w:rFonts w:hint="eastAsia" w:ascii="宋体" w:hAnsi="宋体" w:cs="宋体" w:eastAsiaTheme="minorEastAsia"/>
                <w:color w:val="auto"/>
                <w:sz w:val="24"/>
                <w:szCs w:val="24"/>
                <w:highlight w:val="none"/>
                <w:u w:val="single"/>
                <w:lang w:val="en-US" w:eastAsia="zh-CN"/>
              </w:rPr>
              <w:t>4</w:t>
            </w:r>
            <w:r>
              <w:rPr>
                <w:rFonts w:hint="eastAsia" w:ascii="宋体" w:hAnsi="宋体" w:cs="宋体" w:eastAsiaTheme="minorEastAsia"/>
                <w:color w:val="auto"/>
                <w:sz w:val="24"/>
                <w:szCs w:val="24"/>
                <w:highlight w:val="none"/>
                <w:u w:val="single"/>
              </w:rPr>
              <w:t>%中通过摇珠机随机抽取其中之一。</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投标报价等于基准价为满分</w:t>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0分，高于基准价的1%扣1分，低于基准价的1%扣0.5分，以此类推。最低得分0分。得分保留两位小数。计算公式如下：</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1、报价等于基准价的，得分=</w:t>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0。</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2、报价高于基准价的，得分=</w:t>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0-[（报价-基准价）/基准价]×100×1</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3、报价低于基准价的，得分=</w:t>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0-[（基准价-报价）/基准价]×100×0.5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bl>
    <w:p>
      <w:pPr>
        <w:pStyle w:val="6"/>
        <w:rPr>
          <w:rFonts w:hint="eastAsia" w:eastAsia="宋体"/>
          <w:color w:val="auto"/>
          <w:highlight w:val="none"/>
          <w:lang w:val="en-US" w:eastAsia="zh-CN"/>
        </w:rPr>
        <w:sectPr>
          <w:pgSz w:w="16838" w:h="11906" w:orient="landscape"/>
          <w:pgMar w:top="1800" w:right="1440" w:bottom="1800" w:left="1440" w:header="794" w:footer="850" w:gutter="0"/>
          <w:pgNumType w:start="1"/>
          <w:cols w:space="425" w:num="1"/>
          <w:docGrid w:type="lines" w:linePitch="312" w:charSpace="0"/>
        </w:sectPr>
      </w:pPr>
      <w:r>
        <w:rPr>
          <w:rFonts w:hint="eastAsia" w:ascii="宋体" w:hAnsi="宋体" w:eastAsia="宋体"/>
          <w:b/>
          <w:color w:val="auto"/>
          <w:szCs w:val="21"/>
          <w:highlight w:val="none"/>
        </w:rPr>
        <w:t xml:space="preserve">评审人员签名：                                     </w:t>
      </w:r>
      <w:r>
        <w:rPr>
          <w:rFonts w:hint="eastAsia" w:ascii="宋体" w:hAnsi="宋体" w:eastAsia="宋体"/>
          <w:b/>
          <w:color w:val="auto"/>
          <w:szCs w:val="21"/>
          <w:highlight w:val="none"/>
          <w:lang w:val="en-US" w:eastAsia="zh-CN"/>
        </w:rPr>
        <w:t xml:space="preserve">                                </w:t>
      </w:r>
      <w:r>
        <w:rPr>
          <w:rFonts w:hint="eastAsia" w:ascii="宋体" w:hAnsi="宋体" w:eastAsia="宋体"/>
          <w:b/>
          <w:color w:val="auto"/>
          <w:szCs w:val="21"/>
          <w:highlight w:val="none"/>
        </w:rPr>
        <w:t xml:space="preserve"> 日期：</w:t>
      </w:r>
      <w:r>
        <w:rPr>
          <w:rFonts w:hint="eastAsia" w:ascii="宋体" w:hAnsi="宋体" w:eastAsia="宋体"/>
          <w:b/>
          <w:color w:val="auto"/>
          <w:szCs w:val="21"/>
          <w:highlight w:val="none"/>
          <w:u w:val="single"/>
          <w:lang w:val="en-US" w:eastAsia="zh-CN"/>
        </w:rPr>
        <w:t xml:space="preserve">    </w:t>
      </w:r>
      <w:r>
        <w:rPr>
          <w:rFonts w:hint="eastAsia" w:ascii="宋体" w:hAnsi="宋体" w:eastAsia="宋体"/>
          <w:b/>
          <w:color w:val="auto"/>
          <w:szCs w:val="21"/>
          <w:highlight w:val="none"/>
        </w:rPr>
        <w:t>年</w:t>
      </w:r>
      <w:r>
        <w:rPr>
          <w:rFonts w:hint="eastAsia" w:ascii="宋体" w:hAnsi="宋体" w:eastAsia="宋体"/>
          <w:b/>
          <w:color w:val="auto"/>
          <w:szCs w:val="21"/>
          <w:highlight w:val="none"/>
          <w:u w:val="single"/>
        </w:rPr>
        <w:t xml:space="preserve"> </w:t>
      </w:r>
      <w:r>
        <w:rPr>
          <w:rFonts w:hint="eastAsia" w:ascii="宋体" w:hAnsi="宋体" w:eastAsia="宋体"/>
          <w:b/>
          <w:color w:val="auto"/>
          <w:szCs w:val="21"/>
          <w:highlight w:val="none"/>
          <w:u w:val="single"/>
          <w:lang w:val="en-US" w:eastAsia="zh-CN"/>
        </w:rPr>
        <w:t xml:space="preserve">  </w:t>
      </w:r>
      <w:r>
        <w:rPr>
          <w:rFonts w:hint="eastAsia" w:ascii="宋体" w:hAnsi="宋体" w:eastAsia="宋体"/>
          <w:b/>
          <w:color w:val="auto"/>
          <w:szCs w:val="21"/>
          <w:highlight w:val="none"/>
        </w:rPr>
        <w:t>月</w:t>
      </w:r>
      <w:r>
        <w:rPr>
          <w:rFonts w:hint="eastAsia" w:ascii="宋体" w:hAnsi="宋体" w:eastAsia="宋体"/>
          <w:b/>
          <w:color w:val="auto"/>
          <w:szCs w:val="21"/>
          <w:highlight w:val="none"/>
          <w:u w:val="single"/>
        </w:rPr>
        <w:t xml:space="preserve">   </w:t>
      </w:r>
      <w:r>
        <w:rPr>
          <w:rFonts w:hint="eastAsia" w:ascii="宋体" w:hAnsi="宋体" w:eastAsia="宋体"/>
          <w:b/>
          <w:color w:val="auto"/>
          <w:szCs w:val="21"/>
          <w:highlight w:val="none"/>
          <w:u w:val="single"/>
          <w:lang w:val="en-US" w:eastAsia="zh-CN"/>
        </w:rPr>
        <w:t>日</w:t>
      </w:r>
    </w:p>
    <w:p>
      <w:pPr>
        <w:rPr>
          <w:b/>
          <w:bCs/>
          <w:color w:val="auto"/>
          <w:sz w:val="24"/>
          <w:szCs w:val="24"/>
          <w:highlight w:val="none"/>
        </w:rPr>
      </w:pPr>
    </w:p>
    <w:p>
      <w:pPr>
        <w:rPr>
          <w:b/>
          <w:bCs/>
          <w:color w:val="auto"/>
          <w:sz w:val="24"/>
          <w:szCs w:val="24"/>
          <w:highlight w:val="none"/>
        </w:rPr>
      </w:pPr>
    </w:p>
    <w:p>
      <w:pPr>
        <w:jc w:val="center"/>
        <w:rPr>
          <w:color w:val="auto"/>
          <w:sz w:val="44"/>
          <w:szCs w:val="44"/>
          <w:highlight w:val="none"/>
        </w:rPr>
      </w:pPr>
      <w:r>
        <w:rPr>
          <w:b/>
          <w:color w:val="auto"/>
          <w:sz w:val="44"/>
          <w:szCs w:val="44"/>
          <w:highlight w:val="none"/>
        </w:rPr>
        <w:t>第</w:t>
      </w:r>
      <w:r>
        <w:rPr>
          <w:rFonts w:hint="eastAsia"/>
          <w:b/>
          <w:color w:val="auto"/>
          <w:sz w:val="44"/>
          <w:szCs w:val="44"/>
          <w:highlight w:val="none"/>
        </w:rPr>
        <w:t>六</w:t>
      </w:r>
      <w:r>
        <w:rPr>
          <w:b/>
          <w:color w:val="auto"/>
          <w:sz w:val="44"/>
          <w:szCs w:val="44"/>
          <w:highlight w:val="none"/>
        </w:rPr>
        <w:t>章</w:t>
      </w:r>
      <w:r>
        <w:rPr>
          <w:rFonts w:hint="eastAsia"/>
          <w:b/>
          <w:color w:val="auto"/>
          <w:sz w:val="44"/>
          <w:szCs w:val="44"/>
          <w:highlight w:val="none"/>
        </w:rPr>
        <w:t xml:space="preserve"> </w:t>
      </w:r>
      <w:r>
        <w:rPr>
          <w:b/>
          <w:color w:val="auto"/>
          <w:sz w:val="44"/>
          <w:szCs w:val="44"/>
          <w:highlight w:val="none"/>
        </w:rPr>
        <w:t>合同文本</w:t>
      </w:r>
    </w:p>
    <w:p>
      <w:pPr>
        <w:rPr>
          <w:color w:val="auto"/>
          <w:highlight w:val="none"/>
        </w:rPr>
      </w:pPr>
    </w:p>
    <w:p>
      <w:pPr>
        <w:jc w:val="center"/>
        <w:rPr>
          <w:color w:val="auto"/>
          <w:szCs w:val="21"/>
          <w:highlight w:val="none"/>
        </w:rPr>
      </w:pPr>
      <w:r>
        <w:rPr>
          <w:rFonts w:hint="eastAsia"/>
          <w:b/>
          <w:color w:val="auto"/>
          <w:szCs w:val="21"/>
          <w:highlight w:val="none"/>
        </w:rPr>
        <w:t>（仅为范本，以实际签订为准）</w:t>
      </w:r>
      <w:r>
        <w:rPr>
          <w:b/>
          <w:color w:val="auto"/>
          <w:szCs w:val="21"/>
          <w:highlight w:val="none"/>
        </w:rPr>
        <w:t xml:space="preserve"> </w:t>
      </w:r>
    </w:p>
    <w:p>
      <w:pPr>
        <w:jc w:val="center"/>
        <w:rPr>
          <w:color w:val="auto"/>
          <w:highlight w:val="none"/>
        </w:rPr>
      </w:pPr>
      <w:r>
        <w:rPr>
          <w:b/>
          <w:color w:val="auto"/>
          <w:sz w:val="48"/>
          <w:highlight w:val="none"/>
        </w:rPr>
        <w:t xml:space="preserve"> </w:t>
      </w:r>
    </w:p>
    <w:p>
      <w:pPr>
        <w:jc w:val="center"/>
        <w:rPr>
          <w:color w:val="auto"/>
          <w:highlight w:val="none"/>
        </w:rPr>
      </w:pPr>
      <w:r>
        <w:rPr>
          <w:b/>
          <w:color w:val="auto"/>
          <w:sz w:val="48"/>
          <w:highlight w:val="none"/>
        </w:rPr>
        <w:t xml:space="preserve"> </w:t>
      </w:r>
    </w:p>
    <w:p>
      <w:pPr>
        <w:rPr>
          <w:color w:val="auto"/>
          <w:highlight w:val="none"/>
        </w:rPr>
      </w:pPr>
      <w:r>
        <w:rPr>
          <w:b/>
          <w:color w:val="auto"/>
          <w:sz w:val="48"/>
          <w:highlight w:val="none"/>
        </w:rPr>
        <w:t xml:space="preserve"> </w:t>
      </w:r>
    </w:p>
    <w:p>
      <w:pPr>
        <w:jc w:val="center"/>
        <w:rPr>
          <w:color w:val="auto"/>
          <w:highlight w:val="none"/>
        </w:rPr>
      </w:pPr>
      <w:r>
        <w:rPr>
          <w:b/>
          <w:color w:val="auto"/>
          <w:sz w:val="48"/>
          <w:highlight w:val="none"/>
        </w:rPr>
        <w:t>合　同　书</w:t>
      </w: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r>
        <w:rPr>
          <w:color w:val="auto"/>
          <w:sz w:val="27"/>
          <w:highlight w:val="none"/>
        </w:rPr>
        <w:t xml:space="preserve"> </w:t>
      </w:r>
    </w:p>
    <w:p>
      <w:pPr>
        <w:rPr>
          <w:color w:val="auto"/>
          <w:highlight w:val="none"/>
        </w:rPr>
      </w:pPr>
      <w:r>
        <w:rPr>
          <w:color w:val="auto"/>
          <w:sz w:val="28"/>
          <w:highlight w:val="none"/>
        </w:rPr>
        <w:t>采购计划编号：</w:t>
      </w:r>
      <w:r>
        <w:rPr>
          <w:color w:val="auto"/>
          <w:highlight w:val="none"/>
          <w:u w:val="single"/>
        </w:rPr>
        <w:t xml:space="preserve">                          </w:t>
      </w:r>
    </w:p>
    <w:p>
      <w:pPr>
        <w:rPr>
          <w:color w:val="auto"/>
          <w:highlight w:val="none"/>
        </w:rPr>
      </w:pPr>
      <w:r>
        <w:rPr>
          <w:color w:val="auto"/>
          <w:sz w:val="27"/>
          <w:highlight w:val="none"/>
        </w:rPr>
        <w:t xml:space="preserve"> </w:t>
      </w:r>
    </w:p>
    <w:p>
      <w:pPr>
        <w:rPr>
          <w:color w:val="auto"/>
          <w:highlight w:val="none"/>
        </w:rPr>
      </w:pPr>
      <w:r>
        <w:rPr>
          <w:color w:val="auto"/>
          <w:sz w:val="28"/>
          <w:highlight w:val="none"/>
        </w:rPr>
        <w:t>项目编号：</w:t>
      </w:r>
      <w:r>
        <w:rPr>
          <w:color w:val="auto"/>
          <w:highlight w:val="none"/>
          <w:u w:val="single"/>
        </w:rPr>
        <w:t xml:space="preserve">                               </w:t>
      </w:r>
    </w:p>
    <w:p>
      <w:pPr>
        <w:rPr>
          <w:color w:val="auto"/>
          <w:highlight w:val="none"/>
        </w:rPr>
      </w:pPr>
      <w:r>
        <w:rPr>
          <w:color w:val="auto"/>
          <w:sz w:val="27"/>
          <w:highlight w:val="none"/>
        </w:rPr>
        <w:t xml:space="preserve"> </w:t>
      </w:r>
    </w:p>
    <w:p>
      <w:pPr>
        <w:rPr>
          <w:color w:val="auto"/>
          <w:highlight w:val="none"/>
        </w:rPr>
      </w:pPr>
      <w:r>
        <w:rPr>
          <w:color w:val="auto"/>
          <w:sz w:val="28"/>
          <w:highlight w:val="none"/>
        </w:rPr>
        <w:t>项目名称：</w:t>
      </w:r>
      <w:r>
        <w:rPr>
          <w:color w:val="auto"/>
          <w:highlight w:val="none"/>
          <w:u w:val="single"/>
        </w:rPr>
        <w:t xml:space="preserve">                             </w:t>
      </w:r>
    </w:p>
    <w:p>
      <w:pPr>
        <w:jc w:val="center"/>
        <w:rPr>
          <w:color w:val="auto"/>
          <w:highlight w:val="none"/>
        </w:rPr>
      </w:pPr>
      <w:r>
        <w:rPr>
          <w:color w:val="auto"/>
          <w:sz w:val="36"/>
          <w:highlight w:val="none"/>
        </w:rPr>
        <w:t xml:space="preserve"> </w:t>
      </w:r>
    </w:p>
    <w:p>
      <w:pPr>
        <w:jc w:val="center"/>
        <w:rPr>
          <w:color w:val="auto"/>
          <w:highlight w:val="none"/>
        </w:rPr>
      </w:pPr>
      <w:r>
        <w:rPr>
          <w:color w:val="auto"/>
          <w:sz w:val="36"/>
          <w:highlight w:val="none"/>
        </w:rPr>
        <w:t xml:space="preserve"> </w:t>
      </w:r>
    </w:p>
    <w:p>
      <w:pPr>
        <w:rPr>
          <w:color w:val="auto"/>
          <w:highlight w:val="none"/>
        </w:rPr>
      </w:pPr>
      <w:r>
        <w:rPr>
          <w:b/>
          <w:color w:val="auto"/>
          <w:sz w:val="22"/>
          <w:highlight w:val="none"/>
        </w:rPr>
        <w:t>注：</w:t>
      </w:r>
      <w:r>
        <w:rPr>
          <w:color w:val="auto"/>
          <w:sz w:val="22"/>
          <w:highlight w:val="none"/>
        </w:rPr>
        <w:t>本合同仅为合同的参考文本，合同签订双方可根据项目的具体要求进行修订。</w:t>
      </w:r>
    </w:p>
    <w:p>
      <w:pPr>
        <w:jc w:val="center"/>
        <w:rPr>
          <w:color w:val="auto"/>
          <w:highlight w:val="none"/>
        </w:rPr>
      </w:pPr>
      <w:r>
        <w:rPr>
          <w:color w:val="auto"/>
          <w:sz w:val="36"/>
          <w:highlight w:val="none"/>
        </w:rPr>
        <w:t xml:space="preserve"> </w:t>
      </w:r>
    </w:p>
    <w:p>
      <w:pPr>
        <w:rPr>
          <w:color w:val="auto"/>
          <w:highlight w:val="none"/>
        </w:rPr>
      </w:pPr>
      <w:r>
        <w:rPr>
          <w:b/>
          <w:color w:val="auto"/>
          <w:sz w:val="27"/>
          <w:highlight w:val="none"/>
        </w:rPr>
        <w:t>甲　　方：</w:t>
      </w:r>
      <w:r>
        <w:rPr>
          <w:color w:val="auto"/>
          <w:sz w:val="27"/>
          <w:highlight w:val="none"/>
          <w:u w:val="single"/>
        </w:rPr>
        <w:t>　　　　　</w:t>
      </w:r>
    </w:p>
    <w:p>
      <w:pPr>
        <w:rPr>
          <w:color w:val="auto"/>
          <w:highlight w:val="none"/>
        </w:rPr>
      </w:pPr>
      <w:r>
        <w:rPr>
          <w:color w:val="auto"/>
          <w:sz w:val="27"/>
          <w:highlight w:val="none"/>
        </w:rPr>
        <w:t>电　　话：</w:t>
      </w:r>
      <w:r>
        <w:rPr>
          <w:color w:val="auto"/>
          <w:sz w:val="27"/>
          <w:highlight w:val="none"/>
          <w:u w:val="single"/>
        </w:rPr>
        <w:t>　　　　</w:t>
      </w:r>
      <w:r>
        <w:rPr>
          <w:color w:val="auto"/>
          <w:sz w:val="27"/>
          <w:highlight w:val="none"/>
        </w:rPr>
        <w:t>　　　　地　　址：</w:t>
      </w:r>
      <w:r>
        <w:rPr>
          <w:color w:val="auto"/>
          <w:sz w:val="27"/>
          <w:highlight w:val="none"/>
          <w:u w:val="single"/>
        </w:rPr>
        <w:t>　　　</w:t>
      </w:r>
    </w:p>
    <w:p>
      <w:pPr>
        <w:rPr>
          <w:color w:val="auto"/>
          <w:highlight w:val="none"/>
        </w:rPr>
      </w:pPr>
      <w:r>
        <w:rPr>
          <w:b/>
          <w:color w:val="auto"/>
          <w:sz w:val="27"/>
          <w:highlight w:val="none"/>
        </w:rPr>
        <w:t>乙　　方：</w:t>
      </w:r>
      <w:r>
        <w:rPr>
          <w:color w:val="auto"/>
          <w:sz w:val="27"/>
          <w:highlight w:val="none"/>
          <w:u w:val="single"/>
        </w:rPr>
        <w:t>　　　　　</w:t>
      </w:r>
    </w:p>
    <w:p>
      <w:pPr>
        <w:rPr>
          <w:color w:val="auto"/>
          <w:highlight w:val="none"/>
        </w:rPr>
      </w:pPr>
      <w:r>
        <w:rPr>
          <w:color w:val="auto"/>
          <w:sz w:val="27"/>
          <w:highlight w:val="none"/>
        </w:rPr>
        <w:t>电　　话：</w:t>
      </w:r>
      <w:r>
        <w:rPr>
          <w:color w:val="auto"/>
          <w:sz w:val="27"/>
          <w:highlight w:val="none"/>
          <w:u w:val="single"/>
        </w:rPr>
        <w:t>　　　　</w:t>
      </w:r>
      <w:r>
        <w:rPr>
          <w:color w:val="auto"/>
          <w:sz w:val="27"/>
          <w:highlight w:val="none"/>
        </w:rPr>
        <w:t>　　　　地　　址：</w:t>
      </w:r>
      <w:r>
        <w:rPr>
          <w:color w:val="auto"/>
          <w:sz w:val="27"/>
          <w:highlight w:val="none"/>
          <w:u w:val="single"/>
        </w:rPr>
        <w:t>　　　</w:t>
      </w:r>
    </w:p>
    <w:p>
      <w:pPr>
        <w:rPr>
          <w:color w:val="auto"/>
          <w:highlight w:val="none"/>
        </w:rPr>
      </w:pPr>
      <w:r>
        <w:rPr>
          <w:color w:val="auto"/>
          <w:sz w:val="27"/>
          <w:highlight w:val="none"/>
        </w:rPr>
        <w:t xml:space="preserve"> </w:t>
      </w:r>
    </w:p>
    <w:p>
      <w:pPr>
        <w:ind w:firstLine="404"/>
        <w:rPr>
          <w:color w:val="auto"/>
          <w:highlight w:val="none"/>
        </w:rPr>
      </w:pPr>
      <w:r>
        <w:rPr>
          <w:color w:val="auto"/>
          <w:sz w:val="27"/>
          <w:highlight w:val="none"/>
        </w:rPr>
        <w:t>根据</w:t>
      </w:r>
      <w:r>
        <w:rPr>
          <w:color w:val="auto"/>
          <w:sz w:val="27"/>
          <w:highlight w:val="none"/>
          <w:u w:val="single"/>
        </w:rPr>
        <w:t xml:space="preserve">             项目</w:t>
      </w:r>
      <w:r>
        <w:rPr>
          <w:color w:val="auto"/>
          <w:sz w:val="27"/>
          <w:highlight w:val="none"/>
        </w:rPr>
        <w:t>的</w:t>
      </w:r>
      <w:r>
        <w:rPr>
          <w:rFonts w:hint="eastAsia"/>
          <w:color w:val="auto"/>
          <w:sz w:val="27"/>
          <w:highlight w:val="none"/>
        </w:rPr>
        <w:t>招标</w:t>
      </w:r>
      <w:r>
        <w:rPr>
          <w:color w:val="auto"/>
          <w:sz w:val="27"/>
          <w:highlight w:val="none"/>
        </w:rPr>
        <w:t>结果，按照《中华人民共和国民法典</w:t>
      </w:r>
      <w:r>
        <w:rPr>
          <w:rFonts w:hint="eastAsia"/>
          <w:color w:val="auto"/>
          <w:sz w:val="27"/>
          <w:highlight w:val="none"/>
        </w:rPr>
        <w:t>（</w:t>
      </w:r>
      <w:r>
        <w:rPr>
          <w:color w:val="auto"/>
          <w:sz w:val="27"/>
          <w:highlight w:val="none"/>
        </w:rPr>
        <w:t>合同编</w:t>
      </w:r>
      <w:r>
        <w:rPr>
          <w:rFonts w:hint="eastAsia"/>
          <w:color w:val="auto"/>
          <w:sz w:val="27"/>
          <w:highlight w:val="none"/>
        </w:rPr>
        <w:t>）</w:t>
      </w:r>
      <w:r>
        <w:rPr>
          <w:color w:val="auto"/>
          <w:sz w:val="27"/>
          <w:highlight w:val="none"/>
        </w:rPr>
        <w:t>》的规定，经双方协商，本着平等互利和诚实信用的原则，一致同意签订本合同如下。</w:t>
      </w:r>
    </w:p>
    <w:p>
      <w:pPr>
        <w:rPr>
          <w:b/>
          <w:color w:val="auto"/>
          <w:sz w:val="27"/>
          <w:highlight w:val="none"/>
        </w:rPr>
      </w:pPr>
    </w:p>
    <w:p>
      <w:pPr>
        <w:rPr>
          <w:color w:val="auto"/>
          <w:highlight w:val="none"/>
        </w:rPr>
      </w:pPr>
      <w:r>
        <w:rPr>
          <w:b/>
          <w:color w:val="auto"/>
          <w:sz w:val="27"/>
          <w:highlight w:val="none"/>
        </w:rPr>
        <w:t>一、货物内容</w:t>
      </w:r>
    </w:p>
    <w:p>
      <w:pPr>
        <w:jc w:val="center"/>
        <w:rPr>
          <w:color w:val="auto"/>
          <w:highlight w:val="none"/>
        </w:rPr>
      </w:pP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6"/>
        <w:gridCol w:w="3333"/>
        <w:gridCol w:w="879"/>
        <w:gridCol w:w="470"/>
        <w:gridCol w:w="470"/>
        <w:gridCol w:w="936"/>
        <w:gridCol w:w="9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top w:val="single" w:color="CCCCCC" w:sz="4" w:space="0"/>
              <w:left w:val="single" w:color="CCCCCC" w:sz="4" w:space="0"/>
              <w:bottom w:val="single" w:color="CCCCCC" w:sz="8" w:space="0"/>
              <w:right w:val="single" w:color="CCCCCC" w:sz="4" w:space="0"/>
            </w:tcBorders>
            <w:vAlign w:val="center"/>
          </w:tcPr>
          <w:p>
            <w:pPr>
              <w:rPr>
                <w:color w:val="auto"/>
                <w:highlight w:val="none"/>
              </w:rPr>
            </w:pPr>
            <w:r>
              <w:rPr>
                <w:color w:val="auto"/>
                <w:sz w:val="24"/>
                <w:highlight w:val="none"/>
              </w:rPr>
              <w:t>名称</w:t>
            </w:r>
          </w:p>
        </w:tc>
        <w:tc>
          <w:tcPr>
            <w:tcW w:w="3333" w:type="dxa"/>
            <w:tcBorders>
              <w:top w:val="single" w:color="CCCCCC" w:sz="4" w:space="0"/>
              <w:bottom w:val="single" w:color="CCCCCC" w:sz="8" w:space="0"/>
              <w:right w:val="single" w:color="CCCCCC" w:sz="4" w:space="0"/>
            </w:tcBorders>
            <w:vAlign w:val="center"/>
          </w:tcPr>
          <w:p>
            <w:pPr>
              <w:jc w:val="center"/>
              <w:rPr>
                <w:color w:val="auto"/>
                <w:highlight w:val="none"/>
              </w:rPr>
            </w:pPr>
            <w:r>
              <w:rPr>
                <w:color w:val="auto"/>
                <w:sz w:val="24"/>
                <w:highlight w:val="none"/>
              </w:rPr>
              <w:t xml:space="preserve">品牌、规格、标准/主要服务内容 </w:t>
            </w:r>
          </w:p>
        </w:tc>
        <w:tc>
          <w:tcPr>
            <w:tcW w:w="879" w:type="dxa"/>
            <w:tcBorders>
              <w:top w:val="single" w:color="CCCCCC" w:sz="4" w:space="0"/>
              <w:bottom w:val="single" w:color="CCCCCC" w:sz="8" w:space="0"/>
              <w:right w:val="single" w:color="CCCCCC" w:sz="4" w:space="0"/>
            </w:tcBorders>
            <w:vAlign w:val="center"/>
          </w:tcPr>
          <w:p>
            <w:pPr>
              <w:rPr>
                <w:color w:val="auto"/>
                <w:highlight w:val="none"/>
              </w:rPr>
            </w:pPr>
            <w:r>
              <w:rPr>
                <w:color w:val="auto"/>
                <w:sz w:val="24"/>
                <w:highlight w:val="none"/>
              </w:rPr>
              <w:t>产地</w:t>
            </w:r>
          </w:p>
        </w:tc>
        <w:tc>
          <w:tcPr>
            <w:tcW w:w="470" w:type="dxa"/>
            <w:tcBorders>
              <w:top w:val="single" w:color="CCCCCC" w:sz="4" w:space="0"/>
              <w:bottom w:val="single" w:color="CCCCCC" w:sz="8" w:space="0"/>
              <w:right w:val="single" w:color="CCCCCC" w:sz="4" w:space="0"/>
            </w:tcBorders>
            <w:vAlign w:val="center"/>
          </w:tcPr>
          <w:p>
            <w:pPr>
              <w:jc w:val="center"/>
              <w:rPr>
                <w:color w:val="auto"/>
                <w:highlight w:val="none"/>
              </w:rPr>
            </w:pPr>
            <w:r>
              <w:rPr>
                <w:color w:val="auto"/>
                <w:sz w:val="24"/>
                <w:highlight w:val="none"/>
              </w:rPr>
              <w:t>数量</w:t>
            </w:r>
          </w:p>
        </w:tc>
        <w:tc>
          <w:tcPr>
            <w:tcW w:w="470" w:type="dxa"/>
            <w:tcBorders>
              <w:top w:val="single" w:color="CCCCCC" w:sz="4" w:space="0"/>
              <w:bottom w:val="single" w:color="CCCCCC" w:sz="8" w:space="0"/>
              <w:right w:val="single" w:color="CCCCCC" w:sz="4" w:space="0"/>
            </w:tcBorders>
            <w:vAlign w:val="center"/>
          </w:tcPr>
          <w:p>
            <w:pPr>
              <w:jc w:val="center"/>
              <w:rPr>
                <w:color w:val="auto"/>
                <w:highlight w:val="none"/>
              </w:rPr>
            </w:pPr>
            <w:r>
              <w:rPr>
                <w:color w:val="auto"/>
                <w:sz w:val="24"/>
                <w:highlight w:val="none"/>
              </w:rPr>
              <w:t>单位</w:t>
            </w:r>
          </w:p>
        </w:tc>
        <w:tc>
          <w:tcPr>
            <w:tcW w:w="936" w:type="dxa"/>
            <w:tcBorders>
              <w:top w:val="single" w:color="CCCCCC" w:sz="4" w:space="0"/>
              <w:bottom w:val="single" w:color="CCCCCC" w:sz="8" w:space="0"/>
              <w:right w:val="single" w:color="CCCCCC" w:sz="4" w:space="0"/>
            </w:tcBorders>
            <w:vAlign w:val="center"/>
          </w:tcPr>
          <w:p>
            <w:pPr>
              <w:jc w:val="center"/>
              <w:rPr>
                <w:color w:val="auto"/>
                <w:highlight w:val="none"/>
              </w:rPr>
            </w:pPr>
            <w:r>
              <w:rPr>
                <w:color w:val="auto"/>
                <w:sz w:val="24"/>
                <w:highlight w:val="none"/>
              </w:rPr>
              <w:t>单价</w:t>
            </w:r>
          </w:p>
          <w:p>
            <w:pPr>
              <w:jc w:val="center"/>
              <w:rPr>
                <w:color w:val="auto"/>
                <w:highlight w:val="none"/>
              </w:rPr>
            </w:pPr>
            <w:r>
              <w:rPr>
                <w:color w:val="auto"/>
                <w:sz w:val="24"/>
                <w:highlight w:val="none"/>
              </w:rPr>
              <w:t>（元）</w:t>
            </w:r>
          </w:p>
        </w:tc>
        <w:tc>
          <w:tcPr>
            <w:tcW w:w="936" w:type="dxa"/>
            <w:tcBorders>
              <w:top w:val="single" w:color="CCCCCC" w:sz="4" w:space="0"/>
              <w:bottom w:val="single" w:color="CCCCCC" w:sz="8" w:space="0"/>
              <w:right w:val="single" w:color="CCCCCC" w:sz="4" w:space="0"/>
            </w:tcBorders>
            <w:vAlign w:val="center"/>
          </w:tcPr>
          <w:p>
            <w:pPr>
              <w:jc w:val="center"/>
              <w:rPr>
                <w:color w:val="auto"/>
                <w:highlight w:val="none"/>
              </w:rPr>
            </w:pPr>
            <w:r>
              <w:rPr>
                <w:color w:val="auto"/>
                <w:sz w:val="24"/>
                <w:highlight w:val="none"/>
              </w:rPr>
              <w:t>金额</w:t>
            </w:r>
          </w:p>
          <w:p>
            <w:pPr>
              <w:jc w:val="center"/>
              <w:rPr>
                <w:color w:val="auto"/>
                <w:highlight w:val="none"/>
              </w:rPr>
            </w:pPr>
            <w:r>
              <w:rPr>
                <w:color w:val="auto"/>
                <w:sz w:val="24"/>
                <w:highlight w:val="none"/>
              </w:rPr>
              <w:t>（元）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3333"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879"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470"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470"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936"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936"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3333"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879"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470"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470"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936"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936"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3333"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879"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470"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470"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936"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936"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3333"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879"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470"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470"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936"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936"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3333"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879"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470"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470"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936"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936"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4" w:type="dxa"/>
            <w:gridSpan w:val="6"/>
            <w:tcBorders>
              <w:left w:val="single" w:color="CCCCCC" w:sz="4" w:space="0"/>
              <w:bottom w:val="single" w:color="CCCCCC" w:sz="4" w:space="0"/>
              <w:right w:val="single" w:color="CCCCCC" w:sz="4" w:space="0"/>
            </w:tcBorders>
            <w:vAlign w:val="center"/>
          </w:tcPr>
          <w:p>
            <w:pPr>
              <w:jc w:val="center"/>
              <w:rPr>
                <w:color w:val="auto"/>
                <w:highlight w:val="none"/>
              </w:rPr>
            </w:pPr>
            <w:r>
              <w:rPr>
                <w:color w:val="auto"/>
                <w:sz w:val="24"/>
                <w:highlight w:val="none"/>
              </w:rPr>
              <w:t>合计：人民币大写：**元整</w:t>
            </w:r>
          </w:p>
        </w:tc>
        <w:tc>
          <w:tcPr>
            <w:tcW w:w="936"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top w:val="nil"/>
              <w:left w:val="nil"/>
              <w:bottom w:val="nil"/>
              <w:right w:val="nil"/>
            </w:tcBorders>
          </w:tcPr>
          <w:p>
            <w:pPr>
              <w:rPr>
                <w:color w:val="auto"/>
                <w:highlight w:val="none"/>
              </w:rPr>
            </w:pPr>
            <w:r>
              <w:rPr>
                <w:color w:val="auto"/>
                <w:highlight w:val="none"/>
              </w:rPr>
              <w:t xml:space="preserve"> </w:t>
            </w:r>
          </w:p>
        </w:tc>
        <w:tc>
          <w:tcPr>
            <w:tcW w:w="3333" w:type="dxa"/>
            <w:tcBorders>
              <w:top w:val="nil"/>
              <w:left w:val="nil"/>
              <w:bottom w:val="nil"/>
              <w:right w:val="nil"/>
            </w:tcBorders>
          </w:tcPr>
          <w:p>
            <w:pPr>
              <w:rPr>
                <w:color w:val="auto"/>
                <w:highlight w:val="none"/>
              </w:rPr>
            </w:pPr>
            <w:r>
              <w:rPr>
                <w:color w:val="auto"/>
                <w:highlight w:val="none"/>
              </w:rPr>
              <w:t xml:space="preserve"> </w:t>
            </w:r>
          </w:p>
        </w:tc>
        <w:tc>
          <w:tcPr>
            <w:tcW w:w="879" w:type="dxa"/>
            <w:tcBorders>
              <w:top w:val="nil"/>
              <w:left w:val="nil"/>
              <w:bottom w:val="nil"/>
              <w:right w:val="nil"/>
            </w:tcBorders>
          </w:tcPr>
          <w:p>
            <w:pPr>
              <w:rPr>
                <w:color w:val="auto"/>
                <w:highlight w:val="none"/>
              </w:rPr>
            </w:pPr>
            <w:r>
              <w:rPr>
                <w:color w:val="auto"/>
                <w:highlight w:val="none"/>
              </w:rPr>
              <w:t xml:space="preserve"> </w:t>
            </w:r>
          </w:p>
        </w:tc>
        <w:tc>
          <w:tcPr>
            <w:tcW w:w="470" w:type="dxa"/>
            <w:tcBorders>
              <w:top w:val="nil"/>
              <w:left w:val="nil"/>
              <w:bottom w:val="nil"/>
              <w:right w:val="nil"/>
            </w:tcBorders>
          </w:tcPr>
          <w:p>
            <w:pPr>
              <w:rPr>
                <w:color w:val="auto"/>
                <w:highlight w:val="none"/>
              </w:rPr>
            </w:pPr>
            <w:r>
              <w:rPr>
                <w:color w:val="auto"/>
                <w:highlight w:val="none"/>
              </w:rPr>
              <w:t xml:space="preserve"> </w:t>
            </w:r>
          </w:p>
        </w:tc>
        <w:tc>
          <w:tcPr>
            <w:tcW w:w="470" w:type="dxa"/>
            <w:tcBorders>
              <w:top w:val="nil"/>
              <w:left w:val="nil"/>
              <w:bottom w:val="nil"/>
              <w:right w:val="nil"/>
            </w:tcBorders>
          </w:tcPr>
          <w:p>
            <w:pPr>
              <w:rPr>
                <w:color w:val="auto"/>
                <w:highlight w:val="none"/>
              </w:rPr>
            </w:pPr>
            <w:r>
              <w:rPr>
                <w:color w:val="auto"/>
                <w:highlight w:val="none"/>
              </w:rPr>
              <w:t xml:space="preserve"> </w:t>
            </w:r>
          </w:p>
        </w:tc>
        <w:tc>
          <w:tcPr>
            <w:tcW w:w="936" w:type="dxa"/>
            <w:tcBorders>
              <w:top w:val="nil"/>
              <w:left w:val="nil"/>
              <w:bottom w:val="nil"/>
              <w:right w:val="nil"/>
            </w:tcBorders>
          </w:tcPr>
          <w:p>
            <w:pPr>
              <w:rPr>
                <w:color w:val="auto"/>
                <w:highlight w:val="none"/>
              </w:rPr>
            </w:pPr>
            <w:r>
              <w:rPr>
                <w:color w:val="auto"/>
                <w:highlight w:val="none"/>
              </w:rPr>
              <w:t xml:space="preserve"> </w:t>
            </w:r>
          </w:p>
        </w:tc>
        <w:tc>
          <w:tcPr>
            <w:tcW w:w="936" w:type="dxa"/>
            <w:tcBorders>
              <w:top w:val="nil"/>
              <w:left w:val="nil"/>
              <w:bottom w:val="nil"/>
              <w:right w:val="nil"/>
            </w:tcBorders>
          </w:tcPr>
          <w:p>
            <w:pPr>
              <w:rPr>
                <w:color w:val="auto"/>
                <w:highlight w:val="none"/>
              </w:rPr>
            </w:pPr>
            <w:r>
              <w:rPr>
                <w:color w:val="auto"/>
                <w:highlight w:val="none"/>
              </w:rPr>
              <w:t xml:space="preserve"> </w:t>
            </w:r>
          </w:p>
        </w:tc>
      </w:tr>
    </w:tbl>
    <w:p>
      <w:pPr>
        <w:rPr>
          <w:color w:val="auto"/>
          <w:highlight w:val="none"/>
        </w:rPr>
      </w:pPr>
      <w:r>
        <w:rPr>
          <w:color w:val="auto"/>
          <w:sz w:val="32"/>
          <w:highlight w:val="none"/>
        </w:rPr>
        <w:t xml:space="preserve"> </w:t>
      </w:r>
    </w:p>
    <w:p>
      <w:pPr>
        <w:ind w:firstLine="400"/>
        <w:rPr>
          <w:color w:val="auto"/>
          <w:highlight w:val="none"/>
        </w:rPr>
      </w:pPr>
      <w:r>
        <w:rPr>
          <w:color w:val="auto"/>
          <w:sz w:val="27"/>
          <w:highlight w:val="none"/>
        </w:rPr>
        <w:t>合同总额包括乙方</w:t>
      </w:r>
      <w:r>
        <w:rPr>
          <w:rFonts w:hint="eastAsia"/>
          <w:color w:val="auto"/>
          <w:sz w:val="27"/>
          <w:highlight w:val="none"/>
        </w:rPr>
        <w:t>材料、</w:t>
      </w:r>
      <w:r>
        <w:rPr>
          <w:color w:val="auto"/>
          <w:sz w:val="27"/>
          <w:highlight w:val="none"/>
        </w:rPr>
        <w:t>设计、安装、随机零配件、标配工具、运输保险、调试、培训、质保期服务、各项税费及合同实施过程中不可预见费用等。</w:t>
      </w:r>
    </w:p>
    <w:p>
      <w:pPr>
        <w:ind w:firstLine="400"/>
        <w:rPr>
          <w:color w:val="auto"/>
          <w:highlight w:val="none"/>
        </w:rPr>
      </w:pPr>
      <w:r>
        <w:rPr>
          <w:color w:val="auto"/>
          <w:sz w:val="27"/>
          <w:highlight w:val="none"/>
        </w:rPr>
        <w:t>注：货物名称内容必须与投标文件中货物名称内容一致。</w:t>
      </w:r>
    </w:p>
    <w:p>
      <w:pPr>
        <w:rPr>
          <w:color w:val="auto"/>
          <w:highlight w:val="none"/>
        </w:rPr>
      </w:pPr>
      <w:r>
        <w:rPr>
          <w:b/>
          <w:color w:val="auto"/>
          <w:sz w:val="27"/>
          <w:highlight w:val="none"/>
        </w:rPr>
        <w:t>二、合同金额</w:t>
      </w:r>
    </w:p>
    <w:p>
      <w:pPr>
        <w:rPr>
          <w:color w:val="auto"/>
          <w:highlight w:val="none"/>
        </w:rPr>
      </w:pPr>
      <w:r>
        <w:rPr>
          <w:color w:val="auto"/>
          <w:sz w:val="27"/>
          <w:highlight w:val="none"/>
        </w:rPr>
        <w:t>合同金额为（大写）：_________________元（￥_______________元）人民币</w:t>
      </w:r>
      <w:r>
        <w:rPr>
          <w:rFonts w:hint="eastAsia"/>
          <w:color w:val="auto"/>
          <w:sz w:val="27"/>
          <w:highlight w:val="none"/>
        </w:rPr>
        <w:t xml:space="preserve">。其中不含税金额为     ，税率为     ，税额为      </w:t>
      </w:r>
      <w:r>
        <w:rPr>
          <w:color w:val="auto"/>
          <w:sz w:val="27"/>
          <w:highlight w:val="none"/>
        </w:rPr>
        <w:t>。</w:t>
      </w:r>
    </w:p>
    <w:p>
      <w:pPr>
        <w:rPr>
          <w:color w:val="auto"/>
          <w:highlight w:val="none"/>
        </w:rPr>
      </w:pPr>
      <w:r>
        <w:rPr>
          <w:b/>
          <w:color w:val="auto"/>
          <w:sz w:val="27"/>
          <w:highlight w:val="none"/>
        </w:rPr>
        <w:t>三、设备要求</w:t>
      </w:r>
    </w:p>
    <w:p>
      <w:pPr>
        <w:rPr>
          <w:color w:val="auto"/>
          <w:highlight w:val="none"/>
        </w:rPr>
      </w:pPr>
      <w:r>
        <w:rPr>
          <w:color w:val="auto"/>
          <w:sz w:val="27"/>
          <w:highlight w:val="none"/>
        </w:rPr>
        <w:t>货物为原制造商制造的全新产品，</w:t>
      </w:r>
      <w:r>
        <w:rPr>
          <w:rFonts w:hint="eastAsia"/>
          <w:color w:val="auto"/>
          <w:sz w:val="27"/>
          <w:highlight w:val="none"/>
        </w:rPr>
        <w:t>货物</w:t>
      </w:r>
      <w:r>
        <w:rPr>
          <w:color w:val="auto"/>
          <w:sz w:val="27"/>
          <w:highlight w:val="none"/>
        </w:rPr>
        <w:t>无污染，无侵权行为、表面无划损、无任何缺陷隐患，在中国境内可依常规安全合法使用。</w:t>
      </w:r>
    </w:p>
    <w:p>
      <w:pPr>
        <w:rPr>
          <w:color w:val="auto"/>
          <w:highlight w:val="none"/>
        </w:rPr>
      </w:pPr>
      <w:r>
        <w:rPr>
          <w:b/>
          <w:color w:val="auto"/>
          <w:sz w:val="27"/>
          <w:highlight w:val="none"/>
        </w:rPr>
        <w:t>四、交货期、交货方式及交货地点</w:t>
      </w:r>
    </w:p>
    <w:p>
      <w:pPr>
        <w:rPr>
          <w:rFonts w:asciiTheme="minorEastAsia" w:hAnsiTheme="minorEastAsia" w:eastAsiaTheme="minorEastAsia" w:cstheme="minorEastAsia"/>
          <w:color w:val="auto"/>
          <w:highlight w:val="none"/>
        </w:rPr>
      </w:pPr>
      <w:r>
        <w:rPr>
          <w:color w:val="auto"/>
          <w:sz w:val="27"/>
          <w:highlight w:val="none"/>
        </w:rPr>
        <w:t xml:space="preserve">      </w:t>
      </w:r>
      <w:r>
        <w:rPr>
          <w:rFonts w:hint="eastAsia" w:asciiTheme="minorEastAsia" w:hAnsiTheme="minorEastAsia" w:eastAsiaTheme="minorEastAsia" w:cstheme="minorEastAsia"/>
          <w:color w:val="auto"/>
          <w:sz w:val="27"/>
          <w:highlight w:val="none"/>
        </w:rPr>
        <w:t xml:space="preserve"> 1.交货期：</w:t>
      </w:r>
      <w:r>
        <w:rPr>
          <w:rFonts w:hint="eastAsia" w:asciiTheme="minorEastAsia" w:hAnsiTheme="minorEastAsia" w:eastAsiaTheme="minorEastAsia" w:cstheme="minorEastAsia"/>
          <w:b w:val="0"/>
          <w:bCs w:val="0"/>
          <w:color w:val="auto"/>
          <w:sz w:val="27"/>
          <w:szCs w:val="22"/>
          <w:highlight w:val="none"/>
        </w:rPr>
        <w:t>从合同签订之日起2</w:t>
      </w:r>
      <w:r>
        <w:rPr>
          <w:rFonts w:hint="eastAsia" w:asciiTheme="minorEastAsia" w:hAnsiTheme="minorEastAsia" w:eastAsiaTheme="minorEastAsia" w:cstheme="minorEastAsia"/>
          <w:b w:val="0"/>
          <w:bCs w:val="0"/>
          <w:color w:val="auto"/>
          <w:sz w:val="27"/>
          <w:szCs w:val="22"/>
          <w:highlight w:val="none"/>
          <w:lang w:val="en-US" w:eastAsia="zh-CN"/>
        </w:rPr>
        <w:t>5</w:t>
      </w:r>
      <w:r>
        <w:rPr>
          <w:rFonts w:hint="eastAsia" w:asciiTheme="minorEastAsia" w:hAnsiTheme="minorEastAsia" w:eastAsiaTheme="minorEastAsia" w:cstheme="minorEastAsia"/>
          <w:b w:val="0"/>
          <w:bCs w:val="0"/>
          <w:color w:val="auto"/>
          <w:sz w:val="27"/>
          <w:szCs w:val="22"/>
          <w:highlight w:val="none"/>
        </w:rPr>
        <w:t>日历天内完成。</w:t>
      </w:r>
      <w:r>
        <w:rPr>
          <w:rFonts w:hint="eastAsia" w:asciiTheme="minorEastAsia" w:hAnsiTheme="minorEastAsia" w:eastAsiaTheme="minorEastAsia" w:cstheme="minorEastAsia"/>
          <w:color w:val="auto"/>
          <w:sz w:val="27"/>
          <w:highlight w:val="none"/>
        </w:rPr>
        <w:t>。</w:t>
      </w:r>
    </w:p>
    <w:p>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7"/>
          <w:highlight w:val="none"/>
        </w:rPr>
        <w:t xml:space="preserve">       2.交货方式：现场安装验收</w:t>
      </w:r>
    </w:p>
    <w:p>
      <w:pPr>
        <w:numPr>
          <w:ilvl w:val="-1"/>
          <w:numId w:val="0"/>
        </w:numPr>
        <w:snapToGrid/>
        <w:spacing w:line="240" w:lineRule="auto"/>
        <w:ind w:left="0" w:firstLine="0"/>
        <w:rPr>
          <w:rFonts w:hint="default" w:ascii="Calibri" w:hAnsi="Calibri" w:eastAsia="宋体" w:cs="Arial"/>
          <w:color w:val="auto"/>
          <w:sz w:val="27"/>
          <w:szCs w:val="22"/>
          <w:highlight w:val="none"/>
        </w:rPr>
      </w:pPr>
      <w:r>
        <w:rPr>
          <w:rFonts w:hint="default" w:ascii="Calibri" w:hAnsi="Calibri" w:eastAsia="宋体" w:cs="Arial"/>
          <w:color w:val="auto"/>
          <w:sz w:val="27"/>
          <w:highlight w:val="none"/>
        </w:rPr>
        <w:t xml:space="preserve">       3.交货地点：</w:t>
      </w:r>
      <w:r>
        <w:rPr>
          <w:rFonts w:hint="default" w:ascii="Calibri" w:hAnsi="Calibri" w:cs="Arial"/>
          <w:color w:val="auto"/>
          <w:sz w:val="27"/>
          <w:highlight w:val="none"/>
          <w:lang w:val="en-US" w:eastAsia="zh-CN"/>
        </w:rPr>
        <w:t>灯会活动园区范围内（蒲州花园、滨海公园）</w:t>
      </w:r>
      <w:r>
        <w:rPr>
          <w:rFonts w:hint="default" w:ascii="Calibri" w:hAnsi="Calibri" w:eastAsia="宋体" w:cs="Arial"/>
          <w:color w:val="auto"/>
          <w:sz w:val="27"/>
          <w:highlight w:val="none"/>
          <w:lang w:val="en-US" w:eastAsia="zh-CN"/>
        </w:rPr>
        <w:t>，</w:t>
      </w:r>
      <w:r>
        <w:rPr>
          <w:rFonts w:hint="default" w:ascii="Calibri" w:hAnsi="Calibri" w:eastAsia="宋体" w:cs="Arial"/>
          <w:color w:val="auto"/>
          <w:sz w:val="27"/>
          <w:szCs w:val="22"/>
          <w:highlight w:val="none"/>
          <w:lang w:eastAsia="zh-CN"/>
        </w:rPr>
        <w:t>具体在甲方指定地点卸货</w:t>
      </w:r>
      <w:r>
        <w:rPr>
          <w:rFonts w:hint="default" w:ascii="Calibri" w:hAnsi="Calibri" w:eastAsia="宋体" w:cs="Arial"/>
          <w:color w:val="auto"/>
          <w:sz w:val="27"/>
          <w:szCs w:val="22"/>
          <w:highlight w:val="none"/>
        </w:rPr>
        <w:t>。</w:t>
      </w:r>
    </w:p>
    <w:p>
      <w:pPr>
        <w:rPr>
          <w:rFonts w:hint="eastAsia" w:asciiTheme="minorEastAsia" w:hAnsiTheme="minorEastAsia" w:eastAsiaTheme="minorEastAsia" w:cstheme="minorEastAsia"/>
          <w:color w:val="auto"/>
          <w:sz w:val="27"/>
          <w:highlight w:val="none"/>
          <w:lang w:val="en-US" w:eastAsia="zh-CN"/>
        </w:rPr>
      </w:pPr>
    </w:p>
    <w:p>
      <w:pPr>
        <w:rPr>
          <w:color w:val="auto"/>
          <w:highlight w:val="none"/>
        </w:rPr>
      </w:pPr>
      <w:r>
        <w:rPr>
          <w:b/>
          <w:color w:val="auto"/>
          <w:sz w:val="27"/>
          <w:highlight w:val="none"/>
        </w:rPr>
        <w:t>五、付款方式</w:t>
      </w:r>
    </w:p>
    <w:p>
      <w:pPr>
        <w:rPr>
          <w:color w:val="auto"/>
          <w:highlight w:val="none"/>
        </w:rPr>
      </w:pPr>
      <w:r>
        <w:rPr>
          <w:color w:val="auto"/>
          <w:sz w:val="27"/>
          <w:highlight w:val="none"/>
        </w:rPr>
        <w:t>由甲方按下列程序付款：</w:t>
      </w:r>
    </w:p>
    <w:p>
      <w:pPr>
        <w:widowControl w:val="0"/>
        <w:tabs>
          <w:tab w:val="left" w:pos="1260"/>
        </w:tabs>
        <w:spacing w:line="360" w:lineRule="auto"/>
        <w:ind w:left="0" w:firstLine="540" w:firstLineChars="200"/>
        <w:jc w:val="left"/>
        <w:outlineLvl w:val="1"/>
        <w:rPr>
          <w:rFonts w:hint="eastAsia" w:ascii="宋体" w:hAnsi="宋体" w:eastAsia="宋体" w:cs="宋体"/>
          <w:bCs/>
          <w:color w:val="auto"/>
          <w:sz w:val="27"/>
          <w:szCs w:val="27"/>
          <w:highlight w:val="none"/>
        </w:rPr>
      </w:pPr>
      <w:bookmarkStart w:id="225" w:name="_Toc13279"/>
      <w:bookmarkStart w:id="226" w:name="_Toc10843"/>
      <w:r>
        <w:rPr>
          <w:rFonts w:hint="eastAsia" w:ascii="宋体" w:hAnsi="宋体" w:eastAsia="宋体" w:cs="宋体"/>
          <w:bCs/>
          <w:color w:val="auto"/>
          <w:sz w:val="27"/>
          <w:szCs w:val="27"/>
          <w:highlight w:val="none"/>
        </w:rPr>
        <w:t>1.预付款:合同签订后一周内，自甲方收到乙方开具符合国家财务规定的相应数额的正式增值税专用发票后10天内，甲方向乙方支付合同价的</w:t>
      </w:r>
      <w:r>
        <w:rPr>
          <w:rFonts w:hint="eastAsia" w:ascii="宋体" w:hAnsi="宋体" w:cs="宋体"/>
          <w:bCs/>
          <w:color w:val="auto"/>
          <w:sz w:val="27"/>
          <w:szCs w:val="27"/>
          <w:highlight w:val="none"/>
          <w:lang w:val="en-US" w:eastAsia="zh-CN"/>
        </w:rPr>
        <w:t>5</w:t>
      </w:r>
      <w:r>
        <w:rPr>
          <w:rFonts w:hint="eastAsia" w:ascii="宋体" w:hAnsi="宋体" w:eastAsia="宋体" w:cs="宋体"/>
          <w:bCs/>
          <w:color w:val="auto"/>
          <w:sz w:val="27"/>
          <w:szCs w:val="27"/>
          <w:highlight w:val="none"/>
        </w:rPr>
        <w:t>0% 。</w:t>
      </w:r>
      <w:bookmarkEnd w:id="225"/>
      <w:bookmarkEnd w:id="226"/>
    </w:p>
    <w:p>
      <w:pPr>
        <w:widowControl w:val="0"/>
        <w:tabs>
          <w:tab w:val="left" w:pos="1260"/>
        </w:tabs>
        <w:spacing w:line="360" w:lineRule="auto"/>
        <w:ind w:left="0" w:firstLine="540" w:firstLineChars="200"/>
        <w:jc w:val="left"/>
        <w:outlineLvl w:val="1"/>
        <w:rPr>
          <w:rFonts w:hint="eastAsia" w:ascii="宋体" w:hAnsi="宋体" w:eastAsia="宋体" w:cs="宋体"/>
          <w:bCs/>
          <w:color w:val="auto"/>
          <w:sz w:val="27"/>
          <w:szCs w:val="27"/>
          <w:highlight w:val="none"/>
        </w:rPr>
      </w:pPr>
      <w:bookmarkStart w:id="227" w:name="_Toc13889"/>
      <w:bookmarkStart w:id="228" w:name="_Toc28928"/>
      <w:r>
        <w:rPr>
          <w:rFonts w:hint="eastAsia" w:ascii="宋体" w:hAnsi="宋体" w:eastAsia="宋体" w:cs="宋体"/>
          <w:bCs/>
          <w:color w:val="auto"/>
          <w:sz w:val="27"/>
          <w:szCs w:val="27"/>
          <w:highlight w:val="none"/>
        </w:rPr>
        <w:t>2.</w:t>
      </w:r>
      <w:r>
        <w:rPr>
          <w:rFonts w:hint="eastAsia" w:ascii="宋体" w:hAnsi="宋体" w:eastAsia="宋体" w:cs="宋体"/>
          <w:color w:val="auto"/>
          <w:sz w:val="27"/>
          <w:szCs w:val="27"/>
          <w:highlight w:val="none"/>
        </w:rPr>
        <w:t>设备安装调试结束，提交全部报告材料，调试完成并验收合格后</w:t>
      </w:r>
      <w:r>
        <w:rPr>
          <w:rFonts w:hint="eastAsia" w:ascii="宋体" w:hAnsi="宋体" w:eastAsia="宋体" w:cs="宋体"/>
          <w:bCs/>
          <w:color w:val="auto"/>
          <w:sz w:val="27"/>
          <w:szCs w:val="27"/>
          <w:highlight w:val="none"/>
        </w:rPr>
        <w:t>，自甲方收到乙方开具符合国家财务规定的相应数额的正式增值税专用发票后10天内，甲方向乙方支付至合同价的97% 。</w:t>
      </w:r>
      <w:bookmarkEnd w:id="227"/>
      <w:bookmarkEnd w:id="228"/>
    </w:p>
    <w:p>
      <w:pPr>
        <w:widowControl w:val="0"/>
        <w:tabs>
          <w:tab w:val="left" w:pos="1260"/>
        </w:tabs>
        <w:spacing w:line="360" w:lineRule="auto"/>
        <w:ind w:left="0" w:firstLine="540" w:firstLineChars="200"/>
        <w:jc w:val="left"/>
        <w:outlineLvl w:val="1"/>
        <w:rPr>
          <w:rFonts w:hint="eastAsia" w:ascii="宋体" w:hAnsi="宋体" w:eastAsia="宋体" w:cs="宋体"/>
          <w:bCs/>
          <w:color w:val="auto"/>
          <w:sz w:val="27"/>
          <w:szCs w:val="27"/>
          <w:highlight w:val="none"/>
        </w:rPr>
      </w:pPr>
      <w:r>
        <w:rPr>
          <w:rFonts w:hint="eastAsia" w:ascii="宋体" w:hAnsi="宋体" w:eastAsia="宋体" w:cs="宋体"/>
          <w:bCs/>
          <w:color w:val="auto"/>
          <w:sz w:val="27"/>
          <w:szCs w:val="27"/>
          <w:highlight w:val="none"/>
        </w:rPr>
        <w:t>3.</w:t>
      </w:r>
      <w:r>
        <w:rPr>
          <w:rFonts w:hint="eastAsia" w:ascii="宋体" w:hAnsi="宋体" w:eastAsia="宋体" w:cs="宋体"/>
          <w:color w:val="auto"/>
          <w:sz w:val="27"/>
          <w:szCs w:val="27"/>
          <w:highlight w:val="none"/>
        </w:rPr>
        <w:t>从验收合格之日起计，质保期后经甲方验收合格，</w:t>
      </w:r>
      <w:r>
        <w:rPr>
          <w:rFonts w:hint="eastAsia" w:ascii="宋体" w:hAnsi="宋体" w:eastAsia="宋体" w:cs="宋体"/>
          <w:bCs/>
          <w:color w:val="auto"/>
          <w:sz w:val="27"/>
          <w:szCs w:val="27"/>
          <w:highlight w:val="none"/>
        </w:rPr>
        <w:t xml:space="preserve"> 自甲方收到乙方开具符合国家财务规定的相应数额的正式增值税专用发票后14天内，甲方向乙方支付至合同价的100%。</w:t>
      </w:r>
    </w:p>
    <w:p>
      <w:pPr>
        <w:widowControl w:val="0"/>
        <w:tabs>
          <w:tab w:val="left" w:pos="1260"/>
        </w:tabs>
        <w:spacing w:line="360" w:lineRule="auto"/>
        <w:ind w:left="0" w:firstLine="540" w:firstLineChars="200"/>
        <w:jc w:val="left"/>
        <w:outlineLvl w:val="1"/>
        <w:rPr>
          <w:rFonts w:hint="eastAsia" w:ascii="宋体" w:hAnsi="宋体" w:eastAsia="宋体" w:cs="宋体"/>
          <w:bCs/>
          <w:color w:val="auto"/>
          <w:sz w:val="27"/>
          <w:szCs w:val="27"/>
          <w:highlight w:val="none"/>
        </w:rPr>
      </w:pPr>
      <w:r>
        <w:rPr>
          <w:rFonts w:hint="eastAsia" w:ascii="宋体" w:hAnsi="宋体" w:eastAsia="宋体" w:cs="宋体"/>
          <w:bCs/>
          <w:color w:val="auto"/>
          <w:sz w:val="27"/>
          <w:szCs w:val="27"/>
          <w:highlight w:val="none"/>
        </w:rPr>
        <w:t>4.付款前乙方需向甲方提交请款申请及合法有效的等额增值税专用发票。若乙方未及时提交，甲方可延迟付款且无需承担违约责任。</w:t>
      </w:r>
    </w:p>
    <w:p>
      <w:pPr>
        <w:rPr>
          <w:color w:val="auto"/>
          <w:highlight w:val="none"/>
        </w:rPr>
      </w:pPr>
      <w:r>
        <w:rPr>
          <w:b/>
          <w:color w:val="auto"/>
          <w:sz w:val="27"/>
          <w:highlight w:val="none"/>
        </w:rPr>
        <w:t>六、质保期及售后服务要求</w:t>
      </w:r>
    </w:p>
    <w:p>
      <w:pPr>
        <w:rPr>
          <w:color w:val="auto"/>
          <w:highlight w:val="none"/>
        </w:rPr>
      </w:pPr>
      <w:r>
        <w:rPr>
          <w:color w:val="auto"/>
          <w:sz w:val="27"/>
          <w:highlight w:val="none"/>
        </w:rPr>
        <w:t>1.本合同的质量保证期（简称“质保期”）为</w:t>
      </w:r>
      <w:r>
        <w:rPr>
          <w:color w:val="auto"/>
          <w:sz w:val="27"/>
          <w:highlight w:val="none"/>
          <w:u w:val="single"/>
        </w:rPr>
        <w:t xml:space="preserve"> </w:t>
      </w:r>
      <w:r>
        <w:rPr>
          <w:rFonts w:hint="eastAsia"/>
          <w:color w:val="auto"/>
          <w:sz w:val="27"/>
          <w:highlight w:val="none"/>
          <w:u w:val="single"/>
          <w:lang w:val="en-US" w:eastAsia="zh-CN"/>
        </w:rPr>
        <w:t>一</w:t>
      </w:r>
      <w:r>
        <w:rPr>
          <w:color w:val="auto"/>
          <w:sz w:val="27"/>
          <w:highlight w:val="none"/>
          <w:u w:val="single"/>
        </w:rPr>
        <w:t xml:space="preserve"> </w:t>
      </w:r>
      <w:r>
        <w:rPr>
          <w:color w:val="auto"/>
          <w:sz w:val="27"/>
          <w:highlight w:val="none"/>
        </w:rPr>
        <w:t>年，质保期内乙方对所供货物实行包修、包换、包退及合同约定的其它事项，期满后可同时提供终身</w:t>
      </w:r>
      <w:r>
        <w:rPr>
          <w:color w:val="auto"/>
          <w:sz w:val="27"/>
          <w:highlight w:val="none"/>
          <w:u w:val="single"/>
        </w:rPr>
        <w:t>有偿</w:t>
      </w:r>
      <w:r>
        <w:rPr>
          <w:color w:val="auto"/>
          <w:sz w:val="27"/>
          <w:highlight w:val="none"/>
        </w:rPr>
        <w:t>维修保养服务。</w:t>
      </w:r>
    </w:p>
    <w:p>
      <w:pPr>
        <w:rPr>
          <w:color w:val="auto"/>
          <w:highlight w:val="none"/>
        </w:rPr>
      </w:pPr>
      <w:r>
        <w:rPr>
          <w:color w:val="auto"/>
          <w:sz w:val="27"/>
          <w:highlight w:val="none"/>
        </w:rPr>
        <w:t>2.质保期内，如设备或零部件因质量原因出现故障而造成短期停用时，则质保期和免费维修期相应顺延。如停用时间累计超过60天则质保期重新计算。</w:t>
      </w:r>
    </w:p>
    <w:p>
      <w:pPr>
        <w:rPr>
          <w:color w:val="auto"/>
          <w:highlight w:val="none"/>
        </w:rPr>
      </w:pPr>
      <w:r>
        <w:rPr>
          <w:color w:val="auto"/>
          <w:sz w:val="27"/>
          <w:highlight w:val="none"/>
        </w:rPr>
        <w:t>3.对甲方的服务通知，乙方在接报后1小时内响应，</w:t>
      </w:r>
      <w:r>
        <w:rPr>
          <w:rFonts w:hint="eastAsia"/>
          <w:color w:val="auto"/>
          <w:sz w:val="27"/>
          <w:highlight w:val="none"/>
        </w:rPr>
        <w:t>12</w:t>
      </w:r>
      <w:r>
        <w:rPr>
          <w:color w:val="auto"/>
          <w:sz w:val="27"/>
          <w:highlight w:val="none"/>
        </w:rPr>
        <w:t>小时内到达现场，48小时内处理完毕。若在48小时内仍未能有效解决，乙方须免费提供同档次的设备予甲方临时使用。</w:t>
      </w:r>
    </w:p>
    <w:p>
      <w:pPr>
        <w:rPr>
          <w:color w:val="auto"/>
          <w:highlight w:val="none"/>
        </w:rPr>
      </w:pPr>
      <w:r>
        <w:rPr>
          <w:b/>
          <w:color w:val="auto"/>
          <w:sz w:val="27"/>
          <w:highlight w:val="none"/>
        </w:rPr>
        <w:t>七、安装与调试</w:t>
      </w:r>
    </w:p>
    <w:p>
      <w:pPr>
        <w:rPr>
          <w:color w:val="auto"/>
          <w:highlight w:val="none"/>
        </w:rPr>
      </w:pPr>
      <w:r>
        <w:rPr>
          <w:color w:val="auto"/>
          <w:sz w:val="27"/>
          <w:highlight w:val="none"/>
        </w:rPr>
        <w:t>乙方必须依照招标文件的要求和报价文件的承诺，将设备、系统安装并调试至正常运行的最佳状态。</w:t>
      </w:r>
    </w:p>
    <w:p>
      <w:pPr>
        <w:rPr>
          <w:color w:val="auto"/>
          <w:highlight w:val="none"/>
        </w:rPr>
      </w:pPr>
      <w:r>
        <w:rPr>
          <w:b/>
          <w:color w:val="auto"/>
          <w:sz w:val="27"/>
          <w:highlight w:val="none"/>
        </w:rPr>
        <w:t>八、验收：</w:t>
      </w:r>
    </w:p>
    <w:p>
      <w:pPr>
        <w:rPr>
          <w:color w:val="auto"/>
          <w:highlight w:val="none"/>
        </w:rPr>
      </w:pPr>
      <w:r>
        <w:rPr>
          <w:color w:val="auto"/>
          <w:sz w:val="27"/>
          <w:highlight w:val="none"/>
        </w:rPr>
        <w:t>1.交付验收标准依次序对照适用标准为：①符合中华人民共和国国家安全质量标准、环保标准或行业标准；②符合招标文件和响应承诺中甲方认可的合理最佳配置、参数及各项要求；③货物来源国官方标准。</w:t>
      </w:r>
    </w:p>
    <w:p>
      <w:pPr>
        <w:rPr>
          <w:color w:val="auto"/>
          <w:highlight w:val="none"/>
        </w:rPr>
      </w:pPr>
      <w:r>
        <w:rPr>
          <w:color w:val="auto"/>
          <w:sz w:val="27"/>
          <w:highlight w:val="none"/>
        </w:rPr>
        <w:t>2.进口产品必须具备原产地证明和商检局的检验证明及合法进货渠道证明。</w:t>
      </w:r>
    </w:p>
    <w:p>
      <w:pPr>
        <w:rPr>
          <w:color w:val="auto"/>
          <w:highlight w:val="none"/>
        </w:rPr>
      </w:pPr>
      <w:r>
        <w:rPr>
          <w:color w:val="auto"/>
          <w:sz w:val="27"/>
          <w:highlight w:val="none"/>
        </w:rPr>
        <w:t>3.货物为原厂商未启封全新包装，具出厂合格证，序列号、包装箱号与出厂批号一致，并可追索查阅。所有随设备的附件必须齐全。</w:t>
      </w:r>
    </w:p>
    <w:p>
      <w:pPr>
        <w:rPr>
          <w:color w:val="auto"/>
          <w:highlight w:val="none"/>
        </w:rPr>
      </w:pPr>
      <w:r>
        <w:rPr>
          <w:color w:val="auto"/>
          <w:sz w:val="27"/>
          <w:highlight w:val="none"/>
        </w:rPr>
        <w:t>4.乙方应将关键主机设备的用户手册、保修手册、有关单证资料及配备件、随机工具等交付给甲方，使用操作及安全须知等重要资料应附有中文说明。</w:t>
      </w:r>
    </w:p>
    <w:p>
      <w:pPr>
        <w:rPr>
          <w:color w:val="auto"/>
          <w:highlight w:val="none"/>
        </w:rPr>
      </w:pPr>
      <w:r>
        <w:rPr>
          <w:color w:val="auto"/>
          <w:sz w:val="27"/>
          <w:highlight w:val="none"/>
        </w:rPr>
        <w:t>5.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rPr>
          <w:color w:val="auto"/>
          <w:highlight w:val="none"/>
        </w:rPr>
      </w:pPr>
      <w:r>
        <w:rPr>
          <w:b/>
          <w:color w:val="auto"/>
          <w:sz w:val="27"/>
          <w:highlight w:val="none"/>
        </w:rPr>
        <w:t>九、违约责任与赔偿损失</w:t>
      </w:r>
    </w:p>
    <w:p>
      <w:pPr>
        <w:rPr>
          <w:color w:val="auto"/>
          <w:highlight w:val="none"/>
        </w:rPr>
      </w:pPr>
      <w:r>
        <w:rPr>
          <w:color w:val="auto"/>
          <w:sz w:val="27"/>
          <w:highlight w:val="none"/>
        </w:rPr>
        <w:t>1.乙方交付的货物、工程/提供的服务不符合本合同规定的，甲方有权拒收，并且乙方须向甲方支付本合同总价5%的违约金。</w:t>
      </w:r>
    </w:p>
    <w:p>
      <w:pPr>
        <w:rPr>
          <w:color w:val="auto"/>
          <w:highlight w:val="none"/>
        </w:rPr>
      </w:pPr>
      <w:r>
        <w:rPr>
          <w:color w:val="auto"/>
          <w:sz w:val="27"/>
          <w:highlight w:val="none"/>
        </w:rPr>
        <w:t>2.乙方未能按本合同规定的交货时间交付货物的/提供服务，从逾期之日起每日按本合同总价3‰的数额向甲方支付违约金；逾期半个月以上的，甲方有权终止合同，由此造成的甲方经济损失由乙方承担。</w:t>
      </w:r>
    </w:p>
    <w:p>
      <w:pPr>
        <w:rPr>
          <w:color w:val="auto"/>
          <w:highlight w:val="none"/>
        </w:rPr>
      </w:pPr>
      <w:r>
        <w:rPr>
          <w:color w:val="auto"/>
          <w:sz w:val="27"/>
          <w:highlight w:val="none"/>
        </w:rPr>
        <w:t>3.甲方无正当理由拒收货物/接受服务，到期拒付货物/服务款项的，甲方向乙方偿付本合同总的5%的违约金。甲方人逾期付款，则每日按本合同总价的3‰向乙方偿付违约金。</w:t>
      </w:r>
    </w:p>
    <w:p>
      <w:pPr>
        <w:rPr>
          <w:color w:val="auto"/>
          <w:highlight w:val="none"/>
        </w:rPr>
      </w:pPr>
      <w:r>
        <w:rPr>
          <w:color w:val="auto"/>
          <w:sz w:val="27"/>
          <w:highlight w:val="none"/>
        </w:rPr>
        <w:t>4.   对于因</w:t>
      </w:r>
      <w:r>
        <w:rPr>
          <w:rFonts w:hint="eastAsia"/>
          <w:color w:val="auto"/>
          <w:sz w:val="27"/>
          <w:highlight w:val="none"/>
          <w:lang w:val="en-US" w:eastAsia="zh-CN"/>
        </w:rPr>
        <w:t>各</w:t>
      </w:r>
      <w:r>
        <w:rPr>
          <w:color w:val="auto"/>
          <w:sz w:val="27"/>
          <w:highlight w:val="none"/>
        </w:rPr>
        <w:t>方原因导致变更、中止或者终止政府采购合同的，</w:t>
      </w:r>
      <w:r>
        <w:rPr>
          <w:rFonts w:hint="eastAsia"/>
          <w:color w:val="auto"/>
          <w:sz w:val="27"/>
          <w:highlight w:val="none"/>
          <w:lang w:val="en-US" w:eastAsia="zh-CN"/>
        </w:rPr>
        <w:t>各</w:t>
      </w:r>
      <w:r>
        <w:rPr>
          <w:color w:val="auto"/>
          <w:sz w:val="27"/>
          <w:highlight w:val="none"/>
        </w:rPr>
        <w:t>方应当依照以下合同约定对供应商受到的损失予以赔偿或者补偿：</w:t>
      </w:r>
    </w:p>
    <w:p>
      <w:pPr>
        <w:rPr>
          <w:color w:val="auto"/>
          <w:highlight w:val="none"/>
        </w:rPr>
      </w:pPr>
      <w:r>
        <w:rPr>
          <w:color w:val="auto"/>
          <w:sz w:val="27"/>
          <w:highlight w:val="none"/>
        </w:rPr>
        <w:t xml:space="preserve">       </w:t>
      </w:r>
      <w:r>
        <w:rPr>
          <w:color w:val="auto"/>
          <w:sz w:val="27"/>
          <w:highlight w:val="none"/>
          <w:u w:val="single"/>
        </w:rPr>
        <w:t xml:space="preserve">                                                </w:t>
      </w:r>
    </w:p>
    <w:p>
      <w:pPr>
        <w:rPr>
          <w:color w:val="auto"/>
          <w:highlight w:val="none"/>
        </w:rPr>
      </w:pPr>
      <w:r>
        <w:rPr>
          <w:color w:val="auto"/>
          <w:sz w:val="27"/>
          <w:highlight w:val="none"/>
        </w:rPr>
        <w:t>5.其它违约责任按《中华人民共和国民法典(合同编)》处理。</w:t>
      </w:r>
    </w:p>
    <w:p>
      <w:pPr>
        <w:rPr>
          <w:color w:val="auto"/>
          <w:highlight w:val="none"/>
        </w:rPr>
      </w:pPr>
      <w:r>
        <w:rPr>
          <w:b/>
          <w:color w:val="auto"/>
          <w:sz w:val="27"/>
          <w:highlight w:val="none"/>
        </w:rPr>
        <w:t>十、争议的解决</w:t>
      </w:r>
      <w:r>
        <w:rPr>
          <w:color w:val="auto"/>
          <w:sz w:val="27"/>
          <w:highlight w:val="none"/>
        </w:rPr>
        <w:t xml:space="preserve">  合同执行过程中发生的任何争议，如双方不能通过友好协商解决，</w:t>
      </w:r>
      <w:r>
        <w:rPr>
          <w:rFonts w:hint="eastAsia"/>
          <w:color w:val="auto"/>
          <w:sz w:val="27"/>
          <w:highlight w:val="none"/>
        </w:rPr>
        <w:t>向甲方所在地人民法院提起诉讼解决</w:t>
      </w:r>
      <w:r>
        <w:rPr>
          <w:color w:val="auto"/>
          <w:sz w:val="27"/>
          <w:highlight w:val="none"/>
        </w:rPr>
        <w:t>。</w:t>
      </w:r>
    </w:p>
    <w:p>
      <w:pPr>
        <w:rPr>
          <w:color w:val="auto"/>
          <w:highlight w:val="none"/>
        </w:rPr>
      </w:pPr>
      <w:r>
        <w:rPr>
          <w:b/>
          <w:color w:val="auto"/>
          <w:sz w:val="27"/>
          <w:highlight w:val="none"/>
        </w:rPr>
        <w:t>十一、不可抗力</w:t>
      </w:r>
    </w:p>
    <w:p>
      <w:pPr>
        <w:rPr>
          <w:color w:val="auto"/>
          <w:highlight w:val="none"/>
        </w:rPr>
      </w:pPr>
      <w:r>
        <w:rPr>
          <w:color w:val="auto"/>
          <w:sz w:val="27"/>
          <w:highlight w:val="none"/>
        </w:rPr>
        <w:t>1.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rPr>
          <w:color w:val="auto"/>
          <w:highlight w:val="none"/>
        </w:rPr>
      </w:pPr>
      <w:r>
        <w:rPr>
          <w:b/>
          <w:color w:val="auto"/>
          <w:sz w:val="27"/>
          <w:highlight w:val="none"/>
        </w:rPr>
        <w:t>十二、税费</w:t>
      </w:r>
    </w:p>
    <w:p>
      <w:pPr>
        <w:rPr>
          <w:color w:val="auto"/>
          <w:highlight w:val="none"/>
        </w:rPr>
      </w:pPr>
      <w:r>
        <w:rPr>
          <w:color w:val="auto"/>
          <w:sz w:val="27"/>
          <w:highlight w:val="none"/>
        </w:rPr>
        <w:t>1.在中国境内、外发生的与本合同执行有关的一切税费均由乙方负担。</w:t>
      </w:r>
    </w:p>
    <w:p>
      <w:pPr>
        <w:rPr>
          <w:color w:val="auto"/>
          <w:highlight w:val="none"/>
        </w:rPr>
      </w:pPr>
      <w:r>
        <w:rPr>
          <w:b/>
          <w:color w:val="auto"/>
          <w:sz w:val="27"/>
          <w:highlight w:val="none"/>
        </w:rPr>
        <w:t>十三、</w:t>
      </w:r>
      <w:r>
        <w:rPr>
          <w:color w:val="auto"/>
          <w:sz w:val="27"/>
          <w:highlight w:val="none"/>
        </w:rPr>
        <w:t xml:space="preserve"> </w:t>
      </w:r>
      <w:r>
        <w:rPr>
          <w:b/>
          <w:color w:val="auto"/>
          <w:sz w:val="27"/>
          <w:highlight w:val="none"/>
        </w:rPr>
        <w:t>其它</w:t>
      </w:r>
    </w:p>
    <w:p>
      <w:pPr>
        <w:rPr>
          <w:color w:val="auto"/>
          <w:highlight w:val="none"/>
        </w:rPr>
      </w:pPr>
      <w:r>
        <w:rPr>
          <w:color w:val="auto"/>
          <w:sz w:val="27"/>
          <w:highlight w:val="none"/>
        </w:rPr>
        <w:t>1.本合同所有附件、招标文件、投标文件、中标通知书均为合同的有效组成部分，与本合同具有同等法律效力。</w:t>
      </w:r>
    </w:p>
    <w:p>
      <w:pPr>
        <w:rPr>
          <w:color w:val="auto"/>
          <w:highlight w:val="none"/>
        </w:rPr>
      </w:pPr>
      <w:r>
        <w:rPr>
          <w:color w:val="auto"/>
          <w:sz w:val="27"/>
          <w:highlight w:val="none"/>
        </w:rPr>
        <w:t>2.在执行本合同的过程中，所有经双方签署确认的文件（包括会议纪要、补充协议、往来信函）即成为本合同的有效组成部分。</w:t>
      </w:r>
    </w:p>
    <w:p>
      <w:pPr>
        <w:rPr>
          <w:color w:val="auto"/>
          <w:highlight w:val="none"/>
        </w:rPr>
      </w:pPr>
      <w:r>
        <w:rPr>
          <w:color w:val="auto"/>
          <w:sz w:val="27"/>
          <w:highlight w:val="none"/>
        </w:rPr>
        <w:t>3.如一方地址、电话、传真号码有变更，应在变更当日内书面通知对方，否则，应承担相应责任。</w:t>
      </w:r>
    </w:p>
    <w:p>
      <w:pPr>
        <w:rPr>
          <w:color w:val="auto"/>
          <w:highlight w:val="none"/>
        </w:rPr>
      </w:pPr>
      <w:r>
        <w:rPr>
          <w:color w:val="auto"/>
          <w:sz w:val="27"/>
          <w:highlight w:val="none"/>
        </w:rPr>
        <w:t>4.除甲方事先书面同意外，乙方不得部分或全部转让其应履行的合同项下的义务。</w:t>
      </w:r>
    </w:p>
    <w:p>
      <w:pPr>
        <w:rPr>
          <w:color w:val="auto"/>
          <w:highlight w:val="none"/>
        </w:rPr>
      </w:pPr>
      <w:r>
        <w:rPr>
          <w:b/>
          <w:color w:val="auto"/>
          <w:sz w:val="27"/>
          <w:highlight w:val="none"/>
        </w:rPr>
        <w:t>十四、</w:t>
      </w:r>
      <w:r>
        <w:rPr>
          <w:color w:val="auto"/>
          <w:sz w:val="27"/>
          <w:highlight w:val="none"/>
        </w:rPr>
        <w:t xml:space="preserve">     </w:t>
      </w:r>
      <w:r>
        <w:rPr>
          <w:b/>
          <w:color w:val="auto"/>
          <w:sz w:val="27"/>
          <w:highlight w:val="none"/>
        </w:rPr>
        <w:t>合同生效</w:t>
      </w:r>
    </w:p>
    <w:p>
      <w:pPr>
        <w:rPr>
          <w:color w:val="auto"/>
          <w:highlight w:val="none"/>
        </w:rPr>
      </w:pPr>
      <w:r>
        <w:rPr>
          <w:color w:val="auto"/>
          <w:sz w:val="27"/>
          <w:highlight w:val="none"/>
        </w:rPr>
        <w:t>1.本合同在甲乙双方法人代表或其授权代表签字盖章后生效。</w:t>
      </w:r>
    </w:p>
    <w:p>
      <w:pPr>
        <w:rPr>
          <w:color w:val="auto"/>
          <w:highlight w:val="none"/>
        </w:rPr>
      </w:pPr>
      <w:r>
        <w:rPr>
          <w:color w:val="auto"/>
          <w:sz w:val="27"/>
          <w:highlight w:val="none"/>
        </w:rPr>
        <w:t>2.合同一式</w:t>
      </w:r>
      <w:r>
        <w:rPr>
          <w:color w:val="auto"/>
          <w:sz w:val="27"/>
          <w:highlight w:val="none"/>
          <w:u w:val="single"/>
        </w:rPr>
        <w:t xml:space="preserve">   </w:t>
      </w:r>
      <w:r>
        <w:rPr>
          <w:color w:val="auto"/>
          <w:sz w:val="27"/>
          <w:highlight w:val="none"/>
        </w:rPr>
        <w:t>份。</w:t>
      </w:r>
    </w:p>
    <w:p>
      <w:pPr>
        <w:rPr>
          <w:color w:val="auto"/>
          <w:highlight w:val="none"/>
        </w:rPr>
      </w:pPr>
      <w:r>
        <w:rPr>
          <w:color w:val="auto"/>
          <w:sz w:val="27"/>
          <w:highlight w:val="none"/>
        </w:rPr>
        <w:t xml:space="preserve"> </w:t>
      </w:r>
    </w:p>
    <w:p>
      <w:pPr>
        <w:widowControl w:val="0"/>
        <w:spacing w:line="360" w:lineRule="auto"/>
        <w:jc w:val="both"/>
        <w:rPr>
          <w:rFonts w:hint="eastAsia" w:ascii="宋体" w:hAnsi="宋体" w:eastAsia="宋体" w:cs="宋体"/>
          <w:bCs/>
          <w:color w:val="auto"/>
          <w:sz w:val="28"/>
          <w:szCs w:val="28"/>
          <w:highlight w:val="none"/>
          <w:lang w:bidi="ar"/>
        </w:rPr>
      </w:pPr>
      <w:r>
        <w:rPr>
          <w:rFonts w:hint="eastAsia" w:ascii="宋体" w:hAnsi="宋体" w:eastAsia="宋体" w:cs="宋体"/>
          <w:bCs/>
          <w:color w:val="auto"/>
          <w:sz w:val="28"/>
          <w:szCs w:val="28"/>
          <w:highlight w:val="none"/>
          <w:lang w:bidi="ar"/>
        </w:rPr>
        <w:t xml:space="preserve">甲方（盖章）： 广州南沙旅游发展有限公司    </w:t>
      </w:r>
    </w:p>
    <w:p>
      <w:pPr>
        <w:widowControl w:val="0"/>
        <w:spacing w:line="360" w:lineRule="auto"/>
        <w:jc w:val="both"/>
        <w:rPr>
          <w:rFonts w:hint="eastAsia" w:ascii="宋体" w:hAnsi="宋体" w:eastAsia="宋体" w:cs="宋体"/>
          <w:bCs/>
          <w:color w:val="auto"/>
          <w:sz w:val="28"/>
          <w:szCs w:val="28"/>
          <w:highlight w:val="none"/>
          <w:lang w:bidi="ar"/>
        </w:rPr>
      </w:pPr>
      <w:r>
        <w:rPr>
          <w:rFonts w:hint="eastAsia" w:ascii="宋体" w:hAnsi="宋体" w:eastAsia="宋体" w:cs="宋体"/>
          <w:bCs/>
          <w:color w:val="auto"/>
          <w:sz w:val="28"/>
          <w:szCs w:val="28"/>
          <w:highlight w:val="none"/>
          <w:lang w:bidi="ar"/>
        </w:rPr>
        <w:t xml:space="preserve">法定代表人或其授权的代理人：                      </w:t>
      </w:r>
    </w:p>
    <w:p>
      <w:pPr>
        <w:widowControl w:val="0"/>
        <w:spacing w:line="360" w:lineRule="auto"/>
        <w:jc w:val="both"/>
        <w:rPr>
          <w:rFonts w:hint="eastAsia" w:ascii="宋体" w:hAnsi="宋体" w:eastAsia="宋体" w:cs="宋体"/>
          <w:bCs/>
          <w:color w:val="auto"/>
          <w:sz w:val="28"/>
          <w:szCs w:val="28"/>
          <w:highlight w:val="none"/>
          <w:lang w:bidi="ar"/>
        </w:rPr>
      </w:pPr>
      <w:r>
        <w:rPr>
          <w:rFonts w:hint="eastAsia" w:ascii="宋体" w:hAnsi="宋体" w:eastAsia="宋体" w:cs="宋体"/>
          <w:bCs/>
          <w:color w:val="auto"/>
          <w:sz w:val="28"/>
          <w:szCs w:val="28"/>
          <w:highlight w:val="none"/>
          <w:lang w:bidi="ar"/>
        </w:rPr>
        <w:t xml:space="preserve">签订日期：2024年　　月　　日 </w:t>
      </w:r>
    </w:p>
    <w:p>
      <w:pPr>
        <w:pStyle w:val="30"/>
        <w:widowControl/>
        <w:jc w:val="left"/>
        <w:rPr>
          <w:rFonts w:hint="eastAsia" w:ascii="宋体" w:hAnsi="宋体" w:eastAsia="宋体"/>
          <w:color w:val="auto"/>
          <w:szCs w:val="20"/>
          <w:highlight w:val="none"/>
        </w:rPr>
      </w:pPr>
      <w:r>
        <w:rPr>
          <w:rFonts w:hint="eastAsia" w:ascii="宋体" w:hAnsi="宋体" w:eastAsia="宋体" w:cs="宋体"/>
          <w:bCs/>
          <w:color w:val="auto"/>
          <w:sz w:val="28"/>
          <w:szCs w:val="28"/>
          <w:highlight w:val="none"/>
          <w:lang w:bidi="ar"/>
        </w:rPr>
        <w:t xml:space="preserve"> </w:t>
      </w:r>
    </w:p>
    <w:p>
      <w:pPr>
        <w:pStyle w:val="30"/>
        <w:widowControl/>
        <w:jc w:val="left"/>
        <w:rPr>
          <w:rFonts w:hint="eastAsia" w:ascii="宋体" w:hAnsi="宋体" w:eastAsia="宋体"/>
          <w:color w:val="auto"/>
          <w:szCs w:val="20"/>
          <w:highlight w:val="none"/>
          <w:lang w:bidi="ar"/>
        </w:rPr>
      </w:pPr>
    </w:p>
    <w:p>
      <w:pPr>
        <w:pStyle w:val="30"/>
        <w:widowControl/>
        <w:jc w:val="left"/>
        <w:rPr>
          <w:rFonts w:hint="eastAsia" w:ascii="宋体" w:hAnsi="宋体" w:eastAsia="宋体"/>
          <w:color w:val="auto"/>
          <w:szCs w:val="20"/>
          <w:highlight w:val="none"/>
          <w:lang w:bidi="ar"/>
        </w:rPr>
      </w:pPr>
    </w:p>
    <w:p>
      <w:pPr>
        <w:pStyle w:val="30"/>
        <w:widowControl/>
        <w:jc w:val="left"/>
        <w:rPr>
          <w:rFonts w:hint="eastAsia" w:ascii="宋体" w:hAnsi="宋体" w:eastAsia="宋体"/>
          <w:color w:val="auto"/>
          <w:szCs w:val="20"/>
          <w:highlight w:val="none"/>
          <w:lang w:bidi="ar"/>
        </w:rPr>
      </w:pPr>
    </w:p>
    <w:p>
      <w:pPr>
        <w:pStyle w:val="30"/>
        <w:widowControl/>
        <w:jc w:val="left"/>
        <w:rPr>
          <w:rFonts w:hint="eastAsia" w:ascii="宋体" w:hAnsi="宋体" w:eastAsia="宋体"/>
          <w:color w:val="auto"/>
          <w:szCs w:val="20"/>
          <w:highlight w:val="none"/>
          <w:lang w:bidi="ar"/>
        </w:rPr>
      </w:pPr>
    </w:p>
    <w:p>
      <w:pPr>
        <w:pStyle w:val="30"/>
        <w:widowControl/>
        <w:jc w:val="left"/>
        <w:rPr>
          <w:rFonts w:hint="eastAsia" w:ascii="宋体" w:hAnsi="宋体" w:eastAsia="宋体"/>
          <w:color w:val="auto"/>
          <w:szCs w:val="20"/>
          <w:highlight w:val="none"/>
          <w:lang w:bidi="ar"/>
        </w:rPr>
      </w:pPr>
    </w:p>
    <w:p>
      <w:pPr>
        <w:widowControl w:val="0"/>
        <w:spacing w:line="360" w:lineRule="auto"/>
        <w:jc w:val="both"/>
        <w:rPr>
          <w:rFonts w:hint="eastAsia" w:ascii="宋体" w:hAnsi="宋体" w:eastAsia="宋体" w:cs="宋体"/>
          <w:bCs/>
          <w:color w:val="auto"/>
          <w:sz w:val="28"/>
          <w:szCs w:val="28"/>
          <w:highlight w:val="none"/>
          <w:lang w:bidi="ar"/>
        </w:rPr>
      </w:pPr>
      <w:r>
        <w:rPr>
          <w:rFonts w:hint="eastAsia" w:ascii="宋体" w:hAnsi="宋体" w:eastAsia="宋体" w:cs="宋体"/>
          <w:bCs/>
          <w:color w:val="auto"/>
          <w:sz w:val="28"/>
          <w:szCs w:val="28"/>
          <w:highlight w:val="none"/>
          <w:lang w:bidi="ar"/>
        </w:rPr>
        <w:t>乙方（盖章）：</w:t>
      </w:r>
    </w:p>
    <w:p>
      <w:pPr>
        <w:widowControl w:val="0"/>
        <w:spacing w:line="360" w:lineRule="auto"/>
        <w:jc w:val="both"/>
        <w:rPr>
          <w:rFonts w:hint="eastAsia" w:ascii="宋体" w:hAnsi="宋体" w:eastAsia="宋体" w:cs="宋体"/>
          <w:bCs/>
          <w:color w:val="auto"/>
          <w:sz w:val="28"/>
          <w:szCs w:val="28"/>
          <w:highlight w:val="none"/>
          <w:lang w:bidi="ar"/>
        </w:rPr>
      </w:pPr>
      <w:r>
        <w:rPr>
          <w:rFonts w:hint="eastAsia" w:ascii="宋体" w:hAnsi="宋体" w:eastAsia="宋体" w:cs="宋体"/>
          <w:bCs/>
          <w:color w:val="auto"/>
          <w:sz w:val="28"/>
          <w:szCs w:val="28"/>
          <w:highlight w:val="none"/>
          <w:lang w:bidi="ar"/>
        </w:rPr>
        <w:t xml:space="preserve">法定代表人或其授权的代理人：                </w:t>
      </w:r>
    </w:p>
    <w:p>
      <w:pPr>
        <w:widowControl w:val="0"/>
        <w:spacing w:line="360" w:lineRule="auto"/>
        <w:jc w:val="both"/>
        <w:rPr>
          <w:rFonts w:hint="eastAsia" w:ascii="宋体" w:hAnsi="宋体" w:eastAsia="宋体" w:cs="宋体"/>
          <w:bCs/>
          <w:color w:val="auto"/>
          <w:sz w:val="28"/>
          <w:szCs w:val="28"/>
          <w:highlight w:val="none"/>
          <w:lang w:bidi="ar"/>
        </w:rPr>
      </w:pPr>
      <w:r>
        <w:rPr>
          <w:rFonts w:hint="eastAsia" w:ascii="宋体" w:hAnsi="宋体" w:eastAsia="宋体" w:cs="宋体"/>
          <w:bCs/>
          <w:color w:val="auto"/>
          <w:sz w:val="28"/>
          <w:szCs w:val="28"/>
          <w:highlight w:val="none"/>
          <w:lang w:bidi="ar"/>
        </w:rPr>
        <w:t xml:space="preserve">银行账号： </w:t>
      </w:r>
    </w:p>
    <w:p>
      <w:pPr>
        <w:widowControl w:val="0"/>
        <w:spacing w:line="360" w:lineRule="auto"/>
        <w:jc w:val="both"/>
        <w:rPr>
          <w:rFonts w:hint="eastAsia" w:ascii="宋体" w:hAnsi="宋体" w:eastAsia="宋体" w:cs="宋体"/>
          <w:bCs/>
          <w:color w:val="auto"/>
          <w:sz w:val="28"/>
          <w:szCs w:val="28"/>
          <w:highlight w:val="none"/>
          <w:lang w:bidi="ar"/>
        </w:rPr>
      </w:pPr>
      <w:r>
        <w:rPr>
          <w:rFonts w:hint="eastAsia" w:ascii="宋体" w:hAnsi="宋体" w:eastAsia="宋体" w:cs="宋体"/>
          <w:bCs/>
          <w:color w:val="auto"/>
          <w:sz w:val="28"/>
          <w:szCs w:val="28"/>
          <w:highlight w:val="none"/>
          <w:lang w:bidi="ar"/>
        </w:rPr>
        <w:t>开 户 行：</w:t>
      </w:r>
    </w:p>
    <w:p>
      <w:pPr>
        <w:widowControl/>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8"/>
          <w:szCs w:val="28"/>
          <w:highlight w:val="none"/>
          <w:lang w:bidi="ar"/>
        </w:rPr>
        <w:t>签订日期：2024年　　月　　日</w:t>
      </w:r>
      <w:r>
        <w:rPr>
          <w:rFonts w:hint="eastAsia" w:ascii="宋体" w:hAnsi="宋体" w:eastAsia="宋体" w:cs="宋体"/>
          <w:bCs/>
          <w:color w:val="auto"/>
          <w:sz w:val="24"/>
          <w:szCs w:val="24"/>
          <w:highlight w:val="none"/>
        </w:rPr>
        <w:t xml:space="preserve"> </w:t>
      </w:r>
    </w:p>
    <w:p>
      <w:pPr>
        <w:spacing w:before="197" w:line="334" w:lineRule="auto"/>
        <w:ind w:right="85"/>
        <w:jc w:val="center"/>
        <w:rPr>
          <w:rFonts w:ascii="宋体" w:hAnsi="宋体" w:eastAsia="宋体" w:cs="宋体"/>
          <w:color w:val="auto"/>
          <w:sz w:val="44"/>
          <w:szCs w:val="44"/>
          <w:highlight w:val="none"/>
        </w:rPr>
      </w:pPr>
      <w:r>
        <w:rPr>
          <w:rFonts w:hint="eastAsia" w:ascii="宋体" w:hAnsi="宋体" w:eastAsia="宋体" w:cs="宋体"/>
          <w:b/>
          <w:bCs/>
          <w:color w:val="auto"/>
          <w:sz w:val="44"/>
          <w:szCs w:val="44"/>
          <w:highlight w:val="none"/>
        </w:rPr>
        <w:t>廉洁共保协议书</w:t>
      </w:r>
    </w:p>
    <w:p>
      <w:pPr>
        <w:widowControl/>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pPr>
        <w:widowControl/>
        <w:spacing w:line="500" w:lineRule="exact"/>
        <w:rPr>
          <w:rFonts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甲方：广州南沙旅游发展有限公司</w:t>
      </w:r>
    </w:p>
    <w:p>
      <w:pPr>
        <w:widowControl/>
        <w:spacing w:line="500" w:lineRule="exact"/>
        <w:rPr>
          <w:rFonts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乙方：</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为规范物资、配件采购、基建工</w:t>
      </w:r>
      <w:r>
        <w:rPr>
          <w:rFonts w:hint="eastAsia" w:ascii="宋体" w:hAnsi="宋体" w:eastAsia="宋体" w:cs="宋体"/>
          <w:color w:val="auto"/>
          <w:sz w:val="28"/>
          <w:szCs w:val="28"/>
          <w:highlight w:val="none"/>
        </w:rPr>
        <w:t>程和设备、工装项目承发包双方的业务往来，防止发生谋取不正当利益的各种违法违纪行为，保护双方当事人的合法权益，根据有关法律法规和廉政建设责任制规定，双方签订本协议书。</w:t>
      </w:r>
    </w:p>
    <w:p>
      <w:pPr>
        <w:widowControl/>
        <w:spacing w:line="500" w:lineRule="exact"/>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第一条 各方的责任</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（一）严格遵守市场准入、项目招、投标等有关法律、法规、政策，以及廉政建设的各项规定。</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（二）严格执行承发包合同文件，自觉按合同办事。</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（三）业务活动坚持公开、公平、公正、诚信、透明原则，不得为获取不正当的利益损害双方利益，不得违反行业有关规定。</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（四）发现对方在业务活动中有违规、违纪、违法行为，应及时提醒，得以制止、纠正；劝阻无效时，应向其监督部门或上级主管部门反映情况，予以纠正；情节严重的，应向纪检监察、司法机关举报。</w:t>
      </w:r>
    </w:p>
    <w:p>
      <w:pPr>
        <w:widowControl/>
        <w:spacing w:line="500" w:lineRule="exact"/>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第二条 乙方的责任</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应与甲方人员保持正常的业务交往，按照有关法律法规和程序开展业务工作，严格执行物资配件采购、工程建设、设备、工装采购的有关法规政策，并遵守以下规定：</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（一）不以任何理由向甲方、甲方代表、相关单位或个人赠送礼金、有价证券、贵重物品或回扣、好处费、感谢费等。</w:t>
      </w:r>
    </w:p>
    <w:p>
      <w:pPr>
        <w:widowControl/>
        <w:spacing w:line="500" w:lineRule="exact"/>
        <w:rPr>
          <w:rFonts w:ascii="宋体" w:hAnsi="宋体" w:eastAsia="宋体" w:cs="宋体"/>
          <w:b/>
          <w:color w:val="auto"/>
          <w:sz w:val="28"/>
          <w:szCs w:val="28"/>
          <w:highlight w:val="none"/>
        </w:rPr>
      </w:pPr>
      <w:r>
        <w:rPr>
          <w:rFonts w:hint="eastAsia" w:ascii="宋体" w:hAnsi="宋体" w:eastAsia="宋体" w:cs="宋体"/>
          <w:color w:val="auto"/>
          <w:sz w:val="28"/>
          <w:szCs w:val="28"/>
          <w:highlight w:val="none"/>
        </w:rPr>
        <w:t>（二）不以任何理由为甲方、甲方代表和相关单位报销应由对方或个人支付的费用。</w:t>
      </w:r>
    </w:p>
    <w:p>
      <w:pPr>
        <w:widowControl/>
        <w:spacing w:line="500" w:lineRule="exact"/>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第三条 甲方的责任</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应与乙方人员保持正常的业务交往，按照有关法律法规和程序开展业务工作，严格执行物资配件采购、基建工程建设、设备、工装采购的有关法规政策，并遵守以下规定：</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（一）不向乙方及相关单位索要或接受回扣、礼金、有价证劵、贵重物品和好处费、感谢费等。</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（二）不在乙方及相关单位报销任何应由甲方或个人支付的费用。</w:t>
      </w:r>
    </w:p>
    <w:p>
      <w:pPr>
        <w:widowControl/>
        <w:spacing w:line="500" w:lineRule="exact"/>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第四条 违约责任</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甲方代表工作人员有违反本责任书第一、三条行为的，按照管理权限，根据有关法律法规和规定给予党纪、政纪处分或组织处理；涉嫌犯罪的，移交司法机关处理；给乙方单位造成经济损失的，应予以赔偿或补偿。</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乙方工作人员有违反本责任书第一、二条责任行为的，按照管理权限，根据有关法律法规和规定给予党纪、政纪处分或组织处理；涉嫌犯罪的，移交司法机关处理；给甲方单位造成经济损失的，应予以赔偿或补偿。</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第五条 </w:t>
      </w:r>
      <w:r>
        <w:rPr>
          <w:rFonts w:hint="eastAsia" w:ascii="宋体" w:hAnsi="宋体" w:eastAsia="宋体" w:cs="宋体"/>
          <w:color w:val="auto"/>
          <w:sz w:val="28"/>
          <w:szCs w:val="28"/>
          <w:highlight w:val="none"/>
        </w:rPr>
        <w:t>本协议书与项目合同具有同等法律效力，经各方签署后生效。</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第六条</w:t>
      </w:r>
      <w:r>
        <w:rPr>
          <w:rFonts w:hint="eastAsia" w:ascii="宋体" w:hAnsi="宋体" w:eastAsia="宋体" w:cs="宋体"/>
          <w:color w:val="auto"/>
          <w:sz w:val="28"/>
          <w:szCs w:val="28"/>
          <w:highlight w:val="none"/>
        </w:rPr>
        <w:t xml:space="preserve"> 本协议书的有效期为双方合作结束时止。</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第七条</w:t>
      </w:r>
      <w:r>
        <w:rPr>
          <w:rFonts w:hint="eastAsia" w:ascii="宋体" w:hAnsi="宋体" w:eastAsia="宋体" w:cs="宋体"/>
          <w:color w:val="auto"/>
          <w:sz w:val="28"/>
          <w:szCs w:val="28"/>
          <w:highlight w:val="none"/>
        </w:rPr>
        <w:t xml:space="preserve"> 本协议书一式</w:t>
      </w:r>
      <w:r>
        <w:rPr>
          <w:rFonts w:hint="eastAsia" w:ascii="宋体" w:hAnsi="宋体" w:eastAsia="宋体" w:cs="宋体"/>
          <w:color w:val="auto"/>
          <w:sz w:val="28"/>
          <w:szCs w:val="28"/>
          <w:highlight w:val="none"/>
          <w:lang w:val="en-US" w:eastAsia="zh-CN"/>
        </w:rPr>
        <w:t>陆</w:t>
      </w:r>
      <w:r>
        <w:rPr>
          <w:rFonts w:hint="eastAsia" w:ascii="宋体" w:hAnsi="宋体" w:eastAsia="宋体" w:cs="宋体"/>
          <w:color w:val="auto"/>
          <w:sz w:val="28"/>
          <w:szCs w:val="28"/>
          <w:highlight w:val="none"/>
        </w:rPr>
        <w:t>份，甲方执</w:t>
      </w:r>
      <w:r>
        <w:rPr>
          <w:rFonts w:hint="eastAsia" w:ascii="宋体" w:hAnsi="宋体" w:eastAsia="宋体" w:cs="宋体"/>
          <w:color w:val="auto"/>
          <w:sz w:val="28"/>
          <w:szCs w:val="28"/>
          <w:highlight w:val="none"/>
          <w:lang w:val="en-US" w:eastAsia="zh-CN"/>
        </w:rPr>
        <w:t>肆</w:t>
      </w:r>
      <w:r>
        <w:rPr>
          <w:rFonts w:hint="eastAsia" w:ascii="宋体" w:hAnsi="宋体" w:eastAsia="宋体" w:cs="宋体"/>
          <w:color w:val="auto"/>
          <w:sz w:val="28"/>
          <w:szCs w:val="28"/>
          <w:highlight w:val="none"/>
        </w:rPr>
        <w:t>份、乙方执</w:t>
      </w:r>
      <w:r>
        <w:rPr>
          <w:rFonts w:hint="eastAsia" w:ascii="宋体" w:hAnsi="宋体" w:eastAsia="宋体" w:cs="宋体"/>
          <w:color w:val="auto"/>
          <w:sz w:val="28"/>
          <w:szCs w:val="28"/>
          <w:highlight w:val="none"/>
          <w:lang w:val="en-US" w:eastAsia="zh-CN"/>
        </w:rPr>
        <w:t>贰</w:t>
      </w:r>
      <w:r>
        <w:rPr>
          <w:rFonts w:hint="eastAsia" w:ascii="宋体" w:hAnsi="宋体" w:eastAsia="宋体" w:cs="宋体"/>
          <w:color w:val="auto"/>
          <w:sz w:val="28"/>
          <w:szCs w:val="28"/>
          <w:highlight w:val="none"/>
        </w:rPr>
        <w:t>份。</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tbl>
      <w:tblPr>
        <w:tblStyle w:val="15"/>
        <w:tblW w:w="9359" w:type="dxa"/>
        <w:tblInd w:w="0" w:type="dxa"/>
        <w:tblLayout w:type="autofit"/>
        <w:tblCellMar>
          <w:top w:w="0" w:type="dxa"/>
          <w:left w:w="108" w:type="dxa"/>
          <w:bottom w:w="0" w:type="dxa"/>
          <w:right w:w="108" w:type="dxa"/>
        </w:tblCellMar>
      </w:tblPr>
      <w:tblGrid>
        <w:gridCol w:w="4719"/>
        <w:gridCol w:w="4640"/>
      </w:tblGrid>
      <w:tr>
        <w:tblPrEx>
          <w:tblCellMar>
            <w:top w:w="0" w:type="dxa"/>
            <w:left w:w="108" w:type="dxa"/>
            <w:bottom w:w="0" w:type="dxa"/>
            <w:right w:w="108" w:type="dxa"/>
          </w:tblCellMar>
        </w:tblPrEx>
        <w:trPr>
          <w:trHeight w:val="1085" w:hRule="atLeast"/>
        </w:trPr>
        <w:tc>
          <w:tcPr>
            <w:tcW w:w="4719" w:type="dxa"/>
            <w:noWrap w:val="0"/>
            <w:vAlign w:val="top"/>
          </w:tcPr>
          <w:p>
            <w:pPr>
              <w:widowControl/>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甲方单位（盖章）：广州南沙旅游发展有限公司</w:t>
            </w:r>
          </w:p>
          <w:p>
            <w:pPr>
              <w:widowControl/>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c>
          <w:tcPr>
            <w:tcW w:w="4640" w:type="dxa"/>
            <w:noWrap w:val="0"/>
            <w:vAlign w:val="top"/>
          </w:tcPr>
          <w:p>
            <w:pPr>
              <w:widowControl/>
              <w:rPr>
                <w:rFonts w:hint="eastAsia" w:ascii="宋体" w:hAnsi="宋体" w:eastAsia="宋体" w:cs="宋体"/>
                <w:color w:val="auto"/>
                <w:sz w:val="28"/>
                <w:szCs w:val="28"/>
                <w:highlight w:val="none"/>
                <w:u w:val="none"/>
                <w:lang w:bidi="ar"/>
              </w:rPr>
            </w:pPr>
            <w:r>
              <w:rPr>
                <w:rFonts w:hint="eastAsia" w:ascii="宋体" w:hAnsi="宋体" w:eastAsia="宋体" w:cs="宋体"/>
                <w:color w:val="auto"/>
                <w:sz w:val="28"/>
                <w:szCs w:val="28"/>
                <w:highlight w:val="none"/>
              </w:rPr>
              <w:t>乙方单位（盖章）：</w:t>
            </w:r>
          </w:p>
          <w:p>
            <w:pPr>
              <w:widowControl/>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976" w:hRule="atLeast"/>
        </w:trPr>
        <w:tc>
          <w:tcPr>
            <w:tcW w:w="4719" w:type="dxa"/>
            <w:noWrap w:val="0"/>
            <w:vAlign w:val="top"/>
          </w:tcPr>
          <w:p>
            <w:pPr>
              <w:widowControl/>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法定或授权代表人（签字）：</w:t>
            </w:r>
          </w:p>
          <w:p>
            <w:pPr>
              <w:widowControl/>
              <w:rPr>
                <w:rFonts w:ascii="宋体" w:hAnsi="宋体" w:eastAsia="宋体" w:cs="宋体"/>
                <w:color w:val="auto"/>
                <w:sz w:val="28"/>
                <w:szCs w:val="28"/>
                <w:highlight w:val="none"/>
              </w:rPr>
            </w:pPr>
          </w:p>
          <w:p>
            <w:pPr>
              <w:rPr>
                <w:rFonts w:ascii="宋体" w:hAnsi="宋体" w:eastAsia="宋体" w:cs="宋体"/>
                <w:color w:val="auto"/>
                <w:sz w:val="28"/>
                <w:szCs w:val="28"/>
                <w:highlight w:val="none"/>
              </w:rPr>
            </w:pPr>
          </w:p>
        </w:tc>
        <w:tc>
          <w:tcPr>
            <w:tcW w:w="4640" w:type="dxa"/>
            <w:noWrap w:val="0"/>
            <w:vAlign w:val="top"/>
          </w:tcPr>
          <w:p>
            <w:pPr>
              <w:widowControl/>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法定或授权代表人（签字）：</w:t>
            </w:r>
          </w:p>
          <w:p>
            <w:pPr>
              <w:widowControl/>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542" w:hRule="atLeast"/>
        </w:trPr>
        <w:tc>
          <w:tcPr>
            <w:tcW w:w="4719" w:type="dxa"/>
            <w:noWrap w:val="0"/>
            <w:vAlign w:val="top"/>
          </w:tcPr>
          <w:p>
            <w:pPr>
              <w:widowControl/>
              <w:spacing w:line="500" w:lineRule="exact"/>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2024年   月   日</w:t>
            </w:r>
          </w:p>
        </w:tc>
        <w:tc>
          <w:tcPr>
            <w:tcW w:w="4640" w:type="dxa"/>
            <w:noWrap w:val="0"/>
            <w:vAlign w:val="top"/>
          </w:tcPr>
          <w:p>
            <w:pPr>
              <w:widowControl/>
              <w:spacing w:line="500" w:lineRule="exact"/>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2024年    月    日</w:t>
            </w:r>
          </w:p>
        </w:tc>
      </w:tr>
    </w:tbl>
    <w:p>
      <w:pPr>
        <w:pStyle w:val="6"/>
        <w:spacing w:line="20" w:lineRule="exact"/>
        <w:ind w:firstLine="0" w:firstLineChars="0"/>
        <w:rPr>
          <w:color w:val="auto"/>
          <w:highlight w:val="none"/>
          <w:lang w:val="en-US" w:eastAsia="zh-CN"/>
        </w:rPr>
      </w:pPr>
    </w:p>
    <w:sectPr>
      <w:pgSz w:w="11906" w:h="16838"/>
      <w:pgMar w:top="1440" w:right="1800" w:bottom="1440" w:left="1800" w:header="794"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FAA3377-88EE-4935-B9C5-DB29DF6B59E8}"/>
  </w:font>
  <w:font w:name="黑体">
    <w:panose1 w:val="02010609060101010101"/>
    <w:charset w:val="86"/>
    <w:family w:val="auto"/>
    <w:pitch w:val="default"/>
    <w:sig w:usb0="800002BF" w:usb1="38CF7CFA" w:usb2="00000016" w:usb3="00000000" w:csb0="00040001" w:csb1="00000000"/>
    <w:embedRegular r:id="rId2" w:fontKey="{E68BDB8D-5A69-4487-A949-EB229D8303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4E9EC4A6-74A3-4DDC-B558-D093EC80AA7B}"/>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embedRegular r:id="rId4" w:fontKey="{332EDAB6-3BD5-4BC3-A014-642D04C30539}"/>
  </w:font>
  <w:font w:name="仿宋_GB2312">
    <w:panose1 w:val="02010609030101010101"/>
    <w:charset w:val="86"/>
    <w:family w:val="modern"/>
    <w:pitch w:val="default"/>
    <w:sig w:usb0="00000001" w:usb1="080E0000" w:usb2="00000000" w:usb3="00000000" w:csb0="00040000" w:csb1="00000000"/>
    <w:embedRegular r:id="rId5" w:fontKey="{41166542-1D64-4295-A986-9BC8B611668C}"/>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8728C"/>
    <w:multiLevelType w:val="multilevel"/>
    <w:tmpl w:val="8F08728C"/>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1">
    <w:nsid w:val="9218F98C"/>
    <w:multiLevelType w:val="singleLevel"/>
    <w:tmpl w:val="9218F98C"/>
    <w:lvl w:ilvl="0" w:tentative="0">
      <w:start w:val="4"/>
      <w:numFmt w:val="decimal"/>
      <w:suff w:val="nothing"/>
      <w:lvlText w:val="%1、"/>
      <w:lvlJc w:val="left"/>
      <w:rPr>
        <w:rFonts w:hint="default"/>
        <w:b w:val="0"/>
        <w:bCs w:val="0"/>
      </w:rPr>
    </w:lvl>
  </w:abstractNum>
  <w:abstractNum w:abstractNumId="2">
    <w:nsid w:val="BE96E967"/>
    <w:multiLevelType w:val="singleLevel"/>
    <w:tmpl w:val="BE96E967"/>
    <w:lvl w:ilvl="0" w:tentative="0">
      <w:start w:val="1"/>
      <w:numFmt w:val="chineseCounting"/>
      <w:suff w:val="space"/>
      <w:lvlText w:val="第%1章"/>
      <w:lvlJc w:val="left"/>
      <w:rPr>
        <w:rFonts w:hint="eastAsia"/>
      </w:rPr>
    </w:lvl>
  </w:abstractNum>
  <w:abstractNum w:abstractNumId="3">
    <w:nsid w:val="DD2703DB"/>
    <w:multiLevelType w:val="multilevel"/>
    <w:tmpl w:val="DD2703DB"/>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4">
    <w:nsid w:val="0000000F"/>
    <w:multiLevelType w:val="multilevel"/>
    <w:tmpl w:val="0000000F"/>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5">
    <w:nsid w:val="00000012"/>
    <w:multiLevelType w:val="multilevel"/>
    <w:tmpl w:val="00000012"/>
    <w:lvl w:ilvl="0" w:tentative="0">
      <w:start w:val="1"/>
      <w:numFmt w:val="decimalEnclosedCircle"/>
      <w:suff w:val="space"/>
      <w:lvlText w:val="%1"/>
      <w:lvlJc w:val="left"/>
      <w:pPr>
        <w:ind w:left="1634" w:hanging="794"/>
      </w:pPr>
      <w:rPr>
        <w:rFonts w:ascii="宋体" w:hAnsi="宋体" w:eastAsia="宋体" w:cs="Times New Roman"/>
      </w:rPr>
    </w:lvl>
    <w:lvl w:ilvl="1" w:tentative="0">
      <w:start w:val="1"/>
      <w:numFmt w:val="lowerLetter"/>
      <w:lvlText w:val="%2)"/>
      <w:lvlJc w:val="left"/>
      <w:pPr>
        <w:tabs>
          <w:tab w:val="left" w:pos="1680"/>
        </w:tabs>
        <w:ind w:left="1680" w:hanging="420"/>
      </w:pPr>
      <w:rPr>
        <w:rFonts w:hint="eastAsia"/>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6">
    <w:nsid w:val="00000016"/>
    <w:multiLevelType w:val="multilevel"/>
    <w:tmpl w:val="00000016"/>
    <w:lvl w:ilvl="0" w:tentative="0">
      <w:start w:val="1"/>
      <w:numFmt w:val="upperLetter"/>
      <w:lvlText w:val="%1."/>
      <w:lvlJc w:val="left"/>
      <w:pPr>
        <w:tabs>
          <w:tab w:val="left" w:pos="1680"/>
        </w:tabs>
        <w:ind w:left="1680" w:hanging="420"/>
      </w:pPr>
      <w:rPr>
        <w:rFonts w:hint="default"/>
      </w:rPr>
    </w:lvl>
    <w:lvl w:ilvl="1" w:tentative="0">
      <w:start w:val="1"/>
      <w:numFmt w:val="lowerLetter"/>
      <w:lvlText w:val="%2)"/>
      <w:lvlJc w:val="left"/>
      <w:pPr>
        <w:tabs>
          <w:tab w:val="left" w:pos="2100"/>
        </w:tabs>
        <w:ind w:left="2100" w:hanging="420"/>
      </w:p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7">
    <w:nsid w:val="00000018"/>
    <w:multiLevelType w:val="multilevel"/>
    <w:tmpl w:val="00000018"/>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8">
    <w:nsid w:val="0000001D"/>
    <w:multiLevelType w:val="multilevel"/>
    <w:tmpl w:val="0000001D"/>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9">
    <w:nsid w:val="00000021"/>
    <w:multiLevelType w:val="multilevel"/>
    <w:tmpl w:val="00000021"/>
    <w:lvl w:ilvl="0" w:tentative="0">
      <w:start w:val="1"/>
      <w:numFmt w:val="japaneseCounting"/>
      <w:lvlText w:val="%1、"/>
      <w:lvlJc w:val="left"/>
      <w:pPr>
        <w:tabs>
          <w:tab w:val="left" w:pos="1905"/>
        </w:tabs>
        <w:ind w:left="1905" w:hanging="855"/>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23"/>
    <w:multiLevelType w:val="multilevel"/>
    <w:tmpl w:val="00000023"/>
    <w:lvl w:ilvl="0" w:tentative="0">
      <w:start w:val="1"/>
      <w:numFmt w:val="bullet"/>
      <w:lvlText w:val=""/>
      <w:lvlJc w:val="left"/>
      <w:pPr>
        <w:tabs>
          <w:tab w:val="left" w:pos="1440"/>
        </w:tabs>
        <w:ind w:left="1440" w:hanging="720"/>
      </w:pPr>
      <w:rPr>
        <w:rFonts w:hint="default" w:ascii="Wingdings" w:hAnsi="Wingdings"/>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1">
    <w:nsid w:val="00000027"/>
    <w:multiLevelType w:val="multilevel"/>
    <w:tmpl w:val="00000027"/>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12">
    <w:nsid w:val="59DDFFAA"/>
    <w:multiLevelType w:val="singleLevel"/>
    <w:tmpl w:val="59DDFFAA"/>
    <w:lvl w:ilvl="0" w:tentative="0">
      <w:start w:val="1"/>
      <w:numFmt w:val="decimal"/>
      <w:suff w:val="nothing"/>
      <w:lvlText w:val="（%1）"/>
      <w:lvlJc w:val="left"/>
    </w:lvl>
  </w:abstractNum>
  <w:abstractNum w:abstractNumId="13">
    <w:nsid w:val="727E1B3B"/>
    <w:multiLevelType w:val="multilevel"/>
    <w:tmpl w:val="727E1B3B"/>
    <w:lvl w:ilvl="0" w:tentative="0">
      <w:start w:val="1"/>
      <w:numFmt w:val="decimal"/>
      <w:lvlText w:val="%1）"/>
      <w:lvlJc w:val="left"/>
      <w:pPr>
        <w:tabs>
          <w:tab w:val="left" w:pos="360"/>
        </w:tabs>
        <w:ind w:left="360" w:hanging="36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2"/>
  </w:num>
  <w:num w:numId="3">
    <w:abstractNumId w:val="1"/>
  </w:num>
  <w:num w:numId="4">
    <w:abstractNumId w:val="13"/>
  </w:num>
  <w:num w:numId="5">
    <w:abstractNumId w:val="11"/>
  </w:num>
  <w:num w:numId="6">
    <w:abstractNumId w:val="0"/>
  </w:num>
  <w:num w:numId="7">
    <w:abstractNumId w:val="3"/>
  </w:num>
  <w:num w:numId="8">
    <w:abstractNumId w:val="10"/>
  </w:num>
  <w:num w:numId="9">
    <w:abstractNumId w:val="7"/>
  </w:num>
  <w:num w:numId="10">
    <w:abstractNumId w:val="4"/>
  </w:num>
  <w:num w:numId="11">
    <w:abstractNumId w:val="5"/>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ZjliNzQ4M2JhYjM0MjI3YTk2NzE0ZGY0MWQ5N2YifQ=="/>
    <w:docVar w:name="KSO_WPS_MARK_KEY" w:val="0d9617b0-8c7f-4e67-91a8-44c3d85fc965"/>
  </w:docVars>
  <w:rsids>
    <w:rsidRoot w:val="4ECC55F7"/>
    <w:rsid w:val="001D5FB4"/>
    <w:rsid w:val="002235D1"/>
    <w:rsid w:val="00495543"/>
    <w:rsid w:val="005D5FF8"/>
    <w:rsid w:val="00932993"/>
    <w:rsid w:val="00CE392F"/>
    <w:rsid w:val="00D836C6"/>
    <w:rsid w:val="012F5F9F"/>
    <w:rsid w:val="01453A14"/>
    <w:rsid w:val="0159126E"/>
    <w:rsid w:val="02443CCC"/>
    <w:rsid w:val="037B752C"/>
    <w:rsid w:val="03D96696"/>
    <w:rsid w:val="04EA02EB"/>
    <w:rsid w:val="05010C9B"/>
    <w:rsid w:val="050F05C1"/>
    <w:rsid w:val="05283431"/>
    <w:rsid w:val="05CB7A65"/>
    <w:rsid w:val="05FF26C1"/>
    <w:rsid w:val="06E006E2"/>
    <w:rsid w:val="07C5765D"/>
    <w:rsid w:val="08B92E58"/>
    <w:rsid w:val="08D527C6"/>
    <w:rsid w:val="0981677A"/>
    <w:rsid w:val="0A2A7C4B"/>
    <w:rsid w:val="0A495F79"/>
    <w:rsid w:val="0A4C38C5"/>
    <w:rsid w:val="0A6A0028"/>
    <w:rsid w:val="0AEB73DB"/>
    <w:rsid w:val="0AFD40C4"/>
    <w:rsid w:val="0B420FC5"/>
    <w:rsid w:val="0BEA7692"/>
    <w:rsid w:val="0C230069"/>
    <w:rsid w:val="0C2B3807"/>
    <w:rsid w:val="0CC8641F"/>
    <w:rsid w:val="0CD84F8D"/>
    <w:rsid w:val="0D6D4EFE"/>
    <w:rsid w:val="0D935B07"/>
    <w:rsid w:val="0DB11E9F"/>
    <w:rsid w:val="0DFB1D1B"/>
    <w:rsid w:val="0EE20AF5"/>
    <w:rsid w:val="0F81030D"/>
    <w:rsid w:val="0FA90822"/>
    <w:rsid w:val="0FB02F35"/>
    <w:rsid w:val="0FDC6702"/>
    <w:rsid w:val="10B53D13"/>
    <w:rsid w:val="11020174"/>
    <w:rsid w:val="117F3570"/>
    <w:rsid w:val="12415B32"/>
    <w:rsid w:val="125504EC"/>
    <w:rsid w:val="127777A6"/>
    <w:rsid w:val="13154596"/>
    <w:rsid w:val="1319085D"/>
    <w:rsid w:val="13280AA0"/>
    <w:rsid w:val="13392CAD"/>
    <w:rsid w:val="144F47DA"/>
    <w:rsid w:val="147E119C"/>
    <w:rsid w:val="147F0B94"/>
    <w:rsid w:val="157306F8"/>
    <w:rsid w:val="159A3ED7"/>
    <w:rsid w:val="15D53161"/>
    <w:rsid w:val="16167214"/>
    <w:rsid w:val="1652482D"/>
    <w:rsid w:val="16DE6045"/>
    <w:rsid w:val="172C595D"/>
    <w:rsid w:val="1784268A"/>
    <w:rsid w:val="17EB38E9"/>
    <w:rsid w:val="18BE5A29"/>
    <w:rsid w:val="18FD1020"/>
    <w:rsid w:val="190A1374"/>
    <w:rsid w:val="19A85B4E"/>
    <w:rsid w:val="19B20A68"/>
    <w:rsid w:val="19D35C0A"/>
    <w:rsid w:val="1A49306D"/>
    <w:rsid w:val="1AEE3E86"/>
    <w:rsid w:val="1B13276C"/>
    <w:rsid w:val="1B2408A3"/>
    <w:rsid w:val="1B6B3C20"/>
    <w:rsid w:val="1BBC14BF"/>
    <w:rsid w:val="1BF21BDD"/>
    <w:rsid w:val="1C0C325D"/>
    <w:rsid w:val="1CE4221E"/>
    <w:rsid w:val="1CE44B16"/>
    <w:rsid w:val="1D0740CC"/>
    <w:rsid w:val="1D917D7B"/>
    <w:rsid w:val="1DE71C83"/>
    <w:rsid w:val="1EC27D3D"/>
    <w:rsid w:val="1EFB350D"/>
    <w:rsid w:val="1F2029B8"/>
    <w:rsid w:val="1F580771"/>
    <w:rsid w:val="1FC13F2B"/>
    <w:rsid w:val="202B2A83"/>
    <w:rsid w:val="20511636"/>
    <w:rsid w:val="205F0D2C"/>
    <w:rsid w:val="20FF24EA"/>
    <w:rsid w:val="21346C8B"/>
    <w:rsid w:val="21B16134"/>
    <w:rsid w:val="226950D3"/>
    <w:rsid w:val="228D6B72"/>
    <w:rsid w:val="22D034B0"/>
    <w:rsid w:val="23256DAA"/>
    <w:rsid w:val="239D3981"/>
    <w:rsid w:val="246608C7"/>
    <w:rsid w:val="246675A5"/>
    <w:rsid w:val="247B5F11"/>
    <w:rsid w:val="24AE34FB"/>
    <w:rsid w:val="24D42836"/>
    <w:rsid w:val="25514F2D"/>
    <w:rsid w:val="26445FBA"/>
    <w:rsid w:val="272E0923"/>
    <w:rsid w:val="27AD0B5A"/>
    <w:rsid w:val="281E30AB"/>
    <w:rsid w:val="28305FD5"/>
    <w:rsid w:val="283C7070"/>
    <w:rsid w:val="28F74D45"/>
    <w:rsid w:val="290336EA"/>
    <w:rsid w:val="296A19BB"/>
    <w:rsid w:val="29F51284"/>
    <w:rsid w:val="2B7F4304"/>
    <w:rsid w:val="2CE33F5E"/>
    <w:rsid w:val="2D2A6A76"/>
    <w:rsid w:val="2D403676"/>
    <w:rsid w:val="2D776454"/>
    <w:rsid w:val="2DE0049D"/>
    <w:rsid w:val="2E1D5D1E"/>
    <w:rsid w:val="2E576295"/>
    <w:rsid w:val="2E5B35DA"/>
    <w:rsid w:val="2EF5691D"/>
    <w:rsid w:val="2F5702EB"/>
    <w:rsid w:val="2F8B1EF8"/>
    <w:rsid w:val="303F671E"/>
    <w:rsid w:val="30534F57"/>
    <w:rsid w:val="309C7E7B"/>
    <w:rsid w:val="30E21786"/>
    <w:rsid w:val="32EC51EE"/>
    <w:rsid w:val="34676FA3"/>
    <w:rsid w:val="34A47EBC"/>
    <w:rsid w:val="34D33C65"/>
    <w:rsid w:val="34ED161D"/>
    <w:rsid w:val="3546508A"/>
    <w:rsid w:val="37074CED"/>
    <w:rsid w:val="37373156"/>
    <w:rsid w:val="379708C7"/>
    <w:rsid w:val="37B54749"/>
    <w:rsid w:val="38733523"/>
    <w:rsid w:val="38792DCD"/>
    <w:rsid w:val="39297982"/>
    <w:rsid w:val="392E05E5"/>
    <w:rsid w:val="395F6F26"/>
    <w:rsid w:val="3A68640B"/>
    <w:rsid w:val="3A8D5509"/>
    <w:rsid w:val="3AB371FF"/>
    <w:rsid w:val="3B4E4C98"/>
    <w:rsid w:val="3C176208"/>
    <w:rsid w:val="3CE565D2"/>
    <w:rsid w:val="3D775694"/>
    <w:rsid w:val="3DA94408"/>
    <w:rsid w:val="3E0265E3"/>
    <w:rsid w:val="3E3F7012"/>
    <w:rsid w:val="3E6A003B"/>
    <w:rsid w:val="3E6E11AD"/>
    <w:rsid w:val="3F71307C"/>
    <w:rsid w:val="3F846999"/>
    <w:rsid w:val="40375F64"/>
    <w:rsid w:val="404457C1"/>
    <w:rsid w:val="40705866"/>
    <w:rsid w:val="41396764"/>
    <w:rsid w:val="41524DB6"/>
    <w:rsid w:val="433230F1"/>
    <w:rsid w:val="440C56F0"/>
    <w:rsid w:val="44511A38"/>
    <w:rsid w:val="44907990"/>
    <w:rsid w:val="44BD1B0F"/>
    <w:rsid w:val="44CC6269"/>
    <w:rsid w:val="44D83825"/>
    <w:rsid w:val="453E5D7D"/>
    <w:rsid w:val="45AF7C5C"/>
    <w:rsid w:val="46C42CC2"/>
    <w:rsid w:val="480A63EB"/>
    <w:rsid w:val="48757D08"/>
    <w:rsid w:val="487E16BE"/>
    <w:rsid w:val="48BA396D"/>
    <w:rsid w:val="49BE123B"/>
    <w:rsid w:val="49E64758"/>
    <w:rsid w:val="4A01592C"/>
    <w:rsid w:val="4A311225"/>
    <w:rsid w:val="4A38492F"/>
    <w:rsid w:val="4ACC0362"/>
    <w:rsid w:val="4ADB406F"/>
    <w:rsid w:val="4AEE3DA2"/>
    <w:rsid w:val="4B667530"/>
    <w:rsid w:val="4CFE5DF2"/>
    <w:rsid w:val="4DAC0601"/>
    <w:rsid w:val="4E12313C"/>
    <w:rsid w:val="4ECC55F7"/>
    <w:rsid w:val="502538AD"/>
    <w:rsid w:val="508278CB"/>
    <w:rsid w:val="50C64E79"/>
    <w:rsid w:val="50EC3FE1"/>
    <w:rsid w:val="522B768A"/>
    <w:rsid w:val="52FC57CF"/>
    <w:rsid w:val="53BE1989"/>
    <w:rsid w:val="54095638"/>
    <w:rsid w:val="541B5AFB"/>
    <w:rsid w:val="54B27BEE"/>
    <w:rsid w:val="56B539C6"/>
    <w:rsid w:val="56CD3EB2"/>
    <w:rsid w:val="583C11D8"/>
    <w:rsid w:val="58B9770A"/>
    <w:rsid w:val="59374B66"/>
    <w:rsid w:val="59A0095D"/>
    <w:rsid w:val="59C95EFC"/>
    <w:rsid w:val="5B1240F8"/>
    <w:rsid w:val="5B5419FF"/>
    <w:rsid w:val="5BD74D4C"/>
    <w:rsid w:val="5C42784C"/>
    <w:rsid w:val="5C814A76"/>
    <w:rsid w:val="5C8D6F66"/>
    <w:rsid w:val="5E483371"/>
    <w:rsid w:val="5E601CA4"/>
    <w:rsid w:val="5E9035C5"/>
    <w:rsid w:val="5F763B05"/>
    <w:rsid w:val="5F7A3834"/>
    <w:rsid w:val="5F891984"/>
    <w:rsid w:val="5FBF1411"/>
    <w:rsid w:val="607664CF"/>
    <w:rsid w:val="60A67F6B"/>
    <w:rsid w:val="61C80A51"/>
    <w:rsid w:val="622C7647"/>
    <w:rsid w:val="62AB4DD7"/>
    <w:rsid w:val="639A38C0"/>
    <w:rsid w:val="64951DDB"/>
    <w:rsid w:val="64A137DB"/>
    <w:rsid w:val="660D2B0C"/>
    <w:rsid w:val="661630C7"/>
    <w:rsid w:val="66330F5A"/>
    <w:rsid w:val="66370B0B"/>
    <w:rsid w:val="67126D54"/>
    <w:rsid w:val="67283702"/>
    <w:rsid w:val="672C1A82"/>
    <w:rsid w:val="6744501E"/>
    <w:rsid w:val="67584625"/>
    <w:rsid w:val="67654F94"/>
    <w:rsid w:val="6778655A"/>
    <w:rsid w:val="67B6134C"/>
    <w:rsid w:val="67CB5B7C"/>
    <w:rsid w:val="683C519F"/>
    <w:rsid w:val="684E17E8"/>
    <w:rsid w:val="6AD225AD"/>
    <w:rsid w:val="6ADF6E0B"/>
    <w:rsid w:val="6B905A67"/>
    <w:rsid w:val="6B96396E"/>
    <w:rsid w:val="6B9E73C9"/>
    <w:rsid w:val="6BAE7493"/>
    <w:rsid w:val="6C200F3D"/>
    <w:rsid w:val="6C7A2185"/>
    <w:rsid w:val="6C961E57"/>
    <w:rsid w:val="6D0A63C2"/>
    <w:rsid w:val="6E1119D2"/>
    <w:rsid w:val="6E331948"/>
    <w:rsid w:val="6F5B4DEA"/>
    <w:rsid w:val="6FD34DCD"/>
    <w:rsid w:val="71632544"/>
    <w:rsid w:val="71CA25C3"/>
    <w:rsid w:val="7215672A"/>
    <w:rsid w:val="727B566C"/>
    <w:rsid w:val="7294672D"/>
    <w:rsid w:val="73BA3E31"/>
    <w:rsid w:val="74E905C9"/>
    <w:rsid w:val="751A2C75"/>
    <w:rsid w:val="75433731"/>
    <w:rsid w:val="759E0BDF"/>
    <w:rsid w:val="75EC72EC"/>
    <w:rsid w:val="75F7474E"/>
    <w:rsid w:val="769E57D2"/>
    <w:rsid w:val="76C5219A"/>
    <w:rsid w:val="7762504C"/>
    <w:rsid w:val="77C81353"/>
    <w:rsid w:val="77DE744A"/>
    <w:rsid w:val="791146B7"/>
    <w:rsid w:val="797377DE"/>
    <w:rsid w:val="7A2A367D"/>
    <w:rsid w:val="7AF12CAD"/>
    <w:rsid w:val="7B7D3BE3"/>
    <w:rsid w:val="7C356B4F"/>
    <w:rsid w:val="7C972518"/>
    <w:rsid w:val="7D2650CB"/>
    <w:rsid w:val="7D9615AC"/>
    <w:rsid w:val="7DDB4A9F"/>
    <w:rsid w:val="7E2F76F1"/>
    <w:rsid w:val="7EB4618D"/>
    <w:rsid w:val="7EEB6999"/>
    <w:rsid w:val="F7FFD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99"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keepNext/>
      <w:keepLines/>
      <w:spacing w:line="413" w:lineRule="auto"/>
      <w:outlineLvl w:val="1"/>
    </w:pPr>
    <w:rPr>
      <w:rFonts w:ascii="Arial" w:hAnsi="Arial" w:eastAsia="黑体"/>
      <w:b/>
      <w:sz w:val="32"/>
    </w:rPr>
  </w:style>
  <w:style w:type="paragraph" w:styleId="5">
    <w:name w:val="heading 3"/>
    <w:basedOn w:val="1"/>
    <w:next w:val="1"/>
    <w:qFormat/>
    <w:uiPriority w:val="0"/>
    <w:pPr>
      <w:keepNext/>
      <w:keepLines/>
      <w:adjustRightInd w:val="0"/>
      <w:spacing w:before="40" w:after="40" w:line="360" w:lineRule="auto"/>
      <w:textAlignment w:val="baseline"/>
      <w:outlineLvl w:val="2"/>
    </w:pPr>
    <w:rPr>
      <w:rFonts w:ascii="宋体" w:hAnsi="宋体"/>
      <w:b/>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qFormat/>
    <w:uiPriority w:val="0"/>
    <w:pPr>
      <w:widowControl w:val="0"/>
      <w:spacing w:after="120"/>
      <w:ind w:firstLine="420" w:firstLineChars="100"/>
      <w:jc w:val="both"/>
    </w:pPr>
    <w:rPr>
      <w:rFonts w:ascii="Times New Roman" w:hAnsi="Times New Roman" w:cs="Times New Roman" w:eastAsiaTheme="minorEastAsia"/>
      <w:kern w:val="2"/>
      <w:sz w:val="21"/>
      <w:szCs w:val="24"/>
      <w:lang w:val="en-US" w:eastAsia="zh-CN" w:bidi="ar-SA"/>
    </w:rPr>
  </w:style>
  <w:style w:type="paragraph" w:styleId="6">
    <w:name w:val="Note Heading"/>
    <w:next w:val="1"/>
    <w:qFormat/>
    <w:uiPriority w:val="99"/>
    <w:pPr>
      <w:widowControl w:val="0"/>
      <w:snapToGrid w:val="0"/>
      <w:spacing w:before="120" w:after="120" w:line="320" w:lineRule="exact"/>
      <w:ind w:firstLine="413" w:firstLineChars="200"/>
      <w:jc w:val="both"/>
    </w:pPr>
    <w:rPr>
      <w:rFonts w:ascii="宋体" w:hAnsi="宋体" w:eastAsia="宋体" w:cs="Times New Roman"/>
      <w:b/>
      <w:color w:val="000000"/>
      <w:kern w:val="2"/>
      <w:sz w:val="21"/>
      <w:szCs w:val="22"/>
      <w:lang w:val="en-US" w:eastAsia="zh-CN" w:bidi="ar-SA"/>
    </w:rPr>
  </w:style>
  <w:style w:type="paragraph" w:styleId="7">
    <w:name w:val="toa heading"/>
    <w:basedOn w:val="1"/>
    <w:next w:val="1"/>
    <w:semiHidden/>
    <w:qFormat/>
    <w:uiPriority w:val="99"/>
    <w:pPr>
      <w:spacing w:before="120"/>
    </w:pPr>
    <w:rPr>
      <w:rFonts w:ascii="Cambria" w:hAnsi="Cambria" w:cs="Cambria"/>
      <w:sz w:val="24"/>
      <w:szCs w:val="24"/>
    </w:rPr>
  </w:style>
  <w:style w:type="paragraph" w:styleId="8">
    <w:name w:val="annotation text"/>
    <w:basedOn w:val="1"/>
    <w:qFormat/>
    <w:uiPriority w:val="0"/>
    <w:pPr>
      <w:jc w:val="left"/>
    </w:pPr>
  </w:style>
  <w:style w:type="paragraph" w:styleId="9">
    <w:name w:val="Body Text"/>
    <w:basedOn w:val="1"/>
    <w:next w:val="1"/>
    <w:qFormat/>
    <w:uiPriority w:val="99"/>
    <w:pPr>
      <w:spacing w:line="480" w:lineRule="atLeast"/>
    </w:pPr>
    <w:rPr>
      <w:rFonts w:ascii="楷体_GB2312" w:eastAsia="楷体_GB2312"/>
      <w:b/>
      <w:sz w:val="30"/>
    </w:rPr>
  </w:style>
  <w:style w:type="paragraph" w:styleId="10">
    <w:name w:val="Body Text Indent"/>
    <w:basedOn w:val="1"/>
    <w:qFormat/>
    <w:uiPriority w:val="0"/>
    <w:pPr>
      <w:ind w:firstLine="360"/>
    </w:pPr>
    <w:rPr>
      <w:rFonts w:ascii="Arial" w:hAnsi="Arial"/>
    </w:rPr>
  </w:style>
  <w:style w:type="paragraph" w:styleId="11">
    <w:name w:val="Plain Text"/>
    <w:basedOn w:val="1"/>
    <w:next w:val="1"/>
    <w:qFormat/>
    <w:uiPriority w:val="0"/>
    <w:rPr>
      <w:rFonts w:ascii="宋体" w:hAnsi="Courier New"/>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2"/>
    <w:basedOn w:val="1"/>
    <w:qFormat/>
    <w:uiPriority w:val="0"/>
    <w:rPr>
      <w:sz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qFormat/>
    <w:uiPriority w:val="0"/>
    <w:rPr>
      <w:sz w:val="21"/>
      <w:szCs w:val="21"/>
    </w:rPr>
  </w:style>
  <w:style w:type="paragraph" w:customStyle="1" w:styleId="19">
    <w:name w:val="列出段落1"/>
    <w:basedOn w:val="1"/>
    <w:qFormat/>
    <w:uiPriority w:val="0"/>
    <w:pPr>
      <w:widowControl/>
      <w:ind w:firstLine="420" w:firstLineChars="200"/>
      <w:jc w:val="left"/>
    </w:pPr>
    <w:rPr>
      <w:rFonts w:ascii="Cambria" w:hAnsi="Cambria" w:eastAsia="微软雅黑"/>
      <w:color w:val="595959"/>
      <w:kern w:val="20"/>
      <w:lang w:val="zh-CN"/>
    </w:rPr>
  </w:style>
  <w:style w:type="paragraph" w:customStyle="1" w:styleId="2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1">
    <w:name w:val="xl29"/>
    <w:basedOn w:val="1"/>
    <w:qFormat/>
    <w:uiPriority w:val="0"/>
    <w:pPr>
      <w:widowControl/>
      <w:spacing w:before="100" w:beforeAutospacing="1" w:after="100" w:afterAutospacing="1"/>
      <w:jc w:val="center"/>
    </w:pPr>
    <w:rPr>
      <w:rFonts w:ascii="宋体" w:hAnsi="宋体"/>
      <w:szCs w:val="28"/>
    </w:rPr>
  </w:style>
  <w:style w:type="paragraph" w:customStyle="1" w:styleId="22">
    <w:name w:val="样式 小四 段前: 5 磅 段后: 5 磅 首行缩进:  2 字符"/>
    <w:basedOn w:val="1"/>
    <w:qFormat/>
    <w:uiPriority w:val="0"/>
    <w:pPr>
      <w:spacing w:line="360" w:lineRule="auto"/>
    </w:pPr>
    <w:rPr>
      <w:rFonts w:ascii="宋体" w:hAnsi="宋体"/>
      <w:color w:val="000000"/>
      <w:sz w:val="24"/>
    </w:rPr>
  </w:style>
  <w:style w:type="paragraph" w:customStyle="1" w:styleId="23">
    <w:name w:val="_Style 4"/>
    <w:basedOn w:val="1"/>
    <w:qFormat/>
    <w:uiPriority w:val="34"/>
    <w:pPr>
      <w:ind w:firstLine="420" w:firstLineChars="200"/>
    </w:pPr>
  </w:style>
  <w:style w:type="character" w:customStyle="1" w:styleId="24">
    <w:name w:val="p141"/>
    <w:qFormat/>
    <w:uiPriority w:val="0"/>
    <w:rPr>
      <w:sz w:val="21"/>
      <w:szCs w:val="21"/>
    </w:rPr>
  </w:style>
  <w:style w:type="character" w:customStyle="1" w:styleId="25">
    <w:name w:val="font101"/>
    <w:basedOn w:val="17"/>
    <w:qFormat/>
    <w:uiPriority w:val="0"/>
    <w:rPr>
      <w:rFonts w:hint="eastAsia" w:ascii="宋体" w:hAnsi="宋体" w:eastAsia="宋体" w:cs="宋体"/>
      <w:color w:val="000000"/>
      <w:sz w:val="20"/>
      <w:szCs w:val="20"/>
      <w:u w:val="none"/>
    </w:rPr>
  </w:style>
  <w:style w:type="character" w:customStyle="1" w:styleId="26">
    <w:name w:val="font11"/>
    <w:basedOn w:val="17"/>
    <w:qFormat/>
    <w:uiPriority w:val="0"/>
    <w:rPr>
      <w:rFonts w:hint="eastAsia" w:ascii="宋体" w:hAnsi="宋体" w:eastAsia="宋体" w:cs="宋体"/>
      <w:color w:val="000000"/>
      <w:sz w:val="20"/>
      <w:szCs w:val="20"/>
      <w:u w:val="none"/>
    </w:rPr>
  </w:style>
  <w:style w:type="character" w:customStyle="1" w:styleId="27">
    <w:name w:val="font71"/>
    <w:basedOn w:val="17"/>
    <w:qFormat/>
    <w:uiPriority w:val="0"/>
    <w:rPr>
      <w:rFonts w:hint="eastAsia" w:ascii="宋体" w:hAnsi="宋体" w:eastAsia="宋体" w:cs="宋体"/>
      <w:color w:val="000000"/>
      <w:sz w:val="20"/>
      <w:szCs w:val="20"/>
      <w:u w:val="none"/>
    </w:rPr>
  </w:style>
  <w:style w:type="paragraph" w:customStyle="1" w:styleId="28">
    <w:name w:val="Revision"/>
    <w:hidden/>
    <w:unhideWhenUsed/>
    <w:qFormat/>
    <w:uiPriority w:val="99"/>
    <w:rPr>
      <w:rFonts w:ascii="Calibri" w:hAnsi="Calibri" w:eastAsia="宋体" w:cs="Arial"/>
      <w:kern w:val="2"/>
      <w:sz w:val="21"/>
      <w:szCs w:val="22"/>
      <w:lang w:val="en-US" w:eastAsia="zh-CN" w:bidi="ar-SA"/>
    </w:rPr>
  </w:style>
  <w:style w:type="character" w:customStyle="1" w:styleId="29">
    <w:name w:val="font21"/>
    <w:basedOn w:val="17"/>
    <w:qFormat/>
    <w:uiPriority w:val="0"/>
    <w:rPr>
      <w:rFonts w:hint="eastAsia" w:ascii="宋体" w:hAnsi="宋体" w:eastAsia="宋体" w:cs="宋体"/>
      <w:b/>
      <w:bCs/>
      <w:color w:val="000000"/>
      <w:sz w:val="24"/>
      <w:szCs w:val="24"/>
      <w:u w:val="none"/>
    </w:rPr>
  </w:style>
  <w:style w:type="paragraph" w:customStyle="1" w:styleId="30">
    <w:name w:val="样式 小四 行距: 1.5 倍行距"/>
    <w:qFormat/>
    <w:uiPriority w:val="0"/>
    <w:pPr>
      <w:ind w:firstLine="480"/>
    </w:pPr>
    <w:rPr>
      <w:rFonts w:ascii="Times New Roman" w:hAnsi="Times New Roman" w:eastAsia="宋体" w:cs="宋体"/>
      <w:kern w:val="2"/>
      <w:sz w:val="21"/>
      <w:lang w:val="en-US" w:eastAsia="zh-CN" w:bidi="ar-SA"/>
    </w:rPr>
  </w:style>
  <w:style w:type="character" w:customStyle="1" w:styleId="31">
    <w:name w:val="font31"/>
    <w:basedOn w:val="17"/>
    <w:qFormat/>
    <w:uiPriority w:val="0"/>
    <w:rPr>
      <w:rFonts w:hint="eastAsia" w:ascii="宋体" w:hAnsi="宋体" w:eastAsia="宋体" w:cs="宋体"/>
      <w:b/>
      <w:bCs/>
      <w:color w:val="000000"/>
      <w:sz w:val="18"/>
      <w:szCs w:val="18"/>
      <w:u w:val="none"/>
    </w:rPr>
  </w:style>
  <w:style w:type="paragraph" w:customStyle="1" w:styleId="32">
    <w:name w:val="_Style 3"/>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20702</Words>
  <Characters>21428</Characters>
  <Lines>170</Lines>
  <Paragraphs>48</Paragraphs>
  <TotalTime>3</TotalTime>
  <ScaleCrop>false</ScaleCrop>
  <LinksUpToDate>false</LinksUpToDate>
  <CharactersWithSpaces>23621</CharactersWithSpaces>
  <Application>WPS Office_11.1.0.14244_F1E327BC-269C-435d-A152-05C5408002CA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2023-09-18T10:57:00Z</dcterms:created>
  <dc:creator>.</dc:creator>
  <cp:lastModifiedBy>A</cp:lastModifiedBy>
  <cp:lastPrinted>2024-12-20T09:12:00Z</cp:lastPrinted>
  <dcterms:modified xsi:type="dcterms:W3CDTF">2024-12-21T01:09:36Z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2052-11.1.0.14244</vt:lpwstr>
  </property>
  <property fmtid="{D5CDD505-2E9C-101B-9397-08002B2CF9AE}" pid="3" name="ICV">
    <vt:lpwstr>0B940D42E990466791A40B557D3A0C76_13</vt:lpwstr>
  </property>
</Properties>
</file>