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F1FF22">
      <w:pPr>
        <w:spacing w:line="360" w:lineRule="exact"/>
        <w:rPr>
          <w:rFonts w:ascii="宋体" w:hAnsi="宋体" w:eastAsia="宋体" w:cs="宋体"/>
          <w:color w:val="auto"/>
          <w:szCs w:val="21"/>
          <w:highlight w:val="none"/>
        </w:rPr>
      </w:pPr>
      <w:bookmarkStart w:id="54" w:name="_GoBack"/>
    </w:p>
    <w:p w14:paraId="5338D3E0">
      <w:pPr>
        <w:jc w:val="center"/>
        <w:rPr>
          <w:rFonts w:ascii="宋体" w:hAnsi="宋体" w:eastAsia="宋体" w:cs="宋体"/>
          <w:color w:val="auto"/>
          <w:sz w:val="72"/>
          <w:szCs w:val="72"/>
          <w:highlight w:val="none"/>
        </w:rPr>
      </w:pPr>
      <w:r>
        <w:rPr>
          <w:rFonts w:hint="eastAsia" w:ascii="宋体" w:hAnsi="宋体" w:eastAsia="黑体" w:cstheme="minorBidi"/>
          <w:color w:val="auto"/>
          <w:sz w:val="48"/>
          <w:szCs w:val="48"/>
          <w:highlight w:val="none"/>
          <w:lang w:eastAsia="zh-CN"/>
        </w:rPr>
        <w:t>粤港澳大湾区青少年国情教育实践基地（虎门渡口西岸物业提升改造项目）一期工程监理服务</w:t>
      </w:r>
      <w:r>
        <w:rPr>
          <w:rFonts w:hint="eastAsia" w:ascii="宋体" w:hAnsi="宋体" w:eastAsia="宋体" w:cs="宋体"/>
          <w:color w:val="auto"/>
          <w:sz w:val="44"/>
          <w:szCs w:val="44"/>
          <w:highlight w:val="none"/>
        </w:rPr>
        <w:t xml:space="preserve"> </w:t>
      </w:r>
    </w:p>
    <w:p w14:paraId="72EA30BB">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14:paraId="21BCD9D7">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14:paraId="04E67945">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48008F68">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01EE1078">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5DFC9673">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4E8A7049">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58452709">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6E0CC91A">
      <w:pPr>
        <w:spacing w:line="520" w:lineRule="exact"/>
        <w:ind w:right="-101" w:rightChars="-48" w:firstLine="640" w:firstLineChars="200"/>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w:t>
      </w:r>
      <w:r>
        <w:rPr>
          <w:rFonts w:hint="eastAsia" w:ascii="宋体" w:hAnsi="宋体" w:eastAsia="宋体" w:cs="宋体"/>
          <w:b/>
          <w:color w:val="auto"/>
          <w:sz w:val="32"/>
          <w:szCs w:val="32"/>
          <w:highlight w:val="none"/>
          <w:u w:val="none"/>
          <w:lang w:eastAsia="zh-CN"/>
        </w:rPr>
        <w:t>广东南沙虎门汽车渡轮有限公司</w:t>
      </w:r>
      <w:r>
        <w:rPr>
          <w:rFonts w:hint="eastAsia" w:ascii="宋体" w:hAnsi="宋体" w:eastAsia="宋体" w:cs="宋体"/>
          <w:b/>
          <w:color w:val="auto"/>
          <w:sz w:val="32"/>
          <w:szCs w:val="32"/>
          <w:highlight w:val="none"/>
        </w:rPr>
        <w:t>（业主单位）</w:t>
      </w:r>
    </w:p>
    <w:p w14:paraId="1DB8BB70">
      <w:pPr>
        <w:spacing w:line="520" w:lineRule="exact"/>
        <w:ind w:right="-101" w:rightChars="-48" w:firstLine="2570" w:firstLineChars="800"/>
        <w:rPr>
          <w:rFonts w:ascii="宋体" w:hAnsi="宋体" w:eastAsia="宋体" w:cs="宋体"/>
          <w:b/>
          <w:color w:val="auto"/>
          <w:sz w:val="32"/>
          <w:szCs w:val="32"/>
          <w:highlight w:val="none"/>
        </w:rPr>
      </w:pPr>
      <w:bookmarkStart w:id="0" w:name="OLE_LINK4"/>
      <w:bookmarkEnd w:id="0"/>
      <w:r>
        <w:rPr>
          <w:rFonts w:hint="eastAsia" w:ascii="宋体" w:hAnsi="宋体" w:eastAsia="宋体" w:cs="宋体"/>
          <w:b/>
          <w:color w:val="auto"/>
          <w:sz w:val="32"/>
          <w:szCs w:val="32"/>
          <w:highlight w:val="none"/>
        </w:rPr>
        <w:t>广州南沙建设维护管理有限公司（建设管理单位）</w:t>
      </w:r>
    </w:p>
    <w:p w14:paraId="3244906F">
      <w:pPr>
        <w:spacing w:line="520" w:lineRule="exact"/>
        <w:ind w:right="-101" w:rightChars="-48" w:firstLine="1928" w:firstLineChars="6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    期：202</w:t>
      </w:r>
      <w:r>
        <w:rPr>
          <w:rFonts w:hint="eastAsia" w:ascii="宋体" w:hAnsi="宋体" w:eastAsia="宋体" w:cs="宋体"/>
          <w:b/>
          <w:color w:val="auto"/>
          <w:sz w:val="32"/>
          <w:szCs w:val="32"/>
          <w:highlight w:val="none"/>
          <w:lang w:val="en-US" w:eastAsia="zh-CN"/>
        </w:rPr>
        <w:t>5</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2</w:t>
      </w:r>
      <w:r>
        <w:rPr>
          <w:rFonts w:hint="eastAsia" w:ascii="宋体" w:hAnsi="宋体" w:eastAsia="宋体" w:cs="宋体"/>
          <w:b/>
          <w:color w:val="auto"/>
          <w:sz w:val="32"/>
          <w:szCs w:val="32"/>
          <w:highlight w:val="none"/>
          <w:lang w:eastAsia="zh-CN"/>
        </w:rPr>
        <w:t>月</w:t>
      </w:r>
      <w:r>
        <w:rPr>
          <w:rFonts w:hint="eastAsia" w:ascii="宋体" w:hAnsi="宋体" w:eastAsia="宋体" w:cs="宋体"/>
          <w:b/>
          <w:color w:val="auto"/>
          <w:sz w:val="32"/>
          <w:szCs w:val="32"/>
          <w:highlight w:val="none"/>
        </w:rPr>
        <w:t xml:space="preserve">  </w:t>
      </w:r>
    </w:p>
    <w:p w14:paraId="73E1B431">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bookmarkStart w:id="1" w:name="_Toc29976"/>
    </w:p>
    <w:p w14:paraId="1C00E943">
      <w:pPr>
        <w:rPr>
          <w:rFonts w:ascii="黑体" w:hAnsi="宋体" w:eastAsia="黑体" w:cs="黑体"/>
          <w:color w:val="auto"/>
          <w:sz w:val="36"/>
          <w:szCs w:val="36"/>
          <w:highlight w:val="none"/>
        </w:rPr>
      </w:pPr>
    </w:p>
    <w:bookmarkEnd w:id="1"/>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sz w:val="32"/>
          <w:szCs w:val="32"/>
          <w:highlight w:val="none"/>
        </w:rPr>
      </w:sdtEndPr>
      <w:sdtContent>
        <w:p w14:paraId="0C8392C4">
          <w:pPr>
            <w:spacing w:line="360" w:lineRule="auto"/>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14:paraId="15F5BFC3">
          <w:pPr>
            <w:pStyle w:val="13"/>
            <w:tabs>
              <w:tab w:val="right" w:leader="dot" w:pos="9419"/>
            </w:tabs>
            <w:rPr>
              <w:color w:val="auto"/>
              <w:sz w:val="32"/>
              <w:szCs w:val="32"/>
              <w:highlight w:val="none"/>
            </w:rPr>
          </w:pPr>
          <w:r>
            <w:rPr>
              <w:rFonts w:hint="eastAsia" w:asciiTheme="minorEastAsia" w:hAnsiTheme="minorEastAsia" w:eastAsiaTheme="minorEastAsia" w:cstheme="minorEastAsia"/>
              <w:color w:val="auto"/>
              <w:sz w:val="32"/>
              <w:szCs w:val="32"/>
              <w:highlight w:val="none"/>
            </w:rPr>
            <w:fldChar w:fldCharType="begin"/>
          </w:r>
          <w:r>
            <w:rPr>
              <w:rFonts w:hint="eastAsia" w:asciiTheme="minorEastAsia" w:hAnsiTheme="minorEastAsia" w:eastAsiaTheme="minorEastAsia" w:cstheme="minorEastAsia"/>
              <w:color w:val="auto"/>
              <w:sz w:val="32"/>
              <w:szCs w:val="32"/>
              <w:highlight w:val="none"/>
            </w:rPr>
            <w:instrText xml:space="preserve">TOC \o "1-1" \h \u </w:instrText>
          </w:r>
          <w:r>
            <w:rPr>
              <w:rFonts w:hint="eastAsia" w:asciiTheme="minorEastAsia" w:hAnsiTheme="minorEastAsia" w:eastAsiaTheme="minorEastAsia" w:cstheme="minorEastAsia"/>
              <w:color w:val="auto"/>
              <w:sz w:val="32"/>
              <w:szCs w:val="32"/>
              <w:highlight w:val="none"/>
            </w:rPr>
            <w:fldChar w:fldCharType="separate"/>
          </w:r>
          <w:r>
            <w:rPr>
              <w:rFonts w:hint="eastAsia" w:asciiTheme="minorEastAsia" w:hAnsiTheme="minorEastAsia" w:cstheme="minorEastAsia"/>
              <w:color w:val="auto"/>
              <w:sz w:val="32"/>
              <w:szCs w:val="32"/>
              <w:highlight w:val="none"/>
            </w:rPr>
            <w:fldChar w:fldCharType="begin"/>
          </w:r>
          <w:r>
            <w:rPr>
              <w:rFonts w:hint="eastAsia" w:asciiTheme="minorEastAsia" w:hAnsiTheme="minorEastAsia" w:cstheme="minorEastAsia"/>
              <w:color w:val="auto"/>
              <w:sz w:val="32"/>
              <w:szCs w:val="32"/>
              <w:highlight w:val="none"/>
            </w:rPr>
            <w:instrText xml:space="preserve"> HYPERLINK \l _Toc30477 </w:instrText>
          </w:r>
          <w:r>
            <w:rPr>
              <w:rFonts w:hint="eastAsia" w:asciiTheme="minorEastAsia" w:hAnsiTheme="minorEastAsia" w:cstheme="minorEastAsia"/>
              <w:color w:val="auto"/>
              <w:sz w:val="32"/>
              <w:szCs w:val="32"/>
              <w:highlight w:val="none"/>
            </w:rPr>
            <w:fldChar w:fldCharType="separate"/>
          </w:r>
          <w:r>
            <w:rPr>
              <w:rFonts w:hint="eastAsia" w:ascii="黑体" w:hAnsi="宋体" w:cs="黑体"/>
              <w:color w:val="auto"/>
              <w:kern w:val="44"/>
              <w:sz w:val="32"/>
              <w:szCs w:val="32"/>
              <w:highlight w:val="none"/>
            </w:rPr>
            <w:t>第1章 投标须知及前附表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_Toc30477 \h </w:instrText>
          </w:r>
          <w:r>
            <w:rPr>
              <w:color w:val="auto"/>
              <w:sz w:val="32"/>
              <w:szCs w:val="32"/>
              <w:highlight w:val="none"/>
            </w:rPr>
            <w:fldChar w:fldCharType="separate"/>
          </w:r>
          <w:r>
            <w:rPr>
              <w:color w:val="auto"/>
              <w:sz w:val="32"/>
              <w:szCs w:val="32"/>
              <w:highlight w:val="none"/>
            </w:rPr>
            <w:t>1</w:t>
          </w:r>
          <w:r>
            <w:rPr>
              <w:color w:val="auto"/>
              <w:sz w:val="32"/>
              <w:szCs w:val="32"/>
              <w:highlight w:val="none"/>
            </w:rPr>
            <w:fldChar w:fldCharType="end"/>
          </w:r>
          <w:r>
            <w:rPr>
              <w:rFonts w:hint="eastAsia" w:asciiTheme="minorEastAsia" w:hAnsiTheme="minorEastAsia" w:cstheme="minorEastAsia"/>
              <w:color w:val="auto"/>
              <w:sz w:val="32"/>
              <w:szCs w:val="32"/>
              <w:highlight w:val="none"/>
            </w:rPr>
            <w:fldChar w:fldCharType="end"/>
          </w:r>
        </w:p>
        <w:p w14:paraId="2B86FBA3">
          <w:pPr>
            <w:pStyle w:val="13"/>
            <w:tabs>
              <w:tab w:val="right" w:leader="dot" w:pos="9419"/>
            </w:tabs>
            <w:rPr>
              <w:color w:val="auto"/>
              <w:sz w:val="32"/>
              <w:szCs w:val="32"/>
              <w:highlight w:val="none"/>
            </w:rPr>
          </w:pPr>
          <w:r>
            <w:rPr>
              <w:rFonts w:hint="eastAsia" w:asciiTheme="minorEastAsia" w:hAnsiTheme="minorEastAsia" w:cstheme="minorEastAsia"/>
              <w:color w:val="auto"/>
              <w:sz w:val="32"/>
              <w:szCs w:val="32"/>
              <w:highlight w:val="none"/>
            </w:rPr>
            <w:fldChar w:fldCharType="begin"/>
          </w:r>
          <w:r>
            <w:rPr>
              <w:rFonts w:hint="eastAsia" w:asciiTheme="minorEastAsia" w:hAnsiTheme="minorEastAsia" w:cstheme="minorEastAsia"/>
              <w:color w:val="auto"/>
              <w:sz w:val="32"/>
              <w:szCs w:val="32"/>
              <w:highlight w:val="none"/>
            </w:rPr>
            <w:instrText xml:space="preserve"> HYPERLINK \l _Toc17709 </w:instrText>
          </w:r>
          <w:r>
            <w:rPr>
              <w:rFonts w:hint="eastAsia" w:asciiTheme="minorEastAsia" w:hAnsiTheme="minorEastAsia" w:cstheme="minorEastAsia"/>
              <w:color w:val="auto"/>
              <w:sz w:val="32"/>
              <w:szCs w:val="32"/>
              <w:highlight w:val="none"/>
            </w:rPr>
            <w:fldChar w:fldCharType="separate"/>
          </w:r>
          <w:r>
            <w:rPr>
              <w:rFonts w:hint="eastAsia" w:ascii="黑体" w:hAnsi="宋体" w:cs="黑体"/>
              <w:color w:val="auto"/>
              <w:kern w:val="44"/>
              <w:sz w:val="32"/>
              <w:szCs w:val="32"/>
              <w:highlight w:val="none"/>
            </w:rPr>
            <w:t>第2章  投标格式文件</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_Toc17709 \h </w:instrText>
          </w:r>
          <w:r>
            <w:rPr>
              <w:color w:val="auto"/>
              <w:sz w:val="32"/>
              <w:szCs w:val="32"/>
              <w:highlight w:val="none"/>
            </w:rPr>
            <w:fldChar w:fldCharType="separate"/>
          </w:r>
          <w:r>
            <w:rPr>
              <w:color w:val="auto"/>
              <w:sz w:val="32"/>
              <w:szCs w:val="32"/>
              <w:highlight w:val="none"/>
            </w:rPr>
            <w:t>15</w:t>
          </w:r>
          <w:r>
            <w:rPr>
              <w:color w:val="auto"/>
              <w:sz w:val="32"/>
              <w:szCs w:val="32"/>
              <w:highlight w:val="none"/>
            </w:rPr>
            <w:fldChar w:fldCharType="end"/>
          </w:r>
          <w:r>
            <w:rPr>
              <w:rFonts w:hint="eastAsia" w:asciiTheme="minorEastAsia" w:hAnsiTheme="minorEastAsia" w:cstheme="minorEastAsia"/>
              <w:color w:val="auto"/>
              <w:sz w:val="32"/>
              <w:szCs w:val="32"/>
              <w:highlight w:val="none"/>
            </w:rPr>
            <w:fldChar w:fldCharType="end"/>
          </w:r>
        </w:p>
        <w:p w14:paraId="1307B02A">
          <w:pPr>
            <w:pStyle w:val="13"/>
            <w:tabs>
              <w:tab w:val="right" w:leader="dot" w:pos="9419"/>
            </w:tabs>
            <w:rPr>
              <w:color w:val="auto"/>
              <w:sz w:val="32"/>
              <w:szCs w:val="32"/>
              <w:highlight w:val="none"/>
            </w:rPr>
          </w:pPr>
          <w:r>
            <w:rPr>
              <w:rFonts w:hint="eastAsia" w:asciiTheme="minorEastAsia" w:hAnsiTheme="minorEastAsia" w:cstheme="minorEastAsia"/>
              <w:color w:val="auto"/>
              <w:sz w:val="32"/>
              <w:szCs w:val="32"/>
              <w:highlight w:val="none"/>
            </w:rPr>
            <w:fldChar w:fldCharType="begin"/>
          </w:r>
          <w:r>
            <w:rPr>
              <w:rFonts w:hint="eastAsia" w:asciiTheme="minorEastAsia" w:hAnsiTheme="minorEastAsia" w:cstheme="minorEastAsia"/>
              <w:color w:val="auto"/>
              <w:sz w:val="32"/>
              <w:szCs w:val="32"/>
              <w:highlight w:val="none"/>
            </w:rPr>
            <w:instrText xml:space="preserve"> HYPERLINK \l _Toc14259 </w:instrText>
          </w:r>
          <w:r>
            <w:rPr>
              <w:rFonts w:hint="eastAsia" w:asciiTheme="minorEastAsia" w:hAnsiTheme="minorEastAsia" w:cstheme="minorEastAsia"/>
              <w:color w:val="auto"/>
              <w:sz w:val="32"/>
              <w:szCs w:val="32"/>
              <w:highlight w:val="none"/>
            </w:rPr>
            <w:fldChar w:fldCharType="separate"/>
          </w:r>
          <w:r>
            <w:rPr>
              <w:rFonts w:hint="eastAsia" w:ascii="黑体" w:hAnsi="宋体" w:cs="黑体"/>
              <w:color w:val="auto"/>
              <w:kern w:val="44"/>
              <w:sz w:val="32"/>
              <w:szCs w:val="32"/>
              <w:highlight w:val="none"/>
            </w:rPr>
            <w:t>第3章 评标办法</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_Toc14259 \h </w:instrText>
          </w:r>
          <w:r>
            <w:rPr>
              <w:color w:val="auto"/>
              <w:sz w:val="32"/>
              <w:szCs w:val="32"/>
              <w:highlight w:val="none"/>
            </w:rPr>
            <w:fldChar w:fldCharType="separate"/>
          </w:r>
          <w:r>
            <w:rPr>
              <w:color w:val="auto"/>
              <w:sz w:val="32"/>
              <w:szCs w:val="32"/>
              <w:highlight w:val="none"/>
            </w:rPr>
            <w:t>27</w:t>
          </w:r>
          <w:r>
            <w:rPr>
              <w:color w:val="auto"/>
              <w:sz w:val="32"/>
              <w:szCs w:val="32"/>
              <w:highlight w:val="none"/>
            </w:rPr>
            <w:fldChar w:fldCharType="end"/>
          </w:r>
          <w:r>
            <w:rPr>
              <w:rFonts w:hint="eastAsia" w:asciiTheme="minorEastAsia" w:hAnsiTheme="minorEastAsia" w:cstheme="minorEastAsia"/>
              <w:color w:val="auto"/>
              <w:sz w:val="32"/>
              <w:szCs w:val="32"/>
              <w:highlight w:val="none"/>
            </w:rPr>
            <w:fldChar w:fldCharType="end"/>
          </w:r>
        </w:p>
        <w:p w14:paraId="751EDBC0">
          <w:pPr>
            <w:pStyle w:val="13"/>
            <w:tabs>
              <w:tab w:val="right" w:leader="dot" w:pos="9419"/>
            </w:tabs>
            <w:rPr>
              <w:color w:val="auto"/>
              <w:sz w:val="32"/>
              <w:szCs w:val="32"/>
              <w:highlight w:val="none"/>
            </w:rPr>
          </w:pPr>
          <w:r>
            <w:rPr>
              <w:rFonts w:hint="eastAsia" w:asciiTheme="minorEastAsia" w:hAnsiTheme="minorEastAsia" w:cstheme="minorEastAsia"/>
              <w:color w:val="auto"/>
              <w:sz w:val="32"/>
              <w:szCs w:val="32"/>
              <w:highlight w:val="none"/>
            </w:rPr>
            <w:fldChar w:fldCharType="begin"/>
          </w:r>
          <w:r>
            <w:rPr>
              <w:rFonts w:hint="eastAsia" w:asciiTheme="minorEastAsia" w:hAnsiTheme="minorEastAsia" w:cstheme="minorEastAsia"/>
              <w:color w:val="auto"/>
              <w:sz w:val="32"/>
              <w:szCs w:val="32"/>
              <w:highlight w:val="none"/>
            </w:rPr>
            <w:instrText xml:space="preserve"> HYPERLINK \l _Toc22242 </w:instrText>
          </w:r>
          <w:r>
            <w:rPr>
              <w:rFonts w:hint="eastAsia" w:asciiTheme="minorEastAsia" w:hAnsiTheme="minorEastAsia" w:cstheme="minorEastAsia"/>
              <w:color w:val="auto"/>
              <w:sz w:val="32"/>
              <w:szCs w:val="32"/>
              <w:highlight w:val="none"/>
            </w:rPr>
            <w:fldChar w:fldCharType="separate"/>
          </w:r>
          <w:r>
            <w:rPr>
              <w:rFonts w:hint="eastAsia" w:ascii="仿宋" w:hAnsi="仿宋" w:eastAsia="仿宋" w:cs="仿宋"/>
              <w:color w:val="auto"/>
              <w:sz w:val="32"/>
              <w:szCs w:val="32"/>
              <w:highlight w:val="none"/>
            </w:rPr>
            <w:t>附件1：符合性审查表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_Toc22242 \h </w:instrText>
          </w:r>
          <w:r>
            <w:rPr>
              <w:color w:val="auto"/>
              <w:sz w:val="32"/>
              <w:szCs w:val="32"/>
              <w:highlight w:val="none"/>
            </w:rPr>
            <w:fldChar w:fldCharType="separate"/>
          </w:r>
          <w:r>
            <w:rPr>
              <w:color w:val="auto"/>
              <w:sz w:val="32"/>
              <w:szCs w:val="32"/>
              <w:highlight w:val="none"/>
            </w:rPr>
            <w:t>35</w:t>
          </w:r>
          <w:r>
            <w:rPr>
              <w:color w:val="auto"/>
              <w:sz w:val="32"/>
              <w:szCs w:val="32"/>
              <w:highlight w:val="none"/>
            </w:rPr>
            <w:fldChar w:fldCharType="end"/>
          </w:r>
          <w:r>
            <w:rPr>
              <w:rFonts w:hint="eastAsia" w:asciiTheme="minorEastAsia" w:hAnsiTheme="minorEastAsia" w:cstheme="minorEastAsia"/>
              <w:color w:val="auto"/>
              <w:sz w:val="32"/>
              <w:szCs w:val="32"/>
              <w:highlight w:val="none"/>
            </w:rPr>
            <w:fldChar w:fldCharType="end"/>
          </w:r>
        </w:p>
        <w:p w14:paraId="1A928A98">
          <w:pPr>
            <w:pStyle w:val="13"/>
            <w:tabs>
              <w:tab w:val="right" w:leader="dot" w:pos="9419"/>
            </w:tabs>
            <w:rPr>
              <w:color w:val="auto"/>
              <w:sz w:val="32"/>
              <w:szCs w:val="32"/>
              <w:highlight w:val="none"/>
            </w:rPr>
          </w:pPr>
          <w:r>
            <w:rPr>
              <w:rFonts w:hint="eastAsia" w:asciiTheme="minorEastAsia" w:hAnsiTheme="minorEastAsia" w:cstheme="minorEastAsia"/>
              <w:color w:val="auto"/>
              <w:sz w:val="32"/>
              <w:szCs w:val="32"/>
              <w:highlight w:val="none"/>
            </w:rPr>
            <w:fldChar w:fldCharType="begin"/>
          </w:r>
          <w:r>
            <w:rPr>
              <w:rFonts w:hint="eastAsia" w:asciiTheme="minorEastAsia" w:hAnsiTheme="minorEastAsia" w:cstheme="minorEastAsia"/>
              <w:color w:val="auto"/>
              <w:sz w:val="32"/>
              <w:szCs w:val="32"/>
              <w:highlight w:val="none"/>
            </w:rPr>
            <w:instrText xml:space="preserve"> HYPERLINK \l _Toc11456 </w:instrText>
          </w:r>
          <w:r>
            <w:rPr>
              <w:rFonts w:hint="eastAsia" w:asciiTheme="minorEastAsia" w:hAnsiTheme="minorEastAsia" w:cstheme="minorEastAsia"/>
              <w:color w:val="auto"/>
              <w:sz w:val="32"/>
              <w:szCs w:val="32"/>
              <w:highlight w:val="none"/>
            </w:rPr>
            <w:fldChar w:fldCharType="separate"/>
          </w:r>
          <w:r>
            <w:rPr>
              <w:rFonts w:hint="eastAsia" w:ascii="仿宋" w:hAnsi="仿宋" w:eastAsia="仿宋" w:cs="仿宋"/>
              <w:color w:val="auto"/>
              <w:sz w:val="32"/>
              <w:szCs w:val="32"/>
              <w:highlight w:val="none"/>
            </w:rPr>
            <w:t>附件2综合评分表（100分）</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_Toc11456 \h </w:instrText>
          </w:r>
          <w:r>
            <w:rPr>
              <w:color w:val="auto"/>
              <w:sz w:val="32"/>
              <w:szCs w:val="32"/>
              <w:highlight w:val="none"/>
            </w:rPr>
            <w:fldChar w:fldCharType="separate"/>
          </w:r>
          <w:r>
            <w:rPr>
              <w:color w:val="auto"/>
              <w:sz w:val="32"/>
              <w:szCs w:val="32"/>
              <w:highlight w:val="none"/>
            </w:rPr>
            <w:t>36</w:t>
          </w:r>
          <w:r>
            <w:rPr>
              <w:color w:val="auto"/>
              <w:sz w:val="32"/>
              <w:szCs w:val="32"/>
              <w:highlight w:val="none"/>
            </w:rPr>
            <w:fldChar w:fldCharType="end"/>
          </w:r>
          <w:r>
            <w:rPr>
              <w:rFonts w:hint="eastAsia" w:asciiTheme="minorEastAsia" w:hAnsiTheme="minorEastAsia" w:cstheme="minorEastAsia"/>
              <w:color w:val="auto"/>
              <w:sz w:val="32"/>
              <w:szCs w:val="32"/>
              <w:highlight w:val="none"/>
            </w:rPr>
            <w:fldChar w:fldCharType="end"/>
          </w:r>
        </w:p>
        <w:p w14:paraId="75AF6F0D">
          <w:pPr>
            <w:spacing w:line="360" w:lineRule="auto"/>
            <w:rPr>
              <w:color w:val="auto"/>
              <w:sz w:val="32"/>
              <w:szCs w:val="32"/>
              <w:highlight w:val="none"/>
            </w:rPr>
          </w:pPr>
          <w:r>
            <w:rPr>
              <w:rFonts w:hint="eastAsia" w:asciiTheme="minorEastAsia" w:hAnsiTheme="minorEastAsia" w:cstheme="minorEastAsia"/>
              <w:color w:val="auto"/>
              <w:sz w:val="32"/>
              <w:szCs w:val="32"/>
              <w:highlight w:val="none"/>
            </w:rPr>
            <w:fldChar w:fldCharType="end"/>
          </w:r>
        </w:p>
      </w:sdtContent>
    </w:sdt>
    <w:p w14:paraId="4BEBE31B">
      <w:pPr>
        <w:pStyle w:val="14"/>
        <w:widowControl/>
        <w:spacing w:after="0" w:line="360" w:lineRule="auto"/>
        <w:ind w:firstLine="0"/>
        <w:rPr>
          <w:rFonts w:ascii="宋体" w:hAnsi="宋体" w:cs="宋体"/>
          <w:color w:val="auto"/>
          <w:sz w:val="32"/>
          <w:szCs w:val="32"/>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sz w:val="32"/>
          <w:szCs w:val="32"/>
          <w:highlight w:val="none"/>
        </w:rPr>
        <w:t xml:space="preserve"> </w:t>
      </w:r>
    </w:p>
    <w:p w14:paraId="3AE9360F">
      <w:pPr>
        <w:pStyle w:val="2"/>
        <w:widowControl/>
        <w:spacing w:before="0" w:after="0" w:line="360" w:lineRule="auto"/>
        <w:jc w:val="center"/>
        <w:rPr>
          <w:rFonts w:ascii="黑体" w:hAnsi="宋体" w:cs="黑体"/>
          <w:b/>
          <w:color w:val="auto"/>
          <w:kern w:val="44"/>
          <w:sz w:val="44"/>
          <w:szCs w:val="44"/>
          <w:highlight w:val="none"/>
        </w:rPr>
      </w:pPr>
      <w:bookmarkStart w:id="2" w:name="_Toc374128472"/>
      <w:bookmarkStart w:id="3" w:name="_Toc30477"/>
      <w:bookmarkStart w:id="4" w:name="_Toc17710"/>
      <w:r>
        <w:rPr>
          <w:rFonts w:hint="eastAsia" w:ascii="黑体" w:hAnsi="宋体" w:cs="黑体"/>
          <w:b/>
          <w:color w:val="auto"/>
          <w:kern w:val="44"/>
          <w:sz w:val="44"/>
          <w:szCs w:val="44"/>
          <w:highlight w:val="none"/>
        </w:rPr>
        <w:t>第1章 投标须知及前附表</w:t>
      </w:r>
      <w:bookmarkEnd w:id="2"/>
      <w:bookmarkEnd w:id="3"/>
      <w:bookmarkEnd w:id="4"/>
    </w:p>
    <w:p w14:paraId="3260B848">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6"/>
        <w:tblW w:w="9709" w:type="dxa"/>
        <w:jc w:val="center"/>
        <w:tblLayout w:type="fixed"/>
        <w:tblCellMar>
          <w:top w:w="0" w:type="dxa"/>
          <w:left w:w="108" w:type="dxa"/>
          <w:bottom w:w="0" w:type="dxa"/>
          <w:right w:w="108" w:type="dxa"/>
        </w:tblCellMar>
      </w:tblPr>
      <w:tblGrid>
        <w:gridCol w:w="720"/>
        <w:gridCol w:w="990"/>
        <w:gridCol w:w="1706"/>
        <w:gridCol w:w="6293"/>
      </w:tblGrid>
      <w:tr w14:paraId="31F3D973">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14:paraId="5D46A15F">
            <w:pPr>
              <w:pStyle w:val="14"/>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14:paraId="75FB26AC">
            <w:pPr>
              <w:pStyle w:val="14"/>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14:paraId="05278E65">
            <w:pPr>
              <w:pStyle w:val="14"/>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14:paraId="48CAB57B">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14:paraId="74082DAE">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8C714D8">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1AC19EF">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4B39687">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1BA8E2D">
            <w:pPr>
              <w:pStyle w:val="14"/>
              <w:widowControl/>
              <w:spacing w:after="0" w:line="360" w:lineRule="auto"/>
              <w:ind w:firstLine="0"/>
              <w:rPr>
                <w:rFonts w:hint="eastAsia" w:ascii="宋体" w:hAnsi="宋体" w:eastAsia="宋体" w:cs="宋体"/>
                <w:color w:val="auto"/>
                <w:highlight w:val="none"/>
                <w:lang w:eastAsia="zh-CN"/>
              </w:rPr>
            </w:pPr>
            <w:r>
              <w:rPr>
                <w:rFonts w:hint="eastAsia" w:ascii="宋体" w:hAnsi="宋体" w:cs="宋体"/>
                <w:color w:val="auto"/>
                <w:highlight w:val="none"/>
                <w:lang w:eastAsia="zh-CN"/>
              </w:rPr>
              <w:t>粤港澳大湾区青少年国情教育实践基地（虎门渡口西岸物业提升改造项目）一期工程监理服务</w:t>
            </w:r>
          </w:p>
        </w:tc>
      </w:tr>
      <w:tr w14:paraId="262AB497">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4675F43">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8B702C4">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05C75F1">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551349E">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i w:val="0"/>
                <w:iCs w:val="0"/>
                <w:caps w:val="0"/>
                <w:color w:val="auto"/>
                <w:spacing w:val="0"/>
                <w:sz w:val="21"/>
                <w:szCs w:val="21"/>
                <w:highlight w:val="none"/>
                <w:shd w:val="clear" w:color="auto" w:fill="auto"/>
              </w:rPr>
              <w:t>广州市南沙区港前大道北2号</w:t>
            </w:r>
          </w:p>
        </w:tc>
      </w:tr>
      <w:tr w14:paraId="610576F2">
        <w:tblPrEx>
          <w:tblCellMar>
            <w:top w:w="0" w:type="dxa"/>
            <w:left w:w="108" w:type="dxa"/>
            <w:bottom w:w="0" w:type="dxa"/>
            <w:right w:w="108" w:type="dxa"/>
          </w:tblCellMar>
        </w:tblPrEx>
        <w:trPr>
          <w:trHeight w:val="96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E44ED60">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988568B">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74966DC">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8F5748D">
            <w:pPr>
              <w:widowControl/>
              <w:tabs>
                <w:tab w:val="center" w:pos="4415"/>
              </w:tabs>
              <w:spacing w:after="0" w:line="384" w:lineRule="auto"/>
              <w:ind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项目一期用地面积约43101.36平方米，其中码头服务中心占地面积1670.87平方米,一期总建筑面积 14279.75 平方米,建筑物 12 栋，构筑物2栋。</w:t>
            </w:r>
          </w:p>
        </w:tc>
      </w:tr>
      <w:tr w14:paraId="1485AC34">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62977A6">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1A06483">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4191243">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项目预算</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98DB445">
            <w:pPr>
              <w:widowControl/>
              <w:tabs>
                <w:tab w:val="center" w:pos="4415"/>
              </w:tabs>
              <w:spacing w:after="0" w:line="384" w:lineRule="auto"/>
              <w:ind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highlight w:val="none"/>
                <w:lang w:eastAsia="zh-CN"/>
              </w:rPr>
              <w:t>项目总</w:t>
            </w:r>
            <w:r>
              <w:rPr>
                <w:rFonts w:hint="eastAsia" w:ascii="宋体" w:hAnsi="宋体" w:eastAsia="宋体" w:cs="宋体"/>
                <w:color w:val="auto"/>
                <w:highlight w:val="none"/>
              </w:rPr>
              <w:t>投资</w:t>
            </w:r>
            <w:r>
              <w:rPr>
                <w:rFonts w:hint="eastAsia" w:ascii="宋体" w:hAnsi="宋体" w:eastAsia="宋体" w:cs="宋体"/>
                <w:color w:val="auto"/>
                <w:highlight w:val="none"/>
                <w:lang w:eastAsia="zh-CN"/>
              </w:rPr>
              <w:t>额</w:t>
            </w:r>
            <w:r>
              <w:rPr>
                <w:rFonts w:hint="eastAsia" w:ascii="宋体" w:hAnsi="宋体" w:eastAsia="宋体" w:cs="宋体"/>
                <w:color w:val="auto"/>
                <w:highlight w:val="none"/>
              </w:rPr>
              <w:t>约</w:t>
            </w:r>
            <w:r>
              <w:rPr>
                <w:rFonts w:hint="eastAsia" w:ascii="宋体" w:hAnsi="宋体" w:eastAsia="宋体" w:cs="宋体"/>
                <w:color w:val="auto"/>
                <w:highlight w:val="none"/>
                <w:lang w:val="en-US" w:eastAsia="zh-CN"/>
              </w:rPr>
              <w:t>9675</w:t>
            </w:r>
            <w:r>
              <w:rPr>
                <w:rFonts w:hint="eastAsia" w:ascii="宋体" w:hAnsi="宋体" w:eastAsia="宋体" w:cs="宋体"/>
                <w:color w:val="auto"/>
                <w:highlight w:val="none"/>
              </w:rPr>
              <w:t>万元</w:t>
            </w:r>
            <w:r>
              <w:rPr>
                <w:rFonts w:hint="eastAsia" w:ascii="宋体" w:hAnsi="宋体" w:eastAsia="宋体" w:cs="宋体"/>
                <w:color w:val="auto"/>
                <w:sz w:val="21"/>
                <w:szCs w:val="21"/>
                <w:highlight w:val="none"/>
                <w:lang w:eastAsia="zh-CN"/>
              </w:rPr>
              <w:t>，其中一期投资额约</w:t>
            </w:r>
            <w:r>
              <w:rPr>
                <w:rFonts w:hint="eastAsia" w:ascii="宋体" w:hAnsi="宋体" w:eastAsia="宋体" w:cs="宋体"/>
                <w:color w:val="auto"/>
                <w:sz w:val="21"/>
                <w:szCs w:val="21"/>
                <w:highlight w:val="none"/>
                <w:lang w:val="en-US" w:eastAsia="zh-CN"/>
              </w:rPr>
              <w:t>6500万元</w:t>
            </w:r>
          </w:p>
        </w:tc>
      </w:tr>
      <w:tr w14:paraId="26D606A2">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B6A5082">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0DC05B3">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03EE599">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9FCAF84">
            <w:pPr>
              <w:spacing w:line="360" w:lineRule="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工程质量合格</w:t>
            </w:r>
            <w:r>
              <w:rPr>
                <w:rFonts w:hint="eastAsia" w:ascii="宋体" w:hAnsi="宋体" w:eastAsia="宋体" w:cs="宋体"/>
                <w:color w:val="auto"/>
                <w:szCs w:val="21"/>
                <w:highlight w:val="none"/>
                <w:lang w:val="en-US" w:eastAsia="zh-CN"/>
              </w:rPr>
              <w:t>。</w:t>
            </w:r>
          </w:p>
        </w:tc>
      </w:tr>
      <w:tr w14:paraId="3353F0F9">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09DB46C">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6431C48">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1815A8F">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3034B74">
            <w:pPr>
              <w:pStyle w:val="9"/>
              <w:widowControl w:val="0"/>
              <w:spacing w:line="360" w:lineRule="auto"/>
              <w:ind w:firstLine="0" w:firstLineChars="0"/>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eastAsia="zh-CN"/>
              </w:rPr>
              <w:t>监理范围：</w:t>
            </w:r>
            <w:r>
              <w:rPr>
                <w:rFonts w:hint="eastAsia" w:hAnsi="宋体" w:cs="宋体"/>
                <w:color w:val="auto"/>
                <w:kern w:val="0"/>
                <w:sz w:val="21"/>
                <w:szCs w:val="21"/>
                <w:highlight w:val="none"/>
                <w:u w:val="none"/>
                <w:lang w:eastAsia="zh-CN"/>
              </w:rPr>
              <w:t>包括项目施工前期准备、施工管理、投资控制、竣工验收、工程变更、资产移交、质量保修等工作，并对工程项目进行质量、进度、投资、合同、信息、安全、环保等方面进行有效管理和控制，直至办理竣工验收手续、工程资料、质量保修期满等的全过程监理服务和工程相关协调工作</w:t>
            </w:r>
            <w:r>
              <w:rPr>
                <w:rFonts w:hint="eastAsia" w:ascii="宋体" w:hAnsi="宋体" w:eastAsia="宋体" w:cs="宋体"/>
                <w:color w:val="auto"/>
                <w:kern w:val="0"/>
                <w:sz w:val="21"/>
                <w:szCs w:val="21"/>
                <w:highlight w:val="none"/>
                <w:u w:val="none"/>
              </w:rPr>
              <w:t>。</w:t>
            </w:r>
          </w:p>
          <w:p w14:paraId="48CEF648">
            <w:pPr>
              <w:pStyle w:val="9"/>
              <w:spacing w:line="360" w:lineRule="auto"/>
              <w:rPr>
                <w:rFonts w:hint="eastAsia" w:ascii="宋体" w:hAnsi="宋体" w:eastAsia="宋体" w:cs="宋体"/>
                <w:color w:val="auto"/>
                <w:highlight w:val="none"/>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监理工作内容：</w:t>
            </w:r>
            <w:r>
              <w:rPr>
                <w:rFonts w:hint="eastAsia" w:ascii="宋体" w:hAnsi="宋体" w:eastAsia="宋体" w:cs="宋体"/>
                <w:color w:val="auto"/>
                <w:kern w:val="0"/>
                <w:sz w:val="21"/>
                <w:szCs w:val="21"/>
                <w:highlight w:val="none"/>
                <w:u w:val="none"/>
              </w:rPr>
              <w:t>本项目</w:t>
            </w:r>
            <w:r>
              <w:rPr>
                <w:rFonts w:hint="eastAsia" w:ascii="宋体" w:hAnsi="宋体" w:eastAsia="宋体" w:cs="宋体"/>
                <w:color w:val="auto"/>
                <w:kern w:val="0"/>
                <w:sz w:val="21"/>
                <w:szCs w:val="21"/>
                <w:highlight w:val="none"/>
                <w:u w:val="none"/>
                <w:lang w:val="en-US" w:eastAsia="zh-CN"/>
              </w:rPr>
              <w:t>一期</w:t>
            </w:r>
            <w:r>
              <w:rPr>
                <w:rFonts w:hint="eastAsia" w:ascii="宋体" w:hAnsi="宋体" w:eastAsia="宋体" w:cs="宋体"/>
                <w:color w:val="auto"/>
                <w:kern w:val="0"/>
                <w:sz w:val="21"/>
                <w:szCs w:val="21"/>
                <w:highlight w:val="none"/>
                <w:u w:val="none"/>
              </w:rPr>
              <w:t>工程</w:t>
            </w:r>
            <w:r>
              <w:rPr>
                <w:rFonts w:hint="eastAsia" w:ascii="宋体" w:hAnsi="宋体" w:eastAsia="宋体" w:cs="宋体"/>
                <w:color w:val="auto"/>
                <w:kern w:val="0"/>
                <w:sz w:val="21"/>
                <w:szCs w:val="21"/>
                <w:highlight w:val="none"/>
                <w:u w:val="none"/>
                <w:lang w:val="en-US" w:eastAsia="zh-CN"/>
              </w:rPr>
              <w:t>施工</w:t>
            </w:r>
            <w:r>
              <w:rPr>
                <w:rFonts w:hint="eastAsia" w:ascii="宋体" w:hAnsi="宋体" w:eastAsia="宋体" w:cs="宋体"/>
                <w:color w:val="auto"/>
                <w:kern w:val="0"/>
                <w:sz w:val="21"/>
                <w:szCs w:val="21"/>
                <w:highlight w:val="none"/>
                <w:u w:val="none"/>
                <w:lang w:eastAsia="zh-CN"/>
              </w:rPr>
              <w:t>监理</w:t>
            </w:r>
            <w:r>
              <w:rPr>
                <w:rFonts w:hint="eastAsia" w:ascii="宋体" w:hAnsi="宋体" w:eastAsia="宋体" w:cs="宋体"/>
                <w:color w:val="auto"/>
                <w:kern w:val="0"/>
                <w:sz w:val="21"/>
                <w:szCs w:val="21"/>
                <w:highlight w:val="none"/>
                <w:u w:val="none"/>
              </w:rPr>
              <w:t>及工程</w:t>
            </w:r>
            <w:r>
              <w:rPr>
                <w:rFonts w:hint="eastAsia" w:ascii="宋体" w:hAnsi="宋体" w:eastAsia="宋体" w:cs="宋体"/>
                <w:color w:val="auto"/>
                <w:kern w:val="0"/>
                <w:sz w:val="21"/>
                <w:szCs w:val="21"/>
                <w:highlight w:val="none"/>
                <w:u w:val="none"/>
                <w:lang w:val="en-US" w:eastAsia="zh-CN"/>
              </w:rPr>
              <w:t>保修</w:t>
            </w:r>
            <w:r>
              <w:rPr>
                <w:rFonts w:hint="eastAsia" w:ascii="宋体" w:hAnsi="宋体" w:eastAsia="宋体" w:cs="宋体"/>
                <w:color w:val="auto"/>
                <w:kern w:val="0"/>
                <w:sz w:val="21"/>
                <w:szCs w:val="21"/>
                <w:highlight w:val="none"/>
                <w:u w:val="none"/>
              </w:rPr>
              <w:t>阶段的监理。协助</w:t>
            </w:r>
            <w:r>
              <w:rPr>
                <w:rFonts w:hint="eastAsia" w:ascii="宋体" w:hAnsi="宋体" w:eastAsia="宋体" w:cs="宋体"/>
                <w:color w:val="auto"/>
                <w:kern w:val="0"/>
                <w:sz w:val="21"/>
                <w:szCs w:val="21"/>
                <w:highlight w:val="none"/>
                <w:u w:val="none"/>
                <w:lang w:eastAsia="zh-CN"/>
              </w:rPr>
              <w:t>委托人</w:t>
            </w:r>
            <w:r>
              <w:rPr>
                <w:rFonts w:hint="eastAsia" w:ascii="宋体" w:hAnsi="宋体" w:eastAsia="宋体" w:cs="宋体"/>
                <w:color w:val="auto"/>
                <w:kern w:val="0"/>
                <w:sz w:val="21"/>
                <w:szCs w:val="21"/>
                <w:highlight w:val="none"/>
                <w:u w:val="none"/>
              </w:rPr>
              <w:t>做好开工前准备工作、负责单价和工程计量审查、工程进度款审核、工程进度计划审查、工程施工质量监督、工程施工安全监督、审核竣工资料和工程结算工作，做好施工、保修阶段监理应做的各项工作。</w:t>
            </w:r>
          </w:p>
        </w:tc>
      </w:tr>
      <w:tr w14:paraId="38288C60">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5AEF0520">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A3EFC6B">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301E461">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服务任务期限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88CC032">
            <w:pPr>
              <w:numPr>
                <w:ilvl w:val="0"/>
                <w:numId w:val="0"/>
              </w:numPr>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施工准备前期（含EPC设计施工图审图）到工程竣工验收后质保期满。</w:t>
            </w:r>
          </w:p>
          <w:p w14:paraId="292B8C8F">
            <w:pPr>
              <w:numPr>
                <w:ilvl w:val="0"/>
                <w:numId w:val="0"/>
              </w:numPr>
              <w:spacing w:line="360" w:lineRule="auto"/>
              <w:ind w:firstLine="0"/>
              <w:jc w:val="left"/>
              <w:rPr>
                <w:rFonts w:hint="eastAsia" w:ascii="宋体" w:hAnsi="宋体" w:eastAsia="宋体" w:cs="宋体"/>
                <w:color w:val="auto"/>
                <w:szCs w:val="21"/>
                <w:highlight w:val="none"/>
                <w:lang w:eastAsia="zh-CN"/>
              </w:rPr>
            </w:pPr>
            <w:r>
              <w:rPr>
                <w:rFonts w:hint="eastAsia" w:ascii="宋体" w:hAnsi="宋体" w:eastAsia="宋体" w:cs="宋体"/>
                <w:color w:val="auto"/>
                <w:sz w:val="21"/>
                <w:szCs w:val="21"/>
                <w:highlight w:val="none"/>
                <w:u w:val="none"/>
                <w:lang w:eastAsia="zh-CN"/>
              </w:rPr>
              <w:t>工期：</w:t>
            </w:r>
            <w:r>
              <w:rPr>
                <w:rFonts w:hint="eastAsia" w:ascii="宋体" w:hAnsi="宋体" w:eastAsia="宋体" w:cs="宋体"/>
                <w:bCs w:val="0"/>
                <w:snapToGrid/>
                <w:color w:val="auto"/>
                <w:kern w:val="2"/>
                <w:sz w:val="21"/>
                <w:szCs w:val="21"/>
                <w:highlight w:val="none"/>
              </w:rPr>
              <w:t>本项目</w:t>
            </w:r>
            <w:r>
              <w:rPr>
                <w:rFonts w:hint="eastAsia" w:ascii="宋体" w:hAnsi="宋体" w:eastAsia="宋体" w:cs="宋体"/>
                <w:bCs w:val="0"/>
                <w:snapToGrid/>
                <w:color w:val="auto"/>
                <w:kern w:val="2"/>
                <w:sz w:val="21"/>
                <w:szCs w:val="21"/>
                <w:highlight w:val="none"/>
                <w:lang w:val="en-US" w:eastAsia="zh-CN"/>
              </w:rPr>
              <w:t>完工时间为2025年9月30日</w:t>
            </w:r>
            <w:r>
              <w:rPr>
                <w:rFonts w:hint="eastAsia" w:ascii="宋体" w:hAnsi="宋体" w:eastAsia="宋体" w:cs="宋体"/>
                <w:bCs w:val="0"/>
                <w:snapToGrid/>
                <w:color w:val="auto"/>
                <w:kern w:val="2"/>
                <w:sz w:val="21"/>
                <w:szCs w:val="21"/>
                <w:highlight w:val="none"/>
              </w:rPr>
              <w:t>，</w:t>
            </w:r>
            <w:r>
              <w:rPr>
                <w:rFonts w:hint="eastAsia" w:ascii="宋体" w:hAnsi="宋体" w:eastAsia="宋体" w:cs="宋体"/>
                <w:bCs w:val="0"/>
                <w:snapToGrid/>
                <w:color w:val="auto"/>
                <w:kern w:val="2"/>
                <w:sz w:val="21"/>
                <w:szCs w:val="21"/>
                <w:highlight w:val="none"/>
                <w:lang w:val="en-US" w:eastAsia="zh-CN"/>
              </w:rPr>
              <w:t>其中1#展厅在2025年6月30日前完工交付</w:t>
            </w:r>
            <w:r>
              <w:rPr>
                <w:rFonts w:hint="eastAsia" w:ascii="宋体" w:hAnsi="宋体" w:eastAsia="宋体" w:cs="宋体"/>
                <w:color w:val="auto"/>
                <w:sz w:val="21"/>
                <w:szCs w:val="21"/>
                <w:highlight w:val="none"/>
                <w:u w:val="none"/>
                <w:lang w:eastAsia="zh-CN"/>
              </w:rPr>
              <w:t>。</w:t>
            </w:r>
          </w:p>
        </w:tc>
      </w:tr>
      <w:tr w14:paraId="3B48492A">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E650308">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41E8828">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8B2CE26">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F07D2C6">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自筹资金</w:t>
            </w:r>
          </w:p>
        </w:tc>
      </w:tr>
      <w:tr w14:paraId="51E75811">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E085B90">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BA11B01">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C5FB94A">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37CA5C7">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sz w:val="21"/>
                <w:szCs w:val="21"/>
                <w:highlight w:val="none"/>
                <w:u w:val="none"/>
                <w:lang w:eastAsia="zh-CN"/>
              </w:rPr>
              <w:t>具有</w:t>
            </w:r>
            <w:r>
              <w:rPr>
                <w:rFonts w:hint="eastAsia" w:ascii="宋体" w:hAnsi="宋体" w:eastAsia="宋体" w:cs="宋体"/>
                <w:i w:val="0"/>
                <w:iCs w:val="0"/>
                <w:caps w:val="0"/>
                <w:color w:val="auto"/>
                <w:spacing w:val="0"/>
                <w:sz w:val="21"/>
                <w:szCs w:val="21"/>
                <w:highlight w:val="none"/>
                <w:shd w:val="clear"/>
              </w:rPr>
              <w:t>房屋建筑</w:t>
            </w:r>
            <w:r>
              <w:rPr>
                <w:rFonts w:hint="eastAsia" w:ascii="宋体" w:hAnsi="宋体" w:eastAsia="宋体" w:cs="宋体"/>
                <w:i w:val="0"/>
                <w:iCs w:val="0"/>
                <w:caps w:val="0"/>
                <w:color w:val="auto"/>
                <w:spacing w:val="0"/>
                <w:sz w:val="21"/>
                <w:szCs w:val="21"/>
                <w:highlight w:val="none"/>
                <w:shd w:val="clear"/>
                <w:lang w:eastAsia="zh-CN"/>
              </w:rPr>
              <w:t>工程</w:t>
            </w:r>
            <w:r>
              <w:rPr>
                <w:rFonts w:hint="eastAsia" w:ascii="宋体" w:hAnsi="宋体" w:eastAsia="宋体" w:cs="宋体"/>
                <w:i w:val="0"/>
                <w:iCs w:val="0"/>
                <w:caps w:val="0"/>
                <w:color w:val="auto"/>
                <w:spacing w:val="0"/>
                <w:kern w:val="2"/>
                <w:sz w:val="21"/>
                <w:szCs w:val="21"/>
                <w:highlight w:val="none"/>
                <w:u w:val="none"/>
                <w:shd w:val="clear"/>
                <w:lang w:val="en-US" w:eastAsia="zh-CN" w:bidi="ar"/>
              </w:rPr>
              <w:t>监理乙</w:t>
            </w:r>
            <w:r>
              <w:rPr>
                <w:rFonts w:hint="eastAsia" w:ascii="宋体" w:hAnsi="宋体" w:eastAsia="宋体" w:cs="宋体"/>
                <w:i w:val="0"/>
                <w:iCs w:val="0"/>
                <w:caps w:val="0"/>
                <w:color w:val="auto"/>
                <w:spacing w:val="0"/>
                <w:kern w:val="2"/>
                <w:sz w:val="21"/>
                <w:szCs w:val="21"/>
                <w:highlight w:val="none"/>
                <w:u w:val="none"/>
                <w:shd w:val="clear" w:color="auto" w:fill="auto"/>
                <w:lang w:val="en-US" w:eastAsia="zh-CN" w:bidi="ar"/>
              </w:rPr>
              <w:t>级或以上资质</w:t>
            </w:r>
          </w:p>
        </w:tc>
      </w:tr>
      <w:tr w14:paraId="1563FBB8">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5BC27A3C">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87F20B8">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6935231">
            <w:pPr>
              <w:pStyle w:val="14"/>
              <w:widowControl/>
              <w:spacing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14:paraId="7E7BB7B4">
            <w:pPr>
              <w:pStyle w:val="14"/>
              <w:widowControl/>
              <w:spacing w:after="0"/>
              <w:ind w:firstLine="0"/>
              <w:jc w:val="center"/>
              <w:rPr>
                <w:rFonts w:hint="eastAsia" w:ascii="宋体" w:hAnsi="宋体" w:eastAsia="宋体" w:cs="宋体"/>
                <w:color w:val="auto"/>
                <w:highlight w:val="none"/>
              </w:rPr>
            </w:pP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E775D72">
            <w:pPr>
              <w:widowControl/>
              <w:numPr>
                <w:ilvl w:val="0"/>
                <w:numId w:val="0"/>
              </w:numPr>
              <w:spacing w:line="360" w:lineRule="auto"/>
              <w:ind w:firstLine="0" w:firstLineChars="0"/>
              <w:jc w:val="left"/>
              <w:rPr>
                <w:rFonts w:hint="eastAsia" w:ascii="宋体" w:hAnsi="宋体" w:eastAsia="宋体" w:cs="宋体"/>
                <w:color w:val="auto"/>
                <w:sz w:val="21"/>
                <w:szCs w:val="21"/>
                <w:highlight w:val="none"/>
                <w:u w:val="none"/>
                <w:shd w:val="clear" w:color="auto" w:fill="auto"/>
                <w:lang w:bidi="ar"/>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、总监理工</w:t>
            </w:r>
            <w:r>
              <w:rPr>
                <w:rFonts w:hint="eastAsia" w:ascii="宋体" w:hAnsi="宋体" w:eastAsia="宋体" w:cs="宋体"/>
                <w:color w:val="auto"/>
                <w:sz w:val="21"/>
                <w:szCs w:val="21"/>
                <w:highlight w:val="none"/>
                <w:u w:val="none"/>
                <w:shd w:val="clear" w:color="auto" w:fill="auto"/>
                <w:lang w:bidi="ar"/>
              </w:rPr>
              <w:t>程师</w:t>
            </w:r>
            <w:r>
              <w:rPr>
                <w:rFonts w:hint="eastAsia" w:ascii="宋体" w:hAnsi="宋体" w:eastAsia="宋体" w:cs="宋体"/>
                <w:b w:val="0"/>
                <w:bCs w:val="0"/>
                <w:color w:val="auto"/>
                <w:kern w:val="2"/>
                <w:sz w:val="21"/>
                <w:szCs w:val="21"/>
                <w:highlight w:val="none"/>
                <w:u w:val="none"/>
                <w:shd w:val="clear" w:color="auto" w:fill="auto"/>
                <w:lang w:eastAsia="zh-CN" w:bidi="ar"/>
              </w:rPr>
              <w:t>（</w:t>
            </w:r>
            <w:r>
              <w:rPr>
                <w:rFonts w:hint="eastAsia" w:ascii="宋体" w:hAnsi="宋体" w:eastAsia="宋体" w:cs="宋体"/>
                <w:b w:val="0"/>
                <w:bCs w:val="0"/>
                <w:color w:val="auto"/>
                <w:kern w:val="2"/>
                <w:sz w:val="21"/>
                <w:szCs w:val="21"/>
                <w:highlight w:val="none"/>
                <w:u w:val="none"/>
                <w:shd w:val="clear" w:color="auto" w:fill="auto"/>
                <w:lang w:val="en-US" w:eastAsia="zh-CN" w:bidi="ar"/>
              </w:rPr>
              <w:t>兼土建工程师）</w:t>
            </w:r>
            <w:r>
              <w:rPr>
                <w:rFonts w:hint="eastAsia" w:ascii="宋体" w:hAnsi="宋体" w:eastAsia="宋体" w:cs="宋体"/>
                <w:color w:val="auto"/>
                <w:sz w:val="21"/>
                <w:szCs w:val="21"/>
                <w:highlight w:val="none"/>
                <w:u w:val="none"/>
                <w:shd w:val="clear" w:color="auto" w:fill="auto"/>
                <w:lang w:eastAsia="zh-CN" w:bidi="ar"/>
              </w:rPr>
              <w:t>：</w:t>
            </w:r>
            <w:r>
              <w:rPr>
                <w:rFonts w:hint="eastAsia" w:ascii="宋体" w:hAnsi="宋体" w:eastAsia="宋体" w:cs="宋体"/>
                <w:color w:val="auto"/>
                <w:sz w:val="21"/>
                <w:szCs w:val="21"/>
                <w:highlight w:val="none"/>
                <w:u w:val="none"/>
                <w:shd w:val="clear" w:color="auto" w:fill="auto"/>
                <w:lang w:val="en-US" w:eastAsia="zh-CN" w:bidi="ar"/>
              </w:rPr>
              <w:t>1人，</w:t>
            </w:r>
            <w:r>
              <w:rPr>
                <w:rFonts w:hint="eastAsia" w:ascii="宋体" w:hAnsi="宋体" w:eastAsia="宋体" w:cs="宋体"/>
                <w:i w:val="0"/>
                <w:iCs w:val="0"/>
                <w:caps w:val="0"/>
                <w:color w:val="auto"/>
                <w:spacing w:val="0"/>
                <w:kern w:val="2"/>
                <w:sz w:val="21"/>
                <w:szCs w:val="21"/>
                <w:highlight w:val="none"/>
                <w:u w:val="none"/>
                <w:shd w:val="clear" w:color="auto" w:fill="auto"/>
                <w:lang w:val="en-US" w:eastAsia="zh-CN" w:bidi="ar"/>
              </w:rPr>
              <w:t>具有</w:t>
            </w:r>
            <w:r>
              <w:rPr>
                <w:rFonts w:hint="eastAsia" w:ascii="宋体" w:hAnsi="宋体" w:eastAsia="宋体" w:cs="宋体"/>
                <w:i w:val="0"/>
                <w:iCs w:val="0"/>
                <w:caps w:val="0"/>
                <w:color w:val="auto"/>
                <w:spacing w:val="0"/>
                <w:sz w:val="21"/>
                <w:szCs w:val="21"/>
                <w:highlight w:val="none"/>
                <w:u w:val="none"/>
                <w:shd w:val="clear" w:color="auto" w:fill="auto"/>
                <w:lang w:bidi="ar"/>
              </w:rPr>
              <w:t>房屋建筑</w:t>
            </w:r>
            <w:r>
              <w:rPr>
                <w:rFonts w:hint="eastAsia" w:ascii="宋体" w:hAnsi="宋体" w:eastAsia="宋体" w:cs="宋体"/>
                <w:i w:val="0"/>
                <w:iCs w:val="0"/>
                <w:caps w:val="0"/>
                <w:color w:val="auto"/>
                <w:spacing w:val="0"/>
                <w:sz w:val="21"/>
                <w:szCs w:val="21"/>
                <w:highlight w:val="none"/>
                <w:u w:val="none"/>
                <w:shd w:val="clear" w:color="auto" w:fill="auto"/>
                <w:lang w:eastAsia="zh-CN" w:bidi="ar"/>
              </w:rPr>
              <w:t>工程</w:t>
            </w:r>
            <w:r>
              <w:rPr>
                <w:rFonts w:hint="eastAsia" w:ascii="宋体" w:hAnsi="宋体" w:eastAsia="宋体" w:cs="宋体"/>
                <w:i w:val="0"/>
                <w:iCs w:val="0"/>
                <w:caps w:val="0"/>
                <w:color w:val="auto"/>
                <w:spacing w:val="0"/>
                <w:kern w:val="2"/>
                <w:sz w:val="21"/>
                <w:szCs w:val="21"/>
                <w:highlight w:val="none"/>
                <w:u w:val="none"/>
                <w:shd w:val="clear" w:color="auto" w:fill="auto"/>
                <w:lang w:val="en-US" w:eastAsia="zh-CN" w:bidi="ar"/>
              </w:rPr>
              <w:t>类专业中级或以上职称，</w:t>
            </w:r>
            <w:r>
              <w:rPr>
                <w:rFonts w:hint="eastAsia" w:ascii="宋体" w:hAnsi="宋体" w:eastAsia="宋体" w:cs="宋体"/>
                <w:color w:val="auto"/>
                <w:sz w:val="21"/>
                <w:szCs w:val="21"/>
                <w:highlight w:val="none"/>
                <w:u w:val="none"/>
                <w:shd w:val="clear" w:color="auto" w:fill="auto"/>
                <w:lang w:bidi="ar"/>
              </w:rPr>
              <w:t>具有</w:t>
            </w:r>
            <w:r>
              <w:rPr>
                <w:rFonts w:hint="eastAsia" w:ascii="宋体" w:hAnsi="宋体" w:eastAsia="宋体" w:cs="宋体"/>
                <w:color w:val="auto"/>
                <w:sz w:val="21"/>
                <w:szCs w:val="21"/>
                <w:highlight w:val="none"/>
                <w:u w:val="none"/>
                <w:shd w:val="clear" w:color="auto" w:fill="auto"/>
                <w:lang w:eastAsia="zh-CN" w:bidi="ar"/>
              </w:rPr>
              <w:t>房屋建筑工程类</w:t>
            </w:r>
            <w:r>
              <w:rPr>
                <w:rFonts w:hint="eastAsia" w:ascii="宋体" w:hAnsi="宋体" w:eastAsia="宋体" w:cs="宋体"/>
                <w:color w:val="auto"/>
                <w:sz w:val="21"/>
                <w:szCs w:val="21"/>
                <w:highlight w:val="none"/>
                <w:u w:val="none"/>
                <w:shd w:val="clear" w:color="auto" w:fill="auto"/>
                <w:lang w:bidi="ar"/>
              </w:rPr>
              <w:t>注册监理工程师证书。</w:t>
            </w:r>
          </w:p>
          <w:p w14:paraId="6E3C1E93">
            <w:pPr>
              <w:widowControl/>
              <w:numPr>
                <w:ilvl w:val="0"/>
                <w:numId w:val="0"/>
              </w:numPr>
              <w:spacing w:line="360" w:lineRule="auto"/>
              <w:ind w:left="0" w:leftChars="0" w:firstLine="0" w:firstLineChars="0"/>
              <w:jc w:val="left"/>
              <w:rPr>
                <w:rFonts w:hint="eastAsia" w:ascii="宋体" w:hAnsi="宋体" w:eastAsia="宋体" w:cs="宋体"/>
                <w:color w:val="auto"/>
                <w:sz w:val="21"/>
                <w:szCs w:val="21"/>
                <w:highlight w:val="none"/>
                <w:shd w:val="clear" w:color="auto" w:fill="auto"/>
                <w:lang w:val="en-US"/>
              </w:rPr>
            </w:pPr>
            <w:r>
              <w:rPr>
                <w:rFonts w:hint="eastAsia" w:ascii="宋体" w:hAnsi="宋体" w:eastAsia="宋体" w:cs="宋体"/>
                <w:color w:val="auto"/>
                <w:sz w:val="21"/>
                <w:szCs w:val="21"/>
                <w:highlight w:val="none"/>
                <w:shd w:val="clear" w:color="auto" w:fill="auto"/>
                <w:lang w:val="en-US" w:eastAsia="zh-CN"/>
              </w:rPr>
              <w:t>2、装修工程师：1人，具备相应建造师资格或广东省建设监理协会颁发的《广东省专业监理工程师培训证书》。</w:t>
            </w:r>
          </w:p>
          <w:p w14:paraId="2CDD8AEF">
            <w:pPr>
              <w:widowControl/>
              <w:numPr>
                <w:ilvl w:val="0"/>
                <w:numId w:val="0"/>
              </w:numPr>
              <w:spacing w:line="360" w:lineRule="auto"/>
              <w:ind w:left="0" w:leftChars="0" w:firstLine="0" w:firstLineChars="0"/>
              <w:jc w:val="left"/>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3、机电工程师：1人，具备相应建造师资格或广东省建设监理协会颁发的《广东省专业监理工程师培训证书》。</w:t>
            </w:r>
          </w:p>
          <w:p w14:paraId="6BB0A82C">
            <w:pPr>
              <w:widowControl/>
              <w:numPr>
                <w:ilvl w:val="0"/>
                <w:numId w:val="0"/>
              </w:numPr>
              <w:spacing w:line="360" w:lineRule="auto"/>
              <w:ind w:left="0" w:leftChars="0" w:firstLine="0" w:firstLineChars="0"/>
              <w:jc w:val="left"/>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4、造价工程师：1人，具备相应造价工程师资格。</w:t>
            </w:r>
          </w:p>
          <w:p w14:paraId="49412C36">
            <w:pPr>
              <w:numPr>
                <w:ilvl w:val="0"/>
                <w:numId w:val="0"/>
              </w:numPr>
              <w:spacing w:line="360" w:lineRule="auto"/>
              <w:ind w:firstLine="0"/>
              <w:contextualSpacing w:val="0"/>
              <w:jc w:val="left"/>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shd w:val="clear" w:color="auto" w:fill="auto"/>
                <w:lang w:val="en-US" w:eastAsia="zh-CN"/>
              </w:rPr>
              <w:t>5、工程资料员：1人，具备相应工程资料员资格。</w:t>
            </w:r>
          </w:p>
        </w:tc>
      </w:tr>
      <w:tr w14:paraId="6E210E61">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B60C1A4">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257650D">
            <w:pPr>
              <w:pStyle w:val="14"/>
              <w:widowControl/>
              <w:spacing w:beforeAutospacing="0"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EEF87BE">
            <w:pPr>
              <w:pStyle w:val="14"/>
              <w:widowControl/>
              <w:spacing w:beforeAutospacing="0" w:after="0"/>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641C825">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资格后审</w:t>
            </w:r>
          </w:p>
        </w:tc>
      </w:tr>
      <w:tr w14:paraId="4EE886AC">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B922D0C">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43950A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5DB6F1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6841F1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14:paraId="311D18D5">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B17A9CD">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659E20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554E48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BB08CA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r>
      <w:tr w14:paraId="6E179915">
        <w:tblPrEx>
          <w:tblCellMar>
            <w:top w:w="0" w:type="dxa"/>
            <w:left w:w="108" w:type="dxa"/>
            <w:bottom w:w="0" w:type="dxa"/>
            <w:right w:w="108" w:type="dxa"/>
          </w:tblCellMar>
        </w:tblPrEx>
        <w:trPr>
          <w:trHeight w:val="6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F3C74B0">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929FB35">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5C468FA">
            <w:pPr>
              <w:pStyle w:val="14"/>
              <w:widowControl/>
              <w:spacing w:before="100" w:beforeAutospacing="0" w:after="0" w:line="440" w:lineRule="exact"/>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报价及结算方式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E380C3A">
            <w:pPr>
              <w:pStyle w:val="4"/>
              <w:numPr>
                <w:ilvl w:val="-1"/>
                <w:numId w:val="0"/>
              </w:numPr>
              <w:spacing w:line="360" w:lineRule="auto"/>
              <w:ind w:firstLine="0" w:firstLineChars="0"/>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本次监理费招标控制价</w:t>
            </w:r>
            <w:r>
              <w:rPr>
                <w:rFonts w:hint="eastAsia" w:ascii="宋体" w:hAnsi="宋体" w:eastAsia="宋体" w:cs="宋体"/>
                <w:color w:val="auto"/>
                <w:sz w:val="21"/>
                <w:szCs w:val="21"/>
                <w:highlight w:val="none"/>
                <w:u w:val="none"/>
              </w:rPr>
              <w:t>为¥</w:t>
            </w:r>
            <w:r>
              <w:rPr>
                <w:rFonts w:hint="eastAsia" w:ascii="宋体" w:hAnsi="宋体" w:eastAsia="宋体" w:cs="宋体"/>
                <w:color w:val="auto"/>
                <w:kern w:val="0"/>
                <w:sz w:val="21"/>
                <w:szCs w:val="21"/>
                <w:highlight w:val="none"/>
                <w:u w:val="none"/>
                <w:lang w:val="en-US" w:eastAsia="zh-CN" w:bidi="ar-SA"/>
              </w:rPr>
              <w:t>933,622.38</w:t>
            </w:r>
            <w:r>
              <w:rPr>
                <w:rFonts w:hint="eastAsia" w:ascii="宋体" w:hAnsi="宋体" w:eastAsia="宋体" w:cs="宋体"/>
                <w:color w:val="auto"/>
                <w:sz w:val="21"/>
                <w:szCs w:val="21"/>
                <w:highlight w:val="none"/>
                <w:u w:val="none"/>
              </w:rPr>
              <w:t>元</w:t>
            </w:r>
            <w:r>
              <w:rPr>
                <w:rFonts w:hint="eastAsia" w:ascii="宋体" w:hAnsi="宋体" w:eastAsia="宋体" w:cs="宋体"/>
                <w:color w:val="auto"/>
                <w:sz w:val="21"/>
                <w:szCs w:val="21"/>
                <w:highlight w:val="none"/>
                <w:u w:val="none"/>
                <w:lang w:eastAsia="zh-CN"/>
              </w:rPr>
              <w:t>，参照</w:t>
            </w:r>
            <w:r>
              <w:rPr>
                <w:rFonts w:hint="eastAsia" w:ascii="宋体" w:hAnsi="宋体" w:eastAsia="宋体" w:cs="宋体"/>
                <w:color w:val="auto"/>
                <w:sz w:val="21"/>
                <w:szCs w:val="21"/>
                <w:highlight w:val="none"/>
                <w:u w:val="none"/>
              </w:rPr>
              <w:t>发改办价格[2007]670号文件</w:t>
            </w:r>
            <w:r>
              <w:rPr>
                <w:rFonts w:hint="eastAsia" w:ascii="宋体" w:hAnsi="宋体" w:eastAsia="宋体" w:cs="宋体"/>
                <w:color w:val="auto"/>
                <w:sz w:val="21"/>
                <w:szCs w:val="21"/>
                <w:highlight w:val="none"/>
                <w:u w:val="none"/>
                <w:lang w:eastAsia="zh-CN"/>
              </w:rPr>
              <w:t>为计费标准，</w:t>
            </w:r>
            <w:r>
              <w:rPr>
                <w:rFonts w:hint="eastAsia" w:ascii="宋体" w:hAnsi="宋体" w:eastAsia="宋体" w:cs="宋体"/>
                <w:color w:val="auto"/>
                <w:sz w:val="21"/>
                <w:szCs w:val="21"/>
                <w:highlight w:val="none"/>
                <w:u w:val="none"/>
              </w:rPr>
              <w:t>暂按项目一期设计施工总承包的招标控制价5822.13万元为计费基数</w:t>
            </w:r>
            <w:r>
              <w:rPr>
                <w:rFonts w:hint="eastAsia" w:ascii="宋体" w:hAnsi="宋体" w:eastAsia="宋体" w:cs="宋体"/>
                <w:color w:val="auto"/>
                <w:sz w:val="21"/>
                <w:szCs w:val="21"/>
                <w:highlight w:val="none"/>
                <w:u w:val="none"/>
                <w:lang w:eastAsia="zh-CN"/>
              </w:rPr>
              <w:t>，结合系数（</w:t>
            </w:r>
            <w:r>
              <w:rPr>
                <w:rFonts w:hint="eastAsia" w:ascii="宋体" w:hAnsi="宋体" w:eastAsia="宋体" w:cs="宋体"/>
                <w:color w:val="auto"/>
                <w:sz w:val="21"/>
                <w:szCs w:val="21"/>
                <w:highlight w:val="none"/>
                <w:u w:val="none"/>
              </w:rPr>
              <w:t>专业调整系数取1.</w:t>
            </w:r>
            <w:r>
              <w:rPr>
                <w:rFonts w:hint="eastAsia" w:ascii="宋体" w:hAnsi="宋体" w:eastAsia="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rPr>
              <w:t>，工程复杂程度调整系数取</w:t>
            </w:r>
            <w:r>
              <w:rPr>
                <w:rFonts w:hint="eastAsia" w:ascii="宋体" w:hAnsi="宋体" w:eastAsia="宋体" w:cs="宋体"/>
                <w:color w:val="auto"/>
                <w:sz w:val="21"/>
                <w:szCs w:val="21"/>
                <w:highlight w:val="none"/>
                <w:u w:val="none"/>
                <w:lang w:eastAsia="zh-CN"/>
              </w:rPr>
              <w:t>0</w:t>
            </w:r>
            <w:r>
              <w:rPr>
                <w:rFonts w:hint="eastAsia" w:ascii="宋体" w:hAnsi="宋体" w:eastAsia="宋体" w:cs="宋体"/>
                <w:color w:val="auto"/>
                <w:sz w:val="21"/>
                <w:szCs w:val="21"/>
                <w:highlight w:val="none"/>
                <w:u w:val="none"/>
                <w:lang w:val="en-US" w:eastAsia="zh-CN"/>
              </w:rPr>
              <w:t>.85</w:t>
            </w:r>
            <w:r>
              <w:rPr>
                <w:rFonts w:hint="eastAsia" w:ascii="宋体" w:hAnsi="宋体" w:eastAsia="宋体" w:cs="宋体"/>
                <w:color w:val="auto"/>
                <w:sz w:val="21"/>
                <w:szCs w:val="21"/>
                <w:highlight w:val="none"/>
                <w:u w:val="none"/>
              </w:rPr>
              <w:t>，高程调整系数取1.0</w:t>
            </w:r>
            <w:r>
              <w:rPr>
                <w:rFonts w:hint="eastAsia" w:ascii="宋体" w:hAnsi="宋体" w:eastAsia="宋体" w:cs="宋体"/>
                <w:color w:val="auto"/>
                <w:sz w:val="21"/>
                <w:szCs w:val="21"/>
                <w:highlight w:val="none"/>
                <w:u w:val="none"/>
                <w:lang w:eastAsia="zh-CN"/>
              </w:rPr>
              <w:t>）计算得出监理</w:t>
            </w:r>
            <w:r>
              <w:rPr>
                <w:rFonts w:hint="eastAsia" w:ascii="宋体" w:hAnsi="宋体" w:eastAsia="宋体" w:cs="宋体"/>
                <w:color w:val="auto"/>
                <w:sz w:val="21"/>
                <w:szCs w:val="21"/>
                <w:highlight w:val="none"/>
                <w:u w:val="none"/>
                <w:lang w:val="en-US" w:eastAsia="zh-CN"/>
              </w:rPr>
              <w:t>收费基准价（</w:t>
            </w:r>
            <w:r>
              <w:rPr>
                <w:rFonts w:hint="eastAsia" w:ascii="宋体" w:hAnsi="宋体" w:eastAsia="宋体" w:cs="宋体"/>
                <w:b w:val="0"/>
                <w:bCs w:val="0"/>
                <w:color w:val="auto"/>
                <w:kern w:val="0"/>
                <w:sz w:val="21"/>
                <w:szCs w:val="21"/>
                <w:highlight w:val="none"/>
                <w:u w:val="none"/>
                <w:lang w:val="en-US" w:eastAsia="zh-CN" w:bidi="ar-SA"/>
              </w:rPr>
              <w:t>1167027.98</w:t>
            </w:r>
            <w:r>
              <w:rPr>
                <w:rFonts w:hint="eastAsia" w:ascii="宋体" w:hAnsi="宋体" w:eastAsia="宋体" w:cs="宋体"/>
                <w:color w:val="auto"/>
                <w:sz w:val="21"/>
                <w:szCs w:val="21"/>
                <w:highlight w:val="none"/>
                <w:u w:val="none"/>
                <w:lang w:val="en-US" w:eastAsia="zh-CN"/>
              </w:rPr>
              <w:t>元）</w:t>
            </w:r>
            <w:r>
              <w:rPr>
                <w:rFonts w:hint="eastAsia" w:ascii="宋体" w:hAnsi="宋体" w:eastAsia="宋体" w:cs="宋体"/>
                <w:color w:val="auto"/>
                <w:sz w:val="21"/>
                <w:szCs w:val="21"/>
                <w:highlight w:val="none"/>
                <w:u w:val="none"/>
              </w:rPr>
              <w:t>，下浮</w:t>
            </w:r>
            <w:r>
              <w:rPr>
                <w:rFonts w:hint="eastAsia" w:ascii="宋体" w:hAnsi="宋体" w:eastAsia="宋体" w:cs="宋体"/>
                <w:color w:val="auto"/>
                <w:sz w:val="21"/>
                <w:szCs w:val="21"/>
                <w:highlight w:val="none"/>
                <w:u w:val="none"/>
                <w:lang w:val="en-US" w:eastAsia="zh-CN"/>
              </w:rPr>
              <w:t>20</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none"/>
                <w:lang w:eastAsia="zh-CN"/>
              </w:rPr>
              <w:t>得出</w:t>
            </w:r>
            <w:r>
              <w:rPr>
                <w:rFonts w:hint="eastAsia" w:ascii="宋体" w:hAnsi="宋体" w:eastAsia="宋体" w:cs="宋体"/>
                <w:color w:val="auto"/>
                <w:sz w:val="21"/>
                <w:szCs w:val="21"/>
                <w:highlight w:val="none"/>
                <w:u w:val="none"/>
              </w:rPr>
              <w:t>。</w:t>
            </w:r>
          </w:p>
          <w:p w14:paraId="5D9973B2">
            <w:pPr>
              <w:pStyle w:val="4"/>
              <w:spacing w:line="360" w:lineRule="auto"/>
              <w:ind w:firstLine="0" w:firstLine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0"/>
                <w:sz w:val="21"/>
                <w:szCs w:val="21"/>
                <w:highlight w:val="none"/>
                <w:u w:val="none"/>
              </w:rPr>
              <w:t>投标</w:t>
            </w:r>
            <w:r>
              <w:rPr>
                <w:rFonts w:hint="eastAsia" w:ascii="宋体" w:hAnsi="宋体" w:eastAsia="宋体" w:cs="宋体"/>
                <w:color w:val="auto"/>
                <w:kern w:val="0"/>
                <w:sz w:val="21"/>
                <w:szCs w:val="21"/>
                <w:highlight w:val="none"/>
                <w:u w:val="none"/>
                <w:lang w:eastAsia="zh-CN"/>
              </w:rPr>
              <w:t>报价不得高于招标控制价，否则</w:t>
            </w:r>
            <w:r>
              <w:rPr>
                <w:rFonts w:hint="eastAsia" w:ascii="宋体" w:hAnsi="宋体" w:eastAsia="宋体" w:cs="宋体"/>
                <w:color w:val="auto"/>
                <w:kern w:val="0"/>
                <w:sz w:val="21"/>
                <w:szCs w:val="21"/>
                <w:highlight w:val="none"/>
                <w:u w:val="none"/>
              </w:rPr>
              <w:t>按废标处理。</w:t>
            </w:r>
            <w:r>
              <w:rPr>
                <w:rFonts w:hint="eastAsia" w:ascii="宋体" w:hAnsi="宋体" w:eastAsia="宋体" w:cs="宋体"/>
                <w:color w:val="auto"/>
                <w:kern w:val="2"/>
                <w:sz w:val="21"/>
                <w:szCs w:val="21"/>
                <w:highlight w:val="none"/>
                <w:lang w:val="en-US" w:eastAsia="zh-CN"/>
              </w:rPr>
              <w:t>监理投标下浮率=1-（监理报价/监理收费基准价</w:t>
            </w:r>
            <w:r>
              <w:rPr>
                <w:rFonts w:hint="eastAsia" w:ascii="宋体" w:hAnsi="宋体" w:eastAsia="宋体" w:cs="宋体"/>
                <w:b w:val="0"/>
                <w:bCs w:val="0"/>
                <w:color w:val="auto"/>
                <w:kern w:val="0"/>
                <w:sz w:val="21"/>
                <w:szCs w:val="21"/>
                <w:highlight w:val="none"/>
                <w:u w:val="none"/>
                <w:lang w:val="en-US" w:eastAsia="zh-CN" w:bidi="ar-SA"/>
              </w:rPr>
              <w:t>1167027.98</w:t>
            </w:r>
            <w:r>
              <w:rPr>
                <w:rFonts w:hint="eastAsia" w:ascii="宋体" w:hAnsi="宋体" w:eastAsia="宋体" w:cs="宋体"/>
                <w:color w:val="auto"/>
                <w:sz w:val="21"/>
                <w:szCs w:val="21"/>
                <w:highlight w:val="none"/>
                <w:u w:val="none"/>
                <w:lang w:val="en-US" w:eastAsia="zh-CN"/>
              </w:rPr>
              <w:t>元</w:t>
            </w:r>
            <w:r>
              <w:rPr>
                <w:rFonts w:hint="eastAsia" w:ascii="宋体" w:hAnsi="宋体" w:eastAsia="宋体" w:cs="宋体"/>
                <w:color w:val="auto"/>
                <w:kern w:val="2"/>
                <w:sz w:val="21"/>
                <w:szCs w:val="21"/>
                <w:highlight w:val="none"/>
                <w:lang w:val="en-US" w:eastAsia="zh-CN"/>
              </w:rPr>
              <w:t>）*100%。</w:t>
            </w:r>
          </w:p>
          <w:p w14:paraId="15A8CFE6">
            <w:pPr>
              <w:pStyle w:val="4"/>
              <w:widowControl/>
              <w:spacing w:before="0" w:line="360" w:lineRule="auto"/>
              <w:ind w:right="0" w:rightChars="0" w:firstLine="0" w:firstLineChars="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监理费结算价参照发改办价格[2007]670号文件为计费标准，以经审定的建安工程费结算价为计费基数，结合系数（专业调整系数取1.0，工程复杂程度调整系数取0.85，高程调整系数取1.0）计算</w:t>
            </w:r>
            <w:r>
              <w:rPr>
                <w:rFonts w:hint="eastAsia" w:ascii="宋体" w:hAnsi="宋体" w:eastAsia="宋体" w:cs="宋体"/>
                <w:color w:val="auto"/>
                <w:sz w:val="21"/>
                <w:szCs w:val="21"/>
                <w:highlight w:val="none"/>
                <w:u w:val="none"/>
                <w:lang w:eastAsia="zh-CN"/>
              </w:rPr>
              <w:t>得出监理</w:t>
            </w:r>
            <w:r>
              <w:rPr>
                <w:rFonts w:hint="eastAsia" w:ascii="宋体" w:hAnsi="宋体" w:eastAsia="宋体" w:cs="宋体"/>
                <w:color w:val="auto"/>
                <w:sz w:val="21"/>
                <w:szCs w:val="21"/>
                <w:highlight w:val="none"/>
                <w:u w:val="none"/>
                <w:lang w:val="en-US" w:eastAsia="zh-CN"/>
              </w:rPr>
              <w:t>收费基准价，再结合</w:t>
            </w:r>
            <w:r>
              <w:rPr>
                <w:rFonts w:hint="eastAsia" w:ascii="宋体" w:hAnsi="宋体" w:eastAsia="宋体" w:cs="宋体"/>
                <w:color w:val="auto"/>
                <w:kern w:val="2"/>
                <w:sz w:val="21"/>
                <w:szCs w:val="21"/>
                <w:highlight w:val="none"/>
                <w:lang w:val="en-US" w:eastAsia="zh-CN"/>
              </w:rPr>
              <w:t>中标下浮率得出结算价。</w:t>
            </w:r>
          </w:p>
        </w:tc>
      </w:tr>
      <w:tr w14:paraId="4C794F16">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EAE0BD6">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4BE4C36">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8CF1966">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031585E">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90日历天（从投标截止之日算起）。</w:t>
            </w:r>
          </w:p>
        </w:tc>
      </w:tr>
      <w:tr w14:paraId="75C382EC">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A75C1BB">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3ED38D4">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F3BF302">
            <w:pPr>
              <w:pStyle w:val="14"/>
              <w:widowControl/>
              <w:spacing w:after="0" w:line="440" w:lineRule="exact"/>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207DFCB">
            <w:pPr>
              <w:numPr>
                <w:ilvl w:val="-1"/>
                <w:numId w:val="0"/>
              </w:num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1、金额：人民币</w:t>
            </w:r>
            <w:r>
              <w:rPr>
                <w:rFonts w:hint="eastAsia" w:ascii="宋体" w:hAnsi="宋体" w:eastAsia="宋体" w:cs="宋体"/>
                <w:color w:val="auto"/>
                <w:sz w:val="21"/>
                <w:szCs w:val="21"/>
                <w:highlight w:val="none"/>
                <w:u w:val="single"/>
                <w:lang w:eastAsia="zh-CN"/>
              </w:rPr>
              <w:t>壹万</w:t>
            </w:r>
            <w:r>
              <w:rPr>
                <w:rFonts w:hint="eastAsia" w:ascii="宋体" w:hAnsi="宋体" w:eastAsia="宋体" w:cs="宋体"/>
                <w:color w:val="auto"/>
                <w:sz w:val="21"/>
                <w:szCs w:val="21"/>
                <w:highlight w:val="none"/>
              </w:rPr>
              <w:t>元。</w:t>
            </w:r>
          </w:p>
          <w:p w14:paraId="50EE5D84">
            <w:pPr>
              <w:numPr>
                <w:ilvl w:val="-1"/>
                <w:numId w:val="0"/>
              </w:numPr>
              <w:adjustRightInd w:val="0"/>
              <w:snapToGri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2、缴纳方式：</w:t>
            </w:r>
            <w:r>
              <w:rPr>
                <w:rFonts w:hint="eastAsia" w:ascii="宋体" w:hAnsi="宋体" w:eastAsia="宋体" w:cs="宋体"/>
                <w:color w:val="auto"/>
                <w:sz w:val="21"/>
                <w:szCs w:val="21"/>
                <w:highlight w:val="none"/>
                <w:lang w:eastAsia="zh-CN"/>
              </w:rPr>
              <w:t>银行转账。</w:t>
            </w:r>
          </w:p>
          <w:p w14:paraId="3792FF1D">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账户名称：广州南沙建设维护管理有限公司</w:t>
            </w:r>
          </w:p>
          <w:p w14:paraId="22EE0FCC">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开户银行：中国工商银行广东自由贸易试验区南沙分行</w:t>
            </w:r>
            <w:r>
              <w:rPr>
                <w:rFonts w:hint="eastAsia" w:ascii="宋体" w:hAnsi="宋体" w:eastAsia="宋体" w:cs="宋体"/>
                <w:color w:val="auto"/>
                <w:sz w:val="21"/>
                <w:szCs w:val="21"/>
                <w:highlight w:val="none"/>
                <w:lang w:val="en-US" w:eastAsia="zh-CN"/>
              </w:rPr>
              <w:t xml:space="preserve"> </w:t>
            </w:r>
          </w:p>
          <w:p w14:paraId="51576F4E">
            <w:pPr>
              <w:numPr>
                <w:ilvl w:val="-1"/>
                <w:numId w:val="0"/>
              </w:numPr>
              <w:adjustRightInd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账号：3602056909200030855</w:t>
            </w:r>
          </w:p>
          <w:p w14:paraId="13C9F1E9">
            <w:pPr>
              <w:numPr>
                <w:ilvl w:val="0"/>
                <w:numId w:val="1"/>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rPr>
              <w:t>缴纳时间：投标单位须在</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5</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2月10</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一</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17</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前</w:t>
            </w:r>
            <w:r>
              <w:rPr>
                <w:rFonts w:hint="eastAsia" w:ascii="宋体" w:hAnsi="宋体" w:eastAsia="宋体" w:cs="宋体"/>
                <w:color w:val="auto"/>
                <w:sz w:val="21"/>
                <w:szCs w:val="21"/>
                <w:highlight w:val="none"/>
              </w:rPr>
              <w:t>以投标人转出【以招标单位查询的信息为准，汇款时备注：</w:t>
            </w:r>
            <w:r>
              <w:rPr>
                <w:rFonts w:hint="eastAsia" w:ascii="宋体" w:hAnsi="宋体" w:eastAsia="宋体" w:cs="宋体"/>
                <w:color w:val="auto"/>
                <w:highlight w:val="none"/>
                <w:lang w:eastAsia="zh-CN"/>
              </w:rPr>
              <w:t>粤港澳大湾区青少年国情教育实践基地（虎门渡口西岸物业提升改造项目）一期工程监理服务</w:t>
            </w:r>
            <w:r>
              <w:rPr>
                <w:rFonts w:hint="eastAsia" w:ascii="宋体" w:hAnsi="宋体" w:eastAsia="宋体" w:cs="宋体"/>
                <w:color w:val="auto"/>
                <w:sz w:val="21"/>
                <w:szCs w:val="21"/>
                <w:highlight w:val="none"/>
              </w:rPr>
              <w:t>投标保证金】</w:t>
            </w:r>
          </w:p>
          <w:p w14:paraId="732517A5">
            <w:pPr>
              <w:pStyle w:val="14"/>
              <w:widowControl/>
              <w:spacing w:beforeAutospacing="0" w:after="0" w:line="360" w:lineRule="auto"/>
              <w:ind w:firstLine="0"/>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未按规定缴纳投标保证金的正式投标人将被视为自动放弃本工程的投标资格。</w:t>
            </w:r>
          </w:p>
        </w:tc>
      </w:tr>
      <w:tr w14:paraId="36C59FF1">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D235F61">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E3E1305">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26B5C2E9">
            <w:pPr>
              <w:pStyle w:val="14"/>
              <w:widowControl/>
              <w:spacing w:before="100" w:beforeAutospacing="0" w:after="0" w:line="440" w:lineRule="exact"/>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5093F54">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投标文件：1份正本（含电子文件一套），4份副本。</w:t>
            </w:r>
          </w:p>
        </w:tc>
      </w:tr>
      <w:tr w14:paraId="0F75A782">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850C72B">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D7DA3B9">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A91D255">
            <w:pPr>
              <w:pStyle w:val="14"/>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14:paraId="4276C75F">
            <w:pPr>
              <w:pStyle w:val="14"/>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14:paraId="2FA036B6">
            <w:pPr>
              <w:pStyle w:val="14"/>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1DF7F0A">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收件人：李工</w:t>
            </w:r>
          </w:p>
          <w:p w14:paraId="7E547109">
            <w:pPr>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提交地点：广州南沙区</w:t>
            </w:r>
            <w:r>
              <w:rPr>
                <w:rFonts w:hint="eastAsia" w:ascii="宋体" w:hAnsi="宋体" w:eastAsia="宋体" w:cs="宋体"/>
                <w:color w:val="auto"/>
                <w:szCs w:val="21"/>
                <w:highlight w:val="none"/>
                <w:lang w:val="en-US" w:eastAsia="zh-CN"/>
              </w:rPr>
              <w:t>环市大道中富汇街3号楼5楼会议室</w:t>
            </w:r>
          </w:p>
          <w:p w14:paraId="199B885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投标时间：</w:t>
            </w:r>
            <w:r>
              <w:rPr>
                <w:rFonts w:hint="eastAsia" w:ascii="宋体" w:hAnsi="宋体" w:eastAsia="宋体" w:cs="宋体"/>
                <w:color w:val="auto"/>
                <w:sz w:val="21"/>
                <w:szCs w:val="21"/>
                <w:highlight w:val="none"/>
              </w:rPr>
              <w:t>2025年</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 w:val="21"/>
                <w:szCs w:val="21"/>
                <w:highlight w:val="none"/>
              </w:rPr>
              <w:t>日（星期</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09</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lang w:val="en-US" w:eastAsia="zh-CN"/>
              </w:rPr>
              <w:t>00</w:t>
            </w:r>
            <w:r>
              <w:rPr>
                <w:rFonts w:hint="eastAsia" w:ascii="宋体" w:hAnsi="宋体" w:eastAsia="宋体" w:cs="宋体"/>
                <w:color w:val="auto"/>
                <w:sz w:val="21"/>
                <w:szCs w:val="21"/>
                <w:highlight w:val="none"/>
              </w:rPr>
              <w:t>分至2025年</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 w:val="21"/>
                <w:szCs w:val="21"/>
                <w:highlight w:val="none"/>
              </w:rPr>
              <w:t>日（星期</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09</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rPr>
              <w:t>前</w:t>
            </w:r>
          </w:p>
          <w:p w14:paraId="4DF5E997">
            <w:pPr>
              <w:spacing w:line="360" w:lineRule="auto"/>
              <w:rPr>
                <w:rFonts w:hint="eastAsia" w:ascii="宋体" w:hAnsi="宋体" w:eastAsia="宋体" w:cs="宋体"/>
                <w:b w:val="0"/>
                <w:color w:val="auto"/>
                <w:szCs w:val="21"/>
                <w:highlight w:val="none"/>
              </w:rPr>
            </w:pPr>
            <w:r>
              <w:rPr>
                <w:rFonts w:hint="eastAsia" w:ascii="宋体" w:hAnsi="宋体" w:eastAsia="宋体" w:cs="宋体"/>
                <w:color w:val="auto"/>
                <w:szCs w:val="21"/>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14:paraId="69E071FA">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65B4B6D">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B3EBEF4">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569E4BC">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D31CDEC">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w:t>
            </w:r>
            <w:r>
              <w:rPr>
                <w:rFonts w:hint="eastAsia" w:ascii="宋体" w:hAnsi="宋体" w:eastAsia="宋体" w:cs="宋体"/>
                <w:color w:val="auto"/>
                <w:sz w:val="21"/>
                <w:szCs w:val="21"/>
                <w:highlight w:val="none"/>
              </w:rPr>
              <w:t>2025年</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 w:val="21"/>
                <w:szCs w:val="21"/>
                <w:highlight w:val="none"/>
              </w:rPr>
              <w:t>日（星期</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09</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p w14:paraId="42E4F62A">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地点：广州南沙区</w:t>
            </w:r>
            <w:r>
              <w:rPr>
                <w:rFonts w:hint="eastAsia" w:ascii="宋体" w:hAnsi="宋体" w:eastAsia="宋体" w:cs="宋体"/>
                <w:color w:val="auto"/>
                <w:szCs w:val="21"/>
                <w:highlight w:val="none"/>
                <w:lang w:val="en-US" w:eastAsia="zh-CN"/>
              </w:rPr>
              <w:t>环市大道中富汇街3号楼5楼会议室</w:t>
            </w:r>
          </w:p>
          <w:p w14:paraId="2EB86CDD">
            <w:pPr>
              <w:spacing w:line="360" w:lineRule="auto"/>
              <w:rPr>
                <w:rFonts w:hint="eastAsia" w:ascii="宋体" w:hAnsi="宋体" w:eastAsia="宋体" w:cs="宋体"/>
                <w:b w:val="0"/>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14:paraId="44957E1B">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D1DE7DD">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1688B3C">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D75929D">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E672FF3">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综合评分法</w:t>
            </w:r>
          </w:p>
        </w:tc>
      </w:tr>
    </w:tbl>
    <w:p w14:paraId="0A7E465F">
      <w:pPr>
        <w:rPr>
          <w:rFonts w:ascii="宋体" w:hAnsi="宋体" w:eastAsia="宋体" w:cs="宋体"/>
          <w:color w:val="auto"/>
          <w:highlight w:val="none"/>
        </w:rPr>
      </w:pPr>
      <w:r>
        <w:rPr>
          <w:rFonts w:hint="eastAsia" w:ascii="宋体" w:hAnsi="宋体" w:eastAsia="宋体" w:cs="宋体"/>
          <w:color w:val="auto"/>
          <w:szCs w:val="21"/>
          <w:highlight w:val="none"/>
        </w:rPr>
        <w:t xml:space="preserve"> </w:t>
      </w:r>
    </w:p>
    <w:p w14:paraId="10A7CD10">
      <w:pPr>
        <w:spacing w:line="360" w:lineRule="auto"/>
        <w:jc w:val="center"/>
        <w:rPr>
          <w:b/>
          <w:color w:val="auto"/>
          <w:highlight w:val="none"/>
        </w:rPr>
      </w:pPr>
      <w:r>
        <w:rPr>
          <w:b/>
          <w:color w:val="auto"/>
          <w:highlight w:val="none"/>
        </w:rPr>
        <w:t xml:space="preserve"> </w:t>
      </w:r>
    </w:p>
    <w:p w14:paraId="1A546187">
      <w:pPr>
        <w:rPr>
          <w:b/>
          <w:color w:val="auto"/>
          <w:highlight w:val="none"/>
        </w:rPr>
      </w:pPr>
      <w:r>
        <w:rPr>
          <w:b/>
          <w:color w:val="auto"/>
          <w:highlight w:val="none"/>
        </w:rPr>
        <w:br w:type="page"/>
      </w:r>
    </w:p>
    <w:p w14:paraId="321EB84A">
      <w:pPr>
        <w:spacing w:line="360" w:lineRule="auto"/>
        <w:jc w:val="center"/>
        <w:outlineLvl w:val="1"/>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14:paraId="00E31634">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14:paraId="501FE9A2">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14:paraId="39B6456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14:paraId="2BB75F02">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广东南沙虎门汽车渡轮有限公司</w:t>
      </w:r>
      <w:r>
        <w:rPr>
          <w:rFonts w:hint="eastAsia" w:ascii="宋体" w:hAnsi="宋体" w:eastAsia="宋体" w:cs="宋体"/>
          <w:color w:val="auto"/>
          <w:sz w:val="24"/>
          <w:highlight w:val="none"/>
          <w:u w:val="single"/>
        </w:rPr>
        <w:t>、广州南沙建设维护管理有限公司。</w:t>
      </w:r>
    </w:p>
    <w:p w14:paraId="467BC0D4">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77F5623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14:paraId="1257145F">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1.4 “承包商”指被招标人接受并与其签订承包合同的当事人</w:t>
      </w:r>
      <w:r>
        <w:rPr>
          <w:rFonts w:hint="eastAsia" w:ascii="宋体" w:hAnsi="宋体" w:eastAsia="宋体" w:cs="宋体"/>
          <w:color w:val="auto"/>
          <w:sz w:val="24"/>
          <w:highlight w:val="none"/>
          <w:lang w:eastAsia="zh-CN"/>
        </w:rPr>
        <w:t>。</w:t>
      </w:r>
    </w:p>
    <w:p w14:paraId="17B797F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14:paraId="22007DE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14:paraId="1D44AD1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 xml:space="preserve"> “招标文件”指由招标代理发出的本文件（包括全部章节、附件）及澄清补充文件。</w:t>
      </w:r>
    </w:p>
    <w:p w14:paraId="14B1454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 xml:space="preserve"> “投标文件”指投标人根据本招标文件向招标人提交的全部文件。</w:t>
      </w:r>
    </w:p>
    <w:p w14:paraId="29AFA04D">
      <w:pPr>
        <w:pStyle w:val="14"/>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“书面函件”指打字或印刷的函件，包括电传、电报和传真。</w:t>
      </w:r>
    </w:p>
    <w:p w14:paraId="056DE4DB">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2、招标说明</w:t>
      </w:r>
    </w:p>
    <w:p w14:paraId="4850F541">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w:t>
      </w:r>
      <w:r>
        <w:rPr>
          <w:rFonts w:hint="eastAsia" w:ascii="宋体" w:hAnsi="宋体" w:eastAsia="宋体" w:cs="宋体"/>
          <w:color w:val="auto"/>
          <w:sz w:val="24"/>
          <w:highlight w:val="none"/>
          <w:lang w:eastAsia="zh-CN"/>
        </w:rPr>
        <w:t>监理</w:t>
      </w:r>
      <w:r>
        <w:rPr>
          <w:rFonts w:hint="eastAsia" w:ascii="宋体" w:hAnsi="宋体" w:eastAsia="宋体" w:cs="宋体"/>
          <w:color w:val="auto"/>
          <w:sz w:val="24"/>
          <w:highlight w:val="none"/>
        </w:rPr>
        <w:t>单位承担</w:t>
      </w:r>
      <w:r>
        <w:rPr>
          <w:rFonts w:hint="eastAsia" w:ascii="宋体" w:hAnsi="宋体" w:eastAsia="宋体" w:cs="宋体"/>
          <w:color w:val="auto"/>
          <w:sz w:val="24"/>
          <w:highlight w:val="none"/>
          <w:lang w:eastAsia="zh-CN"/>
        </w:rPr>
        <w:t>监理</w:t>
      </w:r>
      <w:r>
        <w:rPr>
          <w:rFonts w:hint="eastAsia" w:ascii="宋体" w:hAnsi="宋体" w:eastAsia="宋体" w:cs="宋体"/>
          <w:color w:val="auto"/>
          <w:sz w:val="24"/>
          <w:highlight w:val="none"/>
        </w:rPr>
        <w:t>服务，确保本</w:t>
      </w:r>
      <w:r>
        <w:rPr>
          <w:rFonts w:hint="eastAsia" w:ascii="宋体" w:hAnsi="宋体" w:cs="宋体"/>
          <w:color w:val="auto"/>
          <w:highlight w:val="none"/>
        </w:rPr>
        <w:t>项目</w:t>
      </w:r>
      <w:r>
        <w:rPr>
          <w:rFonts w:hint="eastAsia" w:ascii="宋体" w:hAnsi="宋体" w:eastAsia="宋体" w:cs="宋体"/>
          <w:color w:val="auto"/>
          <w:sz w:val="24"/>
          <w:highlight w:val="none"/>
        </w:rPr>
        <w:t>能按期、优质、经济地完成。</w:t>
      </w:r>
    </w:p>
    <w:p w14:paraId="6EA09B19">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highlight w:val="none"/>
        </w:rPr>
        <w:t>项目</w:t>
      </w:r>
      <w:r>
        <w:rPr>
          <w:rFonts w:hint="eastAsia" w:ascii="宋体" w:hAnsi="宋体" w:eastAsia="宋体" w:cs="宋体"/>
          <w:color w:val="auto"/>
          <w:sz w:val="24"/>
          <w:highlight w:val="none"/>
        </w:rPr>
        <w:t>概况：</w:t>
      </w:r>
    </w:p>
    <w:p w14:paraId="37D851C5">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highlight w:val="none"/>
        </w:rPr>
        <w:t>项目</w:t>
      </w:r>
      <w:r>
        <w:rPr>
          <w:rFonts w:hint="eastAsia" w:ascii="宋体" w:hAnsi="宋体" w:eastAsia="宋体" w:cs="宋体"/>
          <w:color w:val="auto"/>
          <w:sz w:val="24"/>
          <w:highlight w:val="none"/>
        </w:rPr>
        <w:t>名称：见投标须知前附表第1项。</w:t>
      </w:r>
    </w:p>
    <w:p w14:paraId="0E9A3B3B">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14:paraId="3A679823">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14:paraId="1AA559E7">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项目预算</w:t>
      </w:r>
      <w:r>
        <w:rPr>
          <w:rFonts w:hint="eastAsia" w:ascii="宋体" w:hAnsi="宋体" w:eastAsia="宋体" w:cs="宋体"/>
          <w:color w:val="auto"/>
          <w:sz w:val="24"/>
          <w:highlight w:val="none"/>
        </w:rPr>
        <w:t>：见投标须知前附表第4项。</w:t>
      </w:r>
    </w:p>
    <w:p w14:paraId="7197627F">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eastAsia="zh-CN"/>
        </w:rPr>
        <w:t>质量</w:t>
      </w:r>
      <w:r>
        <w:rPr>
          <w:rFonts w:hint="eastAsia" w:ascii="宋体" w:hAnsi="宋体" w:eastAsia="宋体" w:cs="宋体"/>
          <w:color w:val="auto"/>
          <w:sz w:val="24"/>
          <w:highlight w:val="none"/>
        </w:rPr>
        <w:t>目标：见投标须知前附表第5项。</w:t>
      </w:r>
    </w:p>
    <w:p w14:paraId="2BA45A8C">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14:paraId="7AEB35BA">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14:paraId="7BE5E693">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w:t>
      </w:r>
      <w:r>
        <w:rPr>
          <w:rFonts w:hint="eastAsia" w:ascii="宋体" w:hAnsi="宋体" w:eastAsia="宋体" w:cs="宋体"/>
          <w:color w:val="auto"/>
          <w:sz w:val="24"/>
          <w:highlight w:val="none"/>
          <w:lang w:eastAsia="zh-CN"/>
        </w:rPr>
        <w:t>监理</w:t>
      </w:r>
      <w:r>
        <w:rPr>
          <w:rFonts w:hint="eastAsia" w:ascii="宋体" w:hAnsi="宋体" w:eastAsia="宋体" w:cs="宋体"/>
          <w:color w:val="auto"/>
          <w:sz w:val="24"/>
          <w:highlight w:val="none"/>
        </w:rPr>
        <w:t>服务期要求：见投标须知前附表第7项。</w:t>
      </w:r>
    </w:p>
    <w:p w14:paraId="465F0E29">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14:paraId="09097C3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14:paraId="34455350">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14:paraId="07217610">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14:paraId="2B65FDD7">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14:paraId="355B4141">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14:paraId="21D7A0C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14:paraId="003C9F7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14:paraId="0CC23575">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14:paraId="00E94FD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14:paraId="293F455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14:paraId="5B7C76F4">
      <w:pPr>
        <w:spacing w:line="360" w:lineRule="auto"/>
        <w:ind w:firstLine="241" w:firstLineChars="1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14:paraId="797CBCE6">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14:paraId="5DFE04ED">
      <w:pPr>
        <w:pStyle w:val="14"/>
        <w:widowControl/>
        <w:spacing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14:paraId="31DE3901">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14:paraId="44B0A557">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2）投标文件格式</w:t>
      </w:r>
    </w:p>
    <w:p w14:paraId="303DF8E1">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3）服务合同（另附）</w:t>
      </w:r>
    </w:p>
    <w:p w14:paraId="41F12917">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4）评标办法</w:t>
      </w:r>
    </w:p>
    <w:p w14:paraId="61B2438C">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5）附件</w:t>
      </w:r>
    </w:p>
    <w:p w14:paraId="49CD6889">
      <w:pPr>
        <w:pStyle w:val="14"/>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14:paraId="3337E637">
      <w:pPr>
        <w:pStyle w:val="14"/>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14:paraId="17E460D7">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14:paraId="2A1A40A2">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14:paraId="3106B15C">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14:paraId="71678974">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14:paraId="0D19F2B3">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14:paraId="4EFE5213">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14:paraId="5B8A05F7">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14:paraId="77F5F098">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14:paraId="09FF7BC3">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14:paraId="173670AA">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14:paraId="576D6051">
      <w:pPr>
        <w:pStyle w:val="14"/>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14:paraId="03F47D5D">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14:paraId="64335985">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14:paraId="61C3EC00">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14:paraId="187140AA">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14:paraId="49AFD0B7">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11.1投标文件目录</w:t>
      </w:r>
      <w:r>
        <w:rPr>
          <w:rFonts w:hint="eastAsia" w:ascii="宋体" w:hAnsi="宋体" w:eastAsia="宋体" w:cs="宋体"/>
          <w:color w:val="auto"/>
          <w:sz w:val="24"/>
          <w:highlight w:val="none"/>
          <w:lang w:eastAsia="zh-CN"/>
        </w:rPr>
        <w:t>；</w:t>
      </w:r>
    </w:p>
    <w:p w14:paraId="1EE22548">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11.2投标函（按招标文件第2章格式填写）</w:t>
      </w:r>
      <w:r>
        <w:rPr>
          <w:rFonts w:hint="eastAsia" w:ascii="宋体" w:hAnsi="宋体" w:eastAsia="宋体" w:cs="宋体"/>
          <w:color w:val="auto"/>
          <w:sz w:val="24"/>
          <w:highlight w:val="none"/>
          <w:lang w:eastAsia="zh-CN"/>
        </w:rPr>
        <w:t>；</w:t>
      </w:r>
    </w:p>
    <w:p w14:paraId="7B9256BD">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11.3服务承诺书（按招标文件第2章格式填写）</w:t>
      </w:r>
      <w:r>
        <w:rPr>
          <w:rFonts w:hint="eastAsia" w:ascii="宋体" w:hAnsi="宋体" w:eastAsia="宋体" w:cs="宋体"/>
          <w:color w:val="auto"/>
          <w:sz w:val="24"/>
          <w:highlight w:val="none"/>
          <w:lang w:eastAsia="zh-CN"/>
        </w:rPr>
        <w:t>；</w:t>
      </w:r>
    </w:p>
    <w:p w14:paraId="48A3D9AD">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11.4企业法定代表人证明书及法定代表人授权委托证明书（按招标文件第2章格式填写，或使用从工商管理部门购买的版本填写），法人身份证复印件、被授权人身份证复印件</w:t>
      </w:r>
      <w:r>
        <w:rPr>
          <w:rFonts w:hint="eastAsia" w:ascii="宋体" w:hAnsi="宋体" w:eastAsia="宋体" w:cs="宋体"/>
          <w:color w:val="auto"/>
          <w:sz w:val="24"/>
          <w:highlight w:val="none"/>
          <w:lang w:eastAsia="zh-CN"/>
        </w:rPr>
        <w:t>；</w:t>
      </w:r>
    </w:p>
    <w:p w14:paraId="71949E64">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11.5公司法人营业执照及资质证书复印件</w:t>
      </w:r>
      <w:r>
        <w:rPr>
          <w:rFonts w:hint="eastAsia" w:ascii="宋体" w:hAnsi="宋体" w:eastAsia="宋体" w:cs="宋体"/>
          <w:color w:val="auto"/>
          <w:sz w:val="24"/>
          <w:highlight w:val="none"/>
          <w:lang w:eastAsia="zh-CN"/>
        </w:rPr>
        <w:t>；</w:t>
      </w:r>
    </w:p>
    <w:p w14:paraId="29DEB49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w:t>
      </w:r>
      <w:r>
        <w:rPr>
          <w:rFonts w:hint="eastAsia" w:ascii="宋体" w:hAnsi="宋体" w:eastAsia="宋体" w:cs="宋体"/>
          <w:color w:val="auto"/>
          <w:sz w:val="24"/>
          <w:highlight w:val="none"/>
          <w:lang w:eastAsia="zh-CN"/>
        </w:rPr>
        <w:t>人员</w:t>
      </w:r>
      <w:r>
        <w:rPr>
          <w:rFonts w:hint="eastAsia" w:ascii="宋体" w:hAnsi="宋体" w:eastAsia="宋体" w:cs="宋体"/>
          <w:color w:val="auto"/>
          <w:sz w:val="24"/>
          <w:highlight w:val="none"/>
          <w:lang w:val="en-US" w:eastAsia="zh-CN"/>
        </w:rPr>
        <w:t>证书</w:t>
      </w:r>
      <w:r>
        <w:rPr>
          <w:rFonts w:hint="eastAsia" w:ascii="宋体" w:hAnsi="宋体" w:eastAsia="宋体" w:cs="宋体"/>
          <w:color w:val="auto"/>
          <w:sz w:val="24"/>
          <w:highlight w:val="none"/>
        </w:rPr>
        <w:t>复印件</w:t>
      </w:r>
      <w:r>
        <w:rPr>
          <w:rFonts w:hint="eastAsia" w:ascii="宋体" w:hAnsi="宋体" w:eastAsia="宋体" w:cs="宋体"/>
          <w:color w:val="auto"/>
          <w:sz w:val="24"/>
          <w:highlight w:val="none"/>
          <w:lang w:eastAsia="zh-CN"/>
        </w:rPr>
        <w:t>；</w:t>
      </w:r>
    </w:p>
    <w:p w14:paraId="53F08417">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11.7人员到位承诺书（按招标文件第2章格式填写）；</w:t>
      </w:r>
    </w:p>
    <w:p w14:paraId="17182F89">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11.8投标人综合概况（按招标文件第2章格式填写）；</w:t>
      </w:r>
    </w:p>
    <w:p w14:paraId="4C311FC1">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11.9企业自</w:t>
      </w:r>
      <w:r>
        <w:rPr>
          <w:rFonts w:hint="eastAsia" w:ascii="宋体" w:hAnsi="宋体" w:eastAsia="宋体" w:cs="宋体"/>
          <w:color w:val="auto"/>
          <w:sz w:val="24"/>
          <w:highlight w:val="none"/>
          <w:lang w:eastAsia="zh-CN"/>
        </w:rPr>
        <w:t>201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lang w:eastAsia="zh-CN"/>
        </w:rPr>
        <w:t>年</w:t>
      </w:r>
      <w:r>
        <w:rPr>
          <w:rFonts w:hint="eastAsia" w:ascii="宋体" w:hAnsi="宋体" w:eastAsia="宋体" w:cs="宋体"/>
          <w:color w:val="auto"/>
          <w:sz w:val="24"/>
          <w:highlight w:val="none"/>
        </w:rPr>
        <w:t>1月1日至今企业承担的同类项目（按招标文件第2章格式填写）；</w:t>
      </w:r>
    </w:p>
    <w:p w14:paraId="3372458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11.10参与本项目的人员一览表及证明文件（按招标文件第2章格式填写）；</w:t>
      </w:r>
    </w:p>
    <w:p w14:paraId="0C6BAB08">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w:t>
      </w:r>
      <w:r>
        <w:rPr>
          <w:rFonts w:hint="eastAsia" w:ascii="宋体" w:hAnsi="宋体" w:eastAsia="宋体" w:cs="宋体"/>
          <w:color w:val="auto"/>
          <w:sz w:val="24"/>
          <w:highlight w:val="none"/>
          <w:lang w:eastAsia="zh-CN"/>
        </w:rPr>
        <w:t>总监理工程师</w:t>
      </w:r>
      <w:r>
        <w:rPr>
          <w:rFonts w:hint="eastAsia" w:ascii="宋体" w:hAnsi="宋体" w:eastAsia="宋体" w:cs="宋体"/>
          <w:color w:val="auto"/>
          <w:sz w:val="24"/>
          <w:highlight w:val="none"/>
        </w:rPr>
        <w:t>相关经验及业绩（按招标文件第2章格式填写）；</w:t>
      </w:r>
    </w:p>
    <w:p w14:paraId="503C90A0">
      <w:pPr>
        <w:pStyle w:val="9"/>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11.12报价表</w:t>
      </w:r>
      <w:r>
        <w:rPr>
          <w:rFonts w:hint="eastAsia" w:hAnsi="宋体" w:cs="宋体"/>
          <w:color w:val="auto"/>
          <w:sz w:val="24"/>
          <w:highlight w:val="none"/>
          <w:lang w:eastAsia="zh-CN"/>
        </w:rPr>
        <w:t>；</w:t>
      </w:r>
    </w:p>
    <w:p w14:paraId="1DF8AE37">
      <w:pPr>
        <w:pStyle w:val="9"/>
        <w:ind w:firstLine="480" w:firstLineChars="200"/>
        <w:rPr>
          <w:rFonts w:hint="eastAsia" w:hAnsi="宋体" w:eastAsia="宋体" w:cs="宋体"/>
          <w:color w:val="auto"/>
          <w:sz w:val="24"/>
          <w:highlight w:val="none"/>
          <w:lang w:eastAsia="zh-CN"/>
        </w:rPr>
      </w:pPr>
      <w:r>
        <w:rPr>
          <w:rFonts w:hAnsi="宋体" w:cs="宋体"/>
          <w:color w:val="auto"/>
          <w:sz w:val="24"/>
          <w:highlight w:val="none"/>
        </w:rPr>
        <w:t xml:space="preserve">11.13 </w:t>
      </w:r>
      <w:r>
        <w:rPr>
          <w:rFonts w:hint="eastAsia" w:hAnsi="宋体" w:cs="宋体"/>
          <w:color w:val="auto"/>
          <w:sz w:val="24"/>
          <w:highlight w:val="none"/>
          <w:lang w:eastAsia="zh-CN"/>
        </w:rPr>
        <w:t>监理大纲（作为技术标单独成册）；</w:t>
      </w:r>
    </w:p>
    <w:p w14:paraId="678AFB53">
      <w:pPr>
        <w:pStyle w:val="9"/>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4</w:t>
      </w:r>
      <w:r>
        <w:rPr>
          <w:rFonts w:hAnsi="宋体" w:cs="宋体"/>
          <w:color w:val="auto"/>
          <w:sz w:val="24"/>
          <w:highlight w:val="none"/>
        </w:rPr>
        <w:t xml:space="preserve"> 投标文件电子版（</w:t>
      </w:r>
      <w:r>
        <w:rPr>
          <w:rFonts w:hint="eastAsia" w:hAnsi="宋体" w:cs="宋体"/>
          <w:color w:val="auto"/>
          <w:sz w:val="24"/>
          <w:highlight w:val="none"/>
          <w:lang w:eastAsia="zh-CN"/>
        </w:rPr>
        <w:t>需带有</w:t>
      </w:r>
      <w:r>
        <w:rPr>
          <w:rFonts w:hint="eastAsia" w:hAnsi="宋体" w:cs="宋体"/>
          <w:color w:val="auto"/>
          <w:sz w:val="24"/>
          <w:highlight w:val="none"/>
          <w:lang w:val="en-US" w:eastAsia="zh-CN"/>
        </w:rPr>
        <w:t>公司印章，</w:t>
      </w:r>
      <w:r>
        <w:rPr>
          <w:rFonts w:hAnsi="宋体" w:cs="宋体"/>
          <w:color w:val="auto"/>
          <w:sz w:val="24"/>
          <w:highlight w:val="none"/>
        </w:rPr>
        <w:t>刻录光盘或提供U盘）</w:t>
      </w:r>
      <w:r>
        <w:rPr>
          <w:rFonts w:hint="eastAsia" w:hAnsi="宋体" w:cs="宋体"/>
          <w:color w:val="auto"/>
          <w:sz w:val="24"/>
          <w:highlight w:val="none"/>
          <w:lang w:eastAsia="zh-CN"/>
        </w:rPr>
        <w:t>；</w:t>
      </w:r>
    </w:p>
    <w:p w14:paraId="39EEA141">
      <w:pPr>
        <w:pStyle w:val="9"/>
        <w:ind w:firstLine="480" w:firstLineChars="200"/>
        <w:rPr>
          <w:rFonts w:hint="default"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5</w:t>
      </w:r>
      <w:r>
        <w:rPr>
          <w:rFonts w:hAnsi="宋体" w:cs="宋体"/>
          <w:color w:val="auto"/>
          <w:sz w:val="24"/>
          <w:highlight w:val="none"/>
        </w:rPr>
        <w:t>投标人认为需要提交的其他资料。</w:t>
      </w:r>
    </w:p>
    <w:p w14:paraId="26312468">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14:paraId="0C408B07">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14:paraId="7A241983">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14:paraId="50B979B6">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14:paraId="39FE45F7">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14:paraId="5F0257A0">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13.3投标报价方式：投标单位自行报价（投标</w:t>
      </w:r>
      <w:r>
        <w:rPr>
          <w:rFonts w:hint="eastAsia" w:ascii="宋体" w:hAnsi="宋体" w:cs="宋体"/>
          <w:color w:val="auto"/>
          <w:sz w:val="24"/>
          <w:szCs w:val="24"/>
          <w:highlight w:val="none"/>
          <w:lang w:eastAsia="zh-CN"/>
        </w:rPr>
        <w:t>报</w:t>
      </w:r>
      <w:r>
        <w:rPr>
          <w:rFonts w:hint="eastAsia" w:ascii="宋体" w:hAnsi="宋体" w:cs="宋体"/>
          <w:color w:val="auto"/>
          <w:sz w:val="24"/>
          <w:szCs w:val="24"/>
          <w:highlight w:val="none"/>
        </w:rPr>
        <w:t>价不得超过最高投标限价，否则按废标处理）。（小数点后保留二位小数，第三位小数四舍五入）</w:t>
      </w:r>
    </w:p>
    <w:p w14:paraId="7C5BAC42">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14:paraId="2A348F7F">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14:paraId="09B5C394">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14:paraId="3EF9CB3F">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14:paraId="67F6684F">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14:paraId="688AD099">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14:paraId="0DFDD02A">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14:paraId="01805613">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14:paraId="5E7C667D">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14:paraId="69B82CD1">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盖章签字后的复印件，字迹应清晰易于辨认，并应在投标文件封面的右上角清楚地注明“正本”或“副本”。正本和副本如有不一致之处，以正本为准。</w:t>
      </w:r>
    </w:p>
    <w:p w14:paraId="444E4215">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14:paraId="35451337">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14:paraId="7101E9B5">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14:paraId="6B8EEDAB">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14:paraId="65E029D7">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14:paraId="0FB052EC">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14:paraId="79B856E0">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投标文件的包封要求：商务标一正四副、技术标一正四副及电子文件一起包封。</w:t>
      </w:r>
    </w:p>
    <w:p w14:paraId="40C5AC43">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14:paraId="5857CE23">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14:paraId="192A2764">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14:paraId="38DB73FB">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14:paraId="5A00E32B">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14:paraId="6B1BC930">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14:paraId="3E1FF795">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14:paraId="2DDA3F21">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14:paraId="39E01932">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14:paraId="55DDBD72">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14:paraId="099B6340">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14:paraId="5FAE4790">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14:paraId="57B9C89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14:paraId="5A7EBE8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14:paraId="316F7176">
      <w:pPr>
        <w:pStyle w:val="14"/>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14:paraId="2A2E456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14:paraId="2652F596">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14:paraId="0B87189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14:paraId="76603E8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14:paraId="247B4EC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14:paraId="79D51F78">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14:paraId="60E01415">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14:paraId="34B2F606">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14:paraId="4D5EC92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14:paraId="05D9ABE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14:paraId="30F3589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14:paraId="6A17B6F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14:paraId="7CC8317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14:paraId="11CF7BC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14:paraId="0D5C159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w:t>
      </w:r>
      <w:r>
        <w:rPr>
          <w:rFonts w:hint="eastAsia" w:ascii="宋体" w:hAnsi="宋体" w:eastAsia="宋体" w:cs="宋体"/>
          <w:color w:val="auto"/>
          <w:sz w:val="24"/>
          <w:highlight w:val="none"/>
          <w:lang w:eastAsia="zh-CN"/>
        </w:rPr>
        <w:t>总监理工程师</w:t>
      </w:r>
      <w:r>
        <w:rPr>
          <w:rFonts w:hint="eastAsia" w:ascii="宋体" w:hAnsi="宋体" w:eastAsia="宋体" w:cs="宋体"/>
          <w:color w:val="auto"/>
          <w:sz w:val="24"/>
          <w:highlight w:val="none"/>
        </w:rPr>
        <w:t>等主要内容。</w:t>
      </w:r>
    </w:p>
    <w:p w14:paraId="5B810BC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14:paraId="153376DA">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14:paraId="72C2E12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14:paraId="1D058C1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14:paraId="3430FB68">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14:paraId="282EF6C6">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 评标</w:t>
      </w:r>
    </w:p>
    <w:p w14:paraId="1E1E3C6F">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14:paraId="01E9BE9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14:paraId="04E42EA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14:paraId="7E86A43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14:paraId="0EB85D3A">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14:paraId="54AA412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14:paraId="2E19A81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14:paraId="6A731825">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14:paraId="6E6046B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14:paraId="0C3F165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14:paraId="238CF164">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27.3 评标小组依据投标须知前附表第20项规定的评标标准和方法，详见本招标文件《评标办法》，对投标文件进行评审和比较，向招标人提出书面评标报告，并推荐经评审投标</w:t>
      </w:r>
      <w:r>
        <w:rPr>
          <w:rFonts w:hint="eastAsia" w:ascii="宋体" w:hAnsi="宋体" w:eastAsia="宋体" w:cs="宋体"/>
          <w:color w:val="auto"/>
          <w:sz w:val="24"/>
          <w:highlight w:val="none"/>
          <w:lang w:eastAsia="zh-CN"/>
        </w:rPr>
        <w:t>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排序的前一～三名为第一、第二和第三中标候选人。招标人根据评标小组提出的书面评标报告和推荐的中标候选人中，按排序依法确定中标人。</w:t>
      </w:r>
      <w:r>
        <w:rPr>
          <w:rFonts w:hint="eastAsia" w:ascii="宋体" w:hAnsi="宋体" w:eastAsia="宋体" w:cs="宋体"/>
          <w:color w:val="auto"/>
          <w:sz w:val="24"/>
          <w:highlight w:val="none"/>
          <w:lang w:eastAsia="zh-CN"/>
        </w:rPr>
        <w:t>中标候选人公示</w:t>
      </w:r>
      <w:r>
        <w:rPr>
          <w:rFonts w:hint="eastAsia" w:ascii="宋体" w:hAnsi="宋体" w:eastAsia="宋体" w:cs="宋体"/>
          <w:color w:val="auto"/>
          <w:sz w:val="24"/>
          <w:szCs w:val="24"/>
          <w:highlight w:val="none"/>
        </w:rPr>
        <w:t>在</w:t>
      </w:r>
      <w:r>
        <w:rPr>
          <w:rFonts w:hint="eastAsia" w:ascii="宋体" w:hAnsi="宋体" w:eastAsia="宋体" w:cs="宋体"/>
          <w:bCs w:val="0"/>
          <w:color w:val="auto"/>
          <w:sz w:val="24"/>
          <w:szCs w:val="24"/>
          <w:highlight w:val="none"/>
        </w:rPr>
        <w:t>广州国企阳光采购信息发布平台</w:t>
      </w:r>
      <w:r>
        <w:rPr>
          <w:rFonts w:hint="eastAsia" w:ascii="宋体" w:hAnsi="宋体" w:eastAsia="宋体" w:cs="宋体"/>
          <w:bCs w:val="0"/>
          <w:color w:val="auto"/>
          <w:sz w:val="24"/>
          <w:szCs w:val="24"/>
          <w:highlight w:val="none"/>
          <w:lang w:eastAsia="zh-CN"/>
        </w:rPr>
        <w:t>（https://ygcg.gzggzy.cn/p92/index.html）、</w:t>
      </w:r>
      <w:r>
        <w:rPr>
          <w:rFonts w:hint="eastAsia" w:ascii="宋体" w:hAnsi="宋体" w:eastAsia="宋体" w:cs="宋体"/>
          <w:color w:val="auto"/>
          <w:sz w:val="24"/>
          <w:szCs w:val="24"/>
          <w:highlight w:val="none"/>
        </w:rPr>
        <w:t>广州南沙资产经营集团有限公司网站（http://www.gnao.com.cn）上公开发布</w:t>
      </w:r>
      <w:r>
        <w:rPr>
          <w:rFonts w:hint="eastAsia" w:ascii="宋体" w:hAnsi="宋体" w:eastAsia="宋体" w:cs="宋体"/>
          <w:color w:val="auto"/>
          <w:sz w:val="24"/>
          <w:szCs w:val="24"/>
          <w:highlight w:val="none"/>
          <w:lang w:eastAsia="zh-CN"/>
        </w:rPr>
        <w:t>，发布时间不少于</w:t>
      </w:r>
      <w:r>
        <w:rPr>
          <w:rFonts w:hint="eastAsia" w:ascii="宋体" w:hAnsi="宋体" w:eastAsia="宋体" w:cs="宋体"/>
          <w:color w:val="auto"/>
          <w:sz w:val="24"/>
          <w:szCs w:val="24"/>
          <w:highlight w:val="none"/>
          <w:lang w:val="en-US" w:eastAsia="zh-CN"/>
        </w:rPr>
        <w:t>1个工作日</w:t>
      </w:r>
      <w:r>
        <w:rPr>
          <w:rFonts w:hint="eastAsia" w:ascii="宋体" w:hAnsi="宋体" w:eastAsia="宋体" w:cs="宋体"/>
          <w:color w:val="auto"/>
          <w:sz w:val="24"/>
          <w:szCs w:val="24"/>
          <w:highlight w:val="none"/>
          <w:lang w:eastAsia="zh-CN"/>
        </w:rPr>
        <w:t>。</w:t>
      </w:r>
    </w:p>
    <w:p w14:paraId="60A5FBD6">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14:paraId="218AEF74">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14:paraId="0B57AB71">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14:paraId="1F2A178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14:paraId="0C821E1C">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14:paraId="3258E162">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14:paraId="397E1CFF">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14:paraId="36062309">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14:paraId="7029B03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31.1中标通知书经招标人及招标代理机构</w:t>
      </w:r>
      <w:r>
        <w:rPr>
          <w:rFonts w:hint="eastAsia" w:ascii="宋体" w:hAnsi="宋体" w:eastAsia="宋体" w:cs="宋体"/>
          <w:color w:val="auto"/>
          <w:sz w:val="24"/>
          <w:highlight w:val="none"/>
          <w:lang w:eastAsia="zh-CN"/>
        </w:rPr>
        <w:t>（如有）</w:t>
      </w:r>
      <w:r>
        <w:rPr>
          <w:rFonts w:hint="eastAsia" w:ascii="宋体" w:hAnsi="宋体" w:eastAsia="宋体" w:cs="宋体"/>
          <w:color w:val="auto"/>
          <w:sz w:val="24"/>
          <w:highlight w:val="none"/>
        </w:rPr>
        <w:t>确认，并由招标人颁发。</w:t>
      </w:r>
    </w:p>
    <w:p w14:paraId="43CFF65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14:paraId="2E1F0988">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14:paraId="38E4706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14:paraId="07E51A02">
      <w:pPr>
        <w:spacing w:line="360" w:lineRule="auto"/>
        <w:ind w:firstLine="480" w:firstLineChars="200"/>
        <w:rPr>
          <w:rFonts w:hint="default"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一年内拒绝其对招标人其他招标项目的投标文件。</w:t>
      </w:r>
      <w:r>
        <w:rPr>
          <w:rFonts w:hint="eastAsia" w:ascii="宋体" w:hAnsi="宋体" w:eastAsia="宋体" w:cs="宋体"/>
          <w:color w:val="auto"/>
          <w:sz w:val="24"/>
          <w:highlight w:val="none"/>
        </w:rPr>
        <w:t>给招标人的损失超过投标保证金数额的，中标人应当对超过部分予以赔偿；没有提交投标保证金的，应当对招标人的损失承担赔偿责任。</w:t>
      </w:r>
    </w:p>
    <w:p w14:paraId="34FB722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14:paraId="15711F21">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33．合同生效</w:t>
      </w:r>
    </w:p>
    <w:p w14:paraId="57B2DCF1">
      <w:pPr>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p>
    <w:p w14:paraId="2F7F6B41">
      <w:pPr>
        <w:pStyle w:val="2"/>
        <w:widowControl/>
        <w:spacing w:before="0" w:after="0" w:line="360" w:lineRule="auto"/>
        <w:jc w:val="center"/>
        <w:rPr>
          <w:rFonts w:ascii="黑体" w:hAnsi="宋体" w:cs="黑体"/>
          <w:b/>
          <w:color w:val="auto"/>
          <w:kern w:val="44"/>
          <w:sz w:val="44"/>
          <w:szCs w:val="44"/>
          <w:highlight w:val="none"/>
        </w:rPr>
      </w:pPr>
      <w:bookmarkStart w:id="5" w:name="_Toc374128473"/>
      <w:bookmarkEnd w:id="5"/>
    </w:p>
    <w:p w14:paraId="00F9B799">
      <w:pPr>
        <w:pStyle w:val="2"/>
        <w:widowControl/>
        <w:spacing w:before="0" w:after="0" w:line="360" w:lineRule="auto"/>
        <w:jc w:val="center"/>
        <w:rPr>
          <w:rFonts w:ascii="黑体" w:hAnsi="宋体" w:cs="黑体"/>
          <w:b/>
          <w:color w:val="auto"/>
          <w:kern w:val="44"/>
          <w:sz w:val="44"/>
          <w:szCs w:val="44"/>
          <w:highlight w:val="none"/>
        </w:rPr>
      </w:pPr>
    </w:p>
    <w:p w14:paraId="58DACD2D">
      <w:pPr>
        <w:pStyle w:val="2"/>
        <w:widowControl/>
        <w:spacing w:before="0" w:after="0" w:line="360" w:lineRule="auto"/>
        <w:jc w:val="center"/>
        <w:rPr>
          <w:rFonts w:ascii="黑体" w:hAnsi="宋体" w:cs="黑体"/>
          <w:b/>
          <w:color w:val="auto"/>
          <w:kern w:val="44"/>
          <w:sz w:val="44"/>
          <w:szCs w:val="44"/>
          <w:highlight w:val="none"/>
        </w:rPr>
      </w:pPr>
    </w:p>
    <w:p w14:paraId="2128AF5E">
      <w:pPr>
        <w:pStyle w:val="2"/>
        <w:widowControl/>
        <w:spacing w:before="0" w:after="0" w:line="360" w:lineRule="auto"/>
        <w:jc w:val="center"/>
        <w:rPr>
          <w:rFonts w:ascii="黑体" w:hAnsi="宋体" w:cs="黑体"/>
          <w:b/>
          <w:color w:val="auto"/>
          <w:kern w:val="44"/>
          <w:sz w:val="44"/>
          <w:szCs w:val="44"/>
          <w:highlight w:val="none"/>
        </w:rPr>
      </w:pPr>
    </w:p>
    <w:p w14:paraId="2C3DA90C">
      <w:pPr>
        <w:pStyle w:val="2"/>
        <w:widowControl/>
        <w:spacing w:before="0" w:after="0" w:line="360" w:lineRule="auto"/>
        <w:jc w:val="center"/>
        <w:rPr>
          <w:rFonts w:ascii="黑体" w:hAnsi="宋体" w:cs="黑体"/>
          <w:b/>
          <w:color w:val="auto"/>
          <w:kern w:val="44"/>
          <w:sz w:val="44"/>
          <w:szCs w:val="44"/>
          <w:highlight w:val="none"/>
        </w:rPr>
      </w:pPr>
    </w:p>
    <w:p w14:paraId="085E811A">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14:paraId="6DDC596B">
      <w:pPr>
        <w:pStyle w:val="2"/>
        <w:widowControl/>
        <w:spacing w:before="0" w:after="0" w:line="360" w:lineRule="auto"/>
        <w:jc w:val="center"/>
        <w:rPr>
          <w:rFonts w:ascii="黑体" w:hAnsi="宋体" w:cs="黑体"/>
          <w:b/>
          <w:color w:val="auto"/>
          <w:kern w:val="44"/>
          <w:sz w:val="44"/>
          <w:szCs w:val="44"/>
          <w:highlight w:val="none"/>
        </w:rPr>
      </w:pPr>
    </w:p>
    <w:p w14:paraId="6C11884C">
      <w:pPr>
        <w:pStyle w:val="2"/>
        <w:widowControl/>
        <w:spacing w:before="0" w:after="0" w:line="360" w:lineRule="auto"/>
        <w:jc w:val="center"/>
        <w:rPr>
          <w:rFonts w:ascii="黑体" w:hAnsi="宋体" w:cs="黑体"/>
          <w:b/>
          <w:color w:val="auto"/>
          <w:kern w:val="44"/>
          <w:sz w:val="44"/>
          <w:szCs w:val="44"/>
          <w:highlight w:val="none"/>
        </w:rPr>
      </w:pPr>
    </w:p>
    <w:p w14:paraId="7396EC2B">
      <w:pPr>
        <w:pStyle w:val="2"/>
        <w:widowControl/>
        <w:spacing w:before="0" w:after="0" w:line="360" w:lineRule="auto"/>
        <w:jc w:val="center"/>
        <w:rPr>
          <w:rFonts w:ascii="黑体" w:hAnsi="宋体" w:cs="黑体"/>
          <w:b/>
          <w:color w:val="auto"/>
          <w:kern w:val="44"/>
          <w:sz w:val="44"/>
          <w:szCs w:val="44"/>
          <w:highlight w:val="none"/>
        </w:rPr>
      </w:pPr>
    </w:p>
    <w:p w14:paraId="08F1F1E3">
      <w:pPr>
        <w:pStyle w:val="2"/>
        <w:widowControl/>
        <w:spacing w:before="0" w:after="0" w:line="360" w:lineRule="auto"/>
        <w:jc w:val="center"/>
        <w:rPr>
          <w:rFonts w:ascii="黑体" w:hAnsi="宋体" w:cs="黑体"/>
          <w:b/>
          <w:color w:val="auto"/>
          <w:kern w:val="44"/>
          <w:sz w:val="44"/>
          <w:szCs w:val="44"/>
          <w:highlight w:val="none"/>
        </w:rPr>
      </w:pPr>
    </w:p>
    <w:p w14:paraId="5066198C">
      <w:pPr>
        <w:pStyle w:val="2"/>
        <w:widowControl/>
        <w:spacing w:before="0" w:after="0" w:line="360" w:lineRule="auto"/>
        <w:jc w:val="center"/>
        <w:rPr>
          <w:rFonts w:ascii="黑体" w:hAnsi="宋体" w:cs="黑体"/>
          <w:b/>
          <w:color w:val="auto"/>
          <w:kern w:val="44"/>
          <w:sz w:val="44"/>
          <w:szCs w:val="44"/>
          <w:highlight w:val="none"/>
        </w:rPr>
      </w:pPr>
    </w:p>
    <w:p w14:paraId="26040A76">
      <w:pPr>
        <w:pStyle w:val="2"/>
        <w:widowControl/>
        <w:spacing w:before="0" w:after="0" w:line="360" w:lineRule="auto"/>
        <w:jc w:val="center"/>
        <w:rPr>
          <w:rFonts w:ascii="黑体" w:hAnsi="宋体" w:cs="黑体"/>
          <w:b/>
          <w:color w:val="auto"/>
          <w:kern w:val="44"/>
          <w:sz w:val="44"/>
          <w:szCs w:val="44"/>
          <w:highlight w:val="none"/>
        </w:rPr>
      </w:pPr>
    </w:p>
    <w:p w14:paraId="056A9C31">
      <w:pPr>
        <w:pStyle w:val="2"/>
        <w:widowControl/>
        <w:spacing w:before="0" w:after="0" w:line="360" w:lineRule="auto"/>
        <w:jc w:val="center"/>
        <w:rPr>
          <w:rFonts w:ascii="黑体" w:hAnsi="宋体" w:cs="黑体"/>
          <w:b/>
          <w:color w:val="auto"/>
          <w:kern w:val="44"/>
          <w:sz w:val="44"/>
          <w:szCs w:val="44"/>
          <w:highlight w:val="none"/>
        </w:rPr>
      </w:pPr>
      <w:bookmarkStart w:id="6" w:name="_Toc17709"/>
      <w:bookmarkStart w:id="7" w:name="_Toc32057"/>
      <w:r>
        <w:rPr>
          <w:rFonts w:hint="eastAsia" w:ascii="黑体" w:hAnsi="宋体" w:cs="黑体"/>
          <w:b/>
          <w:color w:val="auto"/>
          <w:kern w:val="44"/>
          <w:sz w:val="44"/>
          <w:szCs w:val="44"/>
          <w:highlight w:val="none"/>
        </w:rPr>
        <w:t>第2章  投标格式文件</w:t>
      </w:r>
      <w:bookmarkEnd w:id="6"/>
      <w:bookmarkEnd w:id="7"/>
    </w:p>
    <w:p w14:paraId="7FD52E99">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14:paraId="334BA049">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14:paraId="01AFA24A">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14:paraId="23F7B2C7">
      <w:pPr>
        <w:rPr>
          <w:rFonts w:ascii="宋体" w:hAnsi="宋体" w:eastAsia="宋体" w:cs="宋体"/>
          <w:color w:val="auto"/>
          <w:sz w:val="24"/>
          <w:highlight w:val="none"/>
        </w:rPr>
      </w:pPr>
    </w:p>
    <w:p w14:paraId="4EF2E9C0">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宋体"/>
          <w:color w:val="auto"/>
          <w:sz w:val="24"/>
          <w:highlight w:val="none"/>
          <w:u w:val="single"/>
          <w:lang w:eastAsia="zh-CN"/>
        </w:rPr>
        <w:t>广东南沙虎门汽车渡轮有限公司</w:t>
      </w:r>
      <w:r>
        <w:rPr>
          <w:rFonts w:hint="eastAsia" w:ascii="宋体" w:hAnsi="宋体" w:eastAsia="宋体" w:cs="Times New Roman"/>
          <w:color w:val="auto"/>
          <w:spacing w:val="20"/>
          <w:sz w:val="24"/>
          <w:highlight w:val="none"/>
          <w:u w:val="single"/>
        </w:rPr>
        <w:t>、广州南沙建设维护管理有限公司：</w:t>
      </w:r>
    </w:p>
    <w:p w14:paraId="3BA542F6">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szCs w:val="24"/>
          <w:highlight w:val="none"/>
          <w:u w:val="none"/>
          <w:lang w:eastAsia="zh-CN"/>
        </w:rPr>
        <w:t>粤港澳大湾区青少年国情教育实践基地（虎门渡口西岸物业提升改造项目）一期工程监理服务</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14:paraId="09CFC70B">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lang w:eastAsia="zh-CN"/>
        </w:rPr>
        <w:t>监理</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w:t>
      </w:r>
      <w:r>
        <w:rPr>
          <w:rFonts w:hint="eastAsia" w:ascii="宋体" w:hAnsi="宋体" w:eastAsia="宋体" w:cs="Times New Roman"/>
          <w:color w:val="auto"/>
          <w:spacing w:val="20"/>
          <w:sz w:val="24"/>
          <w:highlight w:val="none"/>
          <w:lang w:eastAsia="zh-CN"/>
        </w:rPr>
        <w:t>监理</w:t>
      </w:r>
      <w:r>
        <w:rPr>
          <w:rFonts w:hint="eastAsia" w:ascii="宋体" w:hAnsi="宋体" w:eastAsia="宋体" w:cs="Times New Roman"/>
          <w:color w:val="auto"/>
          <w:spacing w:val="20"/>
          <w:sz w:val="24"/>
          <w:highlight w:val="none"/>
        </w:rPr>
        <w:t>服务任务。</w:t>
      </w:r>
    </w:p>
    <w:p w14:paraId="3F193834">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14:paraId="7E866800">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3"/>
          <w:sz w:val="24"/>
          <w:highlight w:val="none"/>
          <w:u w:val="single"/>
          <w:lang w:val="en-US" w:eastAsia="zh-CN"/>
        </w:rPr>
        <w:t>90</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14:paraId="4C2AE6BE">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w:t>
      </w:r>
      <w:r>
        <w:rPr>
          <w:rFonts w:hint="eastAsia" w:ascii="宋体" w:hAnsi="宋体" w:eastAsia="宋体" w:cs="Times New Roman"/>
          <w:color w:val="auto"/>
          <w:spacing w:val="20"/>
          <w:sz w:val="24"/>
          <w:highlight w:val="none"/>
          <w:lang w:eastAsia="zh-CN"/>
        </w:rPr>
        <w:t>监理</w:t>
      </w:r>
      <w:r>
        <w:rPr>
          <w:rFonts w:hint="eastAsia" w:ascii="宋体" w:hAnsi="宋体" w:eastAsia="宋体" w:cs="Times New Roman"/>
          <w:color w:val="auto"/>
          <w:spacing w:val="20"/>
          <w:sz w:val="24"/>
          <w:highlight w:val="none"/>
        </w:rPr>
        <w:t>服务合同之前，本投标书连同贵方的中标通知书应成为约束贵、我双方的合同文件。</w:t>
      </w:r>
    </w:p>
    <w:p w14:paraId="57EFA0B1">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14:paraId="4342013B">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14:paraId="17F566D3">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14:paraId="3C921114">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14:paraId="0EE1C15A">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4E05C6D6">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14:paraId="3F200BA8">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6C67727A">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55CF8348">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14:paraId="1A735D7A">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452CFE75">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14:paraId="6C6B557A">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14:paraId="3C0909F3">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lang w:eastAsia="zh-CN"/>
        </w:rPr>
        <w:t>广东南沙虎门汽车渡轮有限公司</w:t>
      </w:r>
      <w:r>
        <w:rPr>
          <w:rFonts w:hint="eastAsia" w:ascii="宋体" w:hAnsi="宋体" w:eastAsia="宋体" w:cs="Times New Roman"/>
          <w:color w:val="auto"/>
          <w:spacing w:val="20"/>
          <w:sz w:val="24"/>
          <w:highlight w:val="none"/>
          <w:u w:val="single"/>
        </w:rPr>
        <w:t>、广州南沙建设维护管理有限公司</w:t>
      </w:r>
    </w:p>
    <w:p w14:paraId="4C0E9FED">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0278E477">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14:paraId="12452EE3">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14:paraId="6DD484DB">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14:paraId="3CF4F3EC">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14:paraId="2744F3FE">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3ED4B6F">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5384D509">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5136208B">
      <w:pPr>
        <w:snapToGrid w:val="0"/>
        <w:spacing w:line="440" w:lineRule="exact"/>
        <w:ind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14:paraId="627848F6">
      <w:pPr>
        <w:snapToGrid w:val="0"/>
        <w:spacing w:line="440" w:lineRule="exact"/>
        <w:ind w:right="26" w:firstLine="1680" w:firstLineChars="600"/>
        <w:rPr>
          <w:rFonts w:ascii="宋体" w:hAnsi="宋体" w:eastAsia="宋体" w:cs="宋体"/>
          <w:color w:val="auto"/>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p>
    <w:p w14:paraId="115683EF">
      <w:pPr>
        <w:snapToGrid w:val="0"/>
        <w:spacing w:line="440" w:lineRule="exact"/>
        <w:ind w:right="26" w:firstLine="1680" w:firstLineChars="70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0CD50547">
      <w:pPr>
        <w:snapToGrid w:val="0"/>
        <w:spacing w:line="440" w:lineRule="exact"/>
        <w:ind w:right="26"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14:paraId="35BDF641">
      <w:pPr>
        <w:spacing w:line="360" w:lineRule="auto"/>
        <w:ind w:firstLine="1680" w:firstLineChars="70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14:paraId="55E8E10B">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5A39FF41">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775E7A7D">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62645528">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7C88E3FC">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3DACDFFC">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4E169868">
      <w:pPr>
        <w:pStyle w:val="22"/>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8" w:name="_Toc223342668"/>
      <w:bookmarkEnd w:id="8"/>
      <w:bookmarkStart w:id="9" w:name="_Toc216145749"/>
      <w:bookmarkEnd w:id="9"/>
      <w:r>
        <w:rPr>
          <w:rFonts w:hint="eastAsia" w:ascii="宋体" w:hAnsi="宋体" w:eastAsia="宋体" w:cs="黑体"/>
          <w:color w:val="auto"/>
          <w:sz w:val="28"/>
          <w:szCs w:val="28"/>
          <w:highlight w:val="none"/>
        </w:rPr>
        <w:t>格式三：</w:t>
      </w:r>
    </w:p>
    <w:p w14:paraId="7516CD85">
      <w:pPr>
        <w:pStyle w:val="24"/>
        <w:widowControl/>
        <w:ind w:firstLine="0" w:firstLineChars="0"/>
        <w:jc w:val="center"/>
        <w:outlineLvl w:val="2"/>
        <w:rPr>
          <w:color w:val="auto"/>
          <w:kern w:val="44"/>
          <w:highlight w:val="none"/>
        </w:rPr>
      </w:pPr>
      <w:bookmarkStart w:id="10" w:name="_Toc172416501"/>
      <w:bookmarkEnd w:id="10"/>
      <w:r>
        <w:rPr>
          <w:rFonts w:hint="eastAsia" w:ascii="宋体" w:hAnsi="宋体" w:cs="宋体"/>
          <w:b/>
          <w:color w:val="auto"/>
          <w:sz w:val="30"/>
          <w:szCs w:val="30"/>
          <w:highlight w:val="none"/>
        </w:rPr>
        <w:t>法定代表人证明书</w:t>
      </w:r>
    </w:p>
    <w:p w14:paraId="11D22F68">
      <w:pPr>
        <w:pStyle w:val="24"/>
        <w:widowControl/>
        <w:ind w:firstLine="496"/>
        <w:jc w:val="right"/>
        <w:rPr>
          <w:b/>
          <w:color w:val="auto"/>
          <w:highlight w:val="none"/>
        </w:rPr>
      </w:pPr>
      <w:r>
        <w:rPr>
          <w:color w:val="auto"/>
          <w:highlight w:val="none"/>
        </w:rPr>
        <w:t xml:space="preserve">                                      </w:t>
      </w:r>
    </w:p>
    <w:p w14:paraId="7683C4E0">
      <w:pPr>
        <w:pStyle w:val="24"/>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14:paraId="25DAA944">
      <w:pPr>
        <w:pStyle w:val="24"/>
        <w:widowControl/>
        <w:ind w:firstLine="618"/>
        <w:rPr>
          <w:b/>
          <w:color w:val="auto"/>
          <w:sz w:val="30"/>
          <w:szCs w:val="30"/>
          <w:highlight w:val="none"/>
        </w:rPr>
      </w:pPr>
      <w:r>
        <w:rPr>
          <w:b/>
          <w:color w:val="auto"/>
          <w:sz w:val="30"/>
          <w:szCs w:val="30"/>
          <w:highlight w:val="none"/>
        </w:rPr>
        <w:t xml:space="preserve"> </w:t>
      </w:r>
    </w:p>
    <w:p w14:paraId="64D79F30">
      <w:pPr>
        <w:pStyle w:val="24"/>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14:paraId="56BB4CD6">
      <w:pPr>
        <w:pStyle w:val="24"/>
        <w:widowControl/>
        <w:ind w:firstLine="496"/>
        <w:jc w:val="right"/>
        <w:rPr>
          <w:color w:val="auto"/>
          <w:highlight w:val="none"/>
        </w:rPr>
      </w:pPr>
      <w:r>
        <w:rPr>
          <w:color w:val="auto"/>
          <w:highlight w:val="none"/>
        </w:rPr>
        <w:t xml:space="preserve">         </w:t>
      </w:r>
    </w:p>
    <w:p w14:paraId="29A877C0">
      <w:pPr>
        <w:pStyle w:val="24"/>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14:paraId="45383D99">
      <w:pPr>
        <w:pStyle w:val="22"/>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11" w:name="_Toc216145759"/>
      <w:bookmarkEnd w:id="11"/>
      <w:bookmarkStart w:id="12" w:name="_Toc223342677"/>
    </w:p>
    <w:p w14:paraId="0BA2A80D">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14:paraId="351C6B7F">
      <w:pPr>
        <w:pStyle w:val="22"/>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2"/>
      <w:r>
        <w:rPr>
          <w:rFonts w:hint="eastAsia" w:ascii="宋体" w:hAnsi="宋体" w:eastAsia="宋体" w:cs="宋体"/>
          <w:color w:val="auto"/>
          <w:sz w:val="28"/>
          <w:szCs w:val="28"/>
          <w:highlight w:val="none"/>
        </w:rPr>
        <w:t xml:space="preserve"> </w:t>
      </w:r>
    </w:p>
    <w:p w14:paraId="315AEC61">
      <w:pPr>
        <w:pStyle w:val="24"/>
        <w:widowControl/>
        <w:ind w:firstLine="0" w:firstLineChars="0"/>
        <w:jc w:val="center"/>
        <w:rPr>
          <w:b/>
          <w:color w:val="auto"/>
          <w:sz w:val="28"/>
          <w:szCs w:val="28"/>
          <w:highlight w:val="none"/>
        </w:rPr>
      </w:pPr>
      <w:r>
        <w:rPr>
          <w:b/>
          <w:color w:val="auto"/>
          <w:sz w:val="28"/>
          <w:szCs w:val="28"/>
          <w:highlight w:val="none"/>
        </w:rPr>
        <w:t xml:space="preserve"> </w:t>
      </w:r>
    </w:p>
    <w:p w14:paraId="77AC949E">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服务人员到位承诺书</w:t>
      </w:r>
    </w:p>
    <w:p w14:paraId="531C1A30">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2917CB1A">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广东南沙虎门汽车渡轮有限公司</w:t>
      </w:r>
      <w:r>
        <w:rPr>
          <w:rFonts w:hint="eastAsia" w:ascii="宋体" w:hAnsi="宋体" w:eastAsia="宋体" w:cs="宋体"/>
          <w:color w:val="auto"/>
          <w:sz w:val="24"/>
          <w:highlight w:val="none"/>
          <w:u w:val="single"/>
        </w:rPr>
        <w:t>、广州南沙建设维护管理有限公司</w:t>
      </w:r>
    </w:p>
    <w:p w14:paraId="7C9102FD">
      <w:pPr>
        <w:spacing w:line="560" w:lineRule="exac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投标项目名称</w:t>
      </w:r>
      <w:r>
        <w:rPr>
          <w:rFonts w:hint="eastAsia" w:ascii="宋体" w:hAnsi="宋体" w:eastAsia="宋体" w:cs="宋体"/>
          <w:color w:val="auto"/>
          <w:sz w:val="24"/>
          <w:highlight w:val="none"/>
          <w:u w:val="single"/>
        </w:rPr>
        <w:t>：</w:t>
      </w:r>
      <w:r>
        <w:rPr>
          <w:rFonts w:hint="eastAsia" w:ascii="宋体" w:hAnsi="宋体" w:eastAsia="宋体" w:cs="宋体"/>
          <w:color w:val="auto"/>
          <w:sz w:val="24"/>
          <w:szCs w:val="24"/>
          <w:highlight w:val="none"/>
          <w:u w:val="single"/>
          <w:lang w:eastAsia="zh-CN"/>
        </w:rPr>
        <w:t>粤港澳大湾区青少年国情教育实践基地（虎门渡口西岸物业提升改造项目）一期工程监理服务</w:t>
      </w:r>
    </w:p>
    <w:p w14:paraId="487E02ED">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1AC9B8F1">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我方如果中标，承诺服务人员的配备不得低于招标人要求</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各专业人员</w:t>
      </w:r>
      <w:r>
        <w:rPr>
          <w:rFonts w:hint="eastAsia" w:ascii="宋体" w:hAnsi="宋体" w:eastAsia="宋体" w:cs="宋体"/>
          <w:color w:val="auto"/>
          <w:sz w:val="24"/>
          <w:szCs w:val="24"/>
          <w:highlight w:val="none"/>
        </w:rPr>
        <w:t>随工程</w:t>
      </w:r>
      <w:r>
        <w:rPr>
          <w:rFonts w:hint="eastAsia" w:ascii="宋体" w:hAnsi="宋体" w:eastAsia="宋体" w:cs="宋体"/>
          <w:color w:val="auto"/>
          <w:sz w:val="24"/>
          <w:szCs w:val="24"/>
          <w:highlight w:val="none"/>
          <w:lang w:eastAsia="zh-CN"/>
        </w:rPr>
        <w:t>进展</w:t>
      </w:r>
      <w:r>
        <w:rPr>
          <w:rFonts w:hint="eastAsia" w:ascii="宋体" w:hAnsi="宋体" w:eastAsia="宋体" w:cs="宋体"/>
          <w:color w:val="auto"/>
          <w:sz w:val="24"/>
          <w:szCs w:val="24"/>
          <w:highlight w:val="none"/>
        </w:rPr>
        <w:t>情况按业主要求进行调配</w:t>
      </w:r>
      <w:r>
        <w:rPr>
          <w:rFonts w:hint="eastAsia" w:ascii="宋体" w:hAnsi="宋体" w:eastAsia="宋体" w:cs="宋体"/>
          <w:color w:val="auto"/>
          <w:sz w:val="24"/>
          <w:highlight w:val="none"/>
        </w:rPr>
        <w:t>。</w:t>
      </w:r>
    </w:p>
    <w:p w14:paraId="59EC4ED0">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14:paraId="751366A3">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14:paraId="39A8545A">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6981447E">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14:paraId="6057C0CE">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14:paraId="0B128829">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14:paraId="5A0DDBCC">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32C7B2C7">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3" w:name="_Toc415728297"/>
      <w:bookmarkEnd w:id="13"/>
      <w:bookmarkStart w:id="14" w:name="_Toc199647675"/>
      <w:bookmarkEnd w:id="14"/>
      <w:bookmarkStart w:id="15" w:name="_Toc196130013"/>
      <w:bookmarkEnd w:id="15"/>
      <w:bookmarkStart w:id="16" w:name="_Toc196036941"/>
      <w:bookmarkEnd w:id="16"/>
      <w:bookmarkStart w:id="17" w:name="_Toc415833503"/>
      <w:bookmarkEnd w:id="17"/>
      <w:bookmarkStart w:id="18" w:name="_Toc326909213"/>
      <w:bookmarkEnd w:id="18"/>
      <w:bookmarkStart w:id="19" w:name="_Toc196130110"/>
      <w:bookmarkEnd w:id="19"/>
      <w:bookmarkStart w:id="20" w:name="_Toc41822703"/>
      <w:bookmarkEnd w:id="20"/>
      <w:bookmarkStart w:id="21" w:name="_Toc196037097"/>
      <w:bookmarkEnd w:id="21"/>
      <w:bookmarkStart w:id="22" w:name="_Toc197235848"/>
      <w:bookmarkEnd w:id="22"/>
      <w:bookmarkStart w:id="23" w:name="_Toc459403394"/>
      <w:bookmarkEnd w:id="23"/>
      <w:bookmarkStart w:id="24" w:name="_Toc462911098"/>
      <w:r>
        <w:rPr>
          <w:rFonts w:hint="eastAsia" w:ascii="宋体" w:hAnsi="宋体" w:eastAsia="宋体" w:cs="黑体"/>
          <w:b/>
          <w:color w:val="auto"/>
          <w:spacing w:val="4"/>
          <w:kern w:val="0"/>
          <w:sz w:val="28"/>
          <w:szCs w:val="28"/>
          <w:highlight w:val="none"/>
        </w:rPr>
        <w:t>格式五</w:t>
      </w:r>
      <w:bookmarkEnd w:id="24"/>
      <w:r>
        <w:rPr>
          <w:rFonts w:hint="eastAsia" w:ascii="宋体" w:hAnsi="宋体" w:eastAsia="宋体" w:cs="宋体"/>
          <w:color w:val="auto"/>
          <w:sz w:val="28"/>
          <w:szCs w:val="28"/>
          <w:highlight w:val="none"/>
        </w:rPr>
        <w:t>：</w:t>
      </w:r>
    </w:p>
    <w:p w14:paraId="3420AEBD">
      <w:pPr>
        <w:spacing w:line="360" w:lineRule="auto"/>
        <w:jc w:val="center"/>
        <w:outlineLvl w:val="2"/>
        <w:rPr>
          <w:rFonts w:ascii="仿宋" w:hAnsi="仿宋" w:eastAsia="仿宋" w:cs="仿宋"/>
          <w:b/>
          <w:bCs/>
          <w:color w:val="auto"/>
          <w:sz w:val="36"/>
          <w:szCs w:val="36"/>
          <w:highlight w:val="none"/>
        </w:rPr>
      </w:pPr>
      <w:bookmarkStart w:id="25" w:name="_Toc41822704"/>
      <w:bookmarkEnd w:id="25"/>
      <w:r>
        <w:rPr>
          <w:rFonts w:hint="eastAsia" w:ascii="仿宋" w:hAnsi="仿宋" w:eastAsia="仿宋" w:cs="仿宋"/>
          <w:b/>
          <w:bCs/>
          <w:color w:val="auto"/>
          <w:sz w:val="36"/>
          <w:szCs w:val="36"/>
          <w:highlight w:val="none"/>
        </w:rPr>
        <w:t>投标人综合概况</w:t>
      </w:r>
    </w:p>
    <w:tbl>
      <w:tblPr>
        <w:tblStyle w:val="16"/>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67"/>
        <w:gridCol w:w="1553"/>
        <w:gridCol w:w="677"/>
        <w:gridCol w:w="2101"/>
      </w:tblGrid>
      <w:tr w14:paraId="727A0D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14:paraId="0C82C83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308" w:type="dxa"/>
            <w:gridSpan w:val="4"/>
            <w:tcBorders>
              <w:tl2br w:val="nil"/>
              <w:tr2bl w:val="nil"/>
            </w:tcBorders>
            <w:shd w:val="clear" w:color="auto" w:fill="auto"/>
            <w:vAlign w:val="center"/>
          </w:tcPr>
          <w:p w14:paraId="23FF14D0">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14:paraId="3A62F9F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统一社会信用代码</w:t>
            </w:r>
          </w:p>
        </w:tc>
        <w:tc>
          <w:tcPr>
            <w:tcW w:w="2101" w:type="dxa"/>
            <w:tcBorders>
              <w:tl2br w:val="nil"/>
              <w:tr2bl w:val="nil"/>
            </w:tcBorders>
            <w:shd w:val="clear" w:color="auto" w:fill="auto"/>
            <w:vAlign w:val="center"/>
          </w:tcPr>
          <w:p w14:paraId="2745353F">
            <w:pPr>
              <w:spacing w:line="360" w:lineRule="auto"/>
              <w:jc w:val="center"/>
              <w:rPr>
                <w:rFonts w:ascii="仿宋" w:hAnsi="仿宋" w:eastAsia="仿宋" w:cs="仿宋"/>
                <w:color w:val="auto"/>
                <w:sz w:val="24"/>
                <w:highlight w:val="none"/>
              </w:rPr>
            </w:pPr>
          </w:p>
        </w:tc>
      </w:tr>
      <w:tr w14:paraId="7F5B99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14:paraId="772AD71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308" w:type="dxa"/>
            <w:gridSpan w:val="4"/>
            <w:tcBorders>
              <w:tl2br w:val="nil"/>
              <w:tr2bl w:val="nil"/>
            </w:tcBorders>
            <w:shd w:val="clear" w:color="auto" w:fill="auto"/>
            <w:vAlign w:val="center"/>
          </w:tcPr>
          <w:p w14:paraId="779AB97C">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14:paraId="1C8FA3E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2101" w:type="dxa"/>
            <w:tcBorders>
              <w:tl2br w:val="nil"/>
              <w:tr2bl w:val="nil"/>
            </w:tcBorders>
            <w:shd w:val="clear" w:color="auto" w:fill="auto"/>
            <w:vAlign w:val="center"/>
          </w:tcPr>
          <w:p w14:paraId="4C275529">
            <w:pPr>
              <w:spacing w:line="360" w:lineRule="auto"/>
              <w:jc w:val="center"/>
              <w:rPr>
                <w:rFonts w:ascii="仿宋" w:hAnsi="仿宋" w:eastAsia="仿宋" w:cs="仿宋"/>
                <w:color w:val="auto"/>
                <w:sz w:val="24"/>
                <w:highlight w:val="none"/>
              </w:rPr>
            </w:pPr>
          </w:p>
        </w:tc>
      </w:tr>
      <w:tr w14:paraId="1C6959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7CA1066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308" w:type="dxa"/>
            <w:gridSpan w:val="4"/>
            <w:tcBorders>
              <w:tl2br w:val="nil"/>
              <w:tr2bl w:val="nil"/>
            </w:tcBorders>
            <w:shd w:val="clear" w:color="auto" w:fill="auto"/>
            <w:vAlign w:val="center"/>
          </w:tcPr>
          <w:p w14:paraId="2CF82A09">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14:paraId="794B99F2">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tcBorders>
              <w:tl2br w:val="nil"/>
              <w:tr2bl w:val="nil"/>
            </w:tcBorders>
            <w:shd w:val="clear" w:color="auto" w:fill="auto"/>
            <w:vAlign w:val="center"/>
          </w:tcPr>
          <w:p w14:paraId="1AF589A6">
            <w:pPr>
              <w:spacing w:line="360" w:lineRule="auto"/>
              <w:jc w:val="center"/>
              <w:rPr>
                <w:rFonts w:ascii="仿宋" w:hAnsi="仿宋" w:eastAsia="仿宋" w:cs="仿宋"/>
                <w:color w:val="auto"/>
                <w:sz w:val="24"/>
                <w:highlight w:val="none"/>
              </w:rPr>
            </w:pPr>
          </w:p>
        </w:tc>
      </w:tr>
      <w:tr w14:paraId="0FF7F7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3750840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308" w:type="dxa"/>
            <w:gridSpan w:val="4"/>
            <w:tcBorders>
              <w:tl2br w:val="nil"/>
              <w:tr2bl w:val="nil"/>
            </w:tcBorders>
            <w:shd w:val="clear" w:color="auto" w:fill="auto"/>
            <w:vAlign w:val="center"/>
          </w:tcPr>
          <w:p w14:paraId="424BE803">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14:paraId="378358E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tcBorders>
              <w:tl2br w:val="nil"/>
              <w:tr2bl w:val="nil"/>
            </w:tcBorders>
            <w:shd w:val="clear" w:color="auto" w:fill="auto"/>
            <w:vAlign w:val="center"/>
          </w:tcPr>
          <w:p w14:paraId="63DC2766">
            <w:pPr>
              <w:spacing w:line="360" w:lineRule="auto"/>
              <w:jc w:val="center"/>
              <w:rPr>
                <w:rFonts w:ascii="仿宋" w:hAnsi="仿宋" w:eastAsia="仿宋" w:cs="仿宋"/>
                <w:color w:val="auto"/>
                <w:sz w:val="24"/>
                <w:highlight w:val="none"/>
              </w:rPr>
            </w:pPr>
          </w:p>
        </w:tc>
      </w:tr>
      <w:tr w14:paraId="429AD5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14:paraId="55591E2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6"/>
            <w:tcBorders>
              <w:tl2br w:val="nil"/>
              <w:tr2bl w:val="nil"/>
            </w:tcBorders>
            <w:shd w:val="clear" w:color="auto" w:fill="auto"/>
            <w:vAlign w:val="center"/>
          </w:tcPr>
          <w:p w14:paraId="4B76E42C">
            <w:pPr>
              <w:spacing w:line="360" w:lineRule="auto"/>
              <w:jc w:val="center"/>
              <w:rPr>
                <w:rFonts w:ascii="仿宋" w:hAnsi="仿宋" w:eastAsia="仿宋" w:cs="仿宋"/>
                <w:color w:val="auto"/>
                <w:sz w:val="24"/>
                <w:highlight w:val="none"/>
              </w:rPr>
            </w:pPr>
          </w:p>
        </w:tc>
      </w:tr>
      <w:tr w14:paraId="67E4D5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14:paraId="03FD8C2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6"/>
            <w:tcBorders>
              <w:tl2br w:val="nil"/>
              <w:tr2bl w:val="nil"/>
            </w:tcBorders>
            <w:shd w:val="clear" w:color="auto" w:fill="auto"/>
            <w:vAlign w:val="center"/>
          </w:tcPr>
          <w:p w14:paraId="6A7C2B2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14:paraId="5E8F85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14:paraId="25BCD39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14:paraId="535D0DEB">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14:paraId="6A54E8B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2"/>
            <w:tcBorders>
              <w:tl2br w:val="nil"/>
              <w:tr2bl w:val="nil"/>
            </w:tcBorders>
            <w:shd w:val="clear" w:color="auto" w:fill="auto"/>
            <w:vAlign w:val="center"/>
          </w:tcPr>
          <w:p w14:paraId="3865F0E7">
            <w:pPr>
              <w:spacing w:line="360" w:lineRule="auto"/>
              <w:jc w:val="center"/>
              <w:rPr>
                <w:rFonts w:ascii="仿宋" w:hAnsi="仿宋" w:eastAsia="仿宋" w:cs="仿宋"/>
                <w:color w:val="auto"/>
                <w:sz w:val="24"/>
                <w:highlight w:val="none"/>
              </w:rPr>
            </w:pPr>
          </w:p>
        </w:tc>
      </w:tr>
      <w:tr w14:paraId="5BBC2D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14:paraId="1071D9C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14:paraId="0B4A044A">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14:paraId="423821F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2"/>
            <w:tcBorders>
              <w:tl2br w:val="nil"/>
              <w:tr2bl w:val="nil"/>
            </w:tcBorders>
            <w:shd w:val="clear" w:color="auto" w:fill="auto"/>
            <w:vAlign w:val="center"/>
          </w:tcPr>
          <w:p w14:paraId="6135675D">
            <w:pPr>
              <w:spacing w:line="360" w:lineRule="auto"/>
              <w:jc w:val="center"/>
              <w:rPr>
                <w:rFonts w:ascii="仿宋" w:hAnsi="仿宋" w:eastAsia="仿宋" w:cs="仿宋"/>
                <w:color w:val="auto"/>
                <w:sz w:val="24"/>
                <w:highlight w:val="none"/>
              </w:rPr>
            </w:pPr>
          </w:p>
        </w:tc>
      </w:tr>
      <w:tr w14:paraId="78EF35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8"/>
            <w:tcBorders>
              <w:tl2br w:val="nil"/>
              <w:tr2bl w:val="nil"/>
            </w:tcBorders>
            <w:shd w:val="clear" w:color="auto" w:fill="auto"/>
            <w:vAlign w:val="center"/>
          </w:tcPr>
          <w:p w14:paraId="3DEE66A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14:paraId="3A42C9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14:paraId="7EDBED6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14:paraId="4D6B7ADA">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14:paraId="3BE11C6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4"/>
            <w:tcBorders>
              <w:tl2br w:val="nil"/>
              <w:tr2bl w:val="nil"/>
            </w:tcBorders>
            <w:shd w:val="clear" w:color="auto" w:fill="auto"/>
            <w:vAlign w:val="center"/>
          </w:tcPr>
          <w:p w14:paraId="5A774E95">
            <w:pPr>
              <w:spacing w:line="360" w:lineRule="auto"/>
              <w:jc w:val="center"/>
              <w:rPr>
                <w:rFonts w:ascii="仿宋" w:hAnsi="仿宋" w:eastAsia="仿宋" w:cs="仿宋"/>
                <w:color w:val="auto"/>
                <w:sz w:val="24"/>
                <w:highlight w:val="none"/>
              </w:rPr>
            </w:pPr>
          </w:p>
        </w:tc>
      </w:tr>
      <w:tr w14:paraId="2406C5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14:paraId="694ED46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14:paraId="7E18C725">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14:paraId="0DF726A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4398" w:type="dxa"/>
            <w:gridSpan w:val="4"/>
            <w:tcBorders>
              <w:tl2br w:val="nil"/>
              <w:tr2bl w:val="nil"/>
            </w:tcBorders>
            <w:shd w:val="clear" w:color="auto" w:fill="auto"/>
            <w:vAlign w:val="center"/>
          </w:tcPr>
          <w:p w14:paraId="732E5C47">
            <w:pPr>
              <w:spacing w:line="360" w:lineRule="auto"/>
              <w:jc w:val="center"/>
              <w:rPr>
                <w:rFonts w:ascii="仿宋" w:hAnsi="仿宋" w:eastAsia="仿宋" w:cs="仿宋"/>
                <w:color w:val="auto"/>
                <w:sz w:val="24"/>
                <w:highlight w:val="none"/>
              </w:rPr>
            </w:pPr>
          </w:p>
        </w:tc>
      </w:tr>
      <w:tr w14:paraId="000A25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8"/>
            <w:tcBorders>
              <w:tl2br w:val="nil"/>
              <w:tr2bl w:val="nil"/>
            </w:tcBorders>
            <w:shd w:val="clear" w:color="auto" w:fill="auto"/>
            <w:vAlign w:val="center"/>
          </w:tcPr>
          <w:p w14:paraId="72C5E6B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w:t>
            </w:r>
          </w:p>
          <w:p w14:paraId="73801836">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14:paraId="37248F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6" w:hRule="atLeast"/>
          <w:jc w:val="center"/>
        </w:trPr>
        <w:tc>
          <w:tcPr>
            <w:tcW w:w="9332" w:type="dxa"/>
            <w:gridSpan w:val="8"/>
            <w:tcBorders>
              <w:tl2br w:val="nil"/>
              <w:tr2bl w:val="nil"/>
            </w:tcBorders>
            <w:shd w:val="clear" w:color="auto" w:fill="auto"/>
            <w:vAlign w:val="center"/>
          </w:tcPr>
          <w:p w14:paraId="65A4A283">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eastAsia="zh-CN"/>
              </w:rPr>
              <w:t>：附上</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公司架构图</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公司负责人、公司分管负责人、</w:t>
            </w:r>
            <w:r>
              <w:rPr>
                <w:rFonts w:hint="eastAsia" w:ascii="仿宋" w:hAnsi="仿宋" w:eastAsia="仿宋" w:cs="仿宋"/>
                <w:color w:val="auto"/>
                <w:sz w:val="24"/>
                <w:highlight w:val="none"/>
                <w:lang w:eastAsia="zh-CN"/>
              </w:rPr>
              <w:t>监理</w:t>
            </w:r>
            <w:r>
              <w:rPr>
                <w:rFonts w:hint="eastAsia" w:ascii="仿宋" w:hAnsi="仿宋" w:eastAsia="仿宋" w:cs="仿宋"/>
                <w:color w:val="auto"/>
                <w:sz w:val="24"/>
                <w:highlight w:val="none"/>
              </w:rPr>
              <w:t>部门负责人名称及其联系电话</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szCs w:val="24"/>
                <w:highlight w:val="none"/>
              </w:rPr>
              <w:t>企业资质、营业执照复印件</w:t>
            </w:r>
            <w:r>
              <w:rPr>
                <w:rFonts w:hint="eastAsia" w:ascii="仿宋" w:hAnsi="仿宋" w:eastAsia="仿宋" w:cs="仿宋"/>
                <w:color w:val="auto"/>
                <w:sz w:val="24"/>
                <w:szCs w:val="24"/>
                <w:highlight w:val="none"/>
                <w:lang w:eastAsia="zh-CN"/>
              </w:rPr>
              <w:t>。</w:t>
            </w:r>
          </w:p>
        </w:tc>
      </w:tr>
    </w:tbl>
    <w:p w14:paraId="510D06EC">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14:paraId="140808F2">
      <w:pPr>
        <w:outlineLvl w:val="1"/>
        <w:rPr>
          <w:rFonts w:ascii="宋体" w:hAnsi="宋体" w:eastAsia="宋体" w:cs="黑体"/>
          <w:b/>
          <w:color w:val="auto"/>
          <w:spacing w:val="4"/>
          <w:kern w:val="0"/>
          <w:sz w:val="28"/>
          <w:szCs w:val="28"/>
          <w:highlight w:val="none"/>
        </w:rPr>
      </w:pPr>
      <w:bookmarkStart w:id="26" w:name="_Toc196130111"/>
      <w:bookmarkEnd w:id="26"/>
      <w:bookmarkStart w:id="27" w:name="_Toc196037098"/>
      <w:bookmarkEnd w:id="27"/>
      <w:bookmarkStart w:id="28" w:name="_Toc326909214"/>
      <w:bookmarkEnd w:id="28"/>
      <w:bookmarkStart w:id="29" w:name="_Toc196036942"/>
      <w:bookmarkEnd w:id="29"/>
      <w:bookmarkStart w:id="30" w:name="_Toc197235849"/>
      <w:bookmarkEnd w:id="30"/>
      <w:bookmarkStart w:id="31" w:name="_Toc415728298"/>
      <w:bookmarkEnd w:id="31"/>
      <w:bookmarkStart w:id="32" w:name="_Toc196130014"/>
      <w:bookmarkEnd w:id="32"/>
      <w:bookmarkStart w:id="33" w:name="_Toc199647676"/>
      <w:bookmarkEnd w:id="33"/>
      <w:bookmarkStart w:id="34" w:name="_Toc459403395"/>
      <w:bookmarkEnd w:id="34"/>
      <w:bookmarkStart w:id="35" w:name="_Toc415833504"/>
      <w:bookmarkEnd w:id="35"/>
      <w:bookmarkStart w:id="36" w:name="_Toc462911099"/>
    </w:p>
    <w:p w14:paraId="4E6A517D">
      <w:pPr>
        <w:pStyle w:val="4"/>
        <w:rPr>
          <w:rFonts w:ascii="宋体" w:hAnsi="宋体" w:eastAsia="宋体" w:cs="黑体"/>
          <w:b/>
          <w:color w:val="auto"/>
          <w:spacing w:val="4"/>
          <w:sz w:val="28"/>
          <w:szCs w:val="28"/>
          <w:highlight w:val="none"/>
        </w:rPr>
      </w:pPr>
    </w:p>
    <w:p w14:paraId="542CAB5F">
      <w:pPr>
        <w:pStyle w:val="4"/>
        <w:rPr>
          <w:rFonts w:ascii="宋体" w:hAnsi="宋体" w:eastAsia="宋体" w:cs="黑体"/>
          <w:b/>
          <w:color w:val="auto"/>
          <w:spacing w:val="4"/>
          <w:sz w:val="28"/>
          <w:szCs w:val="28"/>
          <w:highlight w:val="none"/>
        </w:rPr>
      </w:pPr>
    </w:p>
    <w:p w14:paraId="1B958B67">
      <w:pPr>
        <w:pStyle w:val="4"/>
        <w:rPr>
          <w:rFonts w:ascii="宋体" w:hAnsi="宋体" w:eastAsia="宋体" w:cs="黑体"/>
          <w:b/>
          <w:color w:val="auto"/>
          <w:spacing w:val="4"/>
          <w:sz w:val="28"/>
          <w:szCs w:val="28"/>
          <w:highlight w:val="none"/>
        </w:rPr>
      </w:pPr>
    </w:p>
    <w:p w14:paraId="3A787DE8">
      <w:pPr>
        <w:pStyle w:val="4"/>
        <w:rPr>
          <w:rFonts w:ascii="宋体" w:hAnsi="宋体" w:eastAsia="宋体" w:cs="黑体"/>
          <w:b/>
          <w:color w:val="auto"/>
          <w:spacing w:val="4"/>
          <w:sz w:val="28"/>
          <w:szCs w:val="28"/>
          <w:highlight w:val="none"/>
        </w:rPr>
      </w:pPr>
    </w:p>
    <w:p w14:paraId="360A8E01">
      <w:pPr>
        <w:pStyle w:val="4"/>
        <w:rPr>
          <w:rFonts w:ascii="宋体" w:hAnsi="宋体" w:eastAsia="宋体" w:cs="黑体"/>
          <w:b/>
          <w:color w:val="auto"/>
          <w:spacing w:val="4"/>
          <w:sz w:val="28"/>
          <w:szCs w:val="28"/>
          <w:highlight w:val="none"/>
        </w:rPr>
      </w:pPr>
    </w:p>
    <w:p w14:paraId="253F932A">
      <w:pPr>
        <w:pStyle w:val="4"/>
        <w:rPr>
          <w:rFonts w:ascii="宋体" w:hAnsi="宋体" w:eastAsia="宋体" w:cs="黑体"/>
          <w:b/>
          <w:color w:val="auto"/>
          <w:spacing w:val="4"/>
          <w:sz w:val="28"/>
          <w:szCs w:val="28"/>
          <w:highlight w:val="none"/>
        </w:rPr>
      </w:pPr>
    </w:p>
    <w:p w14:paraId="1E0A3E24">
      <w:pPr>
        <w:outlineLvl w:val="1"/>
        <w:rPr>
          <w:rFonts w:ascii="仿宋" w:hAnsi="仿宋" w:eastAsia="仿宋" w:cs="仿宋"/>
          <w:color w:val="auto"/>
          <w:kern w:val="24"/>
          <w:sz w:val="28"/>
          <w:szCs w:val="28"/>
          <w:highlight w:val="none"/>
        </w:rPr>
      </w:pPr>
      <w:r>
        <w:rPr>
          <w:rFonts w:hint="eastAsia" w:ascii="宋体" w:hAnsi="宋体" w:eastAsia="宋体" w:cs="黑体"/>
          <w:b/>
          <w:color w:val="auto"/>
          <w:spacing w:val="4"/>
          <w:kern w:val="0"/>
          <w:sz w:val="28"/>
          <w:szCs w:val="28"/>
          <w:highlight w:val="none"/>
        </w:rPr>
        <w:t>格式六</w:t>
      </w:r>
      <w:bookmarkEnd w:id="36"/>
      <w:r>
        <w:rPr>
          <w:rFonts w:hint="eastAsia" w:ascii="仿宋" w:hAnsi="仿宋" w:eastAsia="仿宋" w:cs="仿宋"/>
          <w:color w:val="auto"/>
          <w:kern w:val="24"/>
          <w:sz w:val="28"/>
          <w:szCs w:val="28"/>
          <w:highlight w:val="none"/>
        </w:rPr>
        <w:t>：</w:t>
      </w:r>
    </w:p>
    <w:p w14:paraId="68061BEB">
      <w:pPr>
        <w:ind w:firstLine="480" w:firstLineChars="200"/>
        <w:rPr>
          <w:rFonts w:ascii="仿宋" w:hAnsi="仿宋" w:eastAsia="仿宋" w:cs="仿宋"/>
          <w:color w:val="auto"/>
          <w:kern w:val="24"/>
          <w:sz w:val="24"/>
          <w:highlight w:val="none"/>
        </w:rPr>
      </w:pPr>
      <w:r>
        <w:rPr>
          <w:rFonts w:hint="eastAsia" w:ascii="仿宋" w:hAnsi="仿宋" w:eastAsia="仿宋" w:cs="仿宋"/>
          <w:color w:val="auto"/>
          <w:kern w:val="24"/>
          <w:sz w:val="24"/>
          <w:highlight w:val="none"/>
          <w:lang w:eastAsia="zh-CN"/>
        </w:rPr>
        <w:t>201</w:t>
      </w:r>
      <w:r>
        <w:rPr>
          <w:rFonts w:hint="eastAsia" w:ascii="仿宋" w:hAnsi="仿宋" w:eastAsia="仿宋" w:cs="仿宋"/>
          <w:color w:val="auto"/>
          <w:kern w:val="24"/>
          <w:sz w:val="24"/>
          <w:highlight w:val="none"/>
          <w:lang w:val="en-US" w:eastAsia="zh-CN"/>
        </w:rPr>
        <w:t>9</w:t>
      </w:r>
      <w:r>
        <w:rPr>
          <w:rFonts w:hint="eastAsia" w:ascii="仿宋" w:hAnsi="仿宋" w:eastAsia="仿宋" w:cs="仿宋"/>
          <w:color w:val="auto"/>
          <w:kern w:val="24"/>
          <w:sz w:val="24"/>
          <w:highlight w:val="none"/>
          <w:lang w:eastAsia="zh-CN"/>
        </w:rPr>
        <w:t>年</w:t>
      </w:r>
      <w:r>
        <w:rPr>
          <w:rFonts w:hint="eastAsia" w:ascii="仿宋" w:hAnsi="仿宋" w:eastAsia="仿宋" w:cs="仿宋"/>
          <w:color w:val="auto"/>
          <w:kern w:val="24"/>
          <w:sz w:val="24"/>
          <w:highlight w:val="none"/>
        </w:rPr>
        <w:t>1月1日至今企业承担的同类项目</w:t>
      </w:r>
    </w:p>
    <w:p w14:paraId="6F831DEA">
      <w:pPr>
        <w:spacing w:before="85" w:beforeLines="30" w:line="360" w:lineRule="auto"/>
        <w:jc w:val="center"/>
        <w:outlineLvl w:val="2"/>
        <w:rPr>
          <w:rFonts w:ascii="仿宋" w:hAnsi="仿宋" w:eastAsia="仿宋" w:cs="仿宋"/>
          <w:color w:val="auto"/>
          <w:kern w:val="24"/>
          <w:sz w:val="28"/>
          <w:szCs w:val="28"/>
          <w:highlight w:val="none"/>
        </w:rPr>
      </w:pPr>
      <w:bookmarkStart w:id="37" w:name="_Toc197235850"/>
      <w:bookmarkEnd w:id="37"/>
      <w:bookmarkStart w:id="38" w:name="_Toc199647677"/>
      <w:bookmarkEnd w:id="38"/>
      <w:bookmarkStart w:id="39" w:name="_Toc196130112"/>
      <w:bookmarkEnd w:id="39"/>
      <w:bookmarkStart w:id="40" w:name="_Toc196130015"/>
      <w:bookmarkEnd w:id="40"/>
      <w:bookmarkStart w:id="41" w:name="_Toc196037099"/>
      <w:bookmarkEnd w:id="41"/>
      <w:bookmarkStart w:id="42" w:name="_Toc41822705"/>
      <w:bookmarkEnd w:id="42"/>
      <w:bookmarkStart w:id="43" w:name="_Toc196036943"/>
      <w:bookmarkEnd w:id="43"/>
      <w:bookmarkStart w:id="44" w:name="_Toc326909215"/>
      <w:r>
        <w:rPr>
          <w:rFonts w:hint="eastAsia" w:ascii="仿宋" w:hAnsi="仿宋" w:eastAsia="仿宋" w:cs="仿宋"/>
          <w:b/>
          <w:bCs/>
          <w:color w:val="auto"/>
          <w:kern w:val="24"/>
          <w:sz w:val="36"/>
          <w:szCs w:val="36"/>
          <w:highlight w:val="none"/>
        </w:rPr>
        <w:t>业绩一览表</w:t>
      </w:r>
      <w:bookmarkEnd w:id="44"/>
    </w:p>
    <w:p w14:paraId="451BF7E2">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6"/>
        <w:tblW w:w="7926" w:type="dxa"/>
        <w:jc w:val="center"/>
        <w:tblLayout w:type="fixed"/>
        <w:tblCellMar>
          <w:top w:w="0" w:type="dxa"/>
          <w:left w:w="108" w:type="dxa"/>
          <w:bottom w:w="0" w:type="dxa"/>
          <w:right w:w="108" w:type="dxa"/>
        </w:tblCellMar>
      </w:tblPr>
      <w:tblGrid>
        <w:gridCol w:w="724"/>
        <w:gridCol w:w="2002"/>
        <w:gridCol w:w="2567"/>
        <w:gridCol w:w="1303"/>
        <w:gridCol w:w="1330"/>
      </w:tblGrid>
      <w:tr w14:paraId="1880822B">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00E7A2A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002" w:type="dxa"/>
            <w:tcBorders>
              <w:top w:val="single" w:color="auto" w:sz="4" w:space="0"/>
              <w:left w:val="nil"/>
              <w:bottom w:val="single" w:color="auto" w:sz="4" w:space="0"/>
              <w:right w:val="single" w:color="auto" w:sz="4" w:space="0"/>
            </w:tcBorders>
            <w:shd w:val="clear" w:color="auto" w:fill="auto"/>
            <w:vAlign w:val="center"/>
          </w:tcPr>
          <w:p w14:paraId="45C8142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主要业绩名称</w:t>
            </w:r>
          </w:p>
        </w:tc>
        <w:tc>
          <w:tcPr>
            <w:tcW w:w="2567" w:type="dxa"/>
            <w:tcBorders>
              <w:top w:val="single" w:color="auto" w:sz="4" w:space="0"/>
              <w:left w:val="nil"/>
              <w:bottom w:val="single" w:color="auto" w:sz="4" w:space="0"/>
              <w:right w:val="single" w:color="auto" w:sz="4" w:space="0"/>
            </w:tcBorders>
            <w:shd w:val="clear" w:color="auto" w:fill="auto"/>
            <w:vAlign w:val="center"/>
          </w:tcPr>
          <w:p w14:paraId="67FC102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业绩简介</w:t>
            </w:r>
          </w:p>
        </w:tc>
        <w:tc>
          <w:tcPr>
            <w:tcW w:w="1303" w:type="dxa"/>
            <w:tcBorders>
              <w:top w:val="single" w:color="auto" w:sz="4" w:space="0"/>
              <w:left w:val="nil"/>
              <w:bottom w:val="single" w:color="auto" w:sz="4" w:space="0"/>
              <w:right w:val="single" w:color="auto" w:sz="4" w:space="0"/>
            </w:tcBorders>
            <w:shd w:val="clear" w:color="auto" w:fill="auto"/>
            <w:vAlign w:val="center"/>
          </w:tcPr>
          <w:p w14:paraId="30A383D3">
            <w:pPr>
              <w:widowControl/>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面积</w:t>
            </w:r>
          </w:p>
        </w:tc>
        <w:tc>
          <w:tcPr>
            <w:tcW w:w="1330" w:type="dxa"/>
            <w:tcBorders>
              <w:top w:val="single" w:color="auto" w:sz="4" w:space="0"/>
              <w:left w:val="nil"/>
              <w:bottom w:val="single" w:color="auto" w:sz="4" w:space="0"/>
              <w:right w:val="single" w:color="auto" w:sz="4" w:space="0"/>
            </w:tcBorders>
            <w:shd w:val="clear" w:color="auto" w:fill="auto"/>
            <w:vAlign w:val="center"/>
          </w:tcPr>
          <w:p w14:paraId="7534448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完成时间</w:t>
            </w:r>
          </w:p>
        </w:tc>
      </w:tr>
      <w:tr w14:paraId="6E1F3979">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707A6A84">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7FFA3B03">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17AB1CD0">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67035955">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07C3D08E">
            <w:pPr>
              <w:spacing w:line="360" w:lineRule="auto"/>
              <w:jc w:val="center"/>
              <w:rPr>
                <w:rFonts w:ascii="仿宋" w:hAnsi="仿宋" w:eastAsia="仿宋" w:cs="仿宋"/>
                <w:color w:val="auto"/>
                <w:sz w:val="24"/>
                <w:highlight w:val="none"/>
              </w:rPr>
            </w:pPr>
          </w:p>
        </w:tc>
      </w:tr>
      <w:tr w14:paraId="6C098BC4">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20FD88B1">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7FCB0018">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6F494CCF">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57B95E47">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6A69112A">
            <w:pPr>
              <w:spacing w:line="360" w:lineRule="auto"/>
              <w:jc w:val="center"/>
              <w:rPr>
                <w:rFonts w:ascii="仿宋" w:hAnsi="仿宋" w:eastAsia="仿宋" w:cs="仿宋"/>
                <w:color w:val="auto"/>
                <w:sz w:val="24"/>
                <w:highlight w:val="none"/>
              </w:rPr>
            </w:pPr>
          </w:p>
        </w:tc>
      </w:tr>
      <w:tr w14:paraId="5727F6CE">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5570C59A">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49791C7D">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7438B7B7">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4BEAFDB9">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4491EBF2">
            <w:pPr>
              <w:spacing w:line="360" w:lineRule="auto"/>
              <w:jc w:val="center"/>
              <w:rPr>
                <w:rFonts w:ascii="仿宋" w:hAnsi="仿宋" w:eastAsia="仿宋" w:cs="仿宋"/>
                <w:color w:val="auto"/>
                <w:sz w:val="24"/>
                <w:highlight w:val="none"/>
              </w:rPr>
            </w:pPr>
          </w:p>
        </w:tc>
      </w:tr>
      <w:tr w14:paraId="1614E153">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21AAD590">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16919D5B">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1AD99E4D">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61ECC318">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3A7748AE">
            <w:pPr>
              <w:spacing w:line="360" w:lineRule="auto"/>
              <w:jc w:val="center"/>
              <w:rPr>
                <w:rFonts w:ascii="仿宋" w:hAnsi="仿宋" w:eastAsia="仿宋" w:cs="仿宋"/>
                <w:color w:val="auto"/>
                <w:sz w:val="24"/>
                <w:highlight w:val="none"/>
              </w:rPr>
            </w:pPr>
          </w:p>
        </w:tc>
      </w:tr>
      <w:tr w14:paraId="137F5BF2">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4CEFAC7F">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7BDCF945">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0259E079">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326D29AF">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11FC2C8B">
            <w:pPr>
              <w:spacing w:line="360" w:lineRule="auto"/>
              <w:jc w:val="center"/>
              <w:rPr>
                <w:rFonts w:ascii="仿宋" w:hAnsi="仿宋" w:eastAsia="仿宋" w:cs="仿宋"/>
                <w:color w:val="auto"/>
                <w:sz w:val="24"/>
                <w:highlight w:val="none"/>
              </w:rPr>
            </w:pPr>
          </w:p>
        </w:tc>
      </w:tr>
      <w:tr w14:paraId="33E7937B">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56E723FD">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1117EDEE">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189E4614">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7B826955">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19902E50">
            <w:pPr>
              <w:spacing w:line="360" w:lineRule="auto"/>
              <w:jc w:val="center"/>
              <w:rPr>
                <w:rFonts w:ascii="仿宋" w:hAnsi="仿宋" w:eastAsia="仿宋" w:cs="仿宋"/>
                <w:color w:val="auto"/>
                <w:sz w:val="24"/>
                <w:highlight w:val="none"/>
              </w:rPr>
            </w:pPr>
          </w:p>
        </w:tc>
      </w:tr>
      <w:tr w14:paraId="4CEA2C49">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27CE693D">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069E90AC">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73B4E496">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6D11421D">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4050E6C1">
            <w:pPr>
              <w:spacing w:line="360" w:lineRule="auto"/>
              <w:jc w:val="center"/>
              <w:rPr>
                <w:rFonts w:ascii="仿宋" w:hAnsi="仿宋" w:eastAsia="仿宋" w:cs="仿宋"/>
                <w:color w:val="auto"/>
                <w:sz w:val="24"/>
                <w:highlight w:val="none"/>
              </w:rPr>
            </w:pPr>
          </w:p>
        </w:tc>
      </w:tr>
      <w:tr w14:paraId="2D787182">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064B0880">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483D9AD4">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54CFB174">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0EA3EEFC">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0D0DDC08">
            <w:pPr>
              <w:spacing w:line="360" w:lineRule="auto"/>
              <w:jc w:val="center"/>
              <w:rPr>
                <w:rFonts w:ascii="仿宋" w:hAnsi="仿宋" w:eastAsia="仿宋" w:cs="仿宋"/>
                <w:color w:val="auto"/>
                <w:sz w:val="24"/>
                <w:highlight w:val="none"/>
              </w:rPr>
            </w:pPr>
          </w:p>
        </w:tc>
      </w:tr>
      <w:tr w14:paraId="5640C159">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38B8997A">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70BA3B42">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606756D3">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60F8BB35">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0939C93A">
            <w:pPr>
              <w:spacing w:line="360" w:lineRule="auto"/>
              <w:jc w:val="center"/>
              <w:rPr>
                <w:rFonts w:ascii="仿宋" w:hAnsi="仿宋" w:eastAsia="仿宋" w:cs="仿宋"/>
                <w:color w:val="auto"/>
                <w:sz w:val="24"/>
                <w:highlight w:val="none"/>
              </w:rPr>
            </w:pPr>
          </w:p>
        </w:tc>
      </w:tr>
    </w:tbl>
    <w:p w14:paraId="12B447F7">
      <w:pPr>
        <w:spacing w:line="360" w:lineRule="auto"/>
        <w:ind w:firstLine="359" w:firstLineChars="171"/>
        <w:rPr>
          <w:rFonts w:ascii="仿宋" w:hAnsi="仿宋" w:eastAsia="仿宋" w:cs="仿宋"/>
          <w:color w:val="auto"/>
          <w:highlight w:val="none"/>
        </w:rPr>
      </w:pPr>
      <w:r>
        <w:rPr>
          <w:rFonts w:hint="eastAsia" w:ascii="仿宋" w:hAnsi="仿宋" w:eastAsia="仿宋" w:cs="仿宋"/>
          <w:color w:val="auto"/>
          <w:szCs w:val="21"/>
          <w:highlight w:val="none"/>
        </w:rPr>
        <w:t>注：1、投标人提供的同类项目业绩证明资料附于该表后面。业绩证明资料须提供：</w:t>
      </w:r>
      <w:r>
        <w:rPr>
          <w:rFonts w:hint="eastAsia" w:ascii="仿宋" w:hAnsi="仿宋" w:eastAsia="仿宋" w:cs="仿宋"/>
          <w:color w:val="auto"/>
          <w:sz w:val="21"/>
          <w:szCs w:val="21"/>
          <w:highlight w:val="none"/>
          <w:u w:val="none"/>
        </w:rPr>
        <w:t>中标通知书或免招标的相关证明、监理服务合同、竣工验收报告或竣工验收证明，业绩时间以竣工验收报告或竣工验收证明出具时间为准</w:t>
      </w:r>
      <w:r>
        <w:rPr>
          <w:rFonts w:hint="eastAsia" w:ascii="仿宋" w:hAnsi="仿宋" w:eastAsia="仿宋" w:cs="仿宋"/>
          <w:color w:val="auto"/>
          <w:szCs w:val="21"/>
          <w:highlight w:val="none"/>
        </w:rPr>
        <w:t>。</w:t>
      </w:r>
    </w:p>
    <w:p w14:paraId="44F89EC0">
      <w:pPr>
        <w:spacing w:line="360" w:lineRule="auto"/>
        <w:ind w:firstLine="779" w:firstLineChars="371"/>
        <w:rPr>
          <w:rFonts w:ascii="仿宋" w:hAnsi="仿宋" w:eastAsia="仿宋" w:cs="仿宋"/>
          <w:color w:val="auto"/>
          <w:sz w:val="24"/>
          <w:highlight w:val="none"/>
        </w:rPr>
      </w:pPr>
      <w:r>
        <w:rPr>
          <w:rFonts w:hint="eastAsia" w:ascii="仿宋" w:hAnsi="仿宋" w:eastAsia="仿宋" w:cs="仿宋"/>
          <w:color w:val="auto"/>
          <w:szCs w:val="21"/>
          <w:highlight w:val="none"/>
        </w:rPr>
        <w:t>2、如有获奖，请附获奖证书复印件。</w:t>
      </w:r>
    </w:p>
    <w:p w14:paraId="7CD6FF4D">
      <w:pPr>
        <w:adjustRightInd w:val="0"/>
        <w:snapToGrid w:val="0"/>
        <w:spacing w:before="85" w:beforeLines="30" w:line="360" w:lineRule="auto"/>
        <w:rPr>
          <w:rFonts w:ascii="仿宋" w:hAnsi="仿宋" w:eastAsia="仿宋" w:cs="仿宋"/>
          <w:color w:val="auto"/>
          <w:sz w:val="24"/>
          <w:highlight w:val="none"/>
        </w:rPr>
      </w:pPr>
    </w:p>
    <w:p w14:paraId="2B97DED8">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14:paraId="58819574">
      <w:pPr>
        <w:spacing w:line="600" w:lineRule="exact"/>
        <w:rPr>
          <w:rFonts w:ascii="仿宋" w:hAnsi="仿宋" w:eastAsia="仿宋" w:cs="宋体"/>
          <w:color w:val="auto"/>
          <w:sz w:val="28"/>
          <w:szCs w:val="28"/>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29B43EE5">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14:paraId="5D9B904B">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14:paraId="54E404E8">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14:paraId="2A1003B0">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6"/>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14:paraId="14E45873">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5E6F5BF">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14:paraId="36A16B12">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D741BAE">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14:paraId="6E471C6A">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51191CD1">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14:paraId="332A79AF">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14:paraId="60B94A78">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5545DA27">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14:paraId="72F97157">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27596E6C">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14:paraId="4BE1DB3A">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8E23FB2">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71C8C00">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BF2878F">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9C80145">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415DC564">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59D59074">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6F364905">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5186CD20">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4535217F">
            <w:pPr>
              <w:snapToGrid w:val="0"/>
              <w:spacing w:line="360" w:lineRule="auto"/>
              <w:jc w:val="center"/>
              <w:rPr>
                <w:rFonts w:ascii="仿宋" w:hAnsi="仿宋" w:eastAsia="仿宋" w:cs="仿宋"/>
                <w:color w:val="auto"/>
                <w:sz w:val="24"/>
                <w:highlight w:val="none"/>
              </w:rPr>
            </w:pPr>
          </w:p>
        </w:tc>
      </w:tr>
      <w:tr w14:paraId="11ABCCC4">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47BFA81">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0F278202">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44906E4C">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FBD1A6C">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41A803C1">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753758C0">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27D217E3">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6105A7FD">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5CDA470D">
            <w:pPr>
              <w:snapToGrid w:val="0"/>
              <w:spacing w:line="360" w:lineRule="auto"/>
              <w:jc w:val="center"/>
              <w:rPr>
                <w:rFonts w:ascii="仿宋" w:hAnsi="仿宋" w:eastAsia="仿宋" w:cs="仿宋"/>
                <w:color w:val="auto"/>
                <w:sz w:val="24"/>
                <w:highlight w:val="none"/>
              </w:rPr>
            </w:pPr>
          </w:p>
        </w:tc>
      </w:tr>
      <w:tr w14:paraId="1C6165F9">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72BEF06">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24F72AC5">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53E6C544">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49FE82F">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2DDE8B50">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7857CCB6">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29FB8FB6">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3FE5CE93">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277E6959">
            <w:pPr>
              <w:snapToGrid w:val="0"/>
              <w:spacing w:line="360" w:lineRule="auto"/>
              <w:jc w:val="center"/>
              <w:rPr>
                <w:rFonts w:ascii="仿宋" w:hAnsi="仿宋" w:eastAsia="仿宋" w:cs="仿宋"/>
                <w:color w:val="auto"/>
                <w:sz w:val="24"/>
                <w:highlight w:val="none"/>
              </w:rPr>
            </w:pPr>
          </w:p>
        </w:tc>
      </w:tr>
      <w:tr w14:paraId="22D4D8ED">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28672E2">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4FF0E5FA">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491F3E2A">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6D089EE9">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1B253F63">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06682B99">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717F17A8">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5324BA80">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414742A9">
            <w:pPr>
              <w:snapToGrid w:val="0"/>
              <w:spacing w:line="360" w:lineRule="auto"/>
              <w:jc w:val="center"/>
              <w:rPr>
                <w:rFonts w:ascii="仿宋" w:hAnsi="仿宋" w:eastAsia="仿宋" w:cs="仿宋"/>
                <w:color w:val="auto"/>
                <w:sz w:val="24"/>
                <w:highlight w:val="none"/>
              </w:rPr>
            </w:pPr>
          </w:p>
        </w:tc>
      </w:tr>
      <w:tr w14:paraId="409D7B13">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365A4F1">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221F6876">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0C92C4B1">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461C79F7">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2491E69C">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69CD27AB">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0614D1F8">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7EF91FDC">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703213A1">
            <w:pPr>
              <w:snapToGrid w:val="0"/>
              <w:spacing w:line="360" w:lineRule="auto"/>
              <w:jc w:val="center"/>
              <w:rPr>
                <w:rFonts w:ascii="仿宋" w:hAnsi="仿宋" w:eastAsia="仿宋" w:cs="仿宋"/>
                <w:color w:val="auto"/>
                <w:sz w:val="24"/>
                <w:highlight w:val="none"/>
              </w:rPr>
            </w:pPr>
          </w:p>
        </w:tc>
      </w:tr>
      <w:tr w14:paraId="1E2882EF">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DB7DE67">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61A42E5F">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01CCC2B9">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27E55A5">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0C05BB28">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7F6C0E40">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48694765">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12F68805">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50F4776A">
            <w:pPr>
              <w:snapToGrid w:val="0"/>
              <w:spacing w:line="360" w:lineRule="auto"/>
              <w:jc w:val="center"/>
              <w:rPr>
                <w:rFonts w:ascii="仿宋" w:hAnsi="仿宋" w:eastAsia="仿宋" w:cs="仿宋"/>
                <w:color w:val="auto"/>
                <w:sz w:val="24"/>
                <w:highlight w:val="none"/>
              </w:rPr>
            </w:pPr>
          </w:p>
        </w:tc>
      </w:tr>
      <w:tr w14:paraId="45A83F91">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1E13672">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23D1002F">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1FF8097">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03D591A">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485C49F3">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5C4437E5">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41D6FA1C">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2E8076E3">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718C546B">
            <w:pPr>
              <w:snapToGrid w:val="0"/>
              <w:spacing w:line="360" w:lineRule="auto"/>
              <w:jc w:val="center"/>
              <w:rPr>
                <w:rFonts w:ascii="仿宋" w:hAnsi="仿宋" w:eastAsia="仿宋" w:cs="仿宋"/>
                <w:color w:val="auto"/>
                <w:sz w:val="24"/>
                <w:highlight w:val="none"/>
              </w:rPr>
            </w:pPr>
          </w:p>
        </w:tc>
      </w:tr>
      <w:tr w14:paraId="37F1ACB1">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A5C2C6D">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27534F22">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042F297C">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598358A2">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37798C39">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450DB8CF">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09E9397B">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7EB521F1">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3BA104D5">
            <w:pPr>
              <w:snapToGrid w:val="0"/>
              <w:spacing w:line="360" w:lineRule="auto"/>
              <w:jc w:val="center"/>
              <w:rPr>
                <w:rFonts w:ascii="仿宋" w:hAnsi="仿宋" w:eastAsia="仿宋" w:cs="仿宋"/>
                <w:color w:val="auto"/>
                <w:sz w:val="24"/>
                <w:highlight w:val="none"/>
              </w:rPr>
            </w:pPr>
          </w:p>
        </w:tc>
      </w:tr>
      <w:tr w14:paraId="3F467905">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14:paraId="451E056A">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14:paraId="4C0AA14D">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14:paraId="5FB2D8D7">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14:paraId="018A4172">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14:paraId="354A914B">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14:paraId="5B1D5B33">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14:paraId="349CBEEC">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14:paraId="536746C5">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14:paraId="0BFE74C4">
            <w:pPr>
              <w:snapToGrid w:val="0"/>
              <w:spacing w:line="360" w:lineRule="auto"/>
              <w:jc w:val="center"/>
              <w:rPr>
                <w:rFonts w:ascii="仿宋" w:hAnsi="仿宋" w:eastAsia="仿宋" w:cs="仿宋"/>
                <w:color w:val="auto"/>
                <w:sz w:val="24"/>
                <w:highlight w:val="none"/>
              </w:rPr>
            </w:pPr>
          </w:p>
        </w:tc>
      </w:tr>
    </w:tbl>
    <w:p w14:paraId="25841105">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w:t>
      </w:r>
      <w:r>
        <w:rPr>
          <w:rFonts w:hint="eastAsia" w:ascii="仿宋" w:hAnsi="仿宋" w:eastAsia="仿宋" w:cs="仿宋"/>
          <w:color w:val="auto"/>
          <w:szCs w:val="21"/>
          <w:highlight w:val="none"/>
          <w:lang w:eastAsia="zh-CN"/>
        </w:rPr>
        <w:t>总监理工程师</w:t>
      </w:r>
      <w:r>
        <w:rPr>
          <w:rFonts w:hint="eastAsia" w:ascii="仿宋" w:hAnsi="仿宋" w:eastAsia="仿宋" w:cs="仿宋"/>
          <w:color w:val="auto"/>
          <w:szCs w:val="21"/>
          <w:highlight w:val="none"/>
        </w:rPr>
        <w:t>）等。</w:t>
      </w:r>
    </w:p>
    <w:p w14:paraId="4AB4345B">
      <w:pPr>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eastAsia="zh-CN"/>
        </w:rPr>
        <w:t>总监理工程师</w:t>
      </w:r>
      <w:r>
        <w:rPr>
          <w:rFonts w:hint="eastAsia" w:ascii="仿宋" w:hAnsi="仿宋" w:eastAsia="仿宋" w:cs="仿宋"/>
          <w:color w:val="auto"/>
          <w:szCs w:val="21"/>
          <w:highlight w:val="none"/>
        </w:rPr>
        <w:t>应按格式八表格及备注的规定附相关证明文件，本表后不需重复附相关证件。</w:t>
      </w:r>
    </w:p>
    <w:p w14:paraId="6788C3FB">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3、其他人员应附上个人注册执业资格证（如有）、身份证、职称证等文件（复印件，加盖单位公章）。</w:t>
      </w:r>
    </w:p>
    <w:p w14:paraId="0B4E988E">
      <w:pPr>
        <w:adjustRightInd w:val="0"/>
        <w:snapToGrid w:val="0"/>
        <w:spacing w:before="85" w:beforeLines="30" w:line="360" w:lineRule="auto"/>
        <w:rPr>
          <w:rFonts w:ascii="仿宋" w:hAnsi="仿宋" w:eastAsia="仿宋" w:cs="仿宋"/>
          <w:color w:val="auto"/>
          <w:sz w:val="24"/>
          <w:highlight w:val="none"/>
        </w:rPr>
      </w:pPr>
    </w:p>
    <w:p w14:paraId="04BF04E1">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14:paraId="1C18C5CC">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B654138">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14:paraId="00B3FE1E">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格式八</w:t>
      </w:r>
      <w:r>
        <w:rPr>
          <w:rFonts w:hint="eastAsia" w:ascii="仿宋" w:hAnsi="仿宋" w:eastAsia="仿宋" w:cs="宋体"/>
          <w:color w:val="auto"/>
          <w:sz w:val="28"/>
          <w:szCs w:val="28"/>
          <w:highlight w:val="none"/>
        </w:rPr>
        <w:t>：</w:t>
      </w:r>
    </w:p>
    <w:p w14:paraId="53551BE8">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lang w:eastAsia="zh-CN"/>
        </w:rPr>
        <w:t>总监理工程师</w:t>
      </w:r>
      <w:r>
        <w:rPr>
          <w:rFonts w:hint="eastAsia" w:ascii="仿宋" w:hAnsi="仿宋" w:eastAsia="仿宋" w:cs="宋体"/>
          <w:b/>
          <w:color w:val="auto"/>
          <w:sz w:val="36"/>
          <w:szCs w:val="36"/>
          <w:highlight w:val="none"/>
        </w:rPr>
        <w:t>相关经验及业绩</w:t>
      </w:r>
    </w:p>
    <w:p w14:paraId="67668A17">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14:paraId="6C391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6E7F28A2">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14:paraId="3F96C909">
            <w:pPr>
              <w:spacing w:line="460" w:lineRule="exact"/>
              <w:jc w:val="left"/>
              <w:rPr>
                <w:rFonts w:ascii="宋体" w:hAnsi="宋体" w:eastAsia="宋体" w:cs="宋体"/>
                <w:color w:val="auto"/>
                <w:szCs w:val="21"/>
                <w:highlight w:val="none"/>
              </w:rPr>
            </w:pPr>
          </w:p>
        </w:tc>
        <w:tc>
          <w:tcPr>
            <w:tcW w:w="927" w:type="dxa"/>
            <w:vAlign w:val="center"/>
          </w:tcPr>
          <w:p w14:paraId="16D499D5">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14:paraId="34BC5E4D">
            <w:pPr>
              <w:spacing w:line="460" w:lineRule="exact"/>
              <w:jc w:val="left"/>
              <w:rPr>
                <w:rFonts w:ascii="宋体" w:hAnsi="宋体" w:eastAsia="宋体" w:cs="宋体"/>
                <w:color w:val="auto"/>
                <w:szCs w:val="21"/>
                <w:highlight w:val="none"/>
              </w:rPr>
            </w:pPr>
          </w:p>
        </w:tc>
        <w:tc>
          <w:tcPr>
            <w:tcW w:w="2130" w:type="dxa"/>
            <w:gridSpan w:val="3"/>
            <w:vAlign w:val="center"/>
          </w:tcPr>
          <w:p w14:paraId="49ED1221">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14:paraId="371D5F63">
            <w:pPr>
              <w:spacing w:line="460" w:lineRule="exact"/>
              <w:jc w:val="left"/>
              <w:rPr>
                <w:rFonts w:ascii="宋体" w:hAnsi="宋体" w:eastAsia="宋体" w:cs="宋体"/>
                <w:color w:val="auto"/>
                <w:szCs w:val="21"/>
                <w:highlight w:val="none"/>
              </w:rPr>
            </w:pPr>
          </w:p>
        </w:tc>
      </w:tr>
      <w:tr w14:paraId="79DEB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3C2149B4">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14:paraId="1529F97C">
            <w:pPr>
              <w:spacing w:line="460" w:lineRule="exact"/>
              <w:jc w:val="left"/>
              <w:rPr>
                <w:rFonts w:ascii="宋体" w:hAnsi="宋体" w:eastAsia="宋体" w:cs="宋体"/>
                <w:color w:val="auto"/>
                <w:szCs w:val="21"/>
                <w:highlight w:val="none"/>
              </w:rPr>
            </w:pPr>
          </w:p>
        </w:tc>
        <w:tc>
          <w:tcPr>
            <w:tcW w:w="927" w:type="dxa"/>
            <w:vAlign w:val="center"/>
          </w:tcPr>
          <w:p w14:paraId="5B022747">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14:paraId="2C60091D">
            <w:pPr>
              <w:spacing w:line="460" w:lineRule="exact"/>
              <w:jc w:val="left"/>
              <w:rPr>
                <w:rFonts w:ascii="宋体" w:hAnsi="宋体" w:eastAsia="宋体" w:cs="宋体"/>
                <w:color w:val="auto"/>
                <w:szCs w:val="21"/>
                <w:highlight w:val="none"/>
              </w:rPr>
            </w:pPr>
          </w:p>
        </w:tc>
        <w:tc>
          <w:tcPr>
            <w:tcW w:w="2130" w:type="dxa"/>
            <w:gridSpan w:val="3"/>
            <w:vAlign w:val="center"/>
          </w:tcPr>
          <w:p w14:paraId="595E18F6">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任职</w:t>
            </w:r>
          </w:p>
        </w:tc>
        <w:tc>
          <w:tcPr>
            <w:tcW w:w="2135" w:type="dxa"/>
            <w:vAlign w:val="center"/>
          </w:tcPr>
          <w:p w14:paraId="38D4EF75">
            <w:pPr>
              <w:spacing w:line="460" w:lineRule="exact"/>
              <w:jc w:val="left"/>
              <w:rPr>
                <w:rFonts w:ascii="宋体" w:hAnsi="宋体" w:eastAsia="宋体" w:cs="宋体"/>
                <w:color w:val="auto"/>
                <w:szCs w:val="21"/>
                <w:highlight w:val="none"/>
              </w:rPr>
            </w:pPr>
          </w:p>
        </w:tc>
      </w:tr>
      <w:tr w14:paraId="60F0A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384B45A3">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14:paraId="523D952C">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14:paraId="38353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14:paraId="45B9E0E1">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14:paraId="2EEEA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14:paraId="626E3E60">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14:paraId="0CF91EC9">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14:paraId="75B465BA">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14:paraId="00CDFDD8">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14:paraId="4CFB3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21216CBC">
            <w:pPr>
              <w:spacing w:line="460" w:lineRule="exact"/>
              <w:jc w:val="left"/>
              <w:rPr>
                <w:rFonts w:ascii="宋体" w:hAnsi="宋体" w:eastAsia="宋体" w:cs="宋体"/>
                <w:color w:val="auto"/>
                <w:szCs w:val="21"/>
                <w:highlight w:val="none"/>
              </w:rPr>
            </w:pPr>
          </w:p>
        </w:tc>
        <w:tc>
          <w:tcPr>
            <w:tcW w:w="3420" w:type="dxa"/>
            <w:gridSpan w:val="4"/>
          </w:tcPr>
          <w:p w14:paraId="2CABE133">
            <w:pPr>
              <w:spacing w:line="460" w:lineRule="exact"/>
              <w:jc w:val="left"/>
              <w:rPr>
                <w:rFonts w:ascii="宋体" w:hAnsi="宋体" w:eastAsia="宋体" w:cs="宋体"/>
                <w:color w:val="auto"/>
                <w:szCs w:val="21"/>
                <w:highlight w:val="none"/>
              </w:rPr>
            </w:pPr>
          </w:p>
        </w:tc>
        <w:tc>
          <w:tcPr>
            <w:tcW w:w="1261" w:type="dxa"/>
          </w:tcPr>
          <w:p w14:paraId="72EEDCDB">
            <w:pPr>
              <w:spacing w:line="460" w:lineRule="exact"/>
              <w:jc w:val="left"/>
              <w:rPr>
                <w:rFonts w:ascii="宋体" w:hAnsi="宋体" w:eastAsia="宋体" w:cs="宋体"/>
                <w:color w:val="auto"/>
                <w:szCs w:val="21"/>
                <w:highlight w:val="none"/>
              </w:rPr>
            </w:pPr>
          </w:p>
        </w:tc>
        <w:tc>
          <w:tcPr>
            <w:tcW w:w="2296" w:type="dxa"/>
            <w:gridSpan w:val="2"/>
          </w:tcPr>
          <w:p w14:paraId="60D7C963">
            <w:pPr>
              <w:spacing w:line="460" w:lineRule="exact"/>
              <w:jc w:val="left"/>
              <w:rPr>
                <w:rFonts w:ascii="宋体" w:hAnsi="宋体" w:eastAsia="宋体" w:cs="宋体"/>
                <w:color w:val="auto"/>
                <w:szCs w:val="21"/>
                <w:highlight w:val="none"/>
              </w:rPr>
            </w:pPr>
          </w:p>
        </w:tc>
      </w:tr>
      <w:tr w14:paraId="71505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55546B3D">
            <w:pPr>
              <w:spacing w:line="460" w:lineRule="exact"/>
              <w:jc w:val="left"/>
              <w:rPr>
                <w:rFonts w:ascii="宋体" w:hAnsi="宋体" w:eastAsia="宋体" w:cs="宋体"/>
                <w:color w:val="auto"/>
                <w:szCs w:val="21"/>
                <w:highlight w:val="none"/>
              </w:rPr>
            </w:pPr>
          </w:p>
        </w:tc>
        <w:tc>
          <w:tcPr>
            <w:tcW w:w="3420" w:type="dxa"/>
            <w:gridSpan w:val="4"/>
          </w:tcPr>
          <w:p w14:paraId="095A6F75">
            <w:pPr>
              <w:spacing w:line="460" w:lineRule="exact"/>
              <w:jc w:val="left"/>
              <w:rPr>
                <w:rFonts w:ascii="宋体" w:hAnsi="宋体" w:eastAsia="宋体" w:cs="宋体"/>
                <w:color w:val="auto"/>
                <w:szCs w:val="21"/>
                <w:highlight w:val="none"/>
              </w:rPr>
            </w:pPr>
          </w:p>
        </w:tc>
        <w:tc>
          <w:tcPr>
            <w:tcW w:w="1261" w:type="dxa"/>
          </w:tcPr>
          <w:p w14:paraId="25D30FAA">
            <w:pPr>
              <w:spacing w:line="460" w:lineRule="exact"/>
              <w:jc w:val="left"/>
              <w:rPr>
                <w:rFonts w:ascii="宋体" w:hAnsi="宋体" w:eastAsia="宋体" w:cs="宋体"/>
                <w:color w:val="auto"/>
                <w:szCs w:val="21"/>
                <w:highlight w:val="none"/>
              </w:rPr>
            </w:pPr>
          </w:p>
        </w:tc>
        <w:tc>
          <w:tcPr>
            <w:tcW w:w="2296" w:type="dxa"/>
            <w:gridSpan w:val="2"/>
          </w:tcPr>
          <w:p w14:paraId="0AFCF6CF">
            <w:pPr>
              <w:spacing w:line="460" w:lineRule="exact"/>
              <w:jc w:val="left"/>
              <w:rPr>
                <w:rFonts w:ascii="宋体" w:hAnsi="宋体" w:eastAsia="宋体" w:cs="宋体"/>
                <w:color w:val="auto"/>
                <w:szCs w:val="21"/>
                <w:highlight w:val="none"/>
              </w:rPr>
            </w:pPr>
          </w:p>
        </w:tc>
      </w:tr>
      <w:tr w14:paraId="61CA6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74C19932">
            <w:pPr>
              <w:spacing w:line="460" w:lineRule="exact"/>
              <w:jc w:val="left"/>
              <w:rPr>
                <w:rFonts w:ascii="宋体" w:hAnsi="宋体" w:eastAsia="宋体" w:cs="宋体"/>
                <w:color w:val="auto"/>
                <w:szCs w:val="21"/>
                <w:highlight w:val="none"/>
              </w:rPr>
            </w:pPr>
          </w:p>
        </w:tc>
        <w:tc>
          <w:tcPr>
            <w:tcW w:w="3420" w:type="dxa"/>
            <w:gridSpan w:val="4"/>
          </w:tcPr>
          <w:p w14:paraId="2F6EDB55">
            <w:pPr>
              <w:spacing w:line="460" w:lineRule="exact"/>
              <w:jc w:val="left"/>
              <w:rPr>
                <w:rFonts w:ascii="宋体" w:hAnsi="宋体" w:eastAsia="宋体" w:cs="宋体"/>
                <w:color w:val="auto"/>
                <w:szCs w:val="21"/>
                <w:highlight w:val="none"/>
              </w:rPr>
            </w:pPr>
          </w:p>
        </w:tc>
        <w:tc>
          <w:tcPr>
            <w:tcW w:w="1261" w:type="dxa"/>
          </w:tcPr>
          <w:p w14:paraId="0D179E1D">
            <w:pPr>
              <w:spacing w:line="460" w:lineRule="exact"/>
              <w:jc w:val="left"/>
              <w:rPr>
                <w:rFonts w:ascii="宋体" w:hAnsi="宋体" w:eastAsia="宋体" w:cs="宋体"/>
                <w:color w:val="auto"/>
                <w:szCs w:val="21"/>
                <w:highlight w:val="none"/>
              </w:rPr>
            </w:pPr>
          </w:p>
        </w:tc>
        <w:tc>
          <w:tcPr>
            <w:tcW w:w="2296" w:type="dxa"/>
            <w:gridSpan w:val="2"/>
          </w:tcPr>
          <w:p w14:paraId="6CF53F78">
            <w:pPr>
              <w:spacing w:line="460" w:lineRule="exact"/>
              <w:jc w:val="left"/>
              <w:rPr>
                <w:rFonts w:ascii="宋体" w:hAnsi="宋体" w:eastAsia="宋体" w:cs="宋体"/>
                <w:color w:val="auto"/>
                <w:szCs w:val="21"/>
                <w:highlight w:val="none"/>
              </w:rPr>
            </w:pPr>
          </w:p>
        </w:tc>
      </w:tr>
      <w:tr w14:paraId="0EE16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14:paraId="4A4F09D1">
            <w:pPr>
              <w:spacing w:line="460" w:lineRule="exact"/>
              <w:jc w:val="left"/>
              <w:rPr>
                <w:rFonts w:ascii="宋体" w:hAnsi="宋体" w:eastAsia="宋体" w:cs="宋体"/>
                <w:color w:val="auto"/>
                <w:szCs w:val="21"/>
                <w:highlight w:val="none"/>
              </w:rPr>
            </w:pPr>
          </w:p>
        </w:tc>
        <w:tc>
          <w:tcPr>
            <w:tcW w:w="3420" w:type="dxa"/>
            <w:gridSpan w:val="4"/>
            <w:vAlign w:val="center"/>
          </w:tcPr>
          <w:p w14:paraId="540B911A">
            <w:pPr>
              <w:spacing w:line="460" w:lineRule="exact"/>
              <w:jc w:val="left"/>
              <w:rPr>
                <w:rFonts w:ascii="宋体" w:hAnsi="宋体" w:eastAsia="宋体" w:cs="宋体"/>
                <w:color w:val="auto"/>
                <w:szCs w:val="21"/>
                <w:highlight w:val="none"/>
              </w:rPr>
            </w:pPr>
          </w:p>
        </w:tc>
        <w:tc>
          <w:tcPr>
            <w:tcW w:w="1261" w:type="dxa"/>
            <w:vAlign w:val="center"/>
          </w:tcPr>
          <w:p w14:paraId="14C94CE7">
            <w:pPr>
              <w:spacing w:line="460" w:lineRule="exact"/>
              <w:jc w:val="left"/>
              <w:rPr>
                <w:rFonts w:ascii="宋体" w:hAnsi="宋体" w:eastAsia="宋体" w:cs="宋体"/>
                <w:color w:val="auto"/>
                <w:szCs w:val="21"/>
                <w:highlight w:val="none"/>
              </w:rPr>
            </w:pPr>
          </w:p>
        </w:tc>
        <w:tc>
          <w:tcPr>
            <w:tcW w:w="2296" w:type="dxa"/>
            <w:gridSpan w:val="2"/>
            <w:vAlign w:val="center"/>
          </w:tcPr>
          <w:p w14:paraId="1BEE1665">
            <w:pPr>
              <w:spacing w:line="460" w:lineRule="exact"/>
              <w:jc w:val="left"/>
              <w:rPr>
                <w:rFonts w:ascii="宋体" w:hAnsi="宋体" w:eastAsia="宋体" w:cs="宋体"/>
                <w:color w:val="auto"/>
                <w:szCs w:val="21"/>
                <w:highlight w:val="none"/>
              </w:rPr>
            </w:pPr>
          </w:p>
        </w:tc>
      </w:tr>
    </w:tbl>
    <w:p w14:paraId="36DDFCDD">
      <w:pPr>
        <w:rPr>
          <w:rFonts w:ascii="仿宋" w:hAnsi="仿宋" w:eastAsia="仿宋" w:cs="仿宋"/>
          <w:color w:val="auto"/>
          <w:szCs w:val="21"/>
          <w:highlight w:val="none"/>
        </w:rPr>
      </w:pPr>
    </w:p>
    <w:p w14:paraId="3FAF908D">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14:paraId="2DB6D1CB">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2、须附执业证书及资格证书（如有）、身份证、职称证书及业绩（如有）等证明材料（复印件，加盖单位公章）。</w:t>
      </w:r>
    </w:p>
    <w:p w14:paraId="7BD9E056">
      <w:pPr>
        <w:ind w:firstLine="424" w:firstLineChars="202"/>
        <w:rPr>
          <w:rFonts w:hint="eastAsia" w:ascii="仿宋" w:hAnsi="仿宋" w:eastAsia="仿宋" w:cs="仿宋"/>
          <w:color w:val="auto"/>
          <w:szCs w:val="21"/>
          <w:highlight w:val="none"/>
        </w:rPr>
      </w:pPr>
      <w:r>
        <w:rPr>
          <w:rFonts w:hint="eastAsia" w:ascii="仿宋" w:hAnsi="仿宋" w:eastAsia="仿宋" w:cs="仿宋"/>
          <w:color w:val="auto"/>
          <w:szCs w:val="21"/>
          <w:highlight w:val="none"/>
        </w:rPr>
        <w:t>3、业绩证明资料（如有）须提供：</w:t>
      </w:r>
      <w:r>
        <w:rPr>
          <w:rFonts w:hint="eastAsia" w:ascii="仿宋" w:hAnsi="仿宋" w:eastAsia="仿宋" w:cs="仿宋"/>
          <w:color w:val="auto"/>
          <w:sz w:val="21"/>
          <w:szCs w:val="21"/>
          <w:highlight w:val="none"/>
          <w:u w:val="none"/>
        </w:rPr>
        <w:t>中标通知书或免招标的相关证明、监理服务合同、竣工验收报告或竣工验收证明，业绩时间以竣工验收报告或竣工验收证明出具时间为准</w:t>
      </w:r>
      <w:r>
        <w:rPr>
          <w:rFonts w:hint="eastAsia" w:ascii="仿宋" w:hAnsi="仿宋" w:eastAsia="仿宋" w:cs="仿宋"/>
          <w:color w:val="auto"/>
          <w:szCs w:val="21"/>
          <w:highlight w:val="none"/>
        </w:rPr>
        <w:t>。</w:t>
      </w:r>
    </w:p>
    <w:p w14:paraId="25D7DA2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119C8E7F">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14:paraId="555EF689">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FE5C6E0">
      <w:pPr>
        <w:pStyle w:val="24"/>
        <w:widowControl/>
        <w:ind w:firstLine="0" w:firstLineChars="0"/>
        <w:rPr>
          <w:color w:val="auto"/>
          <w:spacing w:val="18"/>
          <w:highlight w:val="none"/>
        </w:rPr>
      </w:pPr>
      <w:r>
        <w:rPr>
          <w:color w:val="auto"/>
          <w:spacing w:val="18"/>
          <w:highlight w:val="none"/>
        </w:rPr>
        <w:t xml:space="preserve"> </w:t>
      </w:r>
    </w:p>
    <w:p w14:paraId="73A2AC2C">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505FD362">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615A011">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14:paraId="7482777F">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格式九：</w:t>
      </w:r>
    </w:p>
    <w:p w14:paraId="5834FC7C">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14:paraId="6FF1EC49">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6"/>
        <w:tblW w:w="89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Layout w:type="fixed"/>
        <w:tblCellMar>
          <w:top w:w="0" w:type="dxa"/>
          <w:left w:w="0" w:type="dxa"/>
          <w:bottom w:w="0" w:type="dxa"/>
          <w:right w:w="0" w:type="dxa"/>
        </w:tblCellMar>
      </w:tblPr>
      <w:tblGrid>
        <w:gridCol w:w="1933"/>
        <w:gridCol w:w="2700"/>
        <w:gridCol w:w="1932"/>
        <w:gridCol w:w="2402"/>
      </w:tblGrid>
      <w:tr w14:paraId="6C0EC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994" w:hRule="atLeast"/>
          <w:jc w:val="center"/>
        </w:trPr>
        <w:tc>
          <w:tcPr>
            <w:tcW w:w="1933" w:type="dxa"/>
            <w:noWrap w:val="0"/>
            <w:tcMar>
              <w:top w:w="0" w:type="dxa"/>
              <w:left w:w="108" w:type="dxa"/>
              <w:bottom w:w="0" w:type="dxa"/>
              <w:right w:w="108" w:type="dxa"/>
            </w:tcMar>
            <w:vAlign w:val="center"/>
          </w:tcPr>
          <w:p w14:paraId="0B7BC4DA">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w:t>
            </w:r>
          </w:p>
          <w:p w14:paraId="22E51C8A">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（盖章）</w:t>
            </w:r>
          </w:p>
        </w:tc>
        <w:tc>
          <w:tcPr>
            <w:tcW w:w="2700" w:type="dxa"/>
            <w:noWrap w:val="0"/>
            <w:tcMar>
              <w:top w:w="0" w:type="dxa"/>
              <w:left w:w="108" w:type="dxa"/>
              <w:bottom w:w="0" w:type="dxa"/>
              <w:right w:w="108" w:type="dxa"/>
            </w:tcMar>
            <w:vAlign w:val="center"/>
          </w:tcPr>
          <w:p w14:paraId="1943CFAC">
            <w:pPr>
              <w:widowControl/>
              <w:snapToGrid w:val="0"/>
              <w:spacing w:line="360" w:lineRule="auto"/>
              <w:ind w:right="-108"/>
              <w:jc w:val="center"/>
              <w:rPr>
                <w:rFonts w:hint="eastAsia" w:ascii="仿宋" w:hAnsi="仿宋" w:eastAsia="仿宋" w:cs="仿宋"/>
                <w:color w:val="auto"/>
                <w:sz w:val="24"/>
                <w:szCs w:val="24"/>
                <w:highlight w:val="none"/>
              </w:rPr>
            </w:pPr>
          </w:p>
        </w:tc>
        <w:tc>
          <w:tcPr>
            <w:tcW w:w="1932" w:type="dxa"/>
            <w:noWrap w:val="0"/>
            <w:tcMar>
              <w:top w:w="0" w:type="dxa"/>
              <w:left w:w="108" w:type="dxa"/>
              <w:bottom w:w="0" w:type="dxa"/>
              <w:right w:w="108" w:type="dxa"/>
            </w:tcMar>
            <w:vAlign w:val="center"/>
          </w:tcPr>
          <w:p w14:paraId="18C92BCE">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资质等级</w:t>
            </w:r>
          </w:p>
          <w:p w14:paraId="649F69F3">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及证书号</w:t>
            </w:r>
          </w:p>
        </w:tc>
        <w:tc>
          <w:tcPr>
            <w:tcW w:w="2402" w:type="dxa"/>
            <w:noWrap w:val="0"/>
            <w:tcMar>
              <w:top w:w="0" w:type="dxa"/>
              <w:left w:w="108" w:type="dxa"/>
              <w:bottom w:w="0" w:type="dxa"/>
              <w:right w:w="108" w:type="dxa"/>
            </w:tcMar>
            <w:vAlign w:val="center"/>
          </w:tcPr>
          <w:p w14:paraId="13882200">
            <w:pPr>
              <w:widowControl/>
              <w:snapToGrid w:val="0"/>
              <w:spacing w:line="360" w:lineRule="auto"/>
              <w:ind w:right="-108"/>
              <w:jc w:val="center"/>
              <w:rPr>
                <w:rFonts w:hint="eastAsia" w:ascii="仿宋" w:hAnsi="仿宋" w:eastAsia="仿宋" w:cs="仿宋"/>
                <w:color w:val="auto"/>
                <w:sz w:val="24"/>
                <w:szCs w:val="24"/>
                <w:highlight w:val="none"/>
              </w:rPr>
            </w:pPr>
          </w:p>
        </w:tc>
      </w:tr>
      <w:tr w14:paraId="6A662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1283" w:hRule="atLeast"/>
          <w:jc w:val="center"/>
        </w:trPr>
        <w:tc>
          <w:tcPr>
            <w:tcW w:w="1933" w:type="dxa"/>
            <w:noWrap w:val="0"/>
            <w:tcMar>
              <w:top w:w="0" w:type="dxa"/>
              <w:left w:w="108" w:type="dxa"/>
              <w:bottom w:w="0" w:type="dxa"/>
              <w:right w:w="108" w:type="dxa"/>
            </w:tcMar>
            <w:vAlign w:val="center"/>
          </w:tcPr>
          <w:p w14:paraId="28DD23A1">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监理费</w:t>
            </w:r>
            <w:r>
              <w:rPr>
                <w:rFonts w:hint="eastAsia" w:ascii="仿宋" w:hAnsi="仿宋" w:eastAsia="仿宋" w:cs="仿宋"/>
                <w:color w:val="auto"/>
                <w:sz w:val="24"/>
                <w:szCs w:val="24"/>
                <w:highlight w:val="none"/>
                <w:lang w:eastAsia="zh-CN"/>
              </w:rPr>
              <w:t>投标</w:t>
            </w:r>
            <w:r>
              <w:rPr>
                <w:rFonts w:hint="eastAsia" w:ascii="仿宋" w:hAnsi="仿宋" w:eastAsia="仿宋" w:cs="仿宋"/>
                <w:color w:val="auto"/>
                <w:sz w:val="24"/>
                <w:szCs w:val="24"/>
                <w:highlight w:val="none"/>
              </w:rPr>
              <w:t>报价（元）</w:t>
            </w:r>
          </w:p>
        </w:tc>
        <w:tc>
          <w:tcPr>
            <w:tcW w:w="7034" w:type="dxa"/>
            <w:gridSpan w:val="3"/>
            <w:noWrap w:val="0"/>
            <w:tcMar>
              <w:top w:w="0" w:type="dxa"/>
              <w:left w:w="108" w:type="dxa"/>
              <w:bottom w:w="0" w:type="dxa"/>
              <w:right w:w="108" w:type="dxa"/>
            </w:tcMar>
            <w:vAlign w:val="center"/>
          </w:tcPr>
          <w:p w14:paraId="3737DDE1">
            <w:pPr>
              <w:widowControl/>
              <w:snapToGrid w:val="0"/>
              <w:spacing w:line="360" w:lineRule="auto"/>
              <w:ind w:right="-108"/>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大写：</w:t>
            </w:r>
          </w:p>
          <w:p w14:paraId="645501D9">
            <w:pPr>
              <w:widowControl/>
              <w:snapToGrid w:val="0"/>
              <w:spacing w:line="360" w:lineRule="auto"/>
              <w:ind w:right="-108"/>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小写：</w:t>
            </w:r>
          </w:p>
          <w:p w14:paraId="209C71FC">
            <w:pPr>
              <w:widowControl/>
              <w:snapToGrid w:val="0"/>
              <w:spacing w:line="360" w:lineRule="auto"/>
              <w:ind w:right="-108"/>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下浮率：</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tc>
      </w:tr>
      <w:tr w14:paraId="4FB11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560" w:hRule="atLeast"/>
          <w:jc w:val="center"/>
        </w:trPr>
        <w:tc>
          <w:tcPr>
            <w:tcW w:w="1933" w:type="dxa"/>
            <w:noWrap w:val="0"/>
            <w:tcMar>
              <w:top w:w="0" w:type="dxa"/>
              <w:left w:w="108" w:type="dxa"/>
              <w:bottom w:w="0" w:type="dxa"/>
              <w:right w:w="108" w:type="dxa"/>
            </w:tcMar>
            <w:vAlign w:val="center"/>
          </w:tcPr>
          <w:p w14:paraId="7662104E">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监理服务期</w:t>
            </w:r>
          </w:p>
        </w:tc>
        <w:tc>
          <w:tcPr>
            <w:tcW w:w="2700" w:type="dxa"/>
            <w:noWrap w:val="0"/>
            <w:tcMar>
              <w:top w:w="0" w:type="dxa"/>
              <w:left w:w="108" w:type="dxa"/>
              <w:bottom w:w="0" w:type="dxa"/>
              <w:right w:w="108" w:type="dxa"/>
            </w:tcMar>
            <w:vAlign w:val="center"/>
          </w:tcPr>
          <w:p w14:paraId="0442A113">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按招标文件要求</w:t>
            </w:r>
          </w:p>
        </w:tc>
        <w:tc>
          <w:tcPr>
            <w:tcW w:w="1932" w:type="dxa"/>
            <w:noWrap w:val="0"/>
            <w:tcMar>
              <w:top w:w="0" w:type="dxa"/>
              <w:left w:w="108" w:type="dxa"/>
              <w:bottom w:w="0" w:type="dxa"/>
              <w:right w:w="108" w:type="dxa"/>
            </w:tcMar>
            <w:vAlign w:val="center"/>
          </w:tcPr>
          <w:p w14:paraId="67E045B5">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监理质量目标</w:t>
            </w:r>
          </w:p>
        </w:tc>
        <w:tc>
          <w:tcPr>
            <w:tcW w:w="2402" w:type="dxa"/>
            <w:noWrap w:val="0"/>
            <w:tcMar>
              <w:top w:w="0" w:type="dxa"/>
              <w:left w:w="108" w:type="dxa"/>
              <w:bottom w:w="0" w:type="dxa"/>
              <w:right w:w="108" w:type="dxa"/>
            </w:tcMar>
            <w:vAlign w:val="center"/>
          </w:tcPr>
          <w:p w14:paraId="31DAF236">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按招标文件要求</w:t>
            </w:r>
          </w:p>
        </w:tc>
      </w:tr>
      <w:tr w14:paraId="1CC5C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811" w:hRule="atLeast"/>
          <w:jc w:val="center"/>
        </w:trPr>
        <w:tc>
          <w:tcPr>
            <w:tcW w:w="1933" w:type="dxa"/>
            <w:vMerge w:val="restart"/>
            <w:noWrap w:val="0"/>
            <w:tcMar>
              <w:top w:w="0" w:type="dxa"/>
              <w:left w:w="108" w:type="dxa"/>
              <w:bottom w:w="0" w:type="dxa"/>
              <w:right w:w="108" w:type="dxa"/>
            </w:tcMar>
            <w:vAlign w:val="center"/>
          </w:tcPr>
          <w:p w14:paraId="434ECAE5">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拟委派的项目总监理工程师</w:t>
            </w:r>
          </w:p>
        </w:tc>
        <w:tc>
          <w:tcPr>
            <w:tcW w:w="2700" w:type="dxa"/>
            <w:noWrap w:val="0"/>
            <w:tcMar>
              <w:top w:w="0" w:type="dxa"/>
              <w:left w:w="108" w:type="dxa"/>
              <w:bottom w:w="0" w:type="dxa"/>
              <w:right w:w="108" w:type="dxa"/>
            </w:tcMar>
            <w:vAlign w:val="center"/>
          </w:tcPr>
          <w:p w14:paraId="2573EE07">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姓    名</w:t>
            </w:r>
          </w:p>
        </w:tc>
        <w:tc>
          <w:tcPr>
            <w:tcW w:w="4334" w:type="dxa"/>
            <w:gridSpan w:val="2"/>
            <w:noWrap w:val="0"/>
            <w:tcMar>
              <w:top w:w="0" w:type="dxa"/>
              <w:left w:w="108" w:type="dxa"/>
              <w:bottom w:w="0" w:type="dxa"/>
              <w:right w:w="108" w:type="dxa"/>
            </w:tcMar>
            <w:vAlign w:val="center"/>
          </w:tcPr>
          <w:p w14:paraId="75F36403">
            <w:pPr>
              <w:widowControl/>
              <w:snapToGrid w:val="0"/>
              <w:spacing w:line="360" w:lineRule="auto"/>
              <w:ind w:right="-108"/>
              <w:jc w:val="center"/>
              <w:rPr>
                <w:rFonts w:hint="eastAsia" w:ascii="仿宋" w:hAnsi="仿宋" w:eastAsia="仿宋" w:cs="仿宋"/>
                <w:color w:val="auto"/>
                <w:sz w:val="24"/>
                <w:szCs w:val="24"/>
                <w:highlight w:val="none"/>
              </w:rPr>
            </w:pPr>
          </w:p>
        </w:tc>
      </w:tr>
      <w:tr w14:paraId="22148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811" w:hRule="atLeast"/>
          <w:jc w:val="center"/>
        </w:trPr>
        <w:tc>
          <w:tcPr>
            <w:tcW w:w="1933" w:type="dxa"/>
            <w:vMerge w:val="continue"/>
            <w:noWrap w:val="0"/>
            <w:tcMar>
              <w:top w:w="0" w:type="dxa"/>
              <w:left w:w="108" w:type="dxa"/>
              <w:bottom w:w="0" w:type="dxa"/>
              <w:right w:w="108" w:type="dxa"/>
            </w:tcMar>
            <w:vAlign w:val="center"/>
          </w:tcPr>
          <w:p w14:paraId="51A5064D">
            <w:pPr>
              <w:widowControl/>
              <w:snapToGrid w:val="0"/>
              <w:spacing w:line="360" w:lineRule="auto"/>
              <w:ind w:right="-108"/>
              <w:jc w:val="center"/>
              <w:rPr>
                <w:rFonts w:hint="eastAsia" w:ascii="仿宋" w:hAnsi="仿宋" w:eastAsia="仿宋" w:cs="仿宋"/>
                <w:color w:val="auto"/>
                <w:sz w:val="24"/>
                <w:szCs w:val="24"/>
                <w:highlight w:val="none"/>
              </w:rPr>
            </w:pPr>
          </w:p>
        </w:tc>
        <w:tc>
          <w:tcPr>
            <w:tcW w:w="2700" w:type="dxa"/>
            <w:noWrap w:val="0"/>
            <w:tcMar>
              <w:top w:w="0" w:type="dxa"/>
              <w:left w:w="108" w:type="dxa"/>
              <w:bottom w:w="0" w:type="dxa"/>
              <w:right w:w="108" w:type="dxa"/>
            </w:tcMar>
            <w:vAlign w:val="center"/>
          </w:tcPr>
          <w:p w14:paraId="05FB2261">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技术职称</w:t>
            </w:r>
          </w:p>
        </w:tc>
        <w:tc>
          <w:tcPr>
            <w:tcW w:w="4334" w:type="dxa"/>
            <w:gridSpan w:val="2"/>
            <w:noWrap w:val="0"/>
            <w:tcMar>
              <w:top w:w="0" w:type="dxa"/>
              <w:left w:w="108" w:type="dxa"/>
              <w:bottom w:w="0" w:type="dxa"/>
              <w:right w:w="108" w:type="dxa"/>
            </w:tcMar>
            <w:vAlign w:val="center"/>
          </w:tcPr>
          <w:p w14:paraId="486702AC">
            <w:pPr>
              <w:widowControl/>
              <w:snapToGrid w:val="0"/>
              <w:spacing w:line="360" w:lineRule="auto"/>
              <w:ind w:right="-108"/>
              <w:jc w:val="center"/>
              <w:rPr>
                <w:rFonts w:hint="eastAsia" w:ascii="仿宋" w:hAnsi="仿宋" w:eastAsia="仿宋" w:cs="仿宋"/>
                <w:color w:val="auto"/>
                <w:sz w:val="24"/>
                <w:szCs w:val="24"/>
                <w:highlight w:val="none"/>
              </w:rPr>
            </w:pPr>
          </w:p>
        </w:tc>
      </w:tr>
      <w:tr w14:paraId="4D851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811" w:hRule="atLeast"/>
          <w:jc w:val="center"/>
        </w:trPr>
        <w:tc>
          <w:tcPr>
            <w:tcW w:w="1933" w:type="dxa"/>
            <w:vMerge w:val="continue"/>
            <w:noWrap w:val="0"/>
            <w:tcMar>
              <w:top w:w="0" w:type="dxa"/>
              <w:left w:w="108" w:type="dxa"/>
              <w:bottom w:w="0" w:type="dxa"/>
              <w:right w:w="108" w:type="dxa"/>
            </w:tcMar>
            <w:vAlign w:val="center"/>
          </w:tcPr>
          <w:p w14:paraId="72A4A4C3">
            <w:pPr>
              <w:widowControl/>
              <w:snapToGrid w:val="0"/>
              <w:spacing w:line="360" w:lineRule="auto"/>
              <w:ind w:right="-108"/>
              <w:jc w:val="center"/>
              <w:rPr>
                <w:rFonts w:hint="eastAsia" w:ascii="仿宋" w:hAnsi="仿宋" w:eastAsia="仿宋" w:cs="仿宋"/>
                <w:color w:val="auto"/>
                <w:sz w:val="24"/>
                <w:szCs w:val="24"/>
                <w:highlight w:val="none"/>
              </w:rPr>
            </w:pPr>
          </w:p>
        </w:tc>
        <w:tc>
          <w:tcPr>
            <w:tcW w:w="2700" w:type="dxa"/>
            <w:noWrap w:val="0"/>
            <w:tcMar>
              <w:top w:w="0" w:type="dxa"/>
              <w:left w:w="108" w:type="dxa"/>
              <w:bottom w:w="0" w:type="dxa"/>
              <w:right w:w="108" w:type="dxa"/>
            </w:tcMar>
            <w:vAlign w:val="center"/>
          </w:tcPr>
          <w:p w14:paraId="087D30E4">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注册证号</w:t>
            </w:r>
          </w:p>
        </w:tc>
        <w:tc>
          <w:tcPr>
            <w:tcW w:w="4334" w:type="dxa"/>
            <w:gridSpan w:val="2"/>
            <w:noWrap w:val="0"/>
            <w:tcMar>
              <w:top w:w="0" w:type="dxa"/>
              <w:left w:w="108" w:type="dxa"/>
              <w:bottom w:w="0" w:type="dxa"/>
              <w:right w:w="108" w:type="dxa"/>
            </w:tcMar>
            <w:vAlign w:val="center"/>
          </w:tcPr>
          <w:p w14:paraId="1563741C">
            <w:pPr>
              <w:widowControl/>
              <w:snapToGrid w:val="0"/>
              <w:spacing w:line="360" w:lineRule="auto"/>
              <w:ind w:right="-108"/>
              <w:jc w:val="center"/>
              <w:rPr>
                <w:rFonts w:hint="eastAsia" w:ascii="仿宋" w:hAnsi="仿宋" w:eastAsia="仿宋" w:cs="仿宋"/>
                <w:color w:val="auto"/>
                <w:sz w:val="24"/>
                <w:szCs w:val="24"/>
                <w:highlight w:val="none"/>
              </w:rPr>
            </w:pPr>
          </w:p>
        </w:tc>
      </w:tr>
      <w:tr w14:paraId="00841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1680" w:hRule="atLeast"/>
          <w:jc w:val="center"/>
        </w:trPr>
        <w:tc>
          <w:tcPr>
            <w:tcW w:w="1933" w:type="dxa"/>
            <w:noWrap w:val="0"/>
            <w:tcMar>
              <w:top w:w="0" w:type="dxa"/>
              <w:left w:w="108" w:type="dxa"/>
              <w:bottom w:w="0" w:type="dxa"/>
              <w:right w:w="108" w:type="dxa"/>
            </w:tcMar>
            <w:vAlign w:val="center"/>
          </w:tcPr>
          <w:p w14:paraId="241206C7">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投标人法定</w:t>
            </w:r>
          </w:p>
          <w:p w14:paraId="0C2F4D8D">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代表人</w:t>
            </w:r>
          </w:p>
          <w:p w14:paraId="2526AE0A">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（签名或盖章）</w:t>
            </w:r>
          </w:p>
        </w:tc>
        <w:tc>
          <w:tcPr>
            <w:tcW w:w="2700" w:type="dxa"/>
            <w:noWrap w:val="0"/>
            <w:tcMar>
              <w:top w:w="0" w:type="dxa"/>
              <w:left w:w="108" w:type="dxa"/>
              <w:bottom w:w="0" w:type="dxa"/>
              <w:right w:w="108" w:type="dxa"/>
            </w:tcMar>
            <w:vAlign w:val="center"/>
          </w:tcPr>
          <w:p w14:paraId="3902D955">
            <w:pPr>
              <w:widowControl/>
              <w:snapToGrid w:val="0"/>
              <w:spacing w:line="360" w:lineRule="auto"/>
              <w:ind w:right="-108"/>
              <w:jc w:val="center"/>
              <w:rPr>
                <w:rFonts w:hint="eastAsia" w:ascii="仿宋" w:hAnsi="仿宋" w:eastAsia="仿宋" w:cs="仿宋"/>
                <w:color w:val="auto"/>
                <w:sz w:val="24"/>
                <w:szCs w:val="24"/>
                <w:highlight w:val="none"/>
              </w:rPr>
            </w:pPr>
          </w:p>
        </w:tc>
        <w:tc>
          <w:tcPr>
            <w:tcW w:w="1932" w:type="dxa"/>
            <w:noWrap w:val="0"/>
            <w:tcMar>
              <w:top w:w="0" w:type="dxa"/>
              <w:left w:w="108" w:type="dxa"/>
              <w:bottom w:w="0" w:type="dxa"/>
              <w:right w:w="108" w:type="dxa"/>
            </w:tcMar>
            <w:vAlign w:val="center"/>
          </w:tcPr>
          <w:p w14:paraId="2D1176DC">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本项目的授权</w:t>
            </w:r>
          </w:p>
          <w:p w14:paraId="0B2FF77F">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委托代理人</w:t>
            </w:r>
          </w:p>
          <w:p w14:paraId="2CB6FD26">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（签名或盖章）</w:t>
            </w:r>
          </w:p>
        </w:tc>
        <w:tc>
          <w:tcPr>
            <w:tcW w:w="2402" w:type="dxa"/>
            <w:noWrap w:val="0"/>
            <w:tcMar>
              <w:top w:w="0" w:type="dxa"/>
              <w:left w:w="108" w:type="dxa"/>
              <w:bottom w:w="0" w:type="dxa"/>
              <w:right w:w="108" w:type="dxa"/>
            </w:tcMar>
            <w:vAlign w:val="center"/>
          </w:tcPr>
          <w:p w14:paraId="743A4C6A">
            <w:pPr>
              <w:widowControl/>
              <w:snapToGrid w:val="0"/>
              <w:spacing w:line="360" w:lineRule="auto"/>
              <w:ind w:right="-108"/>
              <w:jc w:val="center"/>
              <w:rPr>
                <w:rFonts w:hint="eastAsia" w:ascii="仿宋" w:hAnsi="仿宋" w:eastAsia="仿宋" w:cs="仿宋"/>
                <w:color w:val="auto"/>
                <w:sz w:val="24"/>
                <w:szCs w:val="24"/>
                <w:highlight w:val="none"/>
              </w:rPr>
            </w:pPr>
          </w:p>
        </w:tc>
      </w:tr>
    </w:tbl>
    <w:p w14:paraId="1CA50DCF">
      <w:pPr>
        <w:pStyle w:val="9"/>
        <w:spacing w:line="360" w:lineRule="auto"/>
        <w:ind w:firstLine="210" w:firstLineChars="100"/>
        <w:rPr>
          <w:rFonts w:hint="default" w:hAnsi="宋体" w:cs="宋体"/>
          <w:bCs/>
          <w:color w:val="auto"/>
          <w:highlight w:val="none"/>
        </w:rPr>
      </w:pPr>
      <w:r>
        <w:rPr>
          <w:rFonts w:hAnsi="宋体" w:cs="宋体"/>
          <w:bCs/>
          <w:color w:val="auto"/>
          <w:highlight w:val="none"/>
        </w:rPr>
        <w:t>注：</w:t>
      </w:r>
    </w:p>
    <w:p w14:paraId="3AE9CD85">
      <w:pPr>
        <w:pStyle w:val="9"/>
        <w:spacing w:line="360" w:lineRule="auto"/>
        <w:rPr>
          <w:rFonts w:hint="default" w:hAnsi="宋体" w:cs="宋体"/>
          <w:bCs/>
          <w:color w:val="auto"/>
          <w:highlight w:val="none"/>
        </w:rPr>
      </w:pPr>
      <w:r>
        <w:rPr>
          <w:rFonts w:hAnsi="宋体" w:cs="宋体"/>
          <w:bCs/>
          <w:color w:val="auto"/>
          <w:highlight w:val="none"/>
        </w:rPr>
        <w:t>（1）投标总报价的大写金额和小写金额不一致的，以大写金额为准，投标报价精确到小数点后两位</w:t>
      </w:r>
      <w:r>
        <w:rPr>
          <w:rFonts w:hint="eastAsia" w:hAnsi="宋体" w:cs="宋体"/>
          <w:bCs/>
          <w:color w:val="auto"/>
          <w:highlight w:val="none"/>
          <w:lang w:eastAsia="zh-CN"/>
        </w:rPr>
        <w:t>（四舍五入）</w:t>
      </w:r>
      <w:r>
        <w:rPr>
          <w:rFonts w:hAnsi="宋体" w:cs="宋体"/>
          <w:bCs/>
          <w:color w:val="auto"/>
          <w:highlight w:val="none"/>
        </w:rPr>
        <w:t>。</w:t>
      </w:r>
    </w:p>
    <w:p w14:paraId="3CB07A29">
      <w:pPr>
        <w:spacing w:line="360" w:lineRule="auto"/>
        <w:rPr>
          <w:rFonts w:hAnsi="宋体"/>
          <w:b/>
          <w:color w:val="auto"/>
          <w:highlight w:val="none"/>
        </w:rPr>
      </w:pPr>
      <w:r>
        <w:rPr>
          <w:rFonts w:hint="eastAsia" w:ascii="宋体" w:hAnsi="宋体" w:eastAsia="宋体" w:cs="宋体"/>
          <w:bCs/>
          <w:color w:val="auto"/>
          <w:szCs w:val="21"/>
          <w:highlight w:val="none"/>
        </w:rPr>
        <w:t>（2）</w:t>
      </w:r>
      <w:r>
        <w:rPr>
          <w:rFonts w:hint="eastAsia" w:ascii="宋体" w:hAnsi="宋体" w:eastAsia="宋体" w:cs="宋体"/>
          <w:bCs/>
          <w:color w:val="auto"/>
          <w:kern w:val="2"/>
          <w:sz w:val="21"/>
          <w:szCs w:val="21"/>
          <w:highlight w:val="none"/>
          <w:u w:val="none"/>
        </w:rPr>
        <w:t>投标</w:t>
      </w:r>
      <w:r>
        <w:rPr>
          <w:rFonts w:hint="eastAsia" w:ascii="宋体" w:hAnsi="宋体" w:eastAsia="宋体" w:cs="宋体"/>
          <w:bCs/>
          <w:color w:val="auto"/>
          <w:kern w:val="2"/>
          <w:sz w:val="21"/>
          <w:szCs w:val="21"/>
          <w:highlight w:val="none"/>
          <w:u w:val="none"/>
          <w:lang w:eastAsia="zh-CN"/>
        </w:rPr>
        <w:t>报价不得高于招标控制价，否则</w:t>
      </w:r>
      <w:r>
        <w:rPr>
          <w:rFonts w:hint="eastAsia" w:ascii="宋体" w:hAnsi="宋体" w:eastAsia="宋体" w:cs="宋体"/>
          <w:bCs/>
          <w:color w:val="auto"/>
          <w:kern w:val="2"/>
          <w:sz w:val="21"/>
          <w:szCs w:val="21"/>
          <w:highlight w:val="none"/>
          <w:u w:val="none"/>
        </w:rPr>
        <w:t>按废标处理。</w:t>
      </w:r>
      <w:r>
        <w:rPr>
          <w:rFonts w:hint="eastAsia" w:ascii="宋体" w:hAnsi="宋体" w:eastAsia="宋体" w:cs="宋体"/>
          <w:bCs/>
          <w:color w:val="auto"/>
          <w:kern w:val="2"/>
          <w:sz w:val="21"/>
          <w:szCs w:val="21"/>
          <w:highlight w:val="none"/>
          <w:lang w:val="en-US" w:eastAsia="zh-CN"/>
        </w:rPr>
        <w:t>监理投标下浮率=1-（监理报价/监理收费基准价</w:t>
      </w:r>
      <w:r>
        <w:rPr>
          <w:rFonts w:hint="eastAsia" w:ascii="宋体" w:hAnsi="宋体" w:eastAsia="宋体" w:cs="宋体"/>
          <w:bCs/>
          <w:color w:val="auto"/>
          <w:sz w:val="21"/>
          <w:szCs w:val="21"/>
          <w:highlight w:val="none"/>
          <w:lang w:eastAsia="zh-CN"/>
        </w:rPr>
        <w:t>1167027.98</w:t>
      </w:r>
      <w:r>
        <w:rPr>
          <w:rFonts w:hint="eastAsia" w:ascii="宋体" w:hAnsi="宋体" w:eastAsia="宋体" w:cs="宋体"/>
          <w:bCs/>
          <w:color w:val="auto"/>
          <w:sz w:val="21"/>
          <w:szCs w:val="21"/>
          <w:highlight w:val="none"/>
          <w:u w:val="none"/>
          <w:lang w:val="en-US" w:eastAsia="zh-CN"/>
        </w:rPr>
        <w:t>元</w:t>
      </w:r>
      <w:r>
        <w:rPr>
          <w:rFonts w:hint="eastAsia" w:ascii="宋体" w:hAnsi="宋体" w:eastAsia="宋体" w:cs="宋体"/>
          <w:bCs/>
          <w:color w:val="auto"/>
          <w:kern w:val="2"/>
          <w:sz w:val="21"/>
          <w:szCs w:val="21"/>
          <w:highlight w:val="none"/>
          <w:lang w:val="en-US" w:eastAsia="zh-CN"/>
        </w:rPr>
        <w:t>）*100%。</w:t>
      </w:r>
    </w:p>
    <w:p w14:paraId="760F1E94">
      <w:pPr>
        <w:jc w:val="left"/>
        <w:rPr>
          <w:rFonts w:hint="eastAsia"/>
          <w:b/>
          <w:color w:val="auto"/>
          <w:sz w:val="24"/>
          <w:highlight w:val="none"/>
        </w:rPr>
      </w:pPr>
      <w:r>
        <w:rPr>
          <w:rFonts w:hint="eastAsia"/>
          <w:b/>
          <w:color w:val="auto"/>
          <w:sz w:val="24"/>
          <w:highlight w:val="none"/>
        </w:rPr>
        <w:br w:type="page"/>
      </w:r>
    </w:p>
    <w:p w14:paraId="78ACD7F5">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14:paraId="6B49AB8C">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14:paraId="001C040A">
      <w:pPr>
        <w:jc w:val="center"/>
        <w:rPr>
          <w:rFonts w:ascii="宋体"/>
          <w:b/>
          <w:color w:val="auto"/>
          <w:sz w:val="32"/>
          <w:szCs w:val="32"/>
          <w:highlight w:val="none"/>
        </w:rPr>
      </w:pPr>
    </w:p>
    <w:p w14:paraId="31AB67D4">
      <w:pPr>
        <w:jc w:val="center"/>
        <w:rPr>
          <w:rFonts w:ascii="宋体"/>
          <w:b/>
          <w:color w:val="auto"/>
          <w:sz w:val="32"/>
          <w:szCs w:val="32"/>
          <w:highlight w:val="none"/>
        </w:rPr>
      </w:pPr>
    </w:p>
    <w:p w14:paraId="7BAA119B">
      <w:pPr>
        <w:jc w:val="center"/>
        <w:rPr>
          <w:rFonts w:ascii="宋体"/>
          <w:b/>
          <w:color w:val="auto"/>
          <w:sz w:val="32"/>
          <w:szCs w:val="32"/>
          <w:highlight w:val="none"/>
        </w:rPr>
      </w:pPr>
    </w:p>
    <w:p w14:paraId="4301F6BE">
      <w:pPr>
        <w:jc w:val="center"/>
        <w:rPr>
          <w:rFonts w:ascii="宋体"/>
          <w:b/>
          <w:color w:val="auto"/>
          <w:sz w:val="32"/>
          <w:szCs w:val="32"/>
          <w:highlight w:val="none"/>
        </w:rPr>
      </w:pPr>
    </w:p>
    <w:p w14:paraId="5B55C972">
      <w:pPr>
        <w:jc w:val="center"/>
        <w:rPr>
          <w:b/>
          <w:color w:val="auto"/>
          <w:sz w:val="44"/>
          <w:szCs w:val="44"/>
          <w:highlight w:val="none"/>
        </w:rPr>
      </w:pPr>
      <w:r>
        <w:rPr>
          <w:rFonts w:hint="eastAsia" w:ascii="宋体" w:hAnsi="宋体"/>
          <w:b/>
          <w:color w:val="auto"/>
          <w:sz w:val="44"/>
          <w:szCs w:val="44"/>
          <w:highlight w:val="none"/>
        </w:rPr>
        <w:t>项目名称</w:t>
      </w:r>
    </w:p>
    <w:p w14:paraId="79B9C9CE">
      <w:pPr>
        <w:jc w:val="center"/>
        <w:rPr>
          <w:b/>
          <w:color w:val="auto"/>
          <w:sz w:val="48"/>
          <w:szCs w:val="48"/>
          <w:highlight w:val="none"/>
        </w:rPr>
      </w:pPr>
    </w:p>
    <w:p w14:paraId="626EBA54">
      <w:pPr>
        <w:rPr>
          <w:rFonts w:eastAsia="黑体"/>
          <w:color w:val="auto"/>
          <w:sz w:val="20"/>
          <w:szCs w:val="20"/>
          <w:highlight w:val="none"/>
        </w:rPr>
      </w:pPr>
    </w:p>
    <w:p w14:paraId="0EED5BBE">
      <w:pPr>
        <w:rPr>
          <w:rFonts w:eastAsia="黑体"/>
          <w:color w:val="auto"/>
          <w:sz w:val="20"/>
          <w:szCs w:val="20"/>
          <w:highlight w:val="none"/>
        </w:rPr>
      </w:pPr>
    </w:p>
    <w:p w14:paraId="65C06981">
      <w:pPr>
        <w:rPr>
          <w:rFonts w:eastAsia="黑体"/>
          <w:color w:val="auto"/>
          <w:sz w:val="20"/>
          <w:szCs w:val="20"/>
          <w:highlight w:val="none"/>
        </w:rPr>
      </w:pPr>
    </w:p>
    <w:p w14:paraId="42E40C1A">
      <w:pPr>
        <w:rPr>
          <w:rFonts w:eastAsia="黑体"/>
          <w:color w:val="auto"/>
          <w:sz w:val="20"/>
          <w:szCs w:val="20"/>
          <w:highlight w:val="none"/>
        </w:rPr>
      </w:pPr>
    </w:p>
    <w:p w14:paraId="38E1A6D5">
      <w:pPr>
        <w:jc w:val="center"/>
        <w:rPr>
          <w:rFonts w:eastAsia="黑体"/>
          <w:color w:val="auto"/>
          <w:sz w:val="28"/>
          <w:szCs w:val="28"/>
          <w:highlight w:val="none"/>
        </w:rPr>
      </w:pPr>
      <w:r>
        <w:rPr>
          <w:rFonts w:hint="eastAsia" w:eastAsia="黑体"/>
          <w:color w:val="auto"/>
          <w:sz w:val="52"/>
          <w:szCs w:val="52"/>
          <w:highlight w:val="none"/>
        </w:rPr>
        <w:t>商务文件</w:t>
      </w:r>
    </w:p>
    <w:p w14:paraId="2D7D9666">
      <w:pPr>
        <w:rPr>
          <w:rFonts w:eastAsia="黑体"/>
          <w:color w:val="auto"/>
          <w:sz w:val="28"/>
          <w:szCs w:val="28"/>
          <w:highlight w:val="none"/>
        </w:rPr>
      </w:pPr>
    </w:p>
    <w:p w14:paraId="784DD6C2">
      <w:pPr>
        <w:rPr>
          <w:rFonts w:eastAsia="黑体"/>
          <w:color w:val="auto"/>
          <w:sz w:val="28"/>
          <w:szCs w:val="28"/>
          <w:highlight w:val="none"/>
        </w:rPr>
      </w:pPr>
    </w:p>
    <w:p w14:paraId="4AFCAEB3">
      <w:pPr>
        <w:rPr>
          <w:rFonts w:eastAsia="黑体"/>
          <w:color w:val="auto"/>
          <w:sz w:val="28"/>
          <w:szCs w:val="28"/>
          <w:highlight w:val="none"/>
        </w:rPr>
      </w:pPr>
    </w:p>
    <w:p w14:paraId="01C1A1FD">
      <w:pPr>
        <w:rPr>
          <w:rFonts w:eastAsia="黑体"/>
          <w:color w:val="auto"/>
          <w:sz w:val="28"/>
          <w:szCs w:val="28"/>
          <w:highlight w:val="none"/>
        </w:rPr>
      </w:pPr>
    </w:p>
    <w:p w14:paraId="0AFE0B56">
      <w:pPr>
        <w:spacing w:line="720" w:lineRule="auto"/>
        <w:rPr>
          <w:rFonts w:eastAsia="黑体"/>
          <w:color w:val="auto"/>
          <w:sz w:val="28"/>
          <w:szCs w:val="28"/>
          <w:highlight w:val="none"/>
        </w:rPr>
      </w:pPr>
    </w:p>
    <w:p w14:paraId="25EF6D40">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14:paraId="089DC106">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14:paraId="36635285">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14:paraId="5C0CC159">
      <w:pPr>
        <w:widowControl/>
        <w:jc w:val="left"/>
        <w:rPr>
          <w:b/>
          <w:color w:val="auto"/>
          <w:sz w:val="24"/>
          <w:highlight w:val="none"/>
        </w:rPr>
      </w:pPr>
      <w:r>
        <w:rPr>
          <w:b/>
          <w:color w:val="auto"/>
          <w:sz w:val="24"/>
          <w:highlight w:val="none"/>
        </w:rPr>
        <w:br w:type="page"/>
      </w:r>
    </w:p>
    <w:p w14:paraId="5A2DEB02">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14:paraId="7A21CC44">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14:paraId="5066D839">
      <w:pPr>
        <w:jc w:val="center"/>
        <w:rPr>
          <w:rFonts w:ascii="宋体"/>
          <w:b/>
          <w:color w:val="auto"/>
          <w:sz w:val="32"/>
          <w:szCs w:val="32"/>
          <w:highlight w:val="none"/>
        </w:rPr>
      </w:pPr>
    </w:p>
    <w:p w14:paraId="4461598F">
      <w:pPr>
        <w:jc w:val="center"/>
        <w:rPr>
          <w:rFonts w:ascii="宋体"/>
          <w:b/>
          <w:color w:val="auto"/>
          <w:sz w:val="32"/>
          <w:szCs w:val="32"/>
          <w:highlight w:val="none"/>
        </w:rPr>
      </w:pPr>
    </w:p>
    <w:p w14:paraId="092B8138">
      <w:pPr>
        <w:jc w:val="center"/>
        <w:rPr>
          <w:rFonts w:ascii="宋体"/>
          <w:b/>
          <w:color w:val="auto"/>
          <w:sz w:val="32"/>
          <w:szCs w:val="32"/>
          <w:highlight w:val="none"/>
        </w:rPr>
      </w:pPr>
    </w:p>
    <w:p w14:paraId="1AA4C0E7">
      <w:pPr>
        <w:jc w:val="center"/>
        <w:rPr>
          <w:rFonts w:ascii="宋体"/>
          <w:b/>
          <w:color w:val="auto"/>
          <w:sz w:val="32"/>
          <w:szCs w:val="32"/>
          <w:highlight w:val="none"/>
        </w:rPr>
      </w:pPr>
    </w:p>
    <w:p w14:paraId="3F8405F4">
      <w:pPr>
        <w:jc w:val="center"/>
        <w:rPr>
          <w:b/>
          <w:color w:val="auto"/>
          <w:sz w:val="44"/>
          <w:szCs w:val="44"/>
          <w:highlight w:val="none"/>
        </w:rPr>
      </w:pPr>
      <w:r>
        <w:rPr>
          <w:rFonts w:hint="eastAsia" w:ascii="宋体" w:hAnsi="宋体"/>
          <w:b/>
          <w:color w:val="auto"/>
          <w:sz w:val="44"/>
          <w:szCs w:val="44"/>
          <w:highlight w:val="none"/>
        </w:rPr>
        <w:t>项目名称</w:t>
      </w:r>
    </w:p>
    <w:p w14:paraId="367671FE">
      <w:pPr>
        <w:jc w:val="center"/>
        <w:rPr>
          <w:b/>
          <w:color w:val="auto"/>
          <w:sz w:val="48"/>
          <w:szCs w:val="48"/>
          <w:highlight w:val="none"/>
        </w:rPr>
      </w:pPr>
    </w:p>
    <w:p w14:paraId="75E8D0FB">
      <w:pPr>
        <w:rPr>
          <w:rFonts w:eastAsia="黑体"/>
          <w:color w:val="auto"/>
          <w:sz w:val="20"/>
          <w:szCs w:val="20"/>
          <w:highlight w:val="none"/>
        </w:rPr>
      </w:pPr>
    </w:p>
    <w:p w14:paraId="0C6F7F8A">
      <w:pPr>
        <w:rPr>
          <w:rFonts w:eastAsia="黑体"/>
          <w:color w:val="auto"/>
          <w:sz w:val="20"/>
          <w:szCs w:val="20"/>
          <w:highlight w:val="none"/>
        </w:rPr>
      </w:pPr>
    </w:p>
    <w:p w14:paraId="6260F76C">
      <w:pPr>
        <w:rPr>
          <w:rFonts w:eastAsia="黑体"/>
          <w:color w:val="auto"/>
          <w:sz w:val="20"/>
          <w:szCs w:val="20"/>
          <w:highlight w:val="none"/>
        </w:rPr>
      </w:pPr>
    </w:p>
    <w:p w14:paraId="10896B23">
      <w:pPr>
        <w:rPr>
          <w:rFonts w:eastAsia="黑体"/>
          <w:color w:val="auto"/>
          <w:sz w:val="20"/>
          <w:szCs w:val="20"/>
          <w:highlight w:val="none"/>
        </w:rPr>
      </w:pPr>
    </w:p>
    <w:p w14:paraId="22B53DCD">
      <w:pPr>
        <w:jc w:val="center"/>
        <w:rPr>
          <w:rFonts w:eastAsia="黑体"/>
          <w:color w:val="auto"/>
          <w:sz w:val="52"/>
          <w:szCs w:val="52"/>
          <w:highlight w:val="none"/>
        </w:rPr>
      </w:pPr>
      <w:r>
        <w:rPr>
          <w:rFonts w:hint="eastAsia" w:eastAsia="黑体"/>
          <w:color w:val="auto"/>
          <w:sz w:val="52"/>
          <w:szCs w:val="52"/>
          <w:highlight w:val="none"/>
        </w:rPr>
        <w:t>技术文件</w:t>
      </w:r>
    </w:p>
    <w:p w14:paraId="7540F59E">
      <w:pPr>
        <w:spacing w:line="720" w:lineRule="auto"/>
        <w:rPr>
          <w:rFonts w:eastAsia="黑体"/>
          <w:color w:val="auto"/>
          <w:sz w:val="28"/>
          <w:szCs w:val="28"/>
          <w:highlight w:val="none"/>
        </w:rPr>
      </w:pPr>
    </w:p>
    <w:p w14:paraId="1F8677C2">
      <w:pPr>
        <w:spacing w:line="720" w:lineRule="auto"/>
        <w:rPr>
          <w:rFonts w:eastAsia="黑体"/>
          <w:color w:val="auto"/>
          <w:sz w:val="28"/>
          <w:szCs w:val="28"/>
          <w:highlight w:val="none"/>
        </w:rPr>
      </w:pPr>
    </w:p>
    <w:p w14:paraId="120ACF5D">
      <w:pPr>
        <w:spacing w:line="720" w:lineRule="auto"/>
        <w:rPr>
          <w:rFonts w:eastAsia="黑体"/>
          <w:color w:val="auto"/>
          <w:sz w:val="28"/>
          <w:szCs w:val="28"/>
          <w:highlight w:val="none"/>
        </w:rPr>
      </w:pPr>
    </w:p>
    <w:p w14:paraId="73B71C3F">
      <w:pPr>
        <w:spacing w:line="720" w:lineRule="auto"/>
        <w:rPr>
          <w:rFonts w:eastAsia="黑体"/>
          <w:color w:val="auto"/>
          <w:sz w:val="28"/>
          <w:szCs w:val="28"/>
          <w:highlight w:val="none"/>
          <w:u w:val="single"/>
        </w:rPr>
      </w:pPr>
      <w:r>
        <w:rPr>
          <w:rFonts w:hint="eastAsia" w:eastAsia="黑体"/>
          <w:color w:val="auto"/>
          <w:sz w:val="28"/>
          <w:szCs w:val="28"/>
          <w:highlight w:val="none"/>
        </w:rPr>
        <w:t>投标人：（盖单位章）</w:t>
      </w:r>
    </w:p>
    <w:p w14:paraId="2445EDDC">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14:paraId="012A6A56">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14:paraId="261A4C59">
      <w:pPr>
        <w:pStyle w:val="9"/>
        <w:rPr>
          <w:rFonts w:hint="default"/>
          <w:color w:val="auto"/>
          <w:highlight w:val="none"/>
        </w:rPr>
      </w:pPr>
    </w:p>
    <w:p w14:paraId="5510D390">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1075755D">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3700CE64">
      <w:pPr>
        <w:pStyle w:val="2"/>
        <w:widowControl/>
        <w:spacing w:before="0" w:after="0" w:line="360" w:lineRule="auto"/>
        <w:jc w:val="center"/>
        <w:rPr>
          <w:rFonts w:ascii="黑体" w:hAnsi="宋体" w:cs="黑体"/>
          <w:b/>
          <w:color w:val="auto"/>
          <w:kern w:val="44"/>
          <w:sz w:val="44"/>
          <w:szCs w:val="44"/>
          <w:highlight w:val="none"/>
        </w:rPr>
      </w:pPr>
      <w:bookmarkStart w:id="45" w:name="_Toc374128477"/>
      <w:bookmarkEnd w:id="45"/>
    </w:p>
    <w:p w14:paraId="4E8D0CD4">
      <w:pPr>
        <w:pStyle w:val="2"/>
        <w:widowControl/>
        <w:spacing w:before="0" w:after="0" w:line="360" w:lineRule="auto"/>
        <w:jc w:val="center"/>
        <w:rPr>
          <w:rFonts w:ascii="黑体" w:hAnsi="宋体" w:cs="黑体"/>
          <w:b/>
          <w:color w:val="auto"/>
          <w:kern w:val="44"/>
          <w:sz w:val="44"/>
          <w:szCs w:val="44"/>
          <w:highlight w:val="none"/>
        </w:rPr>
      </w:pPr>
    </w:p>
    <w:p w14:paraId="2D3B6E73">
      <w:pPr>
        <w:pStyle w:val="2"/>
        <w:widowControl/>
        <w:spacing w:before="0" w:after="0" w:line="360" w:lineRule="auto"/>
        <w:jc w:val="center"/>
        <w:rPr>
          <w:rFonts w:ascii="黑体" w:hAnsi="宋体" w:cs="黑体"/>
          <w:b/>
          <w:color w:val="auto"/>
          <w:kern w:val="44"/>
          <w:sz w:val="44"/>
          <w:szCs w:val="44"/>
          <w:highlight w:val="none"/>
        </w:rPr>
      </w:pPr>
    </w:p>
    <w:p w14:paraId="08FE7221">
      <w:pPr>
        <w:pStyle w:val="2"/>
        <w:widowControl/>
        <w:spacing w:before="0" w:after="0" w:line="360" w:lineRule="auto"/>
        <w:jc w:val="center"/>
        <w:rPr>
          <w:rFonts w:ascii="黑体" w:hAnsi="宋体" w:cs="黑体"/>
          <w:b/>
          <w:color w:val="auto"/>
          <w:kern w:val="44"/>
          <w:sz w:val="44"/>
          <w:szCs w:val="44"/>
          <w:highlight w:val="none"/>
        </w:rPr>
      </w:pPr>
    </w:p>
    <w:p w14:paraId="3EAB682C">
      <w:pPr>
        <w:pStyle w:val="2"/>
        <w:widowControl/>
        <w:spacing w:before="0" w:after="0" w:line="360" w:lineRule="auto"/>
        <w:jc w:val="center"/>
        <w:rPr>
          <w:rFonts w:ascii="黑体" w:hAnsi="宋体" w:cs="黑体"/>
          <w:b/>
          <w:color w:val="auto"/>
          <w:kern w:val="44"/>
          <w:sz w:val="44"/>
          <w:szCs w:val="44"/>
          <w:highlight w:val="none"/>
        </w:rPr>
      </w:pPr>
      <w:bookmarkStart w:id="46" w:name="_Toc1265"/>
      <w:bookmarkStart w:id="47" w:name="_Toc14259"/>
      <w:r>
        <w:rPr>
          <w:rFonts w:hint="eastAsia" w:ascii="黑体" w:hAnsi="宋体" w:cs="黑体"/>
          <w:b/>
          <w:color w:val="auto"/>
          <w:kern w:val="44"/>
          <w:sz w:val="44"/>
          <w:szCs w:val="44"/>
          <w:highlight w:val="none"/>
        </w:rPr>
        <w:t>第3章 评标办法</w:t>
      </w:r>
      <w:bookmarkEnd w:id="46"/>
      <w:bookmarkEnd w:id="47"/>
    </w:p>
    <w:p w14:paraId="2067071F">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14:paraId="45B53DD1">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14:paraId="728D54FC">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14:paraId="31DF7110">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1.1本项目采取邀请招标选择单位，为保证招标“公开、公平、公正”，根据国家有关工程建设招标投标的法律、法规和方针、政策，制定本评标细则，实行评标的规范化、标准化、科学化。</w:t>
      </w:r>
    </w:p>
    <w:p w14:paraId="2F729967">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14:paraId="538E90AE">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14:paraId="5DF2E5EE">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14:paraId="296643DE">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14:paraId="20FDE49A">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14:paraId="082EA6FD">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14:paraId="4341FE0A">
      <w:pPr>
        <w:spacing w:line="500" w:lineRule="exact"/>
        <w:ind w:firstLine="560" w:firstLineChars="20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2.3《中华人民共和国招标投标法实施条例》</w:t>
      </w:r>
      <w:r>
        <w:rPr>
          <w:rFonts w:hint="eastAsia" w:ascii="仿宋" w:hAnsi="仿宋" w:eastAsia="仿宋" w:cs="仿宋"/>
          <w:color w:val="auto"/>
          <w:sz w:val="28"/>
          <w:szCs w:val="28"/>
          <w:highlight w:val="none"/>
          <w:lang w:eastAsia="zh-CN"/>
        </w:rPr>
        <w:t>；</w:t>
      </w:r>
    </w:p>
    <w:p w14:paraId="3B46218D">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14:paraId="522A4879">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14:paraId="5CEFBD96">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14:paraId="227889F6">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14:paraId="18FDC540">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14:paraId="616600AE">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14:paraId="0C03AE7E">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14:paraId="09FF84FA">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资产集团公司</w:t>
      </w:r>
      <w:r>
        <w:rPr>
          <w:rFonts w:hint="eastAsia" w:ascii="仿宋" w:hAnsi="仿宋" w:eastAsia="仿宋" w:cs="仿宋"/>
          <w:color w:val="auto"/>
          <w:sz w:val="28"/>
          <w:szCs w:val="28"/>
          <w:highlight w:val="none"/>
        </w:rPr>
        <w:t>备案；情节严重，构成犯罪的，由司法机关依法追究其刑事责任。</w:t>
      </w:r>
    </w:p>
    <w:p w14:paraId="4DD450BB">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14:paraId="672AC9DF">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14:paraId="0951B32C">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14:paraId="4096919D">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14:paraId="30575000">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14:paraId="0C984A6B">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14:paraId="097C6E55">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14:paraId="4B3DD31B">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14:paraId="2FF99B33">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14:paraId="407D9713">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14:paraId="10348DB8">
      <w:pPr>
        <w:pStyle w:val="9"/>
        <w:widowControl/>
        <w:spacing w:line="500" w:lineRule="exact"/>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5.1评标小组</w:t>
      </w:r>
    </w:p>
    <w:p w14:paraId="1A096151">
      <w:pPr>
        <w:pStyle w:val="9"/>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14:paraId="7C0DB9D0">
      <w:pPr>
        <w:pStyle w:val="9"/>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14:paraId="70BD8827">
      <w:pPr>
        <w:pStyle w:val="9"/>
        <w:widowControl/>
        <w:spacing w:line="500" w:lineRule="exac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 </w:t>
      </w:r>
    </w:p>
    <w:p w14:paraId="14A40AEA">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14:paraId="265A9F85">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14:paraId="76A5BF6A">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14:paraId="2CAB04F5">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14:paraId="0B329A3F">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14:paraId="75F1309B">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14:paraId="6A8F3559">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14:paraId="06946DFC">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 采用</w:t>
      </w:r>
      <w:r>
        <w:rPr>
          <w:rFonts w:hint="eastAsia" w:ascii="仿宋" w:hAnsi="仿宋" w:eastAsia="仿宋" w:cs="仿宋"/>
          <w:b/>
          <w:color w:val="auto"/>
          <w:sz w:val="28"/>
          <w:szCs w:val="28"/>
          <w:highlight w:val="none"/>
          <w:u w:val="single"/>
        </w:rPr>
        <w:t>综合评分法评标</w:t>
      </w:r>
    </w:p>
    <w:p w14:paraId="72B09B31">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14:paraId="3F59B03E">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14:paraId="44582ADD">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14:paraId="1434AF94">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14:paraId="23D1A483">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14:paraId="7D7CE074">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14:paraId="1F622CF2">
      <w:pPr>
        <w:snapToGrid w:val="0"/>
        <w:spacing w:line="500" w:lineRule="exact"/>
        <w:ind w:left="779" w:leftChars="170" w:hanging="422" w:hangingChars="151"/>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 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14:paraId="5E08DF8E">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(b) 评标小组专家计算各投标人的综合得分.</w:t>
      </w:r>
    </w:p>
    <w:p w14:paraId="2694C314">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(c) 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14:paraId="0109D230">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14:paraId="2C5C7D60">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14:paraId="1934B9E0">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14:paraId="428E9FF3">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□（a）招标人委托评标小组直接确定中标人；</w:t>
      </w:r>
    </w:p>
    <w:p w14:paraId="44F73E30">
      <w:pPr>
        <w:spacing w:line="500" w:lineRule="exact"/>
        <w:ind w:left="961" w:hanging="961" w:hangingChars="342"/>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color w:val="auto"/>
          <w:sz w:val="28"/>
          <w:szCs w:val="28"/>
          <w:highlight w:val="none"/>
        </w:rPr>
        <w:t>（b）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如排名第二的中标候选人也发生上述问题，则确定排名第三的中标候选人为中标人。</w:t>
      </w:r>
    </w:p>
    <w:p w14:paraId="7E79A578">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14:paraId="55BC312C">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14:paraId="43C43941">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14:paraId="1D1538A5">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14:paraId="1A63A40E">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14:paraId="4F3175C4">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14:paraId="74590665">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14:paraId="4DEF0E61">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14:paraId="64023EFB">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由招标人或其推选的代表检查投标文件的密封情况，也可以由招标人委托的公证机构检查并公证；</w:t>
      </w:r>
    </w:p>
    <w:p w14:paraId="7202F9D3">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14:paraId="54600F34">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w:t>
      </w:r>
      <w:r>
        <w:rPr>
          <w:rFonts w:hint="eastAsia" w:ascii="仿宋" w:hAnsi="仿宋" w:eastAsia="仿宋" w:cs="仿宋"/>
          <w:color w:val="auto"/>
          <w:sz w:val="28"/>
          <w:szCs w:val="28"/>
          <w:highlight w:val="none"/>
          <w:lang w:eastAsia="zh-CN"/>
        </w:rPr>
        <w:t>总监理工程师</w:t>
      </w:r>
      <w:r>
        <w:rPr>
          <w:rFonts w:hint="eastAsia" w:ascii="仿宋" w:hAnsi="仿宋" w:eastAsia="仿宋" w:cs="仿宋"/>
          <w:color w:val="auto"/>
          <w:sz w:val="28"/>
          <w:szCs w:val="28"/>
          <w:highlight w:val="none"/>
        </w:rPr>
        <w:t>名称；e、投标报价等主要内容以及开标记录表中的其他必要内容，并予以记录，记录提交评标小组评审。</w:t>
      </w:r>
    </w:p>
    <w:p w14:paraId="45DB1A80">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14:paraId="03350A66">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14:paraId="14CC665F">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14:paraId="51AE9FAB">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14:paraId="4DED0E9E">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14:paraId="316B76A6">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1）第一步：进行投标文件符合性审查；</w:t>
      </w:r>
    </w:p>
    <w:p w14:paraId="1F894330">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14:paraId="6B6CC707">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2）第二步：专家对综合评分表进行打分；</w:t>
      </w:r>
    </w:p>
    <w:p w14:paraId="7CD618DC">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3）第三步：评标小组完成评标报告，向招标人推荐中标候选人。</w:t>
      </w:r>
    </w:p>
    <w:p w14:paraId="7C25C9D2">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14:paraId="1E231B35">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14:paraId="40FE3E91">
      <w:pPr>
        <w:widowControl/>
        <w:snapToGrid w:val="0"/>
        <w:spacing w:line="500" w:lineRule="exact"/>
        <w:ind w:firstLine="420" w:firstLineChars="15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kern w:val="2"/>
          <w:sz w:val="28"/>
          <w:szCs w:val="28"/>
          <w:highlight w:val="none"/>
          <w:lang w:val="en-US" w:eastAsia="zh-CN" w:bidi="ar"/>
        </w:rPr>
        <w:t>经评审通过符合性审查的投标人不足3名时，招标人应当重新招标”</w:t>
      </w:r>
      <w:r>
        <w:rPr>
          <w:rFonts w:hint="eastAsia" w:ascii="仿宋" w:hAnsi="仿宋" w:eastAsia="仿宋" w:cs="仿宋"/>
          <w:color w:val="auto"/>
          <w:sz w:val="28"/>
          <w:szCs w:val="28"/>
          <w:highlight w:val="none"/>
        </w:rPr>
        <w:t>。</w:t>
      </w:r>
    </w:p>
    <w:p w14:paraId="2CAE405D">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14:paraId="454F251B">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14:paraId="2C1C20F1">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14:paraId="2826D018">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14:paraId="482BE459">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7.5.2如果有两个或两个以上的投标人总得分评分相同，则服务报价得分较高的投标人排名优先；如果总得分、服务报价得分均相同的投标文件，则由评标小组采用摇珠方式，确定中标候选人顺序。</w:t>
      </w:r>
    </w:p>
    <w:p w14:paraId="0D3B9072">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14:paraId="71CA6E6D">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 招标人依据评标报告审定本项目的中标人。</w:t>
      </w:r>
    </w:p>
    <w:p w14:paraId="4D9B3D99">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 虽然经招标人审定为中标人，但在签订合同前的任何时候，招标人、评标专家以及其他人员发现投标人在招标投标过程有弄虚作假行为、虚报资料情况，一经查实，立即取消其中标人资格。</w:t>
      </w:r>
    </w:p>
    <w:p w14:paraId="326BDD8D">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14:paraId="2410B5FC">
      <w:pPr>
        <w:numPr>
          <w:ilvl w:val="0"/>
          <w:numId w:val="3"/>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14:paraId="728291E1">
      <w:pPr>
        <w:numPr>
          <w:ilvl w:val="0"/>
          <w:numId w:val="3"/>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14:paraId="62F22519">
      <w:pPr>
        <w:pStyle w:val="9"/>
        <w:rPr>
          <w:rFonts w:hint="default" w:ascii="仿宋" w:hAnsi="仿宋" w:eastAsia="仿宋" w:cs="仿宋"/>
          <w:color w:val="auto"/>
          <w:sz w:val="28"/>
          <w:szCs w:val="28"/>
          <w:highlight w:val="none"/>
        </w:rPr>
      </w:pPr>
    </w:p>
    <w:p w14:paraId="7ED0006D">
      <w:pPr>
        <w:pStyle w:val="9"/>
        <w:rPr>
          <w:rFonts w:hint="default" w:ascii="仿宋" w:hAnsi="仿宋" w:eastAsia="仿宋" w:cs="仿宋"/>
          <w:color w:val="auto"/>
          <w:sz w:val="28"/>
          <w:szCs w:val="28"/>
          <w:highlight w:val="none"/>
        </w:rPr>
      </w:pPr>
    </w:p>
    <w:p w14:paraId="1E349C07">
      <w:pPr>
        <w:snapToGrid w:val="0"/>
        <w:spacing w:line="360" w:lineRule="auto"/>
        <w:rPr>
          <w:rFonts w:ascii="仿宋" w:hAnsi="仿宋" w:eastAsia="仿宋" w:cs="仿宋"/>
          <w:color w:val="auto"/>
          <w:sz w:val="24"/>
          <w:highlight w:val="none"/>
        </w:rPr>
      </w:pPr>
    </w:p>
    <w:p w14:paraId="1EDCE1C4">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14:paraId="29569815">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附件</w:t>
      </w:r>
    </w:p>
    <w:p w14:paraId="1BC00649">
      <w:pPr>
        <w:pStyle w:val="21"/>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14:paraId="329E31EA">
      <w:pPr>
        <w:pStyle w:val="21"/>
        <w:widowControl/>
        <w:ind w:firstLine="562"/>
        <w:rPr>
          <w:rFonts w:hint="default" w:ascii="仿宋" w:hAnsi="仿宋" w:eastAsia="仿宋" w:cs="仿宋"/>
          <w:b/>
          <w:color w:val="auto"/>
          <w:sz w:val="28"/>
          <w:szCs w:val="28"/>
          <w:highlight w:val="none"/>
          <w:u w:val="single"/>
        </w:rPr>
      </w:pPr>
      <w:bookmarkStart w:id="48" w:name="OLE_LINK3"/>
      <w:bookmarkEnd w:id="48"/>
      <w:r>
        <w:rPr>
          <w:rFonts w:ascii="仿宋" w:hAnsi="仿宋" w:eastAsia="仿宋" w:cs="仿宋"/>
          <w:b/>
          <w:color w:val="auto"/>
          <w:sz w:val="28"/>
          <w:szCs w:val="28"/>
          <w:highlight w:val="none"/>
          <w:u w:val="single"/>
        </w:rPr>
        <w:t>附件2 综合评分表</w:t>
      </w:r>
    </w:p>
    <w:p w14:paraId="40C2467B">
      <w:pPr>
        <w:pStyle w:val="21"/>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14:paraId="1508959F">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49" w:name="_Toc22242"/>
      <w:bookmarkStart w:id="50" w:name="_Toc14580"/>
      <w:r>
        <w:rPr>
          <w:rFonts w:hint="eastAsia" w:ascii="仿宋" w:hAnsi="仿宋" w:eastAsia="仿宋" w:cs="仿宋"/>
          <w:color w:val="auto"/>
          <w:sz w:val="28"/>
          <w:szCs w:val="28"/>
          <w:highlight w:val="none"/>
        </w:rPr>
        <w:t>附件1：符合性审查表</w:t>
      </w:r>
      <w:bookmarkEnd w:id="49"/>
      <w:bookmarkEnd w:id="50"/>
      <w:r>
        <w:rPr>
          <w:rFonts w:hint="eastAsia" w:ascii="仿宋" w:hAnsi="仿宋" w:eastAsia="仿宋" w:cs="仿宋"/>
          <w:color w:val="auto"/>
          <w:sz w:val="28"/>
          <w:szCs w:val="28"/>
          <w:highlight w:val="none"/>
        </w:rPr>
        <w:t xml:space="preserve">  </w:t>
      </w:r>
    </w:p>
    <w:p w14:paraId="5197CB99">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6"/>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14:paraId="66882263">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9F8D0E3">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14:paraId="10448CCD">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14:paraId="2F76C5FF">
            <w:pPr>
              <w:spacing w:before="120" w:beforeLines="50" w:after="120" w:afterLines="50" w:line="240" w:lineRule="exact"/>
              <w:ind w:left="105" w:leftChars="50" w:right="105" w:rightChars="50"/>
              <w:jc w:val="center"/>
              <w:rPr>
                <w:rFonts w:ascii="仿宋" w:hAnsi="仿宋" w:eastAsia="仿宋" w:cs="仿宋"/>
                <w:b/>
                <w:color w:val="auto"/>
                <w:highlight w:val="none"/>
              </w:rPr>
            </w:pPr>
          </w:p>
          <w:p w14:paraId="0EABD621">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14:paraId="0C724BDA">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14:paraId="75A0D2A2">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14:paraId="3D461EF0">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14:paraId="09DD4482">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F6499BE">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14:paraId="4CDA0760">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14:paraId="6F6E77D6">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0DE5960A">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14FB8C6C">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7E1B4D19">
        <w:tblPrEx>
          <w:tblCellMar>
            <w:top w:w="0" w:type="dxa"/>
            <w:left w:w="108" w:type="dxa"/>
            <w:bottom w:w="0" w:type="dxa"/>
            <w:right w:w="108" w:type="dxa"/>
          </w:tblCellMar>
        </w:tblPrEx>
        <w:trPr>
          <w:trHeight w:val="8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A84E794">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14:paraId="5948AEEC">
            <w:pPr>
              <w:spacing w:before="120" w:beforeLines="50" w:after="12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 w:val="21"/>
                <w:szCs w:val="21"/>
                <w:highlight w:val="none"/>
              </w:rPr>
              <w:t>投标人具有</w:t>
            </w:r>
            <w:r>
              <w:rPr>
                <w:rFonts w:hint="eastAsia" w:ascii="仿宋" w:hAnsi="仿宋" w:eastAsia="仿宋" w:cs="仿宋"/>
                <w:i w:val="0"/>
                <w:iCs w:val="0"/>
                <w:caps w:val="0"/>
                <w:color w:val="auto"/>
                <w:spacing w:val="0"/>
                <w:sz w:val="21"/>
                <w:szCs w:val="21"/>
                <w:highlight w:val="none"/>
                <w:shd w:val="clear" w:color="auto" w:fill="auto"/>
              </w:rPr>
              <w:t>房屋建筑</w:t>
            </w:r>
            <w:r>
              <w:rPr>
                <w:rFonts w:hint="eastAsia" w:ascii="仿宋" w:hAnsi="仿宋" w:eastAsia="仿宋" w:cs="仿宋"/>
                <w:i w:val="0"/>
                <w:iCs w:val="0"/>
                <w:caps w:val="0"/>
                <w:color w:val="auto"/>
                <w:spacing w:val="0"/>
                <w:sz w:val="21"/>
                <w:szCs w:val="21"/>
                <w:highlight w:val="none"/>
                <w:shd w:val="clear" w:color="auto" w:fill="auto"/>
                <w:lang w:eastAsia="zh-CN"/>
              </w:rPr>
              <w:t>工程</w:t>
            </w:r>
            <w:r>
              <w:rPr>
                <w:rFonts w:hint="eastAsia" w:ascii="仿宋" w:hAnsi="仿宋" w:eastAsia="仿宋" w:cs="仿宋"/>
                <w:i w:val="0"/>
                <w:iCs w:val="0"/>
                <w:caps w:val="0"/>
                <w:color w:val="auto"/>
                <w:spacing w:val="0"/>
                <w:kern w:val="2"/>
                <w:sz w:val="21"/>
                <w:szCs w:val="21"/>
                <w:highlight w:val="none"/>
                <w:u w:val="none"/>
                <w:shd w:val="clear" w:color="auto" w:fill="auto"/>
                <w:lang w:val="en-US" w:eastAsia="zh-CN" w:bidi="ar"/>
              </w:rPr>
              <w:t>监理乙级或以上资质</w:t>
            </w:r>
          </w:p>
        </w:tc>
        <w:tc>
          <w:tcPr>
            <w:tcW w:w="1559" w:type="dxa"/>
            <w:tcBorders>
              <w:top w:val="single" w:color="auto" w:sz="4" w:space="0"/>
              <w:left w:val="nil"/>
              <w:bottom w:val="single" w:color="auto" w:sz="4" w:space="0"/>
              <w:right w:val="single" w:color="auto" w:sz="4" w:space="0"/>
            </w:tcBorders>
            <w:shd w:val="clear" w:color="auto" w:fill="auto"/>
            <w:vAlign w:val="center"/>
          </w:tcPr>
          <w:p w14:paraId="6BD4172E">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1898838B">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7F44EF53">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0EB1D5B9">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F064BD4">
            <w:pPr>
              <w:spacing w:before="120" w:beforeLines="50" w:after="120" w:afterLines="50" w:line="240" w:lineRule="auto"/>
              <w:ind w:left="0" w:right="105" w:rightChars="50" w:firstLine="18" w:firstLineChars="9"/>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14:paraId="3DF2BC2D">
            <w:pPr>
              <w:spacing w:before="120" w:beforeLines="50" w:after="12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 w:val="21"/>
                <w:szCs w:val="21"/>
                <w:highlight w:val="none"/>
              </w:rPr>
              <w:t>总监理工程师</w:t>
            </w:r>
            <w:r>
              <w:rPr>
                <w:rFonts w:hint="eastAsia" w:ascii="仿宋" w:hAnsi="仿宋" w:eastAsia="仿宋" w:cs="仿宋"/>
                <w:i w:val="0"/>
                <w:iCs w:val="0"/>
                <w:caps w:val="0"/>
                <w:color w:val="auto"/>
                <w:spacing w:val="0"/>
                <w:kern w:val="2"/>
                <w:sz w:val="21"/>
                <w:szCs w:val="21"/>
                <w:highlight w:val="none"/>
                <w:u w:val="none"/>
                <w:shd w:val="clear" w:color="auto" w:fill="auto"/>
                <w:lang w:val="en-US" w:eastAsia="zh-CN" w:bidi="ar"/>
              </w:rPr>
              <w:t>具有</w:t>
            </w:r>
            <w:r>
              <w:rPr>
                <w:rFonts w:hint="eastAsia" w:ascii="仿宋" w:hAnsi="仿宋" w:eastAsia="仿宋" w:cs="仿宋"/>
                <w:i w:val="0"/>
                <w:iCs w:val="0"/>
                <w:caps w:val="0"/>
                <w:color w:val="auto"/>
                <w:spacing w:val="0"/>
                <w:sz w:val="21"/>
                <w:szCs w:val="21"/>
                <w:highlight w:val="none"/>
                <w:shd w:val="clear" w:color="auto" w:fill="auto"/>
              </w:rPr>
              <w:t>房屋建筑</w:t>
            </w:r>
            <w:r>
              <w:rPr>
                <w:rFonts w:hint="eastAsia" w:ascii="仿宋" w:hAnsi="仿宋" w:eastAsia="仿宋" w:cs="仿宋"/>
                <w:i w:val="0"/>
                <w:iCs w:val="0"/>
                <w:caps w:val="0"/>
                <w:color w:val="auto"/>
                <w:spacing w:val="0"/>
                <w:sz w:val="21"/>
                <w:szCs w:val="21"/>
                <w:highlight w:val="none"/>
                <w:shd w:val="clear" w:color="auto" w:fill="auto"/>
                <w:lang w:eastAsia="zh-CN"/>
              </w:rPr>
              <w:t>工程</w:t>
            </w:r>
            <w:r>
              <w:rPr>
                <w:rFonts w:hint="eastAsia" w:ascii="仿宋" w:hAnsi="仿宋" w:eastAsia="仿宋" w:cs="仿宋"/>
                <w:i w:val="0"/>
                <w:iCs w:val="0"/>
                <w:caps w:val="0"/>
                <w:color w:val="auto"/>
                <w:spacing w:val="0"/>
                <w:kern w:val="2"/>
                <w:sz w:val="21"/>
                <w:szCs w:val="21"/>
                <w:highlight w:val="none"/>
                <w:u w:val="none"/>
                <w:shd w:val="clear" w:color="auto" w:fill="auto"/>
                <w:lang w:val="en-US" w:eastAsia="zh-CN" w:bidi="ar"/>
              </w:rPr>
              <w:t>类专业中级或以上职称，</w:t>
            </w:r>
            <w:r>
              <w:rPr>
                <w:rFonts w:hint="eastAsia" w:ascii="仿宋" w:hAnsi="仿宋" w:eastAsia="仿宋" w:cs="仿宋"/>
                <w:color w:val="auto"/>
                <w:sz w:val="21"/>
                <w:szCs w:val="21"/>
                <w:highlight w:val="none"/>
              </w:rPr>
              <w:t>具有</w:t>
            </w:r>
            <w:r>
              <w:rPr>
                <w:rFonts w:hint="eastAsia" w:ascii="仿宋" w:hAnsi="仿宋" w:eastAsia="仿宋" w:cs="仿宋"/>
                <w:color w:val="auto"/>
                <w:sz w:val="21"/>
                <w:szCs w:val="21"/>
                <w:highlight w:val="none"/>
                <w:lang w:eastAsia="zh-CN"/>
              </w:rPr>
              <w:t>房屋建筑工程类</w:t>
            </w:r>
            <w:r>
              <w:rPr>
                <w:rFonts w:hint="eastAsia" w:ascii="仿宋" w:hAnsi="仿宋" w:eastAsia="仿宋" w:cs="仿宋"/>
                <w:color w:val="auto"/>
                <w:sz w:val="21"/>
                <w:szCs w:val="21"/>
                <w:highlight w:val="none"/>
              </w:rPr>
              <w:t>注册监理工程师证书</w:t>
            </w:r>
          </w:p>
        </w:tc>
        <w:tc>
          <w:tcPr>
            <w:tcW w:w="1559" w:type="dxa"/>
            <w:tcBorders>
              <w:top w:val="single" w:color="auto" w:sz="4" w:space="0"/>
              <w:left w:val="nil"/>
              <w:bottom w:val="single" w:color="auto" w:sz="4" w:space="0"/>
              <w:right w:val="single" w:color="auto" w:sz="4" w:space="0"/>
            </w:tcBorders>
            <w:shd w:val="clear" w:color="auto" w:fill="auto"/>
            <w:vAlign w:val="center"/>
          </w:tcPr>
          <w:p w14:paraId="62D28480">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267FDA85">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699E4CD2">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65B3211B">
        <w:tblPrEx>
          <w:tblCellMar>
            <w:top w:w="0" w:type="dxa"/>
            <w:left w:w="108" w:type="dxa"/>
            <w:bottom w:w="0" w:type="dxa"/>
            <w:right w:w="108" w:type="dxa"/>
          </w:tblCellMar>
        </w:tblPrEx>
        <w:trPr>
          <w:trHeight w:val="963"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C518D9C">
            <w:pPr>
              <w:spacing w:before="120" w:beforeLines="50" w:after="120" w:afterLines="50" w:line="240" w:lineRule="auto"/>
              <w:ind w:left="0" w:right="105" w:rightChars="50" w:firstLine="18" w:firstLineChars="9"/>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14:paraId="03AA2AF8">
            <w:pPr>
              <w:spacing w:before="120" w:beforeLines="50" w:after="12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bCs w:val="0"/>
                <w:color w:val="auto"/>
                <w:kern w:val="2"/>
                <w:sz w:val="21"/>
                <w:szCs w:val="21"/>
                <w:highlight w:val="none"/>
                <w:u w:val="none"/>
              </w:rPr>
              <w:t>投标</w:t>
            </w:r>
            <w:r>
              <w:rPr>
                <w:rFonts w:hint="eastAsia" w:ascii="仿宋" w:hAnsi="仿宋" w:eastAsia="仿宋" w:cs="仿宋"/>
                <w:bCs w:val="0"/>
                <w:color w:val="auto"/>
                <w:kern w:val="2"/>
                <w:sz w:val="21"/>
                <w:szCs w:val="21"/>
                <w:highlight w:val="none"/>
                <w:u w:val="none"/>
                <w:lang w:eastAsia="zh-CN"/>
              </w:rPr>
              <w:t>报价不高于招标控制价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14:paraId="4CA2EAB7">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6BC886EC">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39F8FFBB">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26CC88B0">
        <w:tblPrEx>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0235683">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14:paraId="2FDADC81">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14:paraId="4687AF0D">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5AC3BB7F">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2B83BE05">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14:paraId="3981106C">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14:paraId="10E28B3D">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14:paraId="7C4C61BC">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14:paraId="45B30D58">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14:paraId="53D32324">
      <w:pPr>
        <w:snapToGrid w:val="0"/>
        <w:ind w:left="74"/>
        <w:rPr>
          <w:rFonts w:ascii="仿宋" w:hAnsi="仿宋" w:eastAsia="仿宋" w:cs="Courier New"/>
          <w:color w:val="auto"/>
          <w:sz w:val="28"/>
          <w:szCs w:val="28"/>
          <w:highlight w:val="none"/>
        </w:rPr>
      </w:pPr>
    </w:p>
    <w:p w14:paraId="2AB6D045">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p>
    <w:p w14:paraId="1D18049F">
      <w:pPr>
        <w:snapToGrid w:val="0"/>
        <w:ind w:left="74"/>
        <w:outlineLvl w:val="0"/>
        <w:rPr>
          <w:rFonts w:ascii="仿宋" w:hAnsi="仿宋" w:eastAsia="仿宋" w:cs="仿宋"/>
          <w:color w:val="auto"/>
          <w:sz w:val="24"/>
          <w:highlight w:val="none"/>
        </w:rPr>
      </w:pPr>
      <w:bookmarkStart w:id="51" w:name="_Toc11456"/>
      <w:bookmarkStart w:id="52" w:name="_Toc27480"/>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bookmarkEnd w:id="51"/>
      <w:bookmarkEnd w:id="52"/>
    </w:p>
    <w:p w14:paraId="3E2AD296">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tbl>
      <w:tblPr>
        <w:tblStyle w:val="16"/>
        <w:tblW w:w="827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24"/>
        <w:gridCol w:w="1863"/>
        <w:gridCol w:w="5290"/>
      </w:tblGrid>
      <w:tr w14:paraId="571449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1" w:hRule="atLeast"/>
          <w:jc w:val="center"/>
        </w:trPr>
        <w:tc>
          <w:tcPr>
            <w:tcW w:w="2987" w:type="dxa"/>
            <w:gridSpan w:val="2"/>
            <w:tcBorders>
              <w:top w:val="single" w:color="auto" w:sz="4" w:space="0"/>
              <w:left w:val="single" w:color="auto" w:sz="4" w:space="0"/>
              <w:bottom w:val="single" w:color="auto" w:sz="4" w:space="0"/>
              <w:right w:val="single" w:color="auto" w:sz="4" w:space="0"/>
            </w:tcBorders>
            <w:noWrap w:val="0"/>
            <w:vAlign w:val="center"/>
          </w:tcPr>
          <w:p w14:paraId="33BB0069">
            <w:pPr>
              <w:jc w:val="center"/>
              <w:rPr>
                <w:rFonts w:hint="eastAsia" w:ascii="宋体" w:hAnsi="宋体" w:cs="宋体"/>
                <w:b/>
                <w:color w:val="auto"/>
                <w:sz w:val="21"/>
                <w:szCs w:val="21"/>
                <w:highlight w:val="none"/>
              </w:rPr>
            </w:pPr>
            <w:r>
              <w:rPr>
                <w:rFonts w:hint="eastAsia" w:ascii="宋体" w:hAnsi="宋体" w:cs="宋体"/>
                <w:b/>
                <w:color w:val="auto"/>
                <w:sz w:val="21"/>
                <w:szCs w:val="21"/>
                <w:highlight w:val="none"/>
              </w:rPr>
              <w:t>评分因素</w:t>
            </w:r>
          </w:p>
        </w:tc>
        <w:tc>
          <w:tcPr>
            <w:tcW w:w="5290" w:type="dxa"/>
            <w:tcBorders>
              <w:top w:val="single" w:color="auto" w:sz="4" w:space="0"/>
              <w:left w:val="single" w:color="auto" w:sz="4" w:space="0"/>
              <w:bottom w:val="single" w:color="auto" w:sz="4" w:space="0"/>
              <w:right w:val="single" w:color="auto" w:sz="4" w:space="0"/>
            </w:tcBorders>
            <w:noWrap w:val="0"/>
            <w:vAlign w:val="center"/>
          </w:tcPr>
          <w:p w14:paraId="3A8022AD">
            <w:pPr>
              <w:jc w:val="center"/>
              <w:rPr>
                <w:rFonts w:hint="eastAsia" w:ascii="宋体" w:hAnsi="宋体" w:cs="宋体"/>
                <w:b/>
                <w:color w:val="auto"/>
                <w:sz w:val="21"/>
                <w:szCs w:val="21"/>
                <w:highlight w:val="none"/>
              </w:rPr>
            </w:pPr>
            <w:r>
              <w:rPr>
                <w:rFonts w:hint="eastAsia" w:ascii="宋体" w:hAnsi="宋体" w:cs="宋体"/>
                <w:b/>
                <w:color w:val="auto"/>
                <w:sz w:val="21"/>
                <w:szCs w:val="21"/>
                <w:highlight w:val="none"/>
              </w:rPr>
              <w:t>评分标准</w:t>
            </w:r>
          </w:p>
        </w:tc>
      </w:tr>
      <w:tr w14:paraId="09675E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5" w:hRule="atLeast"/>
          <w:jc w:val="center"/>
        </w:trPr>
        <w:tc>
          <w:tcPr>
            <w:tcW w:w="1124" w:type="dxa"/>
            <w:vMerge w:val="restart"/>
            <w:tcBorders>
              <w:right w:val="single" w:color="auto" w:sz="4" w:space="0"/>
            </w:tcBorders>
            <w:noWrap w:val="0"/>
            <w:vAlign w:val="center"/>
          </w:tcPr>
          <w:p w14:paraId="70A23375">
            <w:pPr>
              <w:ind w:left="113" w:leftChars="54" w:right="141" w:rightChars="67" w:firstLine="1"/>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商务部分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0分）</w:t>
            </w:r>
          </w:p>
        </w:tc>
        <w:tc>
          <w:tcPr>
            <w:tcW w:w="1863" w:type="dxa"/>
            <w:tcBorders>
              <w:left w:val="single" w:color="auto" w:sz="4" w:space="0"/>
              <w:right w:val="single" w:color="auto" w:sz="4" w:space="0"/>
            </w:tcBorders>
            <w:noWrap w:val="0"/>
            <w:vAlign w:val="center"/>
          </w:tcPr>
          <w:p w14:paraId="3B92946C">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eastAsia="宋体" w:cs="宋体"/>
                <w:bCs/>
                <w:color w:val="auto"/>
                <w:sz w:val="21"/>
                <w:szCs w:val="21"/>
                <w:highlight w:val="none"/>
              </w:rPr>
              <w:t>同类项目业绩</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1</w:t>
            </w:r>
            <w:r>
              <w:rPr>
                <w:rFonts w:hint="eastAsia" w:ascii="宋体" w:hAnsi="宋体" w:cs="宋体"/>
                <w:color w:val="auto"/>
                <w:sz w:val="21"/>
                <w:szCs w:val="21"/>
                <w:highlight w:val="none"/>
                <w:lang w:val="en-US" w:eastAsia="zh-CN"/>
              </w:rPr>
              <w:t>0</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vAlign w:val="center"/>
          </w:tcPr>
          <w:p w14:paraId="42BBC1F6">
            <w:pPr>
              <w:keepNext w:val="0"/>
              <w:keepLines w:val="0"/>
              <w:pageBreakBefore w:val="0"/>
              <w:kinsoku/>
              <w:wordWrap/>
              <w:overflowPunct/>
              <w:topLinePunct w:val="0"/>
              <w:bidi w:val="0"/>
              <w:adjustRightInd/>
              <w:snapToGrid/>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自202</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年1月1日至</w:t>
            </w:r>
            <w:r>
              <w:rPr>
                <w:rFonts w:hint="eastAsia" w:ascii="宋体" w:hAnsi="宋体" w:eastAsia="宋体" w:cs="宋体"/>
                <w:color w:val="auto"/>
                <w:kern w:val="2"/>
                <w:sz w:val="21"/>
                <w:szCs w:val="21"/>
                <w:highlight w:val="none"/>
                <w:lang w:eastAsia="zh-CN"/>
              </w:rPr>
              <w:t>投标</w:t>
            </w:r>
            <w:r>
              <w:rPr>
                <w:rFonts w:hint="eastAsia" w:ascii="宋体" w:hAnsi="宋体" w:eastAsia="宋体" w:cs="宋体"/>
                <w:color w:val="auto"/>
                <w:kern w:val="2"/>
                <w:sz w:val="21"/>
                <w:szCs w:val="21"/>
                <w:highlight w:val="none"/>
              </w:rPr>
              <w:t>截止时间</w:t>
            </w:r>
            <w:r>
              <w:rPr>
                <w:rFonts w:hint="eastAsia" w:ascii="宋体" w:hAnsi="宋体" w:eastAsia="宋体" w:cs="宋体"/>
                <w:color w:val="auto"/>
                <w:sz w:val="21"/>
                <w:szCs w:val="21"/>
                <w:highlight w:val="none"/>
              </w:rPr>
              <w:t>完成过质量合格</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类似工程监理项目业绩情况进行评审：</w:t>
            </w:r>
          </w:p>
          <w:p w14:paraId="2C5B3E33">
            <w:pPr>
              <w:keepNext w:val="0"/>
              <w:keepLines w:val="0"/>
              <w:pageBreakBefore w:val="0"/>
              <w:kinsoku/>
              <w:wordWrap/>
              <w:overflowPunct/>
              <w:topLinePunct w:val="0"/>
              <w:bidi w:val="0"/>
              <w:adjustRightInd/>
              <w:snapToGrid/>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每提供一项得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分，最高得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p w14:paraId="382E14A9">
            <w:pPr>
              <w:ind w:left="113" w:leftChars="54" w:right="141" w:rightChars="67" w:firstLine="1"/>
              <w:jc w:val="left"/>
              <w:rPr>
                <w:rFonts w:hint="eastAsia"/>
                <w:color w:val="auto"/>
                <w:highlight w:val="none"/>
              </w:rPr>
            </w:pPr>
            <w:r>
              <w:rPr>
                <w:rFonts w:hint="eastAsia" w:ascii="宋体" w:hAnsi="宋体" w:eastAsia="宋体" w:cs="宋体"/>
                <w:color w:val="auto"/>
                <w:sz w:val="21"/>
                <w:szCs w:val="21"/>
                <w:highlight w:val="none"/>
              </w:rPr>
              <w:t>注：类似工程监理项目指</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按资格条件的资质要求可承担的房屋建筑工程</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须同时提供中标(成交）通知书、监理合同及竣工验收证明材料</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业绩时间以竣工验收证明</w:t>
            </w:r>
            <w:r>
              <w:rPr>
                <w:rFonts w:hint="eastAsia" w:ascii="宋体" w:hAnsi="宋体" w:eastAsia="宋体" w:cs="宋体"/>
                <w:color w:val="auto"/>
                <w:sz w:val="21"/>
                <w:szCs w:val="21"/>
                <w:highlight w:val="none"/>
                <w:lang w:val="en-US" w:eastAsia="zh-CN"/>
              </w:rPr>
              <w:t>材料</w:t>
            </w:r>
            <w:r>
              <w:rPr>
                <w:rFonts w:hint="eastAsia" w:ascii="宋体" w:hAnsi="宋体" w:eastAsia="宋体" w:cs="宋体"/>
                <w:color w:val="auto"/>
                <w:sz w:val="21"/>
                <w:szCs w:val="21"/>
                <w:highlight w:val="none"/>
              </w:rPr>
              <w:t>时间为准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竣工验收证明材料至少包含建设单位、施工单位、监理单位</w:t>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方主体盖章</w:t>
            </w:r>
            <w:r>
              <w:rPr>
                <w:rFonts w:hint="eastAsia" w:ascii="宋体" w:hAnsi="宋体" w:eastAsia="宋体" w:cs="宋体"/>
                <w:color w:val="auto"/>
                <w:sz w:val="21"/>
                <w:szCs w:val="21"/>
                <w:highlight w:val="none"/>
                <w:lang w:eastAsia="zh-CN"/>
              </w:rPr>
              <w:t>。</w:t>
            </w:r>
          </w:p>
        </w:tc>
      </w:tr>
      <w:tr w14:paraId="2B7749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jc w:val="center"/>
        </w:trPr>
        <w:tc>
          <w:tcPr>
            <w:tcW w:w="1124" w:type="dxa"/>
            <w:vMerge w:val="continue"/>
            <w:tcBorders>
              <w:right w:val="single" w:color="auto" w:sz="4" w:space="0"/>
            </w:tcBorders>
            <w:noWrap w:val="0"/>
            <w:vAlign w:val="center"/>
          </w:tcPr>
          <w:p w14:paraId="7EC13ADE">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14:paraId="20D0009F">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eastAsia="宋体" w:cs="宋体"/>
                <w:bCs/>
                <w:color w:val="auto"/>
                <w:sz w:val="21"/>
                <w:szCs w:val="21"/>
                <w:highlight w:val="none"/>
              </w:rPr>
              <w:t>体系认证</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1</w:t>
            </w:r>
            <w:r>
              <w:rPr>
                <w:rFonts w:hint="eastAsia" w:ascii="宋体" w:hAnsi="宋体" w:cs="宋体"/>
                <w:color w:val="auto"/>
                <w:sz w:val="21"/>
                <w:szCs w:val="21"/>
                <w:highlight w:val="none"/>
                <w:lang w:val="en-US" w:eastAsia="zh-CN"/>
              </w:rPr>
              <w:t>0</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14:paraId="04192287">
            <w:pPr>
              <w:keepNext w:val="0"/>
              <w:keepLines w:val="0"/>
              <w:pageBreakBefore w:val="0"/>
              <w:kinsoku/>
              <w:wordWrap/>
              <w:overflowPunct/>
              <w:topLinePunct w:val="0"/>
              <w:bidi w:val="0"/>
              <w:adjustRightInd/>
              <w:snapToGrid/>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eastAsia="zh-CN"/>
              </w:rPr>
              <w:t>投标人</w:t>
            </w:r>
            <w:r>
              <w:rPr>
                <w:rFonts w:hint="eastAsia" w:ascii="宋体" w:hAnsi="宋体" w:cs="宋体"/>
                <w:color w:val="auto"/>
                <w:sz w:val="21"/>
                <w:szCs w:val="21"/>
                <w:highlight w:val="none"/>
                <w:lang w:val="en-US" w:eastAsia="zh-CN"/>
              </w:rPr>
              <w:t>具备</w:t>
            </w:r>
            <w:r>
              <w:rPr>
                <w:rFonts w:hint="eastAsia" w:ascii="宋体" w:hAnsi="宋体" w:eastAsia="宋体" w:cs="宋体"/>
                <w:color w:val="auto"/>
                <w:sz w:val="21"/>
                <w:szCs w:val="21"/>
                <w:highlight w:val="none"/>
              </w:rPr>
              <w:t>质量管理体系认证证书、环境管理体系认证</w:t>
            </w:r>
            <w:r>
              <w:rPr>
                <w:rFonts w:hint="eastAsia" w:ascii="宋体" w:hAnsi="宋体" w:eastAsia="宋体" w:cs="宋体"/>
                <w:color w:val="auto"/>
                <w:sz w:val="21"/>
                <w:szCs w:val="21"/>
                <w:highlight w:val="none"/>
                <w:lang w:val="en-US" w:eastAsia="zh-CN"/>
              </w:rPr>
              <w:t>证书</w:t>
            </w:r>
            <w:r>
              <w:rPr>
                <w:rFonts w:hint="eastAsia" w:ascii="宋体" w:hAnsi="宋体" w:eastAsia="宋体" w:cs="宋体"/>
                <w:color w:val="auto"/>
                <w:sz w:val="21"/>
                <w:szCs w:val="21"/>
                <w:highlight w:val="none"/>
              </w:rPr>
              <w:t>、职业健康安全管理体系认证</w:t>
            </w:r>
            <w:r>
              <w:rPr>
                <w:rFonts w:hint="eastAsia" w:ascii="宋体" w:hAnsi="宋体" w:eastAsia="宋体" w:cs="宋体"/>
                <w:color w:val="auto"/>
                <w:sz w:val="21"/>
                <w:szCs w:val="21"/>
                <w:highlight w:val="none"/>
                <w:lang w:val="en-US" w:eastAsia="zh-CN"/>
              </w:rPr>
              <w:t>证书</w:t>
            </w:r>
            <w:r>
              <w:rPr>
                <w:rFonts w:hint="eastAsia" w:ascii="宋体" w:hAnsi="宋体" w:eastAsia="宋体" w:cs="宋体"/>
                <w:color w:val="auto"/>
                <w:sz w:val="21"/>
                <w:szCs w:val="21"/>
                <w:highlight w:val="none"/>
              </w:rPr>
              <w:t>、信息技术服务管理体系认证</w:t>
            </w:r>
            <w:r>
              <w:rPr>
                <w:rFonts w:hint="eastAsia" w:ascii="宋体" w:hAnsi="宋体" w:eastAsia="宋体" w:cs="宋体"/>
                <w:color w:val="auto"/>
                <w:sz w:val="21"/>
                <w:szCs w:val="21"/>
                <w:highlight w:val="none"/>
                <w:lang w:val="en-US" w:eastAsia="zh-CN"/>
              </w:rPr>
              <w:t>证书</w:t>
            </w:r>
            <w:r>
              <w:rPr>
                <w:rFonts w:hint="eastAsia" w:ascii="宋体" w:hAnsi="宋体" w:eastAsia="宋体" w:cs="宋体"/>
                <w:color w:val="auto"/>
                <w:sz w:val="21"/>
                <w:szCs w:val="21"/>
                <w:highlight w:val="none"/>
              </w:rPr>
              <w:t>、诚信管理体系认证</w:t>
            </w:r>
            <w:r>
              <w:rPr>
                <w:rFonts w:hint="eastAsia" w:ascii="宋体" w:hAnsi="宋体" w:eastAsia="宋体" w:cs="宋体"/>
                <w:color w:val="auto"/>
                <w:sz w:val="21"/>
                <w:szCs w:val="21"/>
                <w:highlight w:val="none"/>
                <w:lang w:val="en-US" w:eastAsia="zh-CN"/>
              </w:rPr>
              <w:t>证书</w:t>
            </w:r>
            <w:r>
              <w:rPr>
                <w:rFonts w:hint="eastAsia" w:ascii="宋体" w:hAnsi="宋体" w:eastAsia="宋体" w:cs="宋体"/>
                <w:color w:val="auto"/>
                <w:sz w:val="21"/>
                <w:szCs w:val="21"/>
                <w:highlight w:val="none"/>
              </w:rPr>
              <w:t>、</w:t>
            </w:r>
            <w:r>
              <w:rPr>
                <w:rFonts w:hint="eastAsia" w:ascii="宋体" w:hAnsi="宋体" w:eastAsia="宋体" w:cs="宋体"/>
                <w:bCs w:val="0"/>
                <w:color w:val="auto"/>
                <w:sz w:val="21"/>
                <w:szCs w:val="21"/>
                <w:highlight w:val="none"/>
              </w:rPr>
              <w:t>企业履约能力评价认证</w:t>
            </w:r>
            <w:r>
              <w:rPr>
                <w:rFonts w:hint="eastAsia" w:ascii="宋体" w:hAnsi="宋体" w:eastAsia="宋体" w:cs="宋体"/>
                <w:color w:val="auto"/>
                <w:sz w:val="21"/>
                <w:szCs w:val="21"/>
                <w:highlight w:val="none"/>
              </w:rPr>
              <w:t>证书的情况进行评审：</w:t>
            </w:r>
          </w:p>
          <w:p w14:paraId="591261D4">
            <w:pPr>
              <w:keepNext w:val="0"/>
              <w:keepLines w:val="0"/>
              <w:pageBreakBefore w:val="0"/>
              <w:kinsoku/>
              <w:wordWrap/>
              <w:overflowPunct/>
              <w:topLinePunct w:val="0"/>
              <w:bidi w:val="0"/>
              <w:adjustRightInd/>
              <w:snapToGrid/>
              <w:spacing w:line="240" w:lineRule="auto"/>
              <w:jc w:val="left"/>
              <w:textAlignment w:val="auto"/>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同时具备6项的</w:t>
            </w:r>
            <w:r>
              <w:rPr>
                <w:rFonts w:hint="eastAsia" w:ascii="宋体" w:hAnsi="宋体" w:eastAsia="宋体" w:cs="宋体"/>
                <w:b w:val="0"/>
                <w:bCs w:val="0"/>
                <w:color w:val="auto"/>
                <w:sz w:val="21"/>
                <w:szCs w:val="21"/>
                <w:highlight w:val="none"/>
                <w:lang w:val="en-US" w:eastAsia="zh-CN"/>
              </w:rPr>
              <w:t>，得</w:t>
            </w:r>
            <w:r>
              <w:rPr>
                <w:rFonts w:hint="eastAsia" w:ascii="宋体" w:hAnsi="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lang w:val="en-US" w:eastAsia="zh-CN"/>
              </w:rPr>
              <w:t>分</w:t>
            </w:r>
            <w:r>
              <w:rPr>
                <w:rFonts w:hint="eastAsia" w:ascii="宋体" w:hAnsi="宋体" w:cs="宋体"/>
                <w:b w:val="0"/>
                <w:bCs w:val="0"/>
                <w:color w:val="auto"/>
                <w:sz w:val="21"/>
                <w:szCs w:val="21"/>
                <w:highlight w:val="none"/>
                <w:lang w:val="en-US" w:eastAsia="zh-CN"/>
              </w:rPr>
              <w:t>；</w:t>
            </w:r>
          </w:p>
          <w:p w14:paraId="3F02B772">
            <w:pPr>
              <w:keepNext w:val="0"/>
              <w:keepLines w:val="0"/>
              <w:pageBreakBefore w:val="0"/>
              <w:kinsoku/>
              <w:wordWrap/>
              <w:overflowPunct/>
              <w:topLinePunct w:val="0"/>
              <w:bidi w:val="0"/>
              <w:adjustRightInd/>
              <w:snapToGrid/>
              <w:spacing w:line="240" w:lineRule="auto"/>
              <w:jc w:val="left"/>
              <w:textAlignment w:val="auto"/>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同时具备4-5项的</w:t>
            </w:r>
            <w:r>
              <w:rPr>
                <w:rFonts w:hint="eastAsia" w:ascii="宋体" w:hAnsi="宋体" w:eastAsia="宋体" w:cs="宋体"/>
                <w:b w:val="0"/>
                <w:bCs w:val="0"/>
                <w:color w:val="auto"/>
                <w:sz w:val="21"/>
                <w:szCs w:val="21"/>
                <w:highlight w:val="none"/>
                <w:lang w:val="en-US" w:eastAsia="zh-CN"/>
              </w:rPr>
              <w:t>，得</w:t>
            </w:r>
            <w:r>
              <w:rPr>
                <w:rFonts w:hint="eastAsia" w:ascii="宋体" w:hAnsi="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lang w:val="en-US" w:eastAsia="zh-CN"/>
              </w:rPr>
              <w:t>分</w:t>
            </w:r>
            <w:r>
              <w:rPr>
                <w:rFonts w:hint="eastAsia" w:ascii="宋体" w:hAnsi="宋体" w:cs="宋体"/>
                <w:b w:val="0"/>
                <w:bCs w:val="0"/>
                <w:color w:val="auto"/>
                <w:sz w:val="21"/>
                <w:szCs w:val="21"/>
                <w:highlight w:val="none"/>
                <w:lang w:val="en-US" w:eastAsia="zh-CN"/>
              </w:rPr>
              <w:t>；</w:t>
            </w:r>
          </w:p>
          <w:p w14:paraId="1356FB10">
            <w:pPr>
              <w:keepNext w:val="0"/>
              <w:keepLines w:val="0"/>
              <w:pageBreakBefore w:val="0"/>
              <w:kinsoku/>
              <w:wordWrap/>
              <w:overflowPunct/>
              <w:topLinePunct w:val="0"/>
              <w:bidi w:val="0"/>
              <w:adjustRightInd/>
              <w:snapToGrid/>
              <w:spacing w:line="240" w:lineRule="auto"/>
              <w:jc w:val="left"/>
              <w:textAlignment w:val="auto"/>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同时具备1-3项的</w:t>
            </w:r>
            <w:r>
              <w:rPr>
                <w:rFonts w:hint="eastAsia" w:ascii="宋体" w:hAnsi="宋体" w:eastAsia="宋体" w:cs="宋体"/>
                <w:b w:val="0"/>
                <w:bCs w:val="0"/>
                <w:color w:val="auto"/>
                <w:sz w:val="21"/>
                <w:szCs w:val="21"/>
                <w:highlight w:val="none"/>
                <w:lang w:val="en-US" w:eastAsia="zh-CN"/>
              </w:rPr>
              <w:t>，得</w:t>
            </w:r>
            <w:r>
              <w:rPr>
                <w:rFonts w:hint="eastAsia" w:ascii="宋体" w:hAnsi="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en-US" w:eastAsia="zh-CN"/>
              </w:rPr>
              <w:t>分</w:t>
            </w:r>
            <w:r>
              <w:rPr>
                <w:rFonts w:hint="eastAsia" w:ascii="宋体" w:hAnsi="宋体" w:cs="宋体"/>
                <w:b w:val="0"/>
                <w:bCs w:val="0"/>
                <w:color w:val="auto"/>
                <w:sz w:val="21"/>
                <w:szCs w:val="21"/>
                <w:highlight w:val="none"/>
                <w:lang w:val="en-US" w:eastAsia="zh-CN"/>
              </w:rPr>
              <w:t>；</w:t>
            </w:r>
          </w:p>
          <w:p w14:paraId="6FF406BF">
            <w:pPr>
              <w:pStyle w:val="4"/>
              <w:keepNext w:val="0"/>
              <w:keepLines w:val="0"/>
              <w:pageBreakBefore w:val="0"/>
              <w:kinsoku/>
              <w:wordWrap/>
              <w:overflowPunct/>
              <w:topLinePunct w:val="0"/>
              <w:bidi w:val="0"/>
              <w:adjustRightInd/>
              <w:snapToGrid/>
              <w:spacing w:line="240" w:lineRule="auto"/>
              <w:ind w:left="0" w:leftChars="0" w:firstLine="0" w:firstLineChars="0"/>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不提供的不得分。</w:t>
            </w:r>
          </w:p>
          <w:p w14:paraId="59A38CC4">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注：投标人须同时提供认证证书及</w:t>
            </w:r>
            <w:r>
              <w:rPr>
                <w:rFonts w:hint="eastAsia" w:ascii="宋体" w:hAnsi="宋体" w:eastAsia="宋体" w:cs="宋体"/>
                <w:color w:val="auto"/>
                <w:kern w:val="2"/>
                <w:sz w:val="21"/>
                <w:szCs w:val="21"/>
                <w:highlight w:val="none"/>
              </w:rPr>
              <w:t>公示网页截图，公示信息必须在中国国家认证认可监督管理委员会官方网站（http://cx.cnca.cn/CertECloud/result/skipResultList）公示可查，已失效或撤销的不得分，公开信息中无法查询或与公开信息不一致的（如暂停的）不得分。</w:t>
            </w:r>
          </w:p>
        </w:tc>
      </w:tr>
      <w:tr w14:paraId="3020DD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08" w:hRule="atLeast"/>
          <w:jc w:val="center"/>
        </w:trPr>
        <w:tc>
          <w:tcPr>
            <w:tcW w:w="1124" w:type="dxa"/>
            <w:vMerge w:val="continue"/>
            <w:tcBorders>
              <w:right w:val="single" w:color="auto" w:sz="4" w:space="0"/>
            </w:tcBorders>
            <w:noWrap w:val="0"/>
            <w:vAlign w:val="center"/>
          </w:tcPr>
          <w:p w14:paraId="1B577D61">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14:paraId="3914092C">
            <w:pPr>
              <w:keepNext w:val="0"/>
              <w:keepLines w:val="0"/>
              <w:pageBreakBefore w:val="0"/>
              <w:kinsoku/>
              <w:wordWrap/>
              <w:overflowPunct/>
              <w:topLinePunct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总监理工程师</w:t>
            </w:r>
          </w:p>
          <w:p w14:paraId="3F9AFCC8">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eastAsia="宋体" w:cs="宋体"/>
                <w:color w:val="auto"/>
                <w:sz w:val="21"/>
                <w:szCs w:val="21"/>
                <w:highlight w:val="none"/>
              </w:rPr>
              <w:t>专业职称</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14:paraId="0BDD0BB1">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sz w:val="21"/>
                <w:szCs w:val="21"/>
                <w:highlight w:val="none"/>
              </w:rPr>
              <w:t>总监理工程师</w:t>
            </w:r>
            <w:r>
              <w:rPr>
                <w:rFonts w:hint="eastAsia" w:ascii="宋体" w:hAnsi="宋体" w:eastAsia="宋体" w:cs="宋体"/>
                <w:color w:val="auto"/>
                <w:kern w:val="2"/>
                <w:sz w:val="21"/>
                <w:szCs w:val="21"/>
                <w:highlight w:val="none"/>
                <w:lang w:val="en-US" w:bidi="ar-SA"/>
              </w:rPr>
              <w:t>具有</w:t>
            </w:r>
            <w:r>
              <w:rPr>
                <w:rFonts w:hint="eastAsia" w:ascii="宋体" w:hAnsi="宋体" w:cs="宋体"/>
                <w:color w:val="auto"/>
                <w:sz w:val="21"/>
                <w:szCs w:val="21"/>
                <w:highlight w:val="none"/>
                <w:lang w:val="en-US" w:eastAsia="zh-CN"/>
              </w:rPr>
              <w:t>建筑类</w:t>
            </w:r>
            <w:r>
              <w:rPr>
                <w:rFonts w:hint="eastAsia" w:ascii="宋体" w:hAnsi="宋体" w:eastAsia="宋体" w:cs="宋体"/>
                <w:color w:val="auto"/>
                <w:kern w:val="2"/>
                <w:sz w:val="21"/>
                <w:szCs w:val="21"/>
                <w:highlight w:val="none"/>
                <w:lang w:val="en-US" w:eastAsia="zh-CN" w:bidi="ar-SA"/>
              </w:rPr>
              <w:t>相关专业高级或以上</w:t>
            </w:r>
            <w:r>
              <w:rPr>
                <w:rFonts w:hint="eastAsia" w:ascii="宋体" w:hAnsi="宋体" w:eastAsia="宋体" w:cs="宋体"/>
                <w:color w:val="auto"/>
                <w:kern w:val="2"/>
                <w:sz w:val="21"/>
                <w:szCs w:val="21"/>
                <w:highlight w:val="none"/>
                <w:lang w:val="en-US" w:bidi="ar-SA"/>
              </w:rPr>
              <w:t>技术职称得</w:t>
            </w: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kern w:val="2"/>
                <w:sz w:val="21"/>
                <w:szCs w:val="21"/>
                <w:highlight w:val="none"/>
                <w:lang w:val="en-US" w:bidi="ar-SA"/>
              </w:rPr>
              <w:t>分，不满足的不得分。</w:t>
            </w:r>
          </w:p>
          <w:p w14:paraId="50048BDD">
            <w:pPr>
              <w:numPr>
                <w:ilvl w:val="-1"/>
                <w:numId w:val="0"/>
              </w:numPr>
              <w:ind w:left="113" w:leftChars="54" w:right="141" w:rightChars="67" w:firstLine="1"/>
              <w:jc w:val="left"/>
              <w:rPr>
                <w:rFonts w:hint="default" w:ascii="宋体" w:hAnsi="宋体" w:cs="宋体"/>
                <w:color w:val="auto"/>
                <w:szCs w:val="21"/>
                <w:highlight w:val="none"/>
                <w:lang w:val="en-US" w:eastAsia="zh-CN"/>
              </w:rPr>
            </w:pPr>
            <w:r>
              <w:rPr>
                <w:rFonts w:hint="eastAsia" w:ascii="宋体" w:hAnsi="宋体" w:eastAsia="宋体" w:cs="宋体"/>
                <w:bCs/>
                <w:color w:val="auto"/>
                <w:sz w:val="21"/>
                <w:szCs w:val="21"/>
                <w:highlight w:val="none"/>
              </w:rPr>
              <w:t>注：</w:t>
            </w:r>
            <w:r>
              <w:rPr>
                <w:rFonts w:hint="eastAsia" w:ascii="宋体" w:hAns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须提供</w:t>
            </w:r>
            <w:r>
              <w:rPr>
                <w:rFonts w:hint="eastAsia" w:ascii="宋体" w:hAnsi="宋体" w:eastAsia="宋体" w:cs="宋体"/>
                <w:color w:val="auto"/>
                <w:sz w:val="21"/>
                <w:szCs w:val="21"/>
                <w:highlight w:val="none"/>
              </w:rPr>
              <w:t>总监理工程师</w:t>
            </w:r>
            <w:r>
              <w:rPr>
                <w:rFonts w:hint="eastAsia" w:ascii="宋体" w:hAnsi="宋体" w:eastAsia="宋体" w:cs="宋体"/>
                <w:bCs/>
                <w:color w:val="auto"/>
                <w:sz w:val="21"/>
                <w:szCs w:val="21"/>
                <w:highlight w:val="none"/>
              </w:rPr>
              <w:t>职称证书</w:t>
            </w:r>
            <w:r>
              <w:rPr>
                <w:rFonts w:hint="eastAsia" w:ascii="宋体" w:hAnsi="宋体" w:eastAsia="宋体" w:cs="宋体"/>
                <w:bCs/>
                <w:color w:val="auto"/>
                <w:sz w:val="21"/>
                <w:szCs w:val="21"/>
                <w:highlight w:val="none"/>
                <w:lang w:eastAsia="zh-CN"/>
              </w:rPr>
              <w:t>。</w:t>
            </w:r>
          </w:p>
        </w:tc>
      </w:tr>
      <w:tr w14:paraId="49FAA2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48" w:hRule="atLeast"/>
          <w:jc w:val="center"/>
        </w:trPr>
        <w:tc>
          <w:tcPr>
            <w:tcW w:w="1124" w:type="dxa"/>
            <w:vMerge w:val="continue"/>
            <w:tcBorders>
              <w:right w:val="single" w:color="auto" w:sz="4" w:space="0"/>
            </w:tcBorders>
            <w:noWrap w:val="0"/>
            <w:vAlign w:val="center"/>
          </w:tcPr>
          <w:p w14:paraId="2685F8DD">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14:paraId="09D922A7">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eastAsia="宋体" w:cs="宋体"/>
                <w:bCs/>
                <w:color w:val="auto"/>
                <w:sz w:val="21"/>
                <w:szCs w:val="21"/>
                <w:highlight w:val="none"/>
              </w:rPr>
              <w:t>企业获奖</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16</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14:paraId="226860A6">
            <w:pPr>
              <w:keepNext w:val="0"/>
              <w:keepLines w:val="0"/>
              <w:pageBreakBefore w:val="0"/>
              <w:kinsoku/>
              <w:wordWrap/>
              <w:overflowPunct/>
              <w:topLinePunct w:val="0"/>
              <w:bidi w:val="0"/>
              <w:adjustRightInd/>
              <w:snapToGrid/>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自202</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年1月1日至</w:t>
            </w:r>
            <w:r>
              <w:rPr>
                <w:rFonts w:hint="eastAsia" w:ascii="宋体" w:hAnsi="宋体" w:eastAsia="宋体" w:cs="宋体"/>
                <w:color w:val="auto"/>
                <w:kern w:val="2"/>
                <w:sz w:val="21"/>
                <w:szCs w:val="21"/>
                <w:highlight w:val="none"/>
                <w:lang w:eastAsia="zh-CN"/>
              </w:rPr>
              <w:t>投标</w:t>
            </w:r>
            <w:r>
              <w:rPr>
                <w:rFonts w:hint="eastAsia" w:ascii="宋体" w:hAnsi="宋体" w:eastAsia="宋体" w:cs="宋体"/>
                <w:color w:val="auto"/>
                <w:kern w:val="2"/>
                <w:sz w:val="21"/>
                <w:szCs w:val="21"/>
                <w:highlight w:val="none"/>
              </w:rPr>
              <w:t>截止时间</w:t>
            </w:r>
            <w:r>
              <w:rPr>
                <w:rFonts w:hint="eastAsia" w:ascii="宋体" w:hAnsi="宋体" w:eastAsia="宋体" w:cs="宋体"/>
                <w:color w:val="auto"/>
                <w:sz w:val="21"/>
                <w:szCs w:val="21"/>
                <w:highlight w:val="none"/>
              </w:rPr>
              <w:t>监理过质量合格的项目的获奖情况进行评审：</w:t>
            </w:r>
          </w:p>
          <w:p w14:paraId="034BEFED">
            <w:pPr>
              <w:keepNext w:val="0"/>
              <w:keepLines w:val="0"/>
              <w:pageBreakBefore w:val="0"/>
              <w:kinsoku/>
              <w:wordWrap/>
              <w:overflowPunct/>
              <w:topLinePunct w:val="0"/>
              <w:bidi w:val="0"/>
              <w:adjustRightInd/>
              <w:snapToGrid/>
              <w:spacing w:line="240" w:lineRule="auto"/>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获得国家级奖项的，每提供一项得2分</w:t>
            </w:r>
            <w:r>
              <w:rPr>
                <w:rFonts w:hint="eastAsia" w:ascii="宋体" w:hAnsi="宋体" w:cs="宋体"/>
                <w:color w:val="auto"/>
                <w:sz w:val="21"/>
                <w:szCs w:val="21"/>
                <w:highlight w:val="none"/>
                <w:lang w:eastAsia="zh-CN"/>
              </w:rPr>
              <w:t>，</w:t>
            </w:r>
            <w:r>
              <w:rPr>
                <w:rFonts w:hint="eastAsia" w:ascii="宋体" w:hAnsi="宋体" w:cs="宋体"/>
                <w:b w:val="0"/>
                <w:bCs/>
                <w:color w:val="auto"/>
                <w:szCs w:val="21"/>
                <w:highlight w:val="none"/>
              </w:rPr>
              <w:t>本小项最高得</w:t>
            </w:r>
            <w:r>
              <w:rPr>
                <w:rFonts w:hint="eastAsia" w:ascii="宋体" w:hAnsi="宋体" w:cs="宋体"/>
                <w:b w:val="0"/>
                <w:bCs/>
                <w:color w:val="auto"/>
                <w:szCs w:val="21"/>
                <w:highlight w:val="none"/>
                <w:lang w:val="en-US" w:eastAsia="zh-CN"/>
              </w:rPr>
              <w:t>16</w:t>
            </w:r>
            <w:r>
              <w:rPr>
                <w:rFonts w:hint="eastAsia" w:ascii="宋体" w:hAnsi="宋体" w:cs="宋体"/>
                <w:b w:val="0"/>
                <w:bCs/>
                <w:color w:val="auto"/>
                <w:szCs w:val="21"/>
                <w:highlight w:val="none"/>
              </w:rPr>
              <w:t>分</w:t>
            </w:r>
          </w:p>
          <w:p w14:paraId="3B6E4900">
            <w:pPr>
              <w:keepNext w:val="0"/>
              <w:keepLines w:val="0"/>
              <w:pageBreakBefore w:val="0"/>
              <w:kinsoku/>
              <w:wordWrap/>
              <w:overflowPunct/>
              <w:topLinePunct w:val="0"/>
              <w:bidi w:val="0"/>
              <w:adjustRightInd/>
              <w:snapToGrid/>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获得省级奖项的，每提供一项得1分</w:t>
            </w:r>
            <w:r>
              <w:rPr>
                <w:rFonts w:hint="eastAsia" w:ascii="宋体" w:hAnsi="宋体" w:cs="宋体"/>
                <w:color w:val="auto"/>
                <w:sz w:val="21"/>
                <w:szCs w:val="21"/>
                <w:highlight w:val="none"/>
                <w:lang w:eastAsia="zh-CN"/>
              </w:rPr>
              <w:t>，</w:t>
            </w:r>
            <w:r>
              <w:rPr>
                <w:rFonts w:hint="eastAsia" w:ascii="宋体" w:hAnsi="宋体" w:cs="宋体"/>
                <w:b w:val="0"/>
                <w:bCs/>
                <w:color w:val="auto"/>
                <w:szCs w:val="21"/>
                <w:highlight w:val="none"/>
              </w:rPr>
              <w:t>本小项最高得</w:t>
            </w:r>
            <w:r>
              <w:rPr>
                <w:rFonts w:hint="eastAsia" w:ascii="宋体" w:hAnsi="宋体" w:cs="宋体"/>
                <w:b w:val="0"/>
                <w:bCs/>
                <w:color w:val="auto"/>
                <w:szCs w:val="21"/>
                <w:highlight w:val="none"/>
                <w:lang w:val="en-US" w:eastAsia="zh-CN"/>
              </w:rPr>
              <w:t>8</w:t>
            </w:r>
            <w:r>
              <w:rPr>
                <w:rFonts w:hint="eastAsia" w:ascii="宋体" w:hAnsi="宋体" w:cs="宋体"/>
                <w:b w:val="0"/>
                <w:bCs/>
                <w:color w:val="auto"/>
                <w:szCs w:val="21"/>
                <w:highlight w:val="none"/>
              </w:rPr>
              <w:t>分</w:t>
            </w:r>
            <w:r>
              <w:rPr>
                <w:rFonts w:hint="eastAsia" w:ascii="宋体" w:hAnsi="宋体" w:eastAsia="宋体" w:cs="宋体"/>
                <w:color w:val="auto"/>
                <w:sz w:val="21"/>
                <w:szCs w:val="21"/>
                <w:highlight w:val="none"/>
              </w:rPr>
              <w:t>；</w:t>
            </w:r>
          </w:p>
          <w:p w14:paraId="75F4CF2E">
            <w:pPr>
              <w:keepNext w:val="0"/>
              <w:keepLines w:val="0"/>
              <w:pageBreakBefore w:val="0"/>
              <w:kinsoku/>
              <w:wordWrap/>
              <w:overflowPunct/>
              <w:topLinePunct w:val="0"/>
              <w:bidi w:val="0"/>
              <w:adjustRightInd/>
              <w:snapToGrid/>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获得市级奖项的，每提供一项得0.5分</w:t>
            </w:r>
            <w:r>
              <w:rPr>
                <w:rFonts w:hint="eastAsia" w:ascii="宋体" w:hAnsi="宋体" w:cs="宋体"/>
                <w:color w:val="auto"/>
                <w:sz w:val="21"/>
                <w:szCs w:val="21"/>
                <w:highlight w:val="none"/>
                <w:lang w:eastAsia="zh-CN"/>
              </w:rPr>
              <w:t>，</w:t>
            </w:r>
            <w:r>
              <w:rPr>
                <w:rFonts w:hint="eastAsia" w:ascii="宋体" w:hAnsi="宋体" w:cs="宋体"/>
                <w:b w:val="0"/>
                <w:bCs/>
                <w:color w:val="auto"/>
                <w:szCs w:val="21"/>
                <w:highlight w:val="none"/>
              </w:rPr>
              <w:t>本小项最高得</w:t>
            </w:r>
            <w:r>
              <w:rPr>
                <w:rFonts w:hint="eastAsia" w:ascii="宋体" w:hAnsi="宋体" w:cs="宋体"/>
                <w:b w:val="0"/>
                <w:bCs/>
                <w:color w:val="auto"/>
                <w:szCs w:val="21"/>
                <w:highlight w:val="none"/>
                <w:lang w:val="en-US" w:eastAsia="zh-CN"/>
              </w:rPr>
              <w:t>4</w:t>
            </w:r>
            <w:r>
              <w:rPr>
                <w:rFonts w:hint="eastAsia" w:ascii="宋体" w:hAnsi="宋体" w:cs="宋体"/>
                <w:b w:val="0"/>
                <w:bCs/>
                <w:color w:val="auto"/>
                <w:szCs w:val="21"/>
                <w:highlight w:val="none"/>
              </w:rPr>
              <w:t>分</w:t>
            </w:r>
            <w:r>
              <w:rPr>
                <w:rFonts w:hint="eastAsia" w:ascii="宋体" w:hAnsi="宋体" w:eastAsia="宋体" w:cs="宋体"/>
                <w:color w:val="auto"/>
                <w:sz w:val="21"/>
                <w:szCs w:val="21"/>
                <w:highlight w:val="none"/>
              </w:rPr>
              <w:t>；</w:t>
            </w:r>
          </w:p>
          <w:p w14:paraId="6D2CD3D2">
            <w:pPr>
              <w:keepNext w:val="0"/>
              <w:keepLines w:val="0"/>
              <w:pageBreakBefore w:val="0"/>
              <w:kinsoku/>
              <w:wordWrap/>
              <w:overflowPunct/>
              <w:topLinePunct w:val="0"/>
              <w:bidi w:val="0"/>
              <w:adjustRightInd/>
              <w:snapToGrid/>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本项累计最高得</w:t>
            </w:r>
            <w:r>
              <w:rPr>
                <w:rFonts w:hint="eastAsia" w:ascii="宋体" w:hAnsi="宋体" w:cs="宋体"/>
                <w:color w:val="auto"/>
                <w:sz w:val="21"/>
                <w:szCs w:val="21"/>
                <w:highlight w:val="none"/>
                <w:lang w:val="en-US" w:eastAsia="zh-CN"/>
              </w:rPr>
              <w:t>16</w:t>
            </w:r>
            <w:r>
              <w:rPr>
                <w:rFonts w:hint="eastAsia" w:ascii="宋体" w:hAnsi="宋体" w:eastAsia="宋体" w:cs="宋体"/>
                <w:color w:val="auto"/>
                <w:sz w:val="21"/>
                <w:szCs w:val="21"/>
                <w:highlight w:val="none"/>
              </w:rPr>
              <w:t>分。</w:t>
            </w:r>
          </w:p>
          <w:p w14:paraId="5A96474F">
            <w:pPr>
              <w:numPr>
                <w:ilvl w:val="-1"/>
                <w:numId w:val="0"/>
              </w:numPr>
              <w:ind w:left="113" w:leftChars="54" w:right="141" w:rightChars="67" w:firstLine="1" w:firstLineChars="0"/>
              <w:jc w:val="left"/>
              <w:rPr>
                <w:rFonts w:hint="eastAsia" w:ascii="宋体" w:hAnsi="宋体" w:cs="宋体" w:eastAsiaTheme="minorEastAsia"/>
                <w:color w:val="auto"/>
                <w:sz w:val="21"/>
                <w:szCs w:val="21"/>
                <w:highlight w:val="none"/>
                <w:lang w:eastAsia="zh-CN"/>
              </w:rPr>
            </w:pPr>
            <w:r>
              <w:rPr>
                <w:rFonts w:hint="eastAsia" w:ascii="宋体" w:hAnsi="宋体" w:eastAsia="宋体" w:cs="宋体"/>
                <w:color w:val="auto"/>
                <w:sz w:val="21"/>
                <w:szCs w:val="21"/>
                <w:highlight w:val="none"/>
              </w:rPr>
              <w:t>注：</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shd w:val="clear" w:color="auto" w:fill="FFFFFF"/>
              </w:rPr>
              <w:t>人须提供获奖证书。</w:t>
            </w:r>
            <w:r>
              <w:rPr>
                <w:rFonts w:hint="eastAsia" w:ascii="宋体" w:hAnsi="宋体" w:eastAsia="宋体" w:cs="宋体"/>
                <w:color w:val="auto"/>
                <w:sz w:val="21"/>
                <w:szCs w:val="21"/>
                <w:highlight w:val="none"/>
              </w:rPr>
              <w:t>国家级奖指国家级奖项指中国建设工程鲁班奖、国家优质工程金奖、国家优质工程奖、中国土木工程詹天佑奖等国家级工程质量奖项；省级或市级奖项是指由建设行政主管部门或行业协会或学会颁发（行业协会或学会须在民政部门备案）的工程质量奖项。</w:t>
            </w:r>
            <w:r>
              <w:rPr>
                <w:rFonts w:hint="eastAsia" w:ascii="宋体" w:hAnsi="宋体" w:eastAsia="宋体" w:cs="宋体"/>
                <w:color w:val="auto"/>
                <w:sz w:val="21"/>
                <w:szCs w:val="21"/>
                <w:highlight w:val="none"/>
                <w:shd w:val="clear" w:color="auto" w:fill="FFFFFF"/>
                <w:lang w:eastAsia="zh-CN"/>
              </w:rPr>
              <w:t>只评质量奖项，不包含安全文明、技术创新、QC成果、科技进步及技术应用类等奖项，</w:t>
            </w:r>
            <w:r>
              <w:rPr>
                <w:rFonts w:hint="eastAsia" w:ascii="宋体" w:hAnsi="宋体" w:eastAsia="宋体" w:cs="宋体"/>
                <w:color w:val="auto"/>
                <w:sz w:val="21"/>
                <w:szCs w:val="21"/>
                <w:highlight w:val="none"/>
                <w:shd w:val="clear" w:color="auto" w:fill="FFFFFF"/>
              </w:rPr>
              <w:t>其他非</w:t>
            </w:r>
            <w:r>
              <w:rPr>
                <w:rFonts w:hint="eastAsia" w:ascii="宋体" w:hAnsi="宋体" w:eastAsia="宋体" w:cs="宋体"/>
                <w:color w:val="auto"/>
                <w:sz w:val="21"/>
                <w:szCs w:val="21"/>
                <w:highlight w:val="none"/>
              </w:rPr>
              <w:t>房屋建筑工程</w:t>
            </w:r>
            <w:r>
              <w:rPr>
                <w:rFonts w:hint="eastAsia" w:ascii="宋体" w:hAnsi="宋体" w:eastAsia="宋体" w:cs="宋体"/>
                <w:color w:val="auto"/>
                <w:sz w:val="21"/>
                <w:szCs w:val="21"/>
                <w:highlight w:val="none"/>
                <w:shd w:val="clear" w:color="auto" w:fill="FFFFFF"/>
              </w:rPr>
              <w:t>，如：</w:t>
            </w:r>
            <w:r>
              <w:rPr>
                <w:rFonts w:hint="eastAsia" w:ascii="宋体" w:hAnsi="宋体" w:eastAsia="宋体" w:cs="宋体"/>
                <w:color w:val="auto"/>
                <w:sz w:val="21"/>
                <w:szCs w:val="21"/>
                <w:highlight w:val="none"/>
                <w:shd w:val="clear" w:color="auto" w:fill="FFFFFF"/>
                <w:lang w:eastAsia="zh-CN"/>
              </w:rPr>
              <w:t>市政、</w:t>
            </w:r>
            <w:r>
              <w:rPr>
                <w:rFonts w:hint="eastAsia" w:ascii="宋体" w:hAnsi="宋体" w:eastAsia="宋体" w:cs="宋体"/>
                <w:color w:val="auto"/>
                <w:sz w:val="21"/>
                <w:szCs w:val="21"/>
                <w:highlight w:val="none"/>
                <w:shd w:val="clear" w:color="auto" w:fill="FFFFFF"/>
                <w:lang w:val="en-US" w:eastAsia="zh-CN"/>
              </w:rPr>
              <w:t>公路、桥梁、</w:t>
            </w:r>
            <w:r>
              <w:rPr>
                <w:rFonts w:hint="eastAsia" w:ascii="宋体" w:hAnsi="宋体" w:eastAsia="宋体" w:cs="宋体"/>
                <w:color w:val="auto"/>
                <w:sz w:val="21"/>
                <w:szCs w:val="21"/>
                <w:highlight w:val="none"/>
                <w:shd w:val="clear" w:color="auto" w:fill="FFFFFF"/>
              </w:rPr>
              <w:t>铁路、水利</w:t>
            </w:r>
            <w:r>
              <w:rPr>
                <w:rFonts w:hint="eastAsia" w:ascii="宋体" w:hAnsi="宋体" w:eastAsia="宋体" w:cs="宋体"/>
                <w:color w:val="auto"/>
                <w:sz w:val="21"/>
                <w:szCs w:val="21"/>
                <w:highlight w:val="none"/>
                <w:shd w:val="clear" w:color="auto" w:fill="FFFFFF"/>
                <w:lang w:eastAsia="zh-CN"/>
              </w:rPr>
              <w:t>、电力</w:t>
            </w:r>
            <w:r>
              <w:rPr>
                <w:rFonts w:hint="eastAsia" w:ascii="宋体" w:hAnsi="宋体" w:eastAsia="宋体" w:cs="宋体"/>
                <w:color w:val="auto"/>
                <w:sz w:val="21"/>
                <w:szCs w:val="21"/>
                <w:highlight w:val="none"/>
                <w:shd w:val="clear" w:color="auto" w:fill="FFFFFF"/>
              </w:rPr>
              <w:t>等获奖不</w:t>
            </w:r>
            <w:r>
              <w:rPr>
                <w:rFonts w:hint="eastAsia" w:ascii="宋体" w:hAnsi="宋体" w:eastAsia="宋体" w:cs="宋体"/>
                <w:color w:val="auto"/>
                <w:sz w:val="21"/>
                <w:szCs w:val="21"/>
                <w:highlight w:val="none"/>
                <w:shd w:val="clear" w:color="auto" w:fill="FFFFFF"/>
                <w:lang w:val="en-US" w:eastAsia="zh-CN"/>
              </w:rPr>
              <w:t>予计算</w:t>
            </w:r>
            <w:r>
              <w:rPr>
                <w:rFonts w:hint="eastAsia" w:ascii="宋体" w:hAnsi="宋体" w:eastAsia="宋体" w:cs="宋体"/>
                <w:color w:val="auto"/>
                <w:sz w:val="21"/>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rPr>
              <w:t>时间以获奖证书发证日期为准，获奖已经公示但未获得证书的不予计算。同一项目按最高级别奖项只计一次得分。获奖单位须与</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shd w:val="clear" w:color="auto" w:fill="FFFFFF"/>
              </w:rPr>
              <w:t>名称一致，子、分公司均不予计算。</w:t>
            </w:r>
          </w:p>
        </w:tc>
      </w:tr>
      <w:tr w14:paraId="5146B8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3" w:hRule="atLeast"/>
          <w:jc w:val="center"/>
        </w:trPr>
        <w:tc>
          <w:tcPr>
            <w:tcW w:w="1124" w:type="dxa"/>
            <w:vMerge w:val="continue"/>
            <w:tcBorders>
              <w:right w:val="single" w:color="auto" w:sz="4" w:space="0"/>
            </w:tcBorders>
            <w:noWrap w:val="0"/>
            <w:vAlign w:val="center"/>
          </w:tcPr>
          <w:p w14:paraId="55BAD053">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14:paraId="28A066B8">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团队</w:t>
            </w:r>
            <w:r>
              <w:rPr>
                <w:rFonts w:hint="eastAsia" w:ascii="宋体" w:hAnsi="宋体" w:eastAsia="宋体" w:cs="宋体"/>
                <w:color w:val="auto"/>
                <w:sz w:val="21"/>
                <w:szCs w:val="21"/>
                <w:highlight w:val="none"/>
              </w:rPr>
              <w:t>管理能力</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14:paraId="44C17B79">
            <w:pPr>
              <w:keepNext w:val="0"/>
              <w:keepLines w:val="0"/>
              <w:pageBreakBefore w:val="0"/>
              <w:numPr>
                <w:ilvl w:val="0"/>
                <w:numId w:val="0"/>
              </w:numPr>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bCs/>
                <w:color w:val="auto"/>
                <w:sz w:val="21"/>
                <w:szCs w:val="21"/>
                <w:highlight w:val="none"/>
              </w:rPr>
              <w:t>拟</w:t>
            </w:r>
            <w:r>
              <w:rPr>
                <w:rFonts w:hint="eastAsia" w:ascii="宋体" w:hAnsi="宋体" w:eastAsia="宋体" w:cs="宋体"/>
                <w:bCs/>
                <w:color w:val="auto"/>
                <w:sz w:val="21"/>
                <w:szCs w:val="21"/>
                <w:highlight w:val="none"/>
                <w:lang w:val="en-US" w:eastAsia="zh-CN"/>
              </w:rPr>
              <w:t>派造价工程师</w:t>
            </w:r>
            <w:r>
              <w:rPr>
                <w:rFonts w:hint="eastAsia" w:ascii="宋体" w:hAnsi="宋体" w:eastAsia="宋体" w:cs="宋体"/>
                <w:color w:val="auto"/>
                <w:sz w:val="21"/>
                <w:szCs w:val="21"/>
                <w:highlight w:val="none"/>
                <w:lang w:val="en-US" w:eastAsia="zh-CN"/>
              </w:rPr>
              <w:t>取得</w:t>
            </w:r>
            <w:r>
              <w:rPr>
                <w:rFonts w:hint="eastAsia" w:ascii="宋体" w:hAnsi="宋体" w:eastAsia="宋体" w:cs="宋体"/>
                <w:i w:val="0"/>
                <w:iCs w:val="0"/>
                <w:color w:val="auto"/>
                <w:kern w:val="0"/>
                <w:sz w:val="21"/>
                <w:szCs w:val="21"/>
                <w:highlight w:val="none"/>
                <w:u w:val="none"/>
                <w:lang w:val="en-US" w:eastAsia="zh-CN" w:bidi="ar"/>
              </w:rPr>
              <w:t>注册造价工程师或注册一级造价工程师（土木建筑工程专业）的</w:t>
            </w:r>
            <w:r>
              <w:rPr>
                <w:rFonts w:hint="eastAsia" w:ascii="宋体" w:hAnsi="宋体" w:eastAsia="宋体" w:cs="宋体"/>
                <w:color w:val="auto"/>
                <w:sz w:val="21"/>
                <w:szCs w:val="21"/>
                <w:highlight w:val="none"/>
              </w:rPr>
              <w:t>得2分</w:t>
            </w:r>
            <w:r>
              <w:rPr>
                <w:rFonts w:hint="eastAsia" w:ascii="宋体" w:hAnsi="宋体" w:eastAsia="宋体" w:cs="宋体"/>
                <w:color w:val="auto"/>
                <w:sz w:val="21"/>
                <w:szCs w:val="21"/>
                <w:highlight w:val="none"/>
                <w:lang w:val="en-US" w:eastAsia="zh-CN"/>
              </w:rPr>
              <w:t>,最高得2分</w:t>
            </w:r>
            <w:r>
              <w:rPr>
                <w:rFonts w:hint="eastAsia" w:ascii="宋体" w:hAnsi="宋体" w:eastAsia="宋体" w:cs="宋体"/>
                <w:color w:val="auto"/>
                <w:sz w:val="21"/>
                <w:szCs w:val="21"/>
                <w:highlight w:val="none"/>
              </w:rPr>
              <w:t>。</w:t>
            </w:r>
          </w:p>
          <w:p w14:paraId="5C000C31">
            <w:pPr>
              <w:keepNext w:val="0"/>
              <w:keepLines w:val="0"/>
              <w:pageBreakBefore w:val="0"/>
              <w:numPr>
                <w:ilvl w:val="0"/>
                <w:numId w:val="0"/>
              </w:numPr>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bCs/>
                <w:color w:val="auto"/>
                <w:sz w:val="21"/>
                <w:szCs w:val="21"/>
                <w:highlight w:val="none"/>
              </w:rPr>
              <w:t>拟</w:t>
            </w:r>
            <w:r>
              <w:rPr>
                <w:rFonts w:hint="eastAsia" w:ascii="宋体" w:hAnsi="宋体" w:cs="宋体"/>
                <w:bCs/>
                <w:color w:val="auto"/>
                <w:sz w:val="21"/>
                <w:szCs w:val="21"/>
                <w:highlight w:val="none"/>
                <w:lang w:val="en-US" w:eastAsia="zh-CN"/>
              </w:rPr>
              <w:t>派人员</w:t>
            </w:r>
            <w:r>
              <w:rPr>
                <w:rFonts w:hint="eastAsia"/>
                <w:b w:val="0"/>
                <w:bCs/>
                <w:color w:val="auto"/>
                <w:highlight w:val="none"/>
                <w:lang w:val="en-US" w:eastAsia="zh-CN"/>
              </w:rPr>
              <w:t>具备注册</w:t>
            </w:r>
            <w:r>
              <w:rPr>
                <w:rFonts w:hint="eastAsia"/>
                <w:b w:val="0"/>
                <w:bCs/>
                <w:color w:val="auto"/>
                <w:highlight w:val="none"/>
              </w:rPr>
              <w:t>监理工程师</w:t>
            </w:r>
            <w:r>
              <w:rPr>
                <w:rFonts w:hint="eastAsia"/>
                <w:b w:val="0"/>
                <w:bCs/>
                <w:color w:val="auto"/>
                <w:highlight w:val="none"/>
                <w:lang w:val="en-US" w:eastAsia="zh-CN"/>
              </w:rPr>
              <w:t>资格</w:t>
            </w:r>
            <w:r>
              <w:rPr>
                <w:rFonts w:hint="eastAsia"/>
                <w:b w:val="0"/>
                <w:bCs/>
                <w:color w:val="auto"/>
                <w:highlight w:val="none"/>
              </w:rPr>
              <w:t>或</w:t>
            </w:r>
            <w:r>
              <w:rPr>
                <w:rFonts w:hint="eastAsia" w:ascii="宋体" w:hAnsi="宋体" w:cs="宋体"/>
                <w:b w:val="0"/>
                <w:bCs/>
                <w:color w:val="auto"/>
                <w:szCs w:val="21"/>
                <w:highlight w:val="none"/>
              </w:rPr>
              <w:t>高级（或以上）职称</w:t>
            </w:r>
            <w:r>
              <w:rPr>
                <w:rFonts w:hint="eastAsia" w:ascii="宋体" w:hAnsi="宋体" w:eastAsia="宋体" w:cs="宋体"/>
                <w:i w:val="0"/>
                <w:iCs w:val="0"/>
                <w:color w:val="auto"/>
                <w:kern w:val="0"/>
                <w:sz w:val="21"/>
                <w:szCs w:val="21"/>
                <w:highlight w:val="none"/>
                <w:u w:val="none"/>
                <w:lang w:val="en-US" w:eastAsia="zh-CN" w:bidi="ar"/>
              </w:rPr>
              <w:t>的</w:t>
            </w:r>
            <w:r>
              <w:rPr>
                <w:rFonts w:hint="eastAsia" w:ascii="宋体" w:hAnsi="宋体" w:cs="宋体"/>
                <w:i w:val="0"/>
                <w:iCs w:val="0"/>
                <w:color w:val="auto"/>
                <w:kern w:val="0"/>
                <w:sz w:val="21"/>
                <w:szCs w:val="21"/>
                <w:highlight w:val="none"/>
                <w:u w:val="none"/>
                <w:lang w:val="en-US" w:eastAsia="zh-CN" w:bidi="ar"/>
              </w:rPr>
              <w:t>，每1人</w:t>
            </w:r>
            <w:r>
              <w:rPr>
                <w:rFonts w:hint="eastAsia" w:ascii="宋体" w:hAnsi="宋体" w:eastAsia="宋体" w:cs="宋体"/>
                <w:color w:val="auto"/>
                <w:sz w:val="21"/>
                <w:szCs w:val="21"/>
                <w:highlight w:val="none"/>
              </w:rPr>
              <w:t>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,最高得2分</w:t>
            </w:r>
            <w:r>
              <w:rPr>
                <w:rFonts w:hint="eastAsia" w:ascii="宋体" w:hAnsi="宋体" w:eastAsia="宋体" w:cs="宋体"/>
                <w:color w:val="auto"/>
                <w:sz w:val="21"/>
                <w:szCs w:val="21"/>
                <w:highlight w:val="none"/>
              </w:rPr>
              <w:t>。</w:t>
            </w:r>
          </w:p>
          <w:p w14:paraId="0914D48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注：</w:t>
            </w:r>
            <w:r>
              <w:rPr>
                <w:rFonts w:hint="eastAsia" w:ascii="宋体" w:hAnsi="宋体" w:eastAsia="宋体" w:cs="宋体"/>
                <w:bCs/>
                <w:color w:val="auto"/>
                <w:sz w:val="21"/>
                <w:szCs w:val="21"/>
                <w:highlight w:val="none"/>
                <w:lang w:eastAsia="zh-CN"/>
              </w:rPr>
              <w:t>投标</w:t>
            </w:r>
            <w:r>
              <w:rPr>
                <w:rFonts w:hint="eastAsia" w:ascii="宋体" w:hAnsi="宋体" w:eastAsia="宋体" w:cs="宋体"/>
                <w:bCs/>
                <w:color w:val="auto"/>
                <w:sz w:val="21"/>
                <w:szCs w:val="21"/>
                <w:highlight w:val="none"/>
              </w:rPr>
              <w:t>人须同时提供造价工程师执业资格证书、造价工程师注册证书且注册在</w:t>
            </w:r>
            <w:r>
              <w:rPr>
                <w:rFonts w:hint="eastAsia" w:ascii="宋体" w:hAnsi="宋体" w:eastAsia="宋体" w:cs="宋体"/>
                <w:bCs/>
                <w:color w:val="auto"/>
                <w:sz w:val="21"/>
                <w:szCs w:val="21"/>
                <w:highlight w:val="none"/>
                <w:lang w:eastAsia="zh-CN"/>
              </w:rPr>
              <w:t>投标</w:t>
            </w:r>
            <w:r>
              <w:rPr>
                <w:rFonts w:hint="eastAsia" w:ascii="宋体" w:hAnsi="宋体" w:eastAsia="宋体" w:cs="宋体"/>
                <w:bCs/>
                <w:color w:val="auto"/>
                <w:sz w:val="21"/>
                <w:szCs w:val="21"/>
                <w:highlight w:val="none"/>
              </w:rPr>
              <w:t>人单位、</w:t>
            </w:r>
            <w:r>
              <w:rPr>
                <w:rFonts w:hint="eastAsia" w:ascii="宋体" w:hAnsi="宋体" w:eastAsia="宋体" w:cs="宋体"/>
                <w:color w:val="auto"/>
                <w:sz w:val="21"/>
                <w:szCs w:val="21"/>
                <w:highlight w:val="none"/>
                <w:lang w:eastAsia="zh-CN"/>
              </w:rPr>
              <w:t>全国建筑市场监管公共服务平台（四库一平台）</w:t>
            </w:r>
            <w:r>
              <w:rPr>
                <w:rFonts w:hint="eastAsia" w:ascii="宋体" w:hAnsi="宋体" w:eastAsia="宋体" w:cs="宋体"/>
                <w:color w:val="auto"/>
                <w:sz w:val="21"/>
                <w:szCs w:val="21"/>
                <w:highlight w:val="none"/>
                <w:lang w:val="en-US" w:eastAsia="zh-CN"/>
              </w:rPr>
              <w:t>查询网页截图“https://jzsc.mohurd.gov.cn/data/person”</w:t>
            </w:r>
          </w:p>
          <w:p w14:paraId="70BE1B1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注册造价工程师指根据原人事部、原建设部发布的《造价工程师执业资格制度暂行规定》（人发〔1996〕77号）取得的造价工程师执业资格，并经注册且在有效期内，等同于注册一级造价工程师；注册一级造价工程师资格指根据住房城乡建设部、交通运输部、水利部、人力资源社会保障部发布的《造价工程师职业资格制度规定》《造价工程师职业资格考试实施办法》（建人〔2018〕]67号）取得的一级造价工程师职业资格，并经注册且在有效期内。</w:t>
            </w:r>
          </w:p>
          <w:p w14:paraId="567E24C1">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eastAsia="宋体" w:cs="宋体"/>
                <w:bCs/>
                <w:color w:val="auto"/>
                <w:sz w:val="21"/>
                <w:szCs w:val="21"/>
                <w:highlight w:val="none"/>
              </w:rPr>
              <w:t>香港专业人士的备案业务范围依据《广东省住房和城乡建设厅关于印发香港工程建设咨询企业和专业人士在粤港澳大湾区内地城市开业执业试点管理暂行办法的通知》（粤建规范〔2020〕1号）确定），在广东省住房和城乡建设主管部门备案且备案的业务范围相当于注册一级造价工程师的香港专业人士。</w:t>
            </w:r>
          </w:p>
        </w:tc>
      </w:tr>
      <w:tr w14:paraId="2C75BA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66" w:hRule="atLeast"/>
          <w:jc w:val="center"/>
        </w:trPr>
        <w:tc>
          <w:tcPr>
            <w:tcW w:w="1124" w:type="dxa"/>
            <w:vMerge w:val="continue"/>
            <w:tcBorders>
              <w:right w:val="single" w:color="auto" w:sz="4" w:space="0"/>
            </w:tcBorders>
            <w:noWrap w:val="0"/>
            <w:vAlign w:val="center"/>
          </w:tcPr>
          <w:p w14:paraId="4DCDD839">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14:paraId="7CA4FD00">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eastAsia="宋体" w:cs="宋体"/>
                <w:b w:val="0"/>
                <w:bCs/>
                <w:color w:val="auto"/>
                <w:kern w:val="2"/>
                <w:sz w:val="21"/>
                <w:szCs w:val="21"/>
                <w:highlight w:val="none"/>
                <w:u w:val="none"/>
                <w:lang w:val="en-US" w:eastAsia="zh-CN" w:bidi="ar-SA"/>
              </w:rPr>
              <w:t>A级纳税人称号</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6</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14:paraId="3FCABE2C">
            <w:pPr>
              <w:pStyle w:val="9"/>
              <w:keepNext w:val="0"/>
              <w:keepLines w:val="0"/>
              <w:pageBreakBefore w:val="0"/>
              <w:widowControl w:val="0"/>
              <w:kinsoku/>
              <w:wordWrap/>
              <w:overflowPunct/>
              <w:topLinePunct w:val="0"/>
              <w:autoSpaceDE/>
              <w:autoSpaceDN/>
              <w:bidi w:val="0"/>
              <w:adjustRightInd/>
              <w:snapToGrid/>
              <w:spacing w:beforeLines="0" w:afterLines="0" w:line="240" w:lineRule="auto"/>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投标人连续获得“纳税信用A级纳税人”称号（含最近评审年度2023年度）：</w:t>
            </w:r>
          </w:p>
          <w:p w14:paraId="0D24AC28">
            <w:pPr>
              <w:pStyle w:val="9"/>
              <w:keepNext w:val="0"/>
              <w:keepLines w:val="0"/>
              <w:pageBreakBefore w:val="0"/>
              <w:widowControl w:val="0"/>
              <w:kinsoku/>
              <w:wordWrap/>
              <w:overflowPunct/>
              <w:topLinePunct w:val="0"/>
              <w:autoSpaceDE/>
              <w:autoSpaceDN/>
              <w:bidi w:val="0"/>
              <w:adjustRightInd/>
              <w:snapToGrid/>
              <w:spacing w:beforeLines="0" w:afterLines="0" w:line="240" w:lineRule="auto"/>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1.连续获得5个年度或以上的，得6分。</w:t>
            </w:r>
          </w:p>
          <w:p w14:paraId="40F7A4E0">
            <w:pPr>
              <w:pStyle w:val="9"/>
              <w:keepNext w:val="0"/>
              <w:keepLines w:val="0"/>
              <w:pageBreakBefore w:val="0"/>
              <w:widowControl w:val="0"/>
              <w:kinsoku/>
              <w:wordWrap/>
              <w:overflowPunct/>
              <w:topLinePunct w:val="0"/>
              <w:autoSpaceDE/>
              <w:autoSpaceDN/>
              <w:bidi w:val="0"/>
              <w:adjustRightInd/>
              <w:snapToGrid/>
              <w:spacing w:beforeLines="0" w:afterLines="0" w:line="240" w:lineRule="auto"/>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2.连续获得3-4个年度的，得3分。</w:t>
            </w:r>
          </w:p>
          <w:p w14:paraId="3B24D07F">
            <w:pPr>
              <w:pStyle w:val="9"/>
              <w:keepNext w:val="0"/>
              <w:keepLines w:val="0"/>
              <w:pageBreakBefore w:val="0"/>
              <w:widowControl w:val="0"/>
              <w:kinsoku/>
              <w:wordWrap/>
              <w:overflowPunct/>
              <w:topLinePunct w:val="0"/>
              <w:autoSpaceDE/>
              <w:autoSpaceDN/>
              <w:bidi w:val="0"/>
              <w:adjustRightInd/>
              <w:snapToGrid/>
              <w:spacing w:beforeLines="0" w:afterLines="0" w:line="240" w:lineRule="auto"/>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 xml:space="preserve">3.连续获得1-2个年度的，得1分。 </w:t>
            </w:r>
          </w:p>
          <w:p w14:paraId="4AE485C9">
            <w:pPr>
              <w:pStyle w:val="9"/>
              <w:keepNext w:val="0"/>
              <w:keepLines w:val="0"/>
              <w:pageBreakBefore w:val="0"/>
              <w:widowControl w:val="0"/>
              <w:kinsoku/>
              <w:wordWrap/>
              <w:overflowPunct/>
              <w:topLinePunct w:val="0"/>
              <w:autoSpaceDE/>
              <w:autoSpaceDN/>
              <w:bidi w:val="0"/>
              <w:adjustRightInd/>
              <w:snapToGrid/>
              <w:spacing w:beforeLines="0" w:afterLines="0" w:line="240" w:lineRule="auto"/>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本项最多得5分，不满足前述要求者，得0分。</w:t>
            </w:r>
          </w:p>
          <w:p w14:paraId="333F6BB6">
            <w:pPr>
              <w:ind w:left="113" w:leftChars="54" w:right="141" w:rightChars="67" w:firstLine="1" w:firstLineChars="0"/>
              <w:jc w:val="left"/>
              <w:rPr>
                <w:rFonts w:hint="eastAsia" w:ascii="宋体" w:hAnsi="宋体" w:eastAsia="宋体" w:cs="宋体"/>
                <w:color w:val="auto"/>
                <w:sz w:val="21"/>
                <w:szCs w:val="21"/>
                <w:highlight w:val="none"/>
              </w:rPr>
            </w:pPr>
            <w:r>
              <w:rPr>
                <w:rFonts w:hint="eastAsia" w:ascii="宋体" w:hAnsi="宋体" w:eastAsia="宋体" w:cs="宋体"/>
                <w:bCs/>
                <w:color w:val="auto"/>
                <w:kern w:val="2"/>
                <w:sz w:val="21"/>
                <w:szCs w:val="21"/>
                <w:highlight w:val="none"/>
                <w:lang w:val="en-US" w:eastAsia="zh-CN" w:bidi="ar-SA"/>
              </w:rPr>
              <w:t>注：投标人须提交纳税信用A级纳税人证书扫描件或者省级或以上国家税务局官网（含在国家税务局官网单列的城市）纳税信用信息查询结果（查询结果只计算投标人自身，不计算投标人的分公司、子公司和分支机构）的网页截图，并加盖投标单位电子印章。不符合上述条件或未按要求提供上述资料或无加盖投标单位电子印章的不计分。时间以评价（评定）年度为准。</w:t>
            </w:r>
          </w:p>
        </w:tc>
      </w:tr>
      <w:tr w14:paraId="783214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6" w:hRule="atLeast"/>
          <w:jc w:val="center"/>
        </w:trPr>
        <w:tc>
          <w:tcPr>
            <w:tcW w:w="1124" w:type="dxa"/>
            <w:vMerge w:val="restart"/>
            <w:tcBorders>
              <w:top w:val="single" w:color="auto" w:sz="4" w:space="0"/>
              <w:right w:val="single" w:color="auto" w:sz="4" w:space="0"/>
            </w:tcBorders>
            <w:noWrap w:val="0"/>
            <w:vAlign w:val="center"/>
          </w:tcPr>
          <w:p w14:paraId="28486A3F">
            <w:pPr>
              <w:ind w:left="113" w:leftChars="54" w:right="141" w:rightChars="67" w:firstLine="1"/>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技术部分（</w:t>
            </w:r>
            <w:r>
              <w:rPr>
                <w:rFonts w:hint="eastAsia" w:ascii="宋体" w:hAnsi="宋体" w:cs="宋体"/>
                <w:color w:val="auto"/>
                <w:sz w:val="21"/>
                <w:szCs w:val="21"/>
                <w:highlight w:val="none"/>
              </w:rPr>
              <w:t>监理大纲</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0分）</w:t>
            </w:r>
          </w:p>
        </w:tc>
        <w:tc>
          <w:tcPr>
            <w:tcW w:w="1863" w:type="dxa"/>
            <w:tcBorders>
              <w:top w:val="single" w:color="auto" w:sz="4" w:space="0"/>
              <w:left w:val="single" w:color="auto" w:sz="4" w:space="0"/>
              <w:bottom w:val="single" w:color="auto" w:sz="4" w:space="0"/>
              <w:right w:val="single" w:color="auto" w:sz="4" w:space="0"/>
            </w:tcBorders>
            <w:noWrap w:val="0"/>
            <w:vAlign w:val="center"/>
          </w:tcPr>
          <w:p w14:paraId="411D2E7C">
            <w:pPr>
              <w:ind w:left="113" w:leftChars="54" w:right="141" w:rightChars="67" w:firstLine="1" w:firstLineChars="0"/>
              <w:jc w:val="left"/>
              <w:rPr>
                <w:rFonts w:hint="eastAsia" w:ascii="宋体" w:hAnsi="宋体" w:cs="宋体"/>
                <w:strike/>
                <w:color w:val="auto"/>
                <w:sz w:val="21"/>
                <w:szCs w:val="21"/>
                <w:highlight w:val="none"/>
              </w:rPr>
            </w:pPr>
            <w:r>
              <w:rPr>
                <w:rFonts w:hint="eastAsia" w:ascii="宋体" w:hAnsi="宋体" w:eastAsia="宋体" w:cs="宋体"/>
                <w:color w:val="auto"/>
                <w:kern w:val="0"/>
                <w:sz w:val="21"/>
                <w:szCs w:val="21"/>
                <w:highlight w:val="none"/>
                <w:lang w:bidi="ar"/>
              </w:rPr>
              <w:t>项目监理工作实施方案</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vAlign w:val="center"/>
          </w:tcPr>
          <w:p w14:paraId="7C7D4267">
            <w:pPr>
              <w:pStyle w:val="5"/>
              <w:keepNext w:val="0"/>
              <w:keepLines w:val="0"/>
              <w:pageBreakBefore w:val="0"/>
              <w:widowControl/>
              <w:kinsoku/>
              <w:wordWrap/>
              <w:overflowPunct/>
              <w:topLinePunct w:val="0"/>
              <w:autoSpaceDE/>
              <w:autoSpaceDN/>
              <w:bidi w:val="0"/>
              <w:adjustRightInd/>
              <w:snapToGrid/>
              <w:spacing w:line="240" w:lineRule="auto"/>
              <w:ind w:left="0" w:firstLine="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提供的项目监理工作实施方案的具体可操作性，是否科学、合理、可行、优化、详尽，关键节点把握程度进行综合评审：</w:t>
            </w:r>
          </w:p>
          <w:p w14:paraId="5E2D6159">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1</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rPr>
              <w:t>实施方案非常全面、具体、合理，可操作性强，并能有效把握关键节点工作，得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10分；</w:t>
            </w:r>
          </w:p>
          <w:p w14:paraId="1BD60C14">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rPr>
              <w:t>实施方案较全面、具体、合理，可操作性较强，并能把握关键节点工作，得</w:t>
            </w:r>
            <w:r>
              <w:rPr>
                <w:rFonts w:hint="eastAsia" w:ascii="宋体" w:hAnsi="宋体" w:eastAsia="宋体" w:cs="宋体"/>
                <w:color w:val="auto"/>
                <w:sz w:val="21"/>
                <w:szCs w:val="21"/>
                <w:highlight w:val="none"/>
                <w:lang w:val="en-US" w:eastAsia="zh-CN"/>
              </w:rPr>
              <w:t>5-7</w:t>
            </w:r>
            <w:r>
              <w:rPr>
                <w:rFonts w:hint="eastAsia" w:ascii="宋体" w:hAnsi="宋体" w:eastAsia="宋体" w:cs="宋体"/>
                <w:color w:val="auto"/>
                <w:sz w:val="21"/>
                <w:szCs w:val="21"/>
                <w:highlight w:val="none"/>
              </w:rPr>
              <w:t>分；</w:t>
            </w:r>
          </w:p>
          <w:p w14:paraId="7E335DF7">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rPr>
              <w:t>实施方案全面性、合理性以及可操作性一般，但能基本把握关键节点工作，得</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分；</w:t>
            </w:r>
          </w:p>
          <w:p w14:paraId="173E2D48">
            <w:pPr>
              <w:ind w:left="0" w:leftChars="0" w:right="141" w:rightChars="67" w:firstLine="0" w:firstLineChars="0"/>
              <w:jc w:val="left"/>
              <w:rPr>
                <w:rFonts w:hint="eastAsia" w:ascii="宋体" w:hAnsi="宋体" w:cs="宋体"/>
                <w:strike/>
                <w:color w:val="auto"/>
                <w:sz w:val="21"/>
                <w:szCs w:val="21"/>
                <w:highlight w:val="none"/>
              </w:rPr>
            </w:pPr>
            <w:r>
              <w:rPr>
                <w:rFonts w:hint="eastAsia" w:ascii="宋体" w:hAnsi="宋体" w:eastAsia="宋体" w:cs="宋体"/>
                <w:bCs/>
                <w:color w:val="auto"/>
                <w:kern w:val="2"/>
                <w:sz w:val="21"/>
                <w:szCs w:val="21"/>
                <w:highlight w:val="none"/>
                <w:lang w:val="en-US" w:eastAsia="zh-CN" w:bidi="ar-SA"/>
              </w:rPr>
              <w:t>4、不满足前述要求者</w:t>
            </w:r>
            <w:r>
              <w:rPr>
                <w:rFonts w:hint="eastAsia" w:ascii="宋体" w:hAnsi="宋体" w:cs="宋体"/>
                <w:bCs/>
                <w:color w:val="auto"/>
                <w:kern w:val="2"/>
                <w:sz w:val="21"/>
                <w:szCs w:val="21"/>
                <w:highlight w:val="none"/>
                <w:lang w:val="en-US" w:eastAsia="zh-CN" w:bidi="ar-SA"/>
              </w:rPr>
              <w:t>，不得分</w:t>
            </w:r>
            <w:r>
              <w:rPr>
                <w:rFonts w:hint="eastAsia" w:ascii="宋体" w:hAnsi="宋体" w:eastAsia="宋体" w:cs="宋体"/>
                <w:bCs/>
                <w:color w:val="auto"/>
                <w:kern w:val="2"/>
                <w:sz w:val="21"/>
                <w:szCs w:val="21"/>
                <w:highlight w:val="none"/>
                <w:lang w:val="en-US" w:eastAsia="zh-CN" w:bidi="ar-SA"/>
              </w:rPr>
              <w:t>。</w:t>
            </w:r>
          </w:p>
        </w:tc>
      </w:tr>
      <w:tr w14:paraId="098BCA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6" w:hRule="atLeast"/>
          <w:jc w:val="center"/>
        </w:trPr>
        <w:tc>
          <w:tcPr>
            <w:tcW w:w="1124" w:type="dxa"/>
            <w:vMerge w:val="continue"/>
            <w:tcBorders>
              <w:right w:val="single" w:color="auto" w:sz="4" w:space="0"/>
            </w:tcBorders>
            <w:noWrap w:val="0"/>
            <w:vAlign w:val="center"/>
          </w:tcPr>
          <w:p w14:paraId="6C935A07">
            <w:pPr>
              <w:ind w:left="113" w:leftChars="54" w:right="141" w:rightChars="67" w:firstLine="1"/>
              <w:jc w:val="left"/>
              <w:rPr>
                <w:rFonts w:hint="eastAsia" w:ascii="宋体" w:hAnsi="宋体" w:cs="宋体"/>
                <w:color w:val="auto"/>
                <w:sz w:val="21"/>
                <w:szCs w:val="21"/>
                <w:highlight w:val="none"/>
              </w:rPr>
            </w:pPr>
          </w:p>
        </w:tc>
        <w:tc>
          <w:tcPr>
            <w:tcW w:w="1863" w:type="dxa"/>
            <w:tcBorders>
              <w:top w:val="single" w:color="auto" w:sz="4" w:space="0"/>
              <w:left w:val="single" w:color="auto" w:sz="4" w:space="0"/>
              <w:bottom w:val="single" w:color="auto" w:sz="4" w:space="0"/>
              <w:right w:val="single" w:color="auto" w:sz="4" w:space="0"/>
            </w:tcBorders>
            <w:noWrap w:val="0"/>
            <w:vAlign w:val="center"/>
          </w:tcPr>
          <w:p w14:paraId="330EA9CA">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eastAsia="宋体" w:cs="宋体"/>
                <w:color w:val="auto"/>
                <w:kern w:val="0"/>
                <w:sz w:val="21"/>
                <w:szCs w:val="21"/>
                <w:highlight w:val="none"/>
                <w:lang w:bidi="ar"/>
              </w:rPr>
              <w:t>服务的质量控制方法及保证措施</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vAlign w:val="center"/>
          </w:tcPr>
          <w:p w14:paraId="4D046853">
            <w:pPr>
              <w:pStyle w:val="5"/>
              <w:keepNext w:val="0"/>
              <w:keepLines w:val="0"/>
              <w:pageBreakBefore w:val="0"/>
              <w:kinsoku/>
              <w:wordWrap/>
              <w:overflowPunct/>
              <w:topLinePunct w:val="0"/>
              <w:autoSpaceDE/>
              <w:autoSpaceDN/>
              <w:bidi w:val="0"/>
              <w:adjustRightInd/>
              <w:snapToGrid/>
              <w:spacing w:line="240" w:lineRule="auto"/>
              <w:ind w:left="0" w:firstLine="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提供的服务的质量控制方法及保证措施的具体可操作性，是否完善、合理、可行，满足</w:t>
            </w:r>
            <w:r>
              <w:rPr>
                <w:rFonts w:hint="eastAsia" w:ascii="宋体" w:hAnsi="宋体" w:eastAsia="宋体" w:cs="宋体"/>
                <w:color w:val="auto"/>
                <w:sz w:val="21"/>
                <w:szCs w:val="21"/>
                <w:highlight w:val="none"/>
                <w:lang w:val="en-US" w:eastAsia="zh-CN"/>
              </w:rPr>
              <w:t>服务</w:t>
            </w:r>
            <w:r>
              <w:rPr>
                <w:rFonts w:hint="eastAsia" w:ascii="宋体" w:hAnsi="宋体" w:eastAsia="宋体" w:cs="宋体"/>
                <w:color w:val="auto"/>
                <w:sz w:val="21"/>
                <w:szCs w:val="21"/>
                <w:highlight w:val="none"/>
              </w:rPr>
              <w:t>要求程度进行综合评审：</w:t>
            </w:r>
          </w:p>
          <w:p w14:paraId="237DE2BE">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1</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rPr>
              <w:t>服务的质量、方法及措施非常完善，组织协调能力非常强，工作方案思路非常清晰，操作性非常强，严格遵守本次工程监理服务的各项要求和规定的，得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10分；</w:t>
            </w:r>
          </w:p>
          <w:p w14:paraId="2CE8A2FC">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rPr>
              <w:t>服务的质量、方法及措施较完善，组织协调能力较强，工作方案思路比较清晰，操作性较强，严格遵守本次</w:t>
            </w:r>
            <w:r>
              <w:rPr>
                <w:rFonts w:hint="eastAsia" w:ascii="宋体" w:hAnsi="宋体" w:eastAsia="宋体" w:cs="宋体"/>
                <w:color w:val="auto"/>
                <w:sz w:val="21"/>
                <w:szCs w:val="21"/>
                <w:highlight w:val="none"/>
                <w:lang w:bidi="ar"/>
              </w:rPr>
              <w:t>工程监理服务</w:t>
            </w:r>
            <w:r>
              <w:rPr>
                <w:rFonts w:hint="eastAsia" w:ascii="宋体" w:hAnsi="宋体" w:eastAsia="宋体" w:cs="宋体"/>
                <w:color w:val="auto"/>
                <w:sz w:val="21"/>
                <w:szCs w:val="21"/>
                <w:highlight w:val="none"/>
              </w:rPr>
              <w:t>的各项要求和规定的，得</w:t>
            </w:r>
            <w:r>
              <w:rPr>
                <w:rFonts w:hint="eastAsia" w:ascii="宋体" w:hAnsi="宋体" w:eastAsia="宋体" w:cs="宋体"/>
                <w:color w:val="auto"/>
                <w:sz w:val="21"/>
                <w:szCs w:val="21"/>
                <w:highlight w:val="none"/>
                <w:lang w:val="en-US" w:eastAsia="zh-CN"/>
              </w:rPr>
              <w:t>5-7</w:t>
            </w:r>
            <w:r>
              <w:rPr>
                <w:rFonts w:hint="eastAsia" w:ascii="宋体" w:hAnsi="宋体" w:eastAsia="宋体" w:cs="宋体"/>
                <w:color w:val="auto"/>
                <w:sz w:val="21"/>
                <w:szCs w:val="21"/>
                <w:highlight w:val="none"/>
              </w:rPr>
              <w:t>分；</w:t>
            </w:r>
          </w:p>
          <w:p w14:paraId="3BD6BB44">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rPr>
              <w:t>服务的质量、方法及措施一般，组织协调能力一般，工作方案思路清晰度及操作性一般，有承诺但不明确严格遵守本次</w:t>
            </w:r>
            <w:r>
              <w:rPr>
                <w:rFonts w:hint="eastAsia" w:ascii="宋体" w:hAnsi="宋体" w:eastAsia="宋体" w:cs="宋体"/>
                <w:color w:val="auto"/>
                <w:sz w:val="21"/>
                <w:szCs w:val="21"/>
                <w:highlight w:val="none"/>
                <w:lang w:bidi="ar"/>
              </w:rPr>
              <w:t>工程监理服务</w:t>
            </w:r>
            <w:r>
              <w:rPr>
                <w:rFonts w:hint="eastAsia" w:ascii="宋体" w:hAnsi="宋体" w:eastAsia="宋体" w:cs="宋体"/>
                <w:color w:val="auto"/>
                <w:sz w:val="21"/>
                <w:szCs w:val="21"/>
                <w:highlight w:val="none"/>
              </w:rPr>
              <w:t>的各项要求和规定的或无承诺的，得</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分。</w:t>
            </w:r>
          </w:p>
          <w:p w14:paraId="2D4A9C56">
            <w:pPr>
              <w:ind w:left="0" w:leftChars="0" w:right="141" w:rightChars="67" w:firstLine="0" w:firstLineChars="0"/>
              <w:jc w:val="left"/>
              <w:rPr>
                <w:rFonts w:hint="eastAsia" w:ascii="宋体" w:hAnsi="宋体" w:cs="宋体"/>
                <w:color w:val="auto"/>
                <w:sz w:val="21"/>
                <w:szCs w:val="21"/>
                <w:highlight w:val="none"/>
              </w:rPr>
            </w:pPr>
            <w:r>
              <w:rPr>
                <w:rFonts w:hint="eastAsia" w:ascii="宋体" w:hAnsi="宋体" w:eastAsia="宋体" w:cs="宋体"/>
                <w:bCs/>
                <w:color w:val="auto"/>
                <w:kern w:val="2"/>
                <w:sz w:val="21"/>
                <w:szCs w:val="21"/>
                <w:highlight w:val="none"/>
                <w:lang w:val="en-US" w:eastAsia="zh-CN" w:bidi="ar-SA"/>
              </w:rPr>
              <w:t>4、不满足前述要求者</w:t>
            </w:r>
            <w:r>
              <w:rPr>
                <w:rFonts w:hint="eastAsia" w:ascii="宋体" w:hAnsi="宋体" w:cs="宋体"/>
                <w:bCs/>
                <w:color w:val="auto"/>
                <w:kern w:val="2"/>
                <w:sz w:val="21"/>
                <w:szCs w:val="21"/>
                <w:highlight w:val="none"/>
                <w:lang w:val="en-US" w:eastAsia="zh-CN" w:bidi="ar-SA"/>
              </w:rPr>
              <w:t>，不得分</w:t>
            </w:r>
            <w:r>
              <w:rPr>
                <w:rFonts w:hint="eastAsia" w:ascii="宋体" w:hAnsi="宋体" w:eastAsia="宋体" w:cs="宋体"/>
                <w:bCs/>
                <w:color w:val="auto"/>
                <w:kern w:val="2"/>
                <w:sz w:val="21"/>
                <w:szCs w:val="21"/>
                <w:highlight w:val="none"/>
                <w:lang w:val="en-US" w:eastAsia="zh-CN" w:bidi="ar-SA"/>
              </w:rPr>
              <w:t>。</w:t>
            </w:r>
          </w:p>
        </w:tc>
      </w:tr>
      <w:tr w14:paraId="6F9E85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4" w:hRule="atLeast"/>
          <w:jc w:val="center"/>
        </w:trPr>
        <w:tc>
          <w:tcPr>
            <w:tcW w:w="1124" w:type="dxa"/>
            <w:vMerge w:val="continue"/>
            <w:tcBorders>
              <w:right w:val="single" w:color="auto" w:sz="4" w:space="0"/>
            </w:tcBorders>
            <w:noWrap w:val="0"/>
            <w:vAlign w:val="center"/>
          </w:tcPr>
          <w:p w14:paraId="43EB9B7E">
            <w:pPr>
              <w:ind w:left="113" w:leftChars="54" w:right="141" w:rightChars="67" w:firstLine="1"/>
              <w:jc w:val="left"/>
              <w:rPr>
                <w:rFonts w:hint="eastAsia" w:ascii="宋体" w:hAnsi="宋体" w:cs="宋体"/>
                <w:color w:val="auto"/>
                <w:sz w:val="21"/>
                <w:szCs w:val="21"/>
                <w:highlight w:val="none"/>
              </w:rPr>
            </w:pPr>
          </w:p>
        </w:tc>
        <w:tc>
          <w:tcPr>
            <w:tcW w:w="1863"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14:paraId="22561E4A">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eastAsia="宋体" w:cs="宋体"/>
                <w:color w:val="auto"/>
                <w:kern w:val="0"/>
                <w:sz w:val="21"/>
                <w:szCs w:val="21"/>
                <w:highlight w:val="none"/>
                <w:lang w:bidi="ar"/>
              </w:rPr>
              <w:t>重点难点剖析</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14:paraId="2B55A024">
            <w:pPr>
              <w:pStyle w:val="5"/>
              <w:keepNext w:val="0"/>
              <w:keepLines w:val="0"/>
              <w:pageBreakBefore w:val="0"/>
              <w:kinsoku/>
              <w:wordWrap/>
              <w:overflowPunct/>
              <w:topLinePunct w:val="0"/>
              <w:autoSpaceDE/>
              <w:autoSpaceDN/>
              <w:bidi w:val="0"/>
              <w:adjustRightInd/>
              <w:snapToGrid/>
              <w:spacing w:line="240" w:lineRule="auto"/>
              <w:ind w:left="0" w:firstLine="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提供的</w:t>
            </w:r>
            <w:r>
              <w:rPr>
                <w:rFonts w:hint="eastAsia" w:ascii="宋体" w:hAnsi="宋体" w:eastAsia="宋体" w:cs="宋体"/>
                <w:color w:val="auto"/>
                <w:sz w:val="21"/>
                <w:szCs w:val="21"/>
                <w:highlight w:val="none"/>
                <w:lang w:val="en-US" w:eastAsia="zh-CN"/>
              </w:rPr>
              <w:t>本项目</w:t>
            </w:r>
            <w:r>
              <w:rPr>
                <w:rFonts w:hint="eastAsia" w:ascii="宋体" w:hAnsi="宋体" w:eastAsia="宋体" w:cs="宋体"/>
                <w:color w:val="auto"/>
                <w:sz w:val="21"/>
                <w:szCs w:val="21"/>
                <w:highlight w:val="none"/>
              </w:rPr>
              <w:t>重点难点剖析情况，是否完善、合理、可行、到位，满足</w:t>
            </w:r>
            <w:r>
              <w:rPr>
                <w:rFonts w:hint="eastAsia" w:ascii="宋体" w:hAnsi="宋体" w:eastAsia="宋体" w:cs="宋体"/>
                <w:color w:val="auto"/>
                <w:sz w:val="21"/>
                <w:szCs w:val="21"/>
                <w:highlight w:val="none"/>
                <w:lang w:val="en-US" w:eastAsia="zh-CN"/>
              </w:rPr>
              <w:t>服务</w:t>
            </w:r>
            <w:r>
              <w:rPr>
                <w:rFonts w:hint="eastAsia" w:ascii="宋体" w:hAnsi="宋体" w:eastAsia="宋体" w:cs="宋体"/>
                <w:color w:val="auto"/>
                <w:sz w:val="21"/>
                <w:szCs w:val="21"/>
                <w:highlight w:val="none"/>
              </w:rPr>
              <w:t>要求程度进行综合评审：</w:t>
            </w:r>
          </w:p>
          <w:p w14:paraId="345CA0B1">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0"/>
                <w:sz w:val="21"/>
                <w:szCs w:val="21"/>
                <w:highlight w:val="none"/>
                <w:lang w:bidi="ar"/>
              </w:rPr>
            </w:pPr>
            <w:r>
              <w:rPr>
                <w:rFonts w:hint="default" w:ascii="宋体" w:hAnsi="宋体" w:eastAsia="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bidi="ar"/>
              </w:rPr>
              <w:t>针对本项目的工程特点，对本项目预算编制控制的重点难点剖析非常到位、合理，且切实可行的，得</w:t>
            </w:r>
            <w:r>
              <w:rPr>
                <w:rFonts w:hint="eastAsia" w:ascii="宋体" w:hAnsi="宋体" w:eastAsia="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bidi="ar"/>
              </w:rPr>
              <w:t>10分；</w:t>
            </w:r>
          </w:p>
          <w:p w14:paraId="282683C2">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0"/>
                <w:sz w:val="21"/>
                <w:szCs w:val="21"/>
                <w:highlight w:val="none"/>
                <w:lang w:bidi="ar"/>
              </w:rPr>
            </w:pPr>
            <w:r>
              <w:rPr>
                <w:rFonts w:hint="default" w:ascii="宋体" w:hAnsi="宋体" w:eastAsia="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bidi="ar"/>
              </w:rPr>
              <w:t>对本项目的服务管理重点难点分析较全面、具体，基本到位，合理化建议可行性较高的，得</w:t>
            </w:r>
            <w:r>
              <w:rPr>
                <w:rFonts w:hint="eastAsia" w:ascii="宋体" w:hAnsi="宋体" w:eastAsia="宋体" w:cs="宋体"/>
                <w:color w:val="auto"/>
                <w:kern w:val="0"/>
                <w:sz w:val="21"/>
                <w:szCs w:val="21"/>
                <w:highlight w:val="none"/>
                <w:lang w:val="en-US" w:eastAsia="zh-CN" w:bidi="ar"/>
              </w:rPr>
              <w:t>5-7</w:t>
            </w:r>
            <w:r>
              <w:rPr>
                <w:rFonts w:hint="eastAsia" w:ascii="宋体" w:hAnsi="宋体" w:eastAsia="宋体" w:cs="宋体"/>
                <w:color w:val="auto"/>
                <w:kern w:val="0"/>
                <w:sz w:val="21"/>
                <w:szCs w:val="21"/>
                <w:highlight w:val="none"/>
                <w:lang w:bidi="ar"/>
              </w:rPr>
              <w:t>分；</w:t>
            </w:r>
          </w:p>
          <w:p w14:paraId="340119D3">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0"/>
                <w:sz w:val="21"/>
                <w:szCs w:val="21"/>
                <w:highlight w:val="none"/>
                <w:lang w:bidi="ar"/>
              </w:rPr>
            </w:pPr>
            <w:r>
              <w:rPr>
                <w:rFonts w:hint="default" w:ascii="宋体" w:hAnsi="宋体" w:eastAsia="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bidi="ar"/>
              </w:rPr>
              <w:t>对本项目的服务管理重点难点分析一般，合理化建议有一定的可行性的，得</w:t>
            </w:r>
            <w:r>
              <w:rPr>
                <w:rFonts w:hint="eastAsia" w:ascii="宋体" w:hAnsi="宋体" w:eastAsia="宋体" w:cs="宋体"/>
                <w:color w:val="auto"/>
                <w:kern w:val="0"/>
                <w:sz w:val="21"/>
                <w:szCs w:val="21"/>
                <w:highlight w:val="none"/>
                <w:lang w:val="en-US" w:eastAsia="zh-CN" w:bidi="ar"/>
              </w:rPr>
              <w:t>1-4</w:t>
            </w:r>
            <w:r>
              <w:rPr>
                <w:rFonts w:hint="eastAsia" w:ascii="宋体" w:hAnsi="宋体" w:eastAsia="宋体" w:cs="宋体"/>
                <w:color w:val="auto"/>
                <w:kern w:val="0"/>
                <w:sz w:val="21"/>
                <w:szCs w:val="21"/>
                <w:highlight w:val="none"/>
                <w:lang w:bidi="ar"/>
              </w:rPr>
              <w:t>分；</w:t>
            </w:r>
          </w:p>
          <w:p w14:paraId="353D402D">
            <w:pPr>
              <w:ind w:left="0" w:leftChars="0" w:right="141" w:rightChars="67" w:firstLine="0" w:firstLineChars="0"/>
              <w:jc w:val="left"/>
              <w:rPr>
                <w:rFonts w:hint="eastAsia" w:ascii="宋体" w:hAnsi="宋体" w:cs="宋体"/>
                <w:color w:val="auto"/>
                <w:sz w:val="21"/>
                <w:szCs w:val="21"/>
                <w:highlight w:val="none"/>
              </w:rPr>
            </w:pPr>
            <w:r>
              <w:rPr>
                <w:rFonts w:hint="eastAsia" w:ascii="宋体" w:hAnsi="宋体" w:eastAsia="宋体" w:cs="宋体"/>
                <w:color w:val="auto"/>
                <w:kern w:val="0"/>
                <w:sz w:val="21"/>
                <w:szCs w:val="21"/>
                <w:highlight w:val="none"/>
                <w:lang w:bidi="ar"/>
              </w:rPr>
              <w:t>4、不满足前述要求者，不得分。</w:t>
            </w:r>
          </w:p>
        </w:tc>
      </w:tr>
      <w:tr w14:paraId="2F563A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38" w:hRule="atLeast"/>
          <w:jc w:val="center"/>
        </w:trPr>
        <w:tc>
          <w:tcPr>
            <w:tcW w:w="1124" w:type="dxa"/>
            <w:vMerge w:val="continue"/>
            <w:tcBorders>
              <w:right w:val="single" w:color="auto" w:sz="4" w:space="0"/>
            </w:tcBorders>
            <w:noWrap w:val="0"/>
            <w:vAlign w:val="center"/>
          </w:tcPr>
          <w:p w14:paraId="07FDE112">
            <w:pPr>
              <w:ind w:left="113" w:leftChars="54" w:right="141" w:rightChars="67" w:firstLine="1"/>
              <w:jc w:val="left"/>
              <w:rPr>
                <w:rFonts w:hint="eastAsia" w:ascii="宋体" w:hAnsi="宋体" w:cs="宋体"/>
                <w:color w:val="auto"/>
                <w:sz w:val="21"/>
                <w:szCs w:val="21"/>
                <w:highlight w:val="none"/>
              </w:rPr>
            </w:pPr>
          </w:p>
        </w:tc>
        <w:tc>
          <w:tcPr>
            <w:tcW w:w="1863"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14:paraId="33646631">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工程管理办法</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14:paraId="5D5D20B1">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根据</w:t>
            </w:r>
            <w:r>
              <w:rPr>
                <w:rFonts w:hint="eastAsia" w:ascii="宋体" w:hAnsi="宋体" w:eastAsia="宋体" w:cs="宋体"/>
                <w:color w:val="auto"/>
                <w:kern w:val="0"/>
                <w:sz w:val="21"/>
                <w:szCs w:val="21"/>
                <w:highlight w:val="none"/>
                <w:lang w:eastAsia="zh-CN" w:bidi="ar"/>
              </w:rPr>
              <w:t>投标人</w:t>
            </w:r>
            <w:r>
              <w:rPr>
                <w:rFonts w:hint="eastAsia" w:ascii="宋体" w:hAnsi="宋体" w:eastAsia="宋体" w:cs="宋体"/>
                <w:color w:val="auto"/>
                <w:kern w:val="0"/>
                <w:sz w:val="21"/>
                <w:szCs w:val="21"/>
                <w:highlight w:val="none"/>
                <w:lang w:bidi="ar"/>
              </w:rPr>
              <w:t>提供的</w:t>
            </w:r>
            <w:r>
              <w:rPr>
                <w:rFonts w:hint="eastAsia" w:ascii="宋体" w:hAnsi="宋体" w:eastAsia="宋体" w:cs="宋体"/>
                <w:color w:val="auto"/>
                <w:kern w:val="0"/>
                <w:sz w:val="21"/>
                <w:szCs w:val="21"/>
                <w:highlight w:val="none"/>
                <w:lang w:val="en-US" w:eastAsia="zh-CN" w:bidi="ar"/>
              </w:rPr>
              <w:t>工程管理办法</w:t>
            </w:r>
            <w:r>
              <w:rPr>
                <w:rFonts w:hint="eastAsia" w:ascii="宋体" w:hAnsi="宋体" w:eastAsia="宋体" w:cs="宋体"/>
                <w:color w:val="auto"/>
                <w:kern w:val="0"/>
                <w:sz w:val="21"/>
                <w:szCs w:val="21"/>
                <w:highlight w:val="none"/>
                <w:lang w:bidi="ar"/>
              </w:rPr>
              <w:t>情况，是否完善、合理、可行进行综合评审：</w:t>
            </w:r>
          </w:p>
          <w:p w14:paraId="5C1EBA4D">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0"/>
                <w:sz w:val="21"/>
                <w:szCs w:val="21"/>
                <w:highlight w:val="none"/>
                <w:lang w:bidi="ar"/>
              </w:rPr>
            </w:pPr>
            <w:r>
              <w:rPr>
                <w:rFonts w:hint="default" w:ascii="宋体" w:hAnsi="宋体" w:eastAsia="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、工程管理办法</w:t>
            </w:r>
            <w:r>
              <w:rPr>
                <w:rFonts w:hint="eastAsia" w:ascii="宋体" w:hAnsi="宋体" w:eastAsia="宋体" w:cs="宋体"/>
                <w:color w:val="auto"/>
                <w:kern w:val="0"/>
                <w:sz w:val="21"/>
                <w:szCs w:val="21"/>
                <w:highlight w:val="none"/>
                <w:lang w:bidi="ar"/>
              </w:rPr>
              <w:t>完善，适应本项目工作要求的，得</w:t>
            </w:r>
            <w:r>
              <w:rPr>
                <w:rFonts w:hint="eastAsia" w:ascii="宋体" w:hAnsi="宋体" w:eastAsia="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bidi="ar"/>
              </w:rPr>
              <w:t>10分；</w:t>
            </w:r>
          </w:p>
          <w:p w14:paraId="029B0E3B">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0"/>
                <w:sz w:val="21"/>
                <w:szCs w:val="21"/>
                <w:highlight w:val="none"/>
                <w:lang w:bidi="ar"/>
              </w:rPr>
            </w:pPr>
            <w:r>
              <w:rPr>
                <w:rFonts w:hint="default" w:ascii="宋体" w:hAnsi="宋体" w:eastAsia="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、工程管理办法</w:t>
            </w:r>
            <w:r>
              <w:rPr>
                <w:rFonts w:hint="eastAsia" w:ascii="宋体" w:hAnsi="宋体" w:eastAsia="宋体" w:cs="宋体"/>
                <w:color w:val="auto"/>
                <w:kern w:val="0"/>
                <w:sz w:val="21"/>
                <w:szCs w:val="21"/>
                <w:highlight w:val="none"/>
                <w:lang w:bidi="ar"/>
              </w:rPr>
              <w:t>较完善，基本适应本项目工作要求的，得</w:t>
            </w:r>
            <w:r>
              <w:rPr>
                <w:rFonts w:hint="eastAsia" w:ascii="宋体" w:hAnsi="宋体" w:eastAsia="宋体" w:cs="宋体"/>
                <w:color w:val="auto"/>
                <w:kern w:val="0"/>
                <w:sz w:val="21"/>
                <w:szCs w:val="21"/>
                <w:highlight w:val="none"/>
                <w:lang w:val="en-US" w:eastAsia="zh-CN" w:bidi="ar"/>
              </w:rPr>
              <w:t>5-7</w:t>
            </w:r>
            <w:r>
              <w:rPr>
                <w:rFonts w:hint="eastAsia" w:ascii="宋体" w:hAnsi="宋体" w:eastAsia="宋体" w:cs="宋体"/>
                <w:color w:val="auto"/>
                <w:kern w:val="0"/>
                <w:sz w:val="21"/>
                <w:szCs w:val="21"/>
                <w:highlight w:val="none"/>
                <w:lang w:bidi="ar"/>
              </w:rPr>
              <w:t>分；</w:t>
            </w:r>
          </w:p>
          <w:p w14:paraId="25E62964">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0"/>
                <w:sz w:val="21"/>
                <w:szCs w:val="21"/>
                <w:highlight w:val="none"/>
                <w:lang w:bidi="ar"/>
              </w:rPr>
            </w:pPr>
            <w:r>
              <w:rPr>
                <w:rFonts w:hint="default" w:ascii="宋体" w:hAnsi="宋体" w:eastAsia="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、工程管理办法</w:t>
            </w:r>
            <w:r>
              <w:rPr>
                <w:rFonts w:hint="eastAsia" w:ascii="宋体" w:hAnsi="宋体" w:eastAsia="宋体" w:cs="宋体"/>
                <w:color w:val="auto"/>
                <w:kern w:val="0"/>
                <w:sz w:val="21"/>
                <w:szCs w:val="21"/>
                <w:highlight w:val="none"/>
                <w:lang w:bidi="ar"/>
              </w:rPr>
              <w:t>一般，适应本项目有缺陷，得</w:t>
            </w:r>
            <w:r>
              <w:rPr>
                <w:rFonts w:hint="eastAsia" w:ascii="宋体" w:hAnsi="宋体" w:eastAsia="宋体" w:cs="宋体"/>
                <w:color w:val="auto"/>
                <w:kern w:val="0"/>
                <w:sz w:val="21"/>
                <w:szCs w:val="21"/>
                <w:highlight w:val="none"/>
                <w:lang w:val="en-US" w:eastAsia="zh-CN" w:bidi="ar"/>
              </w:rPr>
              <w:t>1-4</w:t>
            </w:r>
            <w:r>
              <w:rPr>
                <w:rFonts w:hint="eastAsia" w:ascii="宋体" w:hAnsi="宋体" w:eastAsia="宋体" w:cs="宋体"/>
                <w:color w:val="auto"/>
                <w:kern w:val="0"/>
                <w:sz w:val="21"/>
                <w:szCs w:val="21"/>
                <w:highlight w:val="none"/>
                <w:lang w:bidi="ar"/>
              </w:rPr>
              <w:t>分；</w:t>
            </w:r>
          </w:p>
          <w:p w14:paraId="17A599AA">
            <w:pPr>
              <w:ind w:left="0" w:leftChars="0" w:right="141" w:rightChars="67" w:firstLine="0" w:firstLineChars="0"/>
              <w:jc w:val="left"/>
              <w:rPr>
                <w:rFonts w:hint="eastAsia" w:ascii="宋体" w:hAnsi="宋体" w:cs="宋体"/>
                <w:color w:val="auto"/>
                <w:sz w:val="21"/>
                <w:szCs w:val="21"/>
                <w:highlight w:val="none"/>
              </w:rPr>
            </w:pPr>
            <w:r>
              <w:rPr>
                <w:rFonts w:hint="eastAsia" w:ascii="宋体" w:hAnsi="宋体" w:eastAsia="宋体" w:cs="宋体"/>
                <w:color w:val="auto"/>
                <w:kern w:val="0"/>
                <w:sz w:val="21"/>
                <w:szCs w:val="21"/>
                <w:highlight w:val="none"/>
                <w:lang w:bidi="ar"/>
              </w:rPr>
              <w:t>4、不满足前述要求者，不得分。</w:t>
            </w:r>
          </w:p>
        </w:tc>
      </w:tr>
      <w:tr w14:paraId="737900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6" w:hRule="atLeast"/>
          <w:jc w:val="center"/>
        </w:trPr>
        <w:tc>
          <w:tcPr>
            <w:tcW w:w="2987" w:type="dxa"/>
            <w:gridSpan w:val="2"/>
            <w:tcBorders>
              <w:top w:val="single" w:color="auto" w:sz="4" w:space="0"/>
              <w:bottom w:val="single" w:color="auto" w:sz="4" w:space="0"/>
              <w:right w:val="single" w:color="auto" w:sz="4" w:space="0"/>
            </w:tcBorders>
            <w:noWrap w:val="0"/>
            <w:vAlign w:val="center"/>
          </w:tcPr>
          <w:p w14:paraId="2C610BB7">
            <w:pPr>
              <w:ind w:left="113" w:leftChars="54" w:right="141" w:rightChars="67" w:firstLine="1" w:firstLineChars="0"/>
              <w:jc w:val="center"/>
              <w:rPr>
                <w:rFonts w:hint="default" w:ascii="宋体" w:hAnsi="宋体" w:cs="宋体"/>
                <w:color w:val="auto"/>
                <w:sz w:val="21"/>
                <w:szCs w:val="21"/>
                <w:highlight w:val="none"/>
                <w:lang w:val="en-US" w:eastAsia="zh-CN" w:bidi="ar-SA"/>
              </w:rPr>
            </w:pPr>
            <w:r>
              <w:rPr>
                <w:rFonts w:hint="eastAsia" w:ascii="宋体" w:hAnsi="宋体" w:cs="宋体"/>
                <w:color w:val="auto"/>
                <w:sz w:val="21"/>
                <w:szCs w:val="21"/>
                <w:highlight w:val="none"/>
              </w:rPr>
              <w:t>报价得分（</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0分）</w:t>
            </w:r>
          </w:p>
        </w:tc>
        <w:tc>
          <w:tcPr>
            <w:tcW w:w="5290"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14:paraId="6641269C">
            <w:pPr>
              <w:ind w:firstLine="315" w:firstLineChars="150"/>
              <w:rPr>
                <w:rFonts w:hint="eastAsia" w:ascii="宋体" w:hAnsi="宋体" w:cs="宋体"/>
                <w:color w:val="auto"/>
                <w:szCs w:val="21"/>
                <w:highlight w:val="none"/>
              </w:rPr>
            </w:pPr>
            <w:r>
              <w:rPr>
                <w:rFonts w:hint="eastAsia" w:ascii="宋体" w:hAnsi="宋体" w:cs="宋体"/>
                <w:color w:val="auto"/>
                <w:szCs w:val="21"/>
                <w:highlight w:val="none"/>
                <w:lang w:val="en-US" w:eastAsia="zh-CN"/>
              </w:rPr>
              <w:t>评审小组</w:t>
            </w:r>
            <w:r>
              <w:rPr>
                <w:rFonts w:hint="eastAsia" w:ascii="宋体" w:hAnsi="宋体" w:cs="宋体"/>
                <w:color w:val="auto"/>
                <w:szCs w:val="21"/>
                <w:highlight w:val="none"/>
              </w:rPr>
              <w:t>修正所有有效</w:t>
            </w:r>
            <w:r>
              <w:rPr>
                <w:rFonts w:hint="eastAsia" w:ascii="宋体" w:hAnsi="宋体" w:cs="宋体"/>
                <w:color w:val="auto"/>
                <w:szCs w:val="21"/>
                <w:highlight w:val="none"/>
                <w:lang w:val="en-US" w:eastAsia="zh-CN"/>
              </w:rPr>
              <w:t>投标</w:t>
            </w:r>
            <w:r>
              <w:rPr>
                <w:rFonts w:hint="eastAsia" w:ascii="宋体" w:hAnsi="宋体" w:cs="宋体"/>
                <w:color w:val="auto"/>
                <w:szCs w:val="21"/>
                <w:highlight w:val="none"/>
              </w:rPr>
              <w:t>人的报价，修正后的</w:t>
            </w:r>
            <w:r>
              <w:rPr>
                <w:rFonts w:hint="eastAsia" w:ascii="宋体" w:hAnsi="宋体" w:cs="宋体"/>
                <w:color w:val="auto"/>
                <w:szCs w:val="21"/>
                <w:highlight w:val="none"/>
                <w:lang w:eastAsia="zh-CN"/>
              </w:rPr>
              <w:t>投标</w:t>
            </w:r>
            <w:r>
              <w:rPr>
                <w:rFonts w:hint="eastAsia" w:ascii="宋体" w:hAnsi="宋体" w:cs="宋体"/>
                <w:color w:val="auto"/>
                <w:szCs w:val="21"/>
                <w:highlight w:val="none"/>
              </w:rPr>
              <w:t>报价为评</w:t>
            </w:r>
            <w:r>
              <w:rPr>
                <w:rFonts w:hint="eastAsia" w:ascii="宋体" w:hAnsi="宋体" w:cs="宋体"/>
                <w:color w:val="auto"/>
                <w:szCs w:val="21"/>
                <w:highlight w:val="none"/>
                <w:lang w:val="en-US" w:eastAsia="zh-CN"/>
              </w:rPr>
              <w:t>审</w:t>
            </w:r>
            <w:r>
              <w:rPr>
                <w:rFonts w:hint="eastAsia" w:ascii="宋体" w:hAnsi="宋体" w:cs="宋体"/>
                <w:color w:val="auto"/>
                <w:szCs w:val="21"/>
                <w:highlight w:val="none"/>
              </w:rPr>
              <w:t>价，取所有评</w:t>
            </w:r>
            <w:r>
              <w:rPr>
                <w:rFonts w:hint="eastAsia" w:ascii="宋体" w:hAnsi="宋体" w:cs="宋体"/>
                <w:color w:val="auto"/>
                <w:szCs w:val="21"/>
                <w:highlight w:val="none"/>
                <w:lang w:val="en-US" w:eastAsia="zh-CN"/>
              </w:rPr>
              <w:t>审</w:t>
            </w:r>
            <w:r>
              <w:rPr>
                <w:rFonts w:hint="eastAsia" w:ascii="宋体" w:hAnsi="宋体" w:cs="宋体"/>
                <w:color w:val="auto"/>
                <w:szCs w:val="21"/>
                <w:highlight w:val="none"/>
              </w:rPr>
              <w:t>价的算术平均值作为基准价格，评</w:t>
            </w:r>
            <w:r>
              <w:rPr>
                <w:rFonts w:hint="eastAsia" w:ascii="宋体" w:hAnsi="宋体" w:cs="宋体"/>
                <w:color w:val="auto"/>
                <w:szCs w:val="21"/>
                <w:highlight w:val="none"/>
                <w:lang w:val="en-US" w:eastAsia="zh-CN"/>
              </w:rPr>
              <w:t>审</w:t>
            </w:r>
            <w:r>
              <w:rPr>
                <w:rFonts w:hint="eastAsia" w:ascii="宋体" w:hAnsi="宋体" w:cs="宋体"/>
                <w:color w:val="auto"/>
                <w:szCs w:val="21"/>
                <w:highlight w:val="none"/>
              </w:rPr>
              <w:t>价等于基准价格的得满分（</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p w14:paraId="765269E8">
            <w:pPr>
              <w:ind w:left="0" w:leftChars="0" w:right="141" w:rightChars="67" w:firstLine="0" w:firstLineChars="0"/>
              <w:jc w:val="left"/>
              <w:rPr>
                <w:rFonts w:hint="eastAsia" w:ascii="宋体" w:hAnsi="宋体" w:cs="宋体"/>
                <w:color w:val="auto"/>
                <w:sz w:val="21"/>
                <w:szCs w:val="21"/>
                <w:highlight w:val="none"/>
                <w:lang w:val="en-US" w:eastAsia="zh-CN" w:bidi="ar-SA"/>
              </w:rPr>
            </w:pPr>
            <w:r>
              <w:rPr>
                <w:rFonts w:hint="eastAsia" w:ascii="宋体" w:hAnsi="宋体" w:cs="宋体"/>
                <w:color w:val="auto"/>
                <w:szCs w:val="21"/>
                <w:highlight w:val="none"/>
                <w:lang w:val="en-US" w:eastAsia="zh-CN"/>
              </w:rPr>
              <w:t>投标</w:t>
            </w:r>
            <w:r>
              <w:rPr>
                <w:rFonts w:hint="eastAsia" w:ascii="宋体" w:hAnsi="宋体" w:cs="宋体"/>
                <w:color w:val="auto"/>
                <w:szCs w:val="21"/>
                <w:highlight w:val="none"/>
              </w:rPr>
              <w:t>价格比=（评</w:t>
            </w:r>
            <w:r>
              <w:rPr>
                <w:rFonts w:hint="eastAsia" w:ascii="宋体" w:hAnsi="宋体" w:cs="宋体"/>
                <w:color w:val="auto"/>
                <w:szCs w:val="21"/>
                <w:highlight w:val="none"/>
                <w:lang w:val="en-US" w:eastAsia="zh-CN"/>
              </w:rPr>
              <w:t>审</w:t>
            </w:r>
            <w:r>
              <w:rPr>
                <w:rFonts w:hint="eastAsia" w:ascii="宋体" w:hAnsi="宋体" w:cs="宋体"/>
                <w:color w:val="auto"/>
                <w:szCs w:val="21"/>
                <w:highlight w:val="none"/>
              </w:rPr>
              <w:t>价/基准价格）×100%，按四舍五入法取小数点后两位；</w:t>
            </w:r>
            <w:r>
              <w:rPr>
                <w:rFonts w:hint="eastAsia" w:ascii="宋体" w:hAnsi="宋体" w:cs="宋体"/>
                <w:color w:val="auto"/>
                <w:szCs w:val="21"/>
                <w:highlight w:val="none"/>
                <w:lang w:val="en-US" w:eastAsia="zh-CN"/>
              </w:rPr>
              <w:t>投标</w:t>
            </w:r>
            <w:r>
              <w:rPr>
                <w:rFonts w:hint="eastAsia" w:ascii="宋体" w:hAnsi="宋体" w:cs="宋体"/>
                <w:color w:val="auto"/>
                <w:szCs w:val="21"/>
                <w:highlight w:val="none"/>
              </w:rPr>
              <w:t>价格比每增加1%减</w:t>
            </w:r>
            <w:r>
              <w:rPr>
                <w:rFonts w:hint="eastAsia" w:ascii="宋体" w:hAnsi="宋体" w:cs="宋体"/>
                <w:color w:val="auto"/>
                <w:szCs w:val="21"/>
                <w:highlight w:val="none"/>
                <w:lang w:val="en-US" w:eastAsia="zh-CN"/>
              </w:rPr>
              <w:t>0.5</w:t>
            </w:r>
            <w:r>
              <w:rPr>
                <w:rFonts w:hint="eastAsia" w:ascii="宋体" w:hAnsi="宋体" w:cs="宋体"/>
                <w:color w:val="auto"/>
                <w:szCs w:val="21"/>
                <w:highlight w:val="none"/>
              </w:rPr>
              <w:t>分（以100%为基准），</w:t>
            </w:r>
            <w:r>
              <w:rPr>
                <w:rFonts w:hint="eastAsia" w:ascii="宋体" w:hAnsi="宋体" w:cs="宋体"/>
                <w:color w:val="auto"/>
                <w:szCs w:val="21"/>
                <w:highlight w:val="none"/>
                <w:lang w:val="en-US" w:eastAsia="zh-CN"/>
              </w:rPr>
              <w:t>投标</w:t>
            </w:r>
            <w:r>
              <w:rPr>
                <w:rFonts w:hint="eastAsia" w:ascii="宋体" w:hAnsi="宋体" w:cs="宋体"/>
                <w:color w:val="auto"/>
                <w:szCs w:val="21"/>
                <w:highlight w:val="none"/>
              </w:rPr>
              <w:t>价格比每减少1%减</w:t>
            </w:r>
            <w:r>
              <w:rPr>
                <w:rFonts w:hint="eastAsia" w:ascii="宋体" w:hAnsi="宋体" w:cs="宋体"/>
                <w:color w:val="auto"/>
                <w:szCs w:val="21"/>
                <w:highlight w:val="none"/>
                <w:lang w:val="en-US" w:eastAsia="zh-CN"/>
              </w:rPr>
              <w:t>0.25</w:t>
            </w:r>
            <w:r>
              <w:rPr>
                <w:rFonts w:hint="eastAsia" w:ascii="宋体" w:hAnsi="宋体" w:cs="宋体"/>
                <w:color w:val="auto"/>
                <w:szCs w:val="21"/>
                <w:highlight w:val="none"/>
              </w:rPr>
              <w:t>分（以100%为基准）。最低减至0分。以此类推计算出各</w:t>
            </w:r>
            <w:r>
              <w:rPr>
                <w:rFonts w:hint="eastAsia" w:ascii="宋体" w:hAnsi="宋体" w:cs="宋体"/>
                <w:color w:val="auto"/>
                <w:szCs w:val="21"/>
                <w:highlight w:val="none"/>
                <w:lang w:val="en-US" w:eastAsia="zh-CN"/>
              </w:rPr>
              <w:t>投标</w:t>
            </w:r>
            <w:r>
              <w:rPr>
                <w:rFonts w:hint="eastAsia" w:ascii="宋体" w:hAnsi="宋体" w:cs="宋体"/>
                <w:color w:val="auto"/>
                <w:szCs w:val="21"/>
                <w:highlight w:val="none"/>
              </w:rPr>
              <w:t>人的价格评分，价格评分按四舍五入法取小数点后两位。</w:t>
            </w:r>
          </w:p>
        </w:tc>
      </w:tr>
    </w:tbl>
    <w:p w14:paraId="50F0EDFF">
      <w:pPr>
        <w:snapToGrid w:val="0"/>
        <w:ind w:left="74"/>
        <w:rPr>
          <w:rFonts w:ascii="仿宋" w:hAnsi="仿宋" w:eastAsia="仿宋" w:cs="宋体"/>
          <w:color w:val="auto"/>
          <w:sz w:val="24"/>
          <w:highlight w:val="none"/>
        </w:rPr>
      </w:pPr>
    </w:p>
    <w:p w14:paraId="6B6AA78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注：</w:t>
      </w:r>
    </w:p>
    <w:p w14:paraId="789FF40E">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投标</w:t>
      </w:r>
      <w:r>
        <w:rPr>
          <w:rFonts w:hint="eastAsia" w:ascii="宋体" w:hAnsi="宋体" w:eastAsia="宋体" w:cs="宋体"/>
          <w:color w:val="auto"/>
          <w:sz w:val="21"/>
          <w:szCs w:val="21"/>
          <w:highlight w:val="none"/>
          <w:u w:val="none"/>
        </w:rPr>
        <w:t>人提供的资料均</w:t>
      </w:r>
      <w:r>
        <w:rPr>
          <w:rFonts w:hint="eastAsia" w:ascii="宋体" w:hAnsi="宋体" w:eastAsia="宋体" w:cs="宋体"/>
          <w:color w:val="auto"/>
          <w:sz w:val="21"/>
          <w:szCs w:val="21"/>
          <w:highlight w:val="none"/>
          <w:u w:val="none"/>
          <w:lang w:val="en-US" w:eastAsia="zh-CN"/>
        </w:rPr>
        <w:t>应清晰、明辨，否则评审小组以不利于投标人为原则进行评审。</w:t>
      </w:r>
    </w:p>
    <w:p w14:paraId="1FF8BAE2">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投标</w:t>
      </w:r>
      <w:r>
        <w:rPr>
          <w:rFonts w:hint="eastAsia" w:ascii="宋体" w:hAnsi="宋体" w:eastAsia="宋体" w:cs="宋体"/>
          <w:color w:val="auto"/>
          <w:sz w:val="21"/>
          <w:szCs w:val="21"/>
          <w:highlight w:val="none"/>
          <w:u w:val="none"/>
        </w:rPr>
        <w:t>人提供的资料</w:t>
      </w:r>
      <w:r>
        <w:rPr>
          <w:rFonts w:hint="eastAsia" w:ascii="宋体" w:hAnsi="宋体" w:eastAsia="宋体" w:cs="宋体"/>
          <w:color w:val="auto"/>
          <w:sz w:val="21"/>
          <w:szCs w:val="21"/>
          <w:highlight w:val="none"/>
          <w:u w:val="none"/>
          <w:lang w:val="en-US" w:eastAsia="zh-CN"/>
        </w:rPr>
        <w:t>均应</w:t>
      </w:r>
      <w:r>
        <w:rPr>
          <w:rFonts w:hint="eastAsia" w:ascii="宋体" w:hAnsi="宋体" w:eastAsia="宋体" w:cs="宋体"/>
          <w:color w:val="auto"/>
          <w:sz w:val="21"/>
          <w:szCs w:val="21"/>
          <w:highlight w:val="none"/>
          <w:u w:val="none"/>
        </w:rPr>
        <w:t>加盖</w:t>
      </w:r>
      <w:r>
        <w:rPr>
          <w:rFonts w:hint="eastAsia" w:ascii="宋体" w:hAnsi="宋体" w:eastAsia="宋体" w:cs="宋体"/>
          <w:color w:val="auto"/>
          <w:sz w:val="21"/>
          <w:szCs w:val="21"/>
          <w:highlight w:val="none"/>
          <w:u w:val="none"/>
          <w:lang w:eastAsia="zh-CN"/>
        </w:rPr>
        <w:t>投标</w:t>
      </w:r>
      <w:r>
        <w:rPr>
          <w:rFonts w:hint="eastAsia" w:ascii="宋体" w:hAnsi="宋体" w:eastAsia="宋体" w:cs="宋体"/>
          <w:color w:val="auto"/>
          <w:sz w:val="21"/>
          <w:szCs w:val="21"/>
          <w:highlight w:val="none"/>
          <w:u w:val="none"/>
        </w:rPr>
        <w:t>人公章。</w:t>
      </w:r>
    </w:p>
    <w:p w14:paraId="5CC6FB0B">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所有人员均不能相互兼任。</w:t>
      </w:r>
    </w:p>
    <w:p w14:paraId="47B24D3B">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Times New Roman"/>
          <w:color w:val="auto"/>
          <w:sz w:val="21"/>
          <w:szCs w:val="21"/>
          <w:highlight w:val="none"/>
          <w:u w:val="none"/>
        </w:rPr>
      </w:pPr>
      <w:r>
        <w:rPr>
          <w:rFonts w:hint="eastAsia" w:ascii="宋体" w:hAnsi="宋体" w:eastAsia="宋体" w:cs="宋体"/>
          <w:color w:val="auto"/>
          <w:sz w:val="21"/>
          <w:szCs w:val="21"/>
          <w:highlight w:val="none"/>
          <w:u w:val="none"/>
        </w:rPr>
        <w:t>所有</w:t>
      </w:r>
      <w:r>
        <w:rPr>
          <w:rFonts w:hint="eastAsia" w:ascii="宋体" w:hAnsi="宋体" w:eastAsia="宋体" w:cs="宋体"/>
          <w:color w:val="auto"/>
          <w:sz w:val="21"/>
          <w:szCs w:val="21"/>
          <w:highlight w:val="none"/>
          <w:u w:val="none"/>
          <w:lang w:val="en-US" w:eastAsia="zh-CN"/>
        </w:rPr>
        <w:t>人员</w:t>
      </w:r>
      <w:r>
        <w:rPr>
          <w:rFonts w:hint="eastAsia" w:ascii="宋体" w:hAnsi="宋体" w:eastAsia="宋体" w:cs="宋体"/>
          <w:color w:val="auto"/>
          <w:sz w:val="21"/>
          <w:szCs w:val="21"/>
          <w:highlight w:val="none"/>
          <w:u w:val="none"/>
        </w:rPr>
        <w:t>须提供</w:t>
      </w:r>
      <w:r>
        <w:rPr>
          <w:rFonts w:hint="eastAsia" w:ascii="宋体" w:hAnsi="宋体" w:eastAsia="宋体" w:cs="宋体"/>
          <w:color w:val="auto"/>
          <w:sz w:val="21"/>
          <w:szCs w:val="21"/>
          <w:highlight w:val="none"/>
          <w:u w:val="none"/>
          <w:lang w:val="en-US" w:eastAsia="zh-CN"/>
        </w:rPr>
        <w:t>比选</w:t>
      </w:r>
      <w:r>
        <w:rPr>
          <w:rFonts w:hint="eastAsia" w:ascii="宋体" w:hAnsi="宋体" w:eastAsia="宋体" w:cs="宋体"/>
          <w:color w:val="auto"/>
          <w:sz w:val="21"/>
          <w:szCs w:val="21"/>
          <w:highlight w:val="none"/>
          <w:u w:val="none"/>
        </w:rPr>
        <w:t>公告发布前一个月（202</w:t>
      </w:r>
      <w:r>
        <w:rPr>
          <w:rFonts w:hint="eastAsia" w:ascii="宋体" w:hAnsi="宋体" w:cs="宋体"/>
          <w:color w:val="auto"/>
          <w:sz w:val="21"/>
          <w:szCs w:val="21"/>
          <w:highlight w:val="none"/>
          <w:u w:val="none"/>
          <w:lang w:val="en-US" w:eastAsia="zh-CN"/>
        </w:rPr>
        <w:t>5</w:t>
      </w:r>
      <w:r>
        <w:rPr>
          <w:rFonts w:hint="eastAsia" w:ascii="宋体" w:hAnsi="宋体" w:eastAsia="宋体" w:cs="宋体"/>
          <w:color w:val="auto"/>
          <w:sz w:val="21"/>
          <w:szCs w:val="21"/>
          <w:highlight w:val="none"/>
          <w:u w:val="none"/>
        </w:rPr>
        <w:t>年</w:t>
      </w:r>
      <w:r>
        <w:rPr>
          <w:rFonts w:hint="eastAsia" w:ascii="宋体" w:hAnsi="宋体" w:cs="宋体"/>
          <w:color w:val="auto"/>
          <w:sz w:val="21"/>
          <w:szCs w:val="21"/>
          <w:highlight w:val="none"/>
          <w:u w:val="none"/>
          <w:lang w:val="en-US" w:eastAsia="zh-CN"/>
        </w:rPr>
        <w:t>1</w:t>
      </w:r>
      <w:r>
        <w:rPr>
          <w:rFonts w:hint="eastAsia" w:ascii="宋体" w:hAnsi="宋体" w:eastAsia="宋体" w:cs="宋体"/>
          <w:color w:val="auto"/>
          <w:sz w:val="21"/>
          <w:szCs w:val="21"/>
          <w:highlight w:val="none"/>
          <w:u w:val="none"/>
        </w:rPr>
        <w:t>月）</w:t>
      </w:r>
      <w:r>
        <w:rPr>
          <w:rFonts w:hint="eastAsia" w:ascii="宋体" w:hAnsi="宋体" w:eastAsia="宋体" w:cs="宋体"/>
          <w:color w:val="auto"/>
          <w:sz w:val="21"/>
          <w:szCs w:val="21"/>
          <w:highlight w:val="none"/>
          <w:u w:val="none"/>
          <w:lang w:val="en-US" w:eastAsia="zh-CN"/>
        </w:rPr>
        <w:t>投标</w:t>
      </w:r>
      <w:r>
        <w:rPr>
          <w:rFonts w:hint="eastAsia" w:ascii="宋体" w:hAnsi="宋体" w:eastAsia="宋体" w:cs="宋体"/>
          <w:color w:val="auto"/>
          <w:sz w:val="21"/>
          <w:szCs w:val="21"/>
          <w:highlight w:val="none"/>
          <w:u w:val="none"/>
        </w:rPr>
        <w:t>人（不含</w:t>
      </w:r>
      <w:r>
        <w:rPr>
          <w:rFonts w:hint="eastAsia" w:ascii="宋体" w:hAnsi="宋体" w:eastAsia="宋体" w:cs="宋体"/>
          <w:color w:val="auto"/>
          <w:sz w:val="21"/>
          <w:szCs w:val="21"/>
          <w:highlight w:val="none"/>
          <w:u w:val="none"/>
          <w:lang w:val="en-US" w:eastAsia="zh-CN"/>
        </w:rPr>
        <w:t>投标</w:t>
      </w:r>
      <w:r>
        <w:rPr>
          <w:rFonts w:hint="eastAsia" w:ascii="宋体" w:hAnsi="宋体" w:eastAsia="宋体" w:cs="宋体"/>
          <w:color w:val="auto"/>
          <w:sz w:val="21"/>
          <w:szCs w:val="21"/>
          <w:highlight w:val="none"/>
          <w:u w:val="none"/>
        </w:rPr>
        <w:t>人的子公司，但包括</w:t>
      </w:r>
      <w:r>
        <w:rPr>
          <w:rFonts w:hint="eastAsia" w:ascii="宋体" w:hAnsi="宋体" w:eastAsia="宋体" w:cs="宋体"/>
          <w:color w:val="auto"/>
          <w:sz w:val="21"/>
          <w:szCs w:val="21"/>
          <w:highlight w:val="none"/>
          <w:u w:val="none"/>
          <w:lang w:val="en-US" w:eastAsia="zh-CN"/>
        </w:rPr>
        <w:t>投标</w:t>
      </w:r>
      <w:r>
        <w:rPr>
          <w:rFonts w:hint="eastAsia" w:ascii="宋体" w:hAnsi="宋体" w:eastAsia="宋体" w:cs="宋体"/>
          <w:color w:val="auto"/>
          <w:sz w:val="21"/>
          <w:szCs w:val="21"/>
          <w:highlight w:val="none"/>
          <w:u w:val="none"/>
        </w:rPr>
        <w:t>人非独立法人的分支机构）为其缴纳社保的证明材料。</w:t>
      </w:r>
    </w:p>
    <w:p w14:paraId="12EC212A">
      <w:pPr>
        <w:snapToGrid w:val="0"/>
        <w:ind w:left="74"/>
        <w:rPr>
          <w:rFonts w:ascii="仿宋" w:hAnsi="仿宋" w:eastAsia="仿宋" w:cs="仿宋"/>
          <w:color w:val="auto"/>
          <w:szCs w:val="21"/>
          <w:highlight w:val="none"/>
        </w:rPr>
      </w:pPr>
    </w:p>
    <w:p w14:paraId="3F4F8C72">
      <w:pPr>
        <w:rPr>
          <w:color w:val="auto"/>
          <w:highlight w:val="none"/>
        </w:rPr>
      </w:pPr>
      <w:r>
        <w:rPr>
          <w:rFonts w:hint="eastAsia"/>
          <w:color w:val="auto"/>
          <w:highlight w:val="none"/>
        </w:rPr>
        <w:br w:type="page"/>
      </w:r>
    </w:p>
    <w:p w14:paraId="65705B56">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14:paraId="708D086C">
      <w:pPr>
        <w:adjustRightInd w:val="0"/>
        <w:snapToGrid w:val="0"/>
        <w:spacing w:line="360" w:lineRule="auto"/>
        <w:jc w:val="center"/>
        <w:outlineLvl w:val="0"/>
        <w:rPr>
          <w:rFonts w:ascii="宋体" w:hAnsi="宋体" w:cs="宋体"/>
          <w:b/>
          <w:color w:val="auto"/>
          <w:sz w:val="28"/>
          <w:szCs w:val="28"/>
          <w:highlight w:val="none"/>
        </w:rPr>
      </w:pPr>
      <w:bookmarkStart w:id="53" w:name="_Toc2521"/>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bookmarkEnd w:id="53"/>
    </w:p>
    <w:p w14:paraId="0C76C8F3">
      <w:pPr>
        <w:pStyle w:val="35"/>
        <w:snapToGrid w:val="0"/>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w:t>
      </w:r>
      <w:r>
        <w:rPr>
          <w:rFonts w:hint="eastAsia" w:ascii="宋体" w:hAnsi="宋体" w:eastAsia="宋体" w:cs="宋体"/>
          <w:color w:val="auto"/>
          <w:sz w:val="24"/>
          <w:highlight w:val="none"/>
          <w:u w:val="single"/>
          <w:lang w:eastAsia="zh-CN"/>
        </w:rPr>
        <w:t>广东南沙虎门汽车渡轮有限公司</w:t>
      </w:r>
      <w:r>
        <w:rPr>
          <w:rFonts w:hint="eastAsia" w:ascii="宋体" w:hAnsi="宋体" w:eastAsia="宋体"/>
          <w:color w:val="auto"/>
          <w:sz w:val="24"/>
          <w:szCs w:val="24"/>
          <w:highlight w:val="none"/>
          <w:u w:val="single"/>
        </w:rPr>
        <w:t xml:space="preserve">、广州南沙建设维护管理有限公司 </w:t>
      </w:r>
    </w:p>
    <w:p w14:paraId="58F1A0C3">
      <w:pPr>
        <w:pStyle w:val="35"/>
        <w:snapToGrid w:val="0"/>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eastAsia="zh-CN"/>
        </w:rPr>
        <w:t>粤港澳大湾区青少年国情教育实践基地（虎门渡口西岸物业提升改造项目）一期工程监理服务</w:t>
      </w:r>
      <w:r>
        <w:rPr>
          <w:rFonts w:hint="eastAsia" w:ascii="宋体" w:hAnsi="宋体" w:eastAsia="宋体"/>
          <w:color w:val="auto"/>
          <w:sz w:val="24"/>
          <w:szCs w:val="24"/>
          <w:highlight w:val="none"/>
        </w:rPr>
        <w:t>投标工作，做出郑重声明：</w:t>
      </w:r>
    </w:p>
    <w:p w14:paraId="2A383C5F">
      <w:pPr>
        <w:pStyle w:val="35"/>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14:paraId="10F46154">
      <w:pPr>
        <w:pStyle w:val="35"/>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14:paraId="75A07714">
      <w:pPr>
        <w:pStyle w:val="35"/>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14:paraId="00A29061">
      <w:pPr>
        <w:pStyle w:val="35"/>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四、本公司及其有隶属关系的机构没有参加本项目的招标文件编写、</w:t>
      </w:r>
      <w:r>
        <w:rPr>
          <w:rFonts w:hint="eastAsia" w:ascii="宋体" w:hAnsi="宋体" w:eastAsia="宋体"/>
          <w:color w:val="auto"/>
          <w:sz w:val="24"/>
          <w:szCs w:val="24"/>
          <w:highlight w:val="none"/>
          <w:lang w:eastAsia="zh-CN"/>
        </w:rPr>
        <w:t>设计</w:t>
      </w:r>
      <w:r>
        <w:rPr>
          <w:rFonts w:hint="eastAsia" w:ascii="宋体" w:hAnsi="宋体" w:eastAsia="宋体"/>
          <w:color w:val="auto"/>
          <w:sz w:val="24"/>
          <w:szCs w:val="24"/>
          <w:highlight w:val="none"/>
        </w:rPr>
        <w:t>工作；本公司与承担本招标项目监理业务的单位没有隶属关系或其他利害关系。</w:t>
      </w:r>
    </w:p>
    <w:p w14:paraId="2FD0F353">
      <w:pPr>
        <w:pStyle w:val="35"/>
        <w:adjustRightInd w:val="0"/>
        <w:snapToGrid w:val="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14:paraId="0765166B">
      <w:pPr>
        <w:pStyle w:val="35"/>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14:paraId="67E3A1D3">
      <w:pPr>
        <w:pStyle w:val="35"/>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14:paraId="37B3466D">
      <w:pPr>
        <w:pStyle w:val="36"/>
        <w:snapToGrid w:val="0"/>
        <w:ind w:left="0" w:right="0"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14:paraId="4A35A912">
      <w:pPr>
        <w:pStyle w:val="35"/>
        <w:snapToGrid w:val="0"/>
        <w:ind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14:paraId="49638953">
      <w:pPr>
        <w:pStyle w:val="35"/>
        <w:snapToGrid w:val="0"/>
        <w:ind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14:paraId="32F0467A">
      <w:pPr>
        <w:pStyle w:val="35"/>
        <w:snapToGrid w:val="0"/>
        <w:ind w:firstLine="4080" w:firstLineChars="1700"/>
        <w:jc w:val="right"/>
        <w:rPr>
          <w:color w:val="auto"/>
          <w:sz w:val="24"/>
          <w:szCs w:val="24"/>
          <w:highlight w:val="none"/>
        </w:rPr>
      </w:pPr>
    </w:p>
    <w:p w14:paraId="093376E5">
      <w:pPr>
        <w:snapToGrid w:val="0"/>
        <w:spacing w:line="360" w:lineRule="auto"/>
        <w:jc w:val="left"/>
        <w:rPr>
          <w:rFonts w:ascii="宋体" w:hAnsi="宋体"/>
          <w:color w:val="auto"/>
          <w:sz w:val="24"/>
          <w:highlight w:val="none"/>
        </w:rPr>
      </w:pPr>
    </w:p>
    <w:p w14:paraId="64BA0250">
      <w:pPr>
        <w:pStyle w:val="9"/>
        <w:rPr>
          <w:rFonts w:hint="default"/>
          <w:color w:val="auto"/>
          <w:highlight w:val="none"/>
        </w:rPr>
      </w:pPr>
    </w:p>
    <w:bookmarkEnd w:id="54"/>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B6520">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FF0C0C">
                          <w:pPr>
                            <w:pStyle w:val="11"/>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DFF0C0C">
                    <w:pPr>
                      <w:pStyle w:val="11"/>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71256">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1AA58B">
                          <w:pPr>
                            <w:pStyle w:val="11"/>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61AA58B">
                    <w:pPr>
                      <w:pStyle w:val="11"/>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E626B7B2"/>
    <w:multiLevelType w:val="singleLevel"/>
    <w:tmpl w:val="E626B7B2"/>
    <w:lvl w:ilvl="0" w:tentative="0">
      <w:start w:val="1"/>
      <w:numFmt w:val="decimal"/>
      <w:lvlText w:val="%1."/>
      <w:lvlJc w:val="left"/>
      <w:pPr>
        <w:ind w:left="425" w:hanging="425"/>
      </w:pPr>
      <w:rPr>
        <w:rFonts w:hint="default" w:ascii="宋体" w:hAnsi="宋体" w:eastAsia="宋体" w:cs="宋体"/>
        <w:sz w:val="21"/>
        <w:szCs w:val="21"/>
      </w:rPr>
    </w:lvl>
  </w:abstractNum>
  <w:abstractNum w:abstractNumId="3">
    <w:nsid w:val="61B5240C"/>
    <w:multiLevelType w:val="singleLevel"/>
    <w:tmpl w:val="61B5240C"/>
    <w:lvl w:ilvl="0" w:tentative="0">
      <w:start w:val="1"/>
      <w:numFmt w:val="decimal"/>
      <w:lvlText w:val="%1)"/>
      <w:lvlJc w:val="left"/>
      <w:pPr>
        <w:ind w:left="425" w:hanging="425"/>
      </w:pPr>
      <w:rPr>
        <w:rFont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jMjg4NjNjMGQ5OWQxMjU2NzFkNWEwMzQxMDU5MzIifQ=="/>
  </w:docVars>
  <w:rsids>
    <w:rsidRoot w:val="3B6D4312"/>
    <w:rsid w:val="0002289A"/>
    <w:rsid w:val="0002557B"/>
    <w:rsid w:val="0005254F"/>
    <w:rsid w:val="000744F3"/>
    <w:rsid w:val="00085D0C"/>
    <w:rsid w:val="00090FF3"/>
    <w:rsid w:val="000B7B0A"/>
    <w:rsid w:val="000E0EC3"/>
    <w:rsid w:val="000F63F4"/>
    <w:rsid w:val="001062CA"/>
    <w:rsid w:val="00134FF9"/>
    <w:rsid w:val="001544AB"/>
    <w:rsid w:val="00164413"/>
    <w:rsid w:val="001921E8"/>
    <w:rsid w:val="001D1F1F"/>
    <w:rsid w:val="001E1021"/>
    <w:rsid w:val="001F66EC"/>
    <w:rsid w:val="00211A39"/>
    <w:rsid w:val="002D7B13"/>
    <w:rsid w:val="003B47E8"/>
    <w:rsid w:val="003D0F57"/>
    <w:rsid w:val="0040578E"/>
    <w:rsid w:val="00456C93"/>
    <w:rsid w:val="004B2C05"/>
    <w:rsid w:val="004D6177"/>
    <w:rsid w:val="00524AD0"/>
    <w:rsid w:val="005A19E6"/>
    <w:rsid w:val="0065458C"/>
    <w:rsid w:val="0065720F"/>
    <w:rsid w:val="00697CBD"/>
    <w:rsid w:val="006A18B1"/>
    <w:rsid w:val="006D7EB2"/>
    <w:rsid w:val="007055DD"/>
    <w:rsid w:val="007309C3"/>
    <w:rsid w:val="0073767F"/>
    <w:rsid w:val="00793DB5"/>
    <w:rsid w:val="007A7407"/>
    <w:rsid w:val="007C0AF5"/>
    <w:rsid w:val="007C717F"/>
    <w:rsid w:val="007E14F9"/>
    <w:rsid w:val="007F42A9"/>
    <w:rsid w:val="00802BFD"/>
    <w:rsid w:val="0080751A"/>
    <w:rsid w:val="00841D4A"/>
    <w:rsid w:val="008F47DB"/>
    <w:rsid w:val="008F491E"/>
    <w:rsid w:val="009538E5"/>
    <w:rsid w:val="009B4E73"/>
    <w:rsid w:val="009C14AA"/>
    <w:rsid w:val="009C50DE"/>
    <w:rsid w:val="00A05D0A"/>
    <w:rsid w:val="00A14DC5"/>
    <w:rsid w:val="00A367D2"/>
    <w:rsid w:val="00A81829"/>
    <w:rsid w:val="00A920B1"/>
    <w:rsid w:val="00B11F8D"/>
    <w:rsid w:val="00B21734"/>
    <w:rsid w:val="00B96CE0"/>
    <w:rsid w:val="00BB3D24"/>
    <w:rsid w:val="00CA24DF"/>
    <w:rsid w:val="00D06D88"/>
    <w:rsid w:val="00D0796B"/>
    <w:rsid w:val="00D50CF1"/>
    <w:rsid w:val="00D650B3"/>
    <w:rsid w:val="00D85D6D"/>
    <w:rsid w:val="00DD64C1"/>
    <w:rsid w:val="00DE3299"/>
    <w:rsid w:val="00E14E87"/>
    <w:rsid w:val="00E52FD7"/>
    <w:rsid w:val="00E85F0E"/>
    <w:rsid w:val="00EC3FB8"/>
    <w:rsid w:val="00EE23EE"/>
    <w:rsid w:val="00F15754"/>
    <w:rsid w:val="00F5751A"/>
    <w:rsid w:val="00F72550"/>
    <w:rsid w:val="00FF33A0"/>
    <w:rsid w:val="00FF76D9"/>
    <w:rsid w:val="01443353"/>
    <w:rsid w:val="01583855"/>
    <w:rsid w:val="01B974D3"/>
    <w:rsid w:val="022F412F"/>
    <w:rsid w:val="02ED5154"/>
    <w:rsid w:val="02F7533D"/>
    <w:rsid w:val="03562994"/>
    <w:rsid w:val="035A0EDE"/>
    <w:rsid w:val="03C74BB5"/>
    <w:rsid w:val="03CB6D70"/>
    <w:rsid w:val="03D5206B"/>
    <w:rsid w:val="04364A4F"/>
    <w:rsid w:val="043A0F20"/>
    <w:rsid w:val="04754D24"/>
    <w:rsid w:val="04E40895"/>
    <w:rsid w:val="050B0AD1"/>
    <w:rsid w:val="050F7FDE"/>
    <w:rsid w:val="051B7598"/>
    <w:rsid w:val="05577B55"/>
    <w:rsid w:val="056A06BF"/>
    <w:rsid w:val="05F56343"/>
    <w:rsid w:val="074C62E7"/>
    <w:rsid w:val="083975B8"/>
    <w:rsid w:val="083B43B1"/>
    <w:rsid w:val="08757A2C"/>
    <w:rsid w:val="08A86F0A"/>
    <w:rsid w:val="09A667E8"/>
    <w:rsid w:val="0ABC5AEC"/>
    <w:rsid w:val="0B093D1A"/>
    <w:rsid w:val="0B372B92"/>
    <w:rsid w:val="0C855B7E"/>
    <w:rsid w:val="0C87037B"/>
    <w:rsid w:val="0CEF0CD8"/>
    <w:rsid w:val="0D837D9E"/>
    <w:rsid w:val="0DEA03BD"/>
    <w:rsid w:val="0E0802A4"/>
    <w:rsid w:val="0E1B10A8"/>
    <w:rsid w:val="0E80564C"/>
    <w:rsid w:val="0EA03B8A"/>
    <w:rsid w:val="0EAC0C18"/>
    <w:rsid w:val="0EB25F9A"/>
    <w:rsid w:val="0F0E1360"/>
    <w:rsid w:val="0F3222B1"/>
    <w:rsid w:val="0F8D0176"/>
    <w:rsid w:val="0FA05580"/>
    <w:rsid w:val="115626A3"/>
    <w:rsid w:val="11E608FC"/>
    <w:rsid w:val="12E86716"/>
    <w:rsid w:val="134D0507"/>
    <w:rsid w:val="14082F52"/>
    <w:rsid w:val="14085DAD"/>
    <w:rsid w:val="14233C6D"/>
    <w:rsid w:val="14452035"/>
    <w:rsid w:val="145B3800"/>
    <w:rsid w:val="147E4E1C"/>
    <w:rsid w:val="15B80929"/>
    <w:rsid w:val="16007AF5"/>
    <w:rsid w:val="163A203A"/>
    <w:rsid w:val="17BF20B0"/>
    <w:rsid w:val="17C17C60"/>
    <w:rsid w:val="17C214C3"/>
    <w:rsid w:val="17E977C8"/>
    <w:rsid w:val="1873680D"/>
    <w:rsid w:val="187D188E"/>
    <w:rsid w:val="18AF3306"/>
    <w:rsid w:val="18F12637"/>
    <w:rsid w:val="19133D1F"/>
    <w:rsid w:val="1922150A"/>
    <w:rsid w:val="19880595"/>
    <w:rsid w:val="1AB46DAB"/>
    <w:rsid w:val="1B374A18"/>
    <w:rsid w:val="1B6C2995"/>
    <w:rsid w:val="1BB63722"/>
    <w:rsid w:val="1BC44893"/>
    <w:rsid w:val="1BC65F54"/>
    <w:rsid w:val="1BDF2274"/>
    <w:rsid w:val="1C05708F"/>
    <w:rsid w:val="1C307374"/>
    <w:rsid w:val="1C9203A6"/>
    <w:rsid w:val="1E8832A2"/>
    <w:rsid w:val="1F1C5732"/>
    <w:rsid w:val="1F2D5E39"/>
    <w:rsid w:val="1F37249F"/>
    <w:rsid w:val="1FC2316E"/>
    <w:rsid w:val="20336A96"/>
    <w:rsid w:val="206C021E"/>
    <w:rsid w:val="21325ABC"/>
    <w:rsid w:val="21424D60"/>
    <w:rsid w:val="220D3E3F"/>
    <w:rsid w:val="224A02E7"/>
    <w:rsid w:val="227411DF"/>
    <w:rsid w:val="22803312"/>
    <w:rsid w:val="22BA5A10"/>
    <w:rsid w:val="238E7B64"/>
    <w:rsid w:val="24040FBB"/>
    <w:rsid w:val="24856237"/>
    <w:rsid w:val="24FE116D"/>
    <w:rsid w:val="25053D8A"/>
    <w:rsid w:val="255D39A3"/>
    <w:rsid w:val="25791876"/>
    <w:rsid w:val="26B94C66"/>
    <w:rsid w:val="26BD7735"/>
    <w:rsid w:val="26CC7C68"/>
    <w:rsid w:val="26FF6942"/>
    <w:rsid w:val="272B74FA"/>
    <w:rsid w:val="28067A29"/>
    <w:rsid w:val="2865301D"/>
    <w:rsid w:val="28732366"/>
    <w:rsid w:val="28C86C87"/>
    <w:rsid w:val="28D41348"/>
    <w:rsid w:val="28D472A8"/>
    <w:rsid w:val="28FB65E3"/>
    <w:rsid w:val="2919115F"/>
    <w:rsid w:val="296119D7"/>
    <w:rsid w:val="2A3A7A42"/>
    <w:rsid w:val="2A97100B"/>
    <w:rsid w:val="2B401296"/>
    <w:rsid w:val="2D0635AD"/>
    <w:rsid w:val="2DDB1EBF"/>
    <w:rsid w:val="2DF963B5"/>
    <w:rsid w:val="2E6961DD"/>
    <w:rsid w:val="2EA67F31"/>
    <w:rsid w:val="2EC40C57"/>
    <w:rsid w:val="2EE433BF"/>
    <w:rsid w:val="2F2E4A11"/>
    <w:rsid w:val="30334755"/>
    <w:rsid w:val="309A6C96"/>
    <w:rsid w:val="311233CC"/>
    <w:rsid w:val="319E2F70"/>
    <w:rsid w:val="324A67B5"/>
    <w:rsid w:val="32DA1944"/>
    <w:rsid w:val="332E1E50"/>
    <w:rsid w:val="339B1F83"/>
    <w:rsid w:val="34375C94"/>
    <w:rsid w:val="34935BA4"/>
    <w:rsid w:val="34A264CA"/>
    <w:rsid w:val="362A0508"/>
    <w:rsid w:val="36BA638E"/>
    <w:rsid w:val="3703456E"/>
    <w:rsid w:val="37A26BD4"/>
    <w:rsid w:val="380D685F"/>
    <w:rsid w:val="386E2C1B"/>
    <w:rsid w:val="39290F4A"/>
    <w:rsid w:val="39FC703A"/>
    <w:rsid w:val="3A4968CA"/>
    <w:rsid w:val="3A776CC5"/>
    <w:rsid w:val="3A995C5C"/>
    <w:rsid w:val="3B6D4312"/>
    <w:rsid w:val="3B7D5E2D"/>
    <w:rsid w:val="3BB9179A"/>
    <w:rsid w:val="3C2D7C46"/>
    <w:rsid w:val="3C536A33"/>
    <w:rsid w:val="3C643878"/>
    <w:rsid w:val="3CB7521C"/>
    <w:rsid w:val="3CE76215"/>
    <w:rsid w:val="3CFF0303"/>
    <w:rsid w:val="3D7619F9"/>
    <w:rsid w:val="3D96007A"/>
    <w:rsid w:val="3E1201FF"/>
    <w:rsid w:val="3E512B11"/>
    <w:rsid w:val="3E9F1660"/>
    <w:rsid w:val="3F5F332B"/>
    <w:rsid w:val="3F8502F8"/>
    <w:rsid w:val="3FD704B2"/>
    <w:rsid w:val="3FE0447A"/>
    <w:rsid w:val="405854B3"/>
    <w:rsid w:val="409313F9"/>
    <w:rsid w:val="40CA2819"/>
    <w:rsid w:val="40F706D6"/>
    <w:rsid w:val="412D70FE"/>
    <w:rsid w:val="418C72E5"/>
    <w:rsid w:val="41B70218"/>
    <w:rsid w:val="41EC3A6C"/>
    <w:rsid w:val="42A2655E"/>
    <w:rsid w:val="42E71D47"/>
    <w:rsid w:val="43574906"/>
    <w:rsid w:val="436C5E0D"/>
    <w:rsid w:val="440F6ACF"/>
    <w:rsid w:val="441C3545"/>
    <w:rsid w:val="44631084"/>
    <w:rsid w:val="446A549B"/>
    <w:rsid w:val="44800368"/>
    <w:rsid w:val="460B5EC1"/>
    <w:rsid w:val="46871AD6"/>
    <w:rsid w:val="4735560E"/>
    <w:rsid w:val="47413F22"/>
    <w:rsid w:val="47D55FFA"/>
    <w:rsid w:val="47EB386F"/>
    <w:rsid w:val="481D5A38"/>
    <w:rsid w:val="487975A7"/>
    <w:rsid w:val="48872B1F"/>
    <w:rsid w:val="48C50C50"/>
    <w:rsid w:val="48E72086"/>
    <w:rsid w:val="491C65AF"/>
    <w:rsid w:val="494D5092"/>
    <w:rsid w:val="49732ED5"/>
    <w:rsid w:val="499917D4"/>
    <w:rsid w:val="4A1079FD"/>
    <w:rsid w:val="4A1D620C"/>
    <w:rsid w:val="4AE21D6F"/>
    <w:rsid w:val="4B05012E"/>
    <w:rsid w:val="4BC136D0"/>
    <w:rsid w:val="4BF418E4"/>
    <w:rsid w:val="4C2E17B4"/>
    <w:rsid w:val="4D904DD7"/>
    <w:rsid w:val="4D9C287D"/>
    <w:rsid w:val="4DC53F66"/>
    <w:rsid w:val="4DF16F42"/>
    <w:rsid w:val="4E4F4497"/>
    <w:rsid w:val="4F493C9D"/>
    <w:rsid w:val="4F75768A"/>
    <w:rsid w:val="4FEA2AE8"/>
    <w:rsid w:val="50F25C6E"/>
    <w:rsid w:val="510465BE"/>
    <w:rsid w:val="51552F81"/>
    <w:rsid w:val="51AB2104"/>
    <w:rsid w:val="52384A5B"/>
    <w:rsid w:val="52840C61"/>
    <w:rsid w:val="53427976"/>
    <w:rsid w:val="53A63423"/>
    <w:rsid w:val="53CD7A2C"/>
    <w:rsid w:val="54386D63"/>
    <w:rsid w:val="54A36172"/>
    <w:rsid w:val="54B0714A"/>
    <w:rsid w:val="54BC0EE8"/>
    <w:rsid w:val="550D4C07"/>
    <w:rsid w:val="55D41C4B"/>
    <w:rsid w:val="594F1692"/>
    <w:rsid w:val="59566C52"/>
    <w:rsid w:val="5A62181D"/>
    <w:rsid w:val="5AAF5CCA"/>
    <w:rsid w:val="5AD32383"/>
    <w:rsid w:val="5AD75A27"/>
    <w:rsid w:val="5B6E68B8"/>
    <w:rsid w:val="5B8D6C19"/>
    <w:rsid w:val="5BBB7CD0"/>
    <w:rsid w:val="5BCE61FA"/>
    <w:rsid w:val="5C7B5930"/>
    <w:rsid w:val="5C9B134E"/>
    <w:rsid w:val="5CDE2CBB"/>
    <w:rsid w:val="5CE91666"/>
    <w:rsid w:val="5D017965"/>
    <w:rsid w:val="5D580334"/>
    <w:rsid w:val="5DAA1580"/>
    <w:rsid w:val="5DC2572F"/>
    <w:rsid w:val="5E1A6FB5"/>
    <w:rsid w:val="5E754EC0"/>
    <w:rsid w:val="5E7A3CE2"/>
    <w:rsid w:val="5EA577A9"/>
    <w:rsid w:val="5F355496"/>
    <w:rsid w:val="5F881C77"/>
    <w:rsid w:val="61A7533B"/>
    <w:rsid w:val="62B2296D"/>
    <w:rsid w:val="62C266BA"/>
    <w:rsid w:val="631A1780"/>
    <w:rsid w:val="636147EE"/>
    <w:rsid w:val="63677EFB"/>
    <w:rsid w:val="63DB6B9E"/>
    <w:rsid w:val="63E63410"/>
    <w:rsid w:val="63F47577"/>
    <w:rsid w:val="63F57AF7"/>
    <w:rsid w:val="65B441A4"/>
    <w:rsid w:val="65D74553"/>
    <w:rsid w:val="66373494"/>
    <w:rsid w:val="66591B82"/>
    <w:rsid w:val="666176C6"/>
    <w:rsid w:val="66790C75"/>
    <w:rsid w:val="67A63985"/>
    <w:rsid w:val="686731DA"/>
    <w:rsid w:val="6898637C"/>
    <w:rsid w:val="68B16D7B"/>
    <w:rsid w:val="68BA7003"/>
    <w:rsid w:val="68C057C9"/>
    <w:rsid w:val="69C42446"/>
    <w:rsid w:val="6A6A3B7B"/>
    <w:rsid w:val="6AC36D45"/>
    <w:rsid w:val="6B735ED1"/>
    <w:rsid w:val="6BE11926"/>
    <w:rsid w:val="6C920572"/>
    <w:rsid w:val="6C9C1458"/>
    <w:rsid w:val="6D5B4E6F"/>
    <w:rsid w:val="6DC31ECB"/>
    <w:rsid w:val="6DC43BF5"/>
    <w:rsid w:val="6E4A3E00"/>
    <w:rsid w:val="6E656845"/>
    <w:rsid w:val="6EA64B45"/>
    <w:rsid w:val="6F471F5D"/>
    <w:rsid w:val="6FC86FC6"/>
    <w:rsid w:val="710F157A"/>
    <w:rsid w:val="718C3480"/>
    <w:rsid w:val="71BE7433"/>
    <w:rsid w:val="72141CB1"/>
    <w:rsid w:val="726F354B"/>
    <w:rsid w:val="729606F7"/>
    <w:rsid w:val="72B9765A"/>
    <w:rsid w:val="72F3401B"/>
    <w:rsid w:val="731416B4"/>
    <w:rsid w:val="73712518"/>
    <w:rsid w:val="738E7AB2"/>
    <w:rsid w:val="73972D03"/>
    <w:rsid w:val="73A54F01"/>
    <w:rsid w:val="73DF2037"/>
    <w:rsid w:val="73F47C56"/>
    <w:rsid w:val="74624F7D"/>
    <w:rsid w:val="7546516B"/>
    <w:rsid w:val="756579A1"/>
    <w:rsid w:val="757E5780"/>
    <w:rsid w:val="75AF555B"/>
    <w:rsid w:val="75C126B7"/>
    <w:rsid w:val="76F3488A"/>
    <w:rsid w:val="77281C38"/>
    <w:rsid w:val="7767181A"/>
    <w:rsid w:val="77B27D81"/>
    <w:rsid w:val="77C7038B"/>
    <w:rsid w:val="781828A1"/>
    <w:rsid w:val="78780B98"/>
    <w:rsid w:val="788E06C1"/>
    <w:rsid w:val="78AA6CAB"/>
    <w:rsid w:val="78D76423"/>
    <w:rsid w:val="79E02BD8"/>
    <w:rsid w:val="7A0E4FD1"/>
    <w:rsid w:val="7A3458D0"/>
    <w:rsid w:val="7A431165"/>
    <w:rsid w:val="7A4B048B"/>
    <w:rsid w:val="7A96669D"/>
    <w:rsid w:val="7ABE5931"/>
    <w:rsid w:val="7ACD133D"/>
    <w:rsid w:val="7B667A30"/>
    <w:rsid w:val="7B672810"/>
    <w:rsid w:val="7B681B66"/>
    <w:rsid w:val="7C6B2EC5"/>
    <w:rsid w:val="7D3B567D"/>
    <w:rsid w:val="7DA46C42"/>
    <w:rsid w:val="7E300909"/>
    <w:rsid w:val="7E937282"/>
    <w:rsid w:val="7EB42631"/>
    <w:rsid w:val="7EC84C80"/>
    <w:rsid w:val="7EF55FF4"/>
    <w:rsid w:val="7F2C666B"/>
    <w:rsid w:val="7F565D1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qFormat="1" w:unhideWhenUsed="0" w:uiPriority="0" w:semiHidden="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3">
    <w:name w:val="heading 2"/>
    <w:basedOn w:val="1"/>
    <w:next w:val="1"/>
    <w:semiHidden/>
    <w:unhideWhenUsed/>
    <w:qFormat/>
    <w:uiPriority w:val="0"/>
    <w:pPr>
      <w:keepNext/>
      <w:keepLines/>
      <w:spacing w:before="260" w:after="260" w:line="413" w:lineRule="auto"/>
      <w:outlineLvl w:val="1"/>
    </w:pPr>
    <w:rPr>
      <w:rFonts w:ascii="Arial" w:hAnsi="Arial" w:eastAsia="黑体"/>
      <w:b/>
      <w:sz w:val="32"/>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qFormat/>
    <w:uiPriority w:val="0"/>
    <w:pPr>
      <w:adjustRightInd w:val="0"/>
      <w:spacing w:line="480" w:lineRule="atLeast"/>
      <w:ind w:firstLine="600"/>
      <w:textAlignment w:val="baseline"/>
    </w:pPr>
    <w:rPr>
      <w:rFonts w:eastAsia="仿宋_GB2312"/>
      <w:kern w:val="0"/>
      <w:sz w:val="30"/>
      <w:szCs w:val="20"/>
    </w:rPr>
  </w:style>
  <w:style w:type="paragraph" w:styleId="5">
    <w:name w:val="annotation text"/>
    <w:basedOn w:val="1"/>
    <w:semiHidden/>
    <w:unhideWhenUsed/>
    <w:qFormat/>
    <w:uiPriority w:val="0"/>
    <w:pPr>
      <w:jc w:val="left"/>
    </w:pPr>
  </w:style>
  <w:style w:type="paragraph" w:styleId="6">
    <w:name w:val="Body Text"/>
    <w:basedOn w:val="1"/>
    <w:next w:val="1"/>
    <w:qFormat/>
    <w:uiPriority w:val="0"/>
  </w:style>
  <w:style w:type="paragraph" w:styleId="7">
    <w:name w:val="Body Text Indent"/>
    <w:basedOn w:val="1"/>
    <w:next w:val="8"/>
    <w:qFormat/>
    <w:uiPriority w:val="0"/>
    <w:pPr>
      <w:ind w:firstLine="560" w:firstLineChars="200"/>
    </w:pPr>
    <w:rPr>
      <w:rFonts w:ascii="Times New Roman" w:hAnsi="Times New Roman"/>
      <w:kern w:val="0"/>
      <w:sz w:val="28"/>
      <w:szCs w:val="24"/>
    </w:rPr>
  </w:style>
  <w:style w:type="paragraph" w:styleId="8">
    <w:name w:val="envelope return"/>
    <w:basedOn w:val="1"/>
    <w:qFormat/>
    <w:uiPriority w:val="0"/>
    <w:pPr>
      <w:snapToGrid w:val="0"/>
    </w:pPr>
    <w:rPr>
      <w:rFonts w:ascii="Arial" w:hAnsi="Arial"/>
      <w:szCs w:val="24"/>
    </w:rPr>
  </w:style>
  <w:style w:type="paragraph" w:styleId="9">
    <w:name w:val="Plain Text"/>
    <w:basedOn w:val="1"/>
    <w:next w:val="1"/>
    <w:link w:val="32"/>
    <w:qFormat/>
    <w:uiPriority w:val="0"/>
    <w:rPr>
      <w:rFonts w:hint="eastAsia" w:ascii="宋体" w:hAnsi="Courier New" w:eastAsia="宋体" w:cs="Times New Roman"/>
      <w:szCs w:val="21"/>
    </w:rPr>
  </w:style>
  <w:style w:type="paragraph" w:styleId="10">
    <w:name w:val="Balloon Text"/>
    <w:basedOn w:val="1"/>
    <w:link w:val="30"/>
    <w:qFormat/>
    <w:uiPriority w:val="0"/>
    <w:rPr>
      <w:sz w:val="18"/>
      <w:szCs w:val="18"/>
    </w:rPr>
  </w:style>
  <w:style w:type="paragraph" w:styleId="11">
    <w:name w:val="footer"/>
    <w:basedOn w:val="1"/>
    <w:link w:val="29"/>
    <w:qFormat/>
    <w:uiPriority w:val="0"/>
    <w:pPr>
      <w:tabs>
        <w:tab w:val="center" w:pos="4153"/>
        <w:tab w:val="right" w:pos="8306"/>
      </w:tabs>
      <w:snapToGrid w:val="0"/>
      <w:jc w:val="left"/>
    </w:pPr>
    <w:rPr>
      <w:sz w:val="18"/>
      <w:szCs w:val="18"/>
    </w:rPr>
  </w:style>
  <w:style w:type="paragraph" w:styleId="12">
    <w:name w:val="header"/>
    <w:basedOn w:val="1"/>
    <w:link w:val="28"/>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eastAsia="宋体" w:cs="Times New Roman"/>
      <w:szCs w:val="21"/>
    </w:rPr>
  </w:style>
  <w:style w:type="paragraph" w:styleId="14">
    <w:name w:val="Body Text First Indent"/>
    <w:basedOn w:val="6"/>
    <w:next w:val="15"/>
    <w:link w:val="33"/>
    <w:qFormat/>
    <w:uiPriority w:val="0"/>
    <w:pPr>
      <w:spacing w:beforeAutospacing="1" w:after="120"/>
      <w:ind w:firstLine="420"/>
    </w:pPr>
    <w:rPr>
      <w:rFonts w:ascii="Times New Roman" w:hAnsi="Times New Roman" w:eastAsia="宋体" w:cs="Times New Roman"/>
      <w:szCs w:val="21"/>
    </w:rPr>
  </w:style>
  <w:style w:type="paragraph" w:styleId="15">
    <w:name w:val="Body Text First Indent 2"/>
    <w:basedOn w:val="7"/>
    <w:qFormat/>
    <w:uiPriority w:val="0"/>
    <w:pPr>
      <w:spacing w:line="420" w:lineRule="exact"/>
      <w:ind w:firstLine="420"/>
      <w:jc w:val="left"/>
    </w:pPr>
    <w:rPr>
      <w:rFonts w:ascii="宋体" w:hAnsi="宋体"/>
      <w:color w:val="000000"/>
      <w:sz w:val="24"/>
      <w:szCs w:val="18"/>
    </w:rPr>
  </w:style>
  <w:style w:type="character" w:styleId="18">
    <w:name w:val="page number"/>
    <w:basedOn w:val="17"/>
    <w:qFormat/>
    <w:uiPriority w:val="0"/>
  </w:style>
  <w:style w:type="character" w:styleId="19">
    <w:name w:val="FollowedHyperlink"/>
    <w:basedOn w:val="17"/>
    <w:qFormat/>
    <w:uiPriority w:val="0"/>
    <w:rPr>
      <w:color w:val="0000FF"/>
      <w:u w:val="single"/>
    </w:rPr>
  </w:style>
  <w:style w:type="character" w:styleId="20">
    <w:name w:val="Hyperlink"/>
    <w:basedOn w:val="17"/>
    <w:qFormat/>
    <w:uiPriority w:val="0"/>
    <w:rPr>
      <w:color w:val="0000FF"/>
      <w:u w:val="single"/>
    </w:rPr>
  </w:style>
  <w:style w:type="paragraph" w:customStyle="1" w:styleId="21">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2">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3">
    <w:name w:val="列出段落1"/>
    <w:basedOn w:val="1"/>
    <w:qFormat/>
    <w:uiPriority w:val="0"/>
    <w:pPr>
      <w:ind w:firstLine="420" w:firstLineChars="200"/>
    </w:pPr>
    <w:rPr>
      <w:rFonts w:ascii="Calibri" w:hAnsi="Calibri" w:eastAsia="宋体" w:cs="Times New Roman"/>
      <w:szCs w:val="21"/>
    </w:rPr>
  </w:style>
  <w:style w:type="paragraph" w:customStyle="1" w:styleId="24">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5">
    <w:name w:val="10"/>
    <w:basedOn w:val="17"/>
    <w:qFormat/>
    <w:uiPriority w:val="0"/>
    <w:rPr>
      <w:rFonts w:hint="default" w:ascii="Times New Roman" w:hAnsi="Times New Roman" w:cs="Times New Roman"/>
    </w:rPr>
  </w:style>
  <w:style w:type="character" w:customStyle="1" w:styleId="26">
    <w:name w:val="15"/>
    <w:basedOn w:val="17"/>
    <w:qFormat/>
    <w:uiPriority w:val="0"/>
    <w:rPr>
      <w:rFonts w:hint="default" w:ascii="Times New Roman" w:hAnsi="Times New Roman" w:cs="Times New Roman"/>
    </w:rPr>
  </w:style>
  <w:style w:type="character" w:customStyle="1" w:styleId="27">
    <w:name w:val="16"/>
    <w:basedOn w:val="17"/>
    <w:qFormat/>
    <w:uiPriority w:val="0"/>
    <w:rPr>
      <w:rFonts w:hint="default" w:ascii="Times New Roman" w:hAnsi="Times New Roman" w:cs="Times New Roman"/>
      <w:color w:val="0000FF"/>
      <w:u w:val="single"/>
    </w:rPr>
  </w:style>
  <w:style w:type="character" w:customStyle="1" w:styleId="28">
    <w:name w:val="页眉 Char"/>
    <w:basedOn w:val="17"/>
    <w:link w:val="12"/>
    <w:qFormat/>
    <w:uiPriority w:val="0"/>
    <w:rPr>
      <w:rFonts w:asciiTheme="minorHAnsi" w:hAnsiTheme="minorHAnsi" w:eastAsiaTheme="minorEastAsia" w:cstheme="minorBidi"/>
      <w:kern w:val="2"/>
      <w:sz w:val="18"/>
      <w:szCs w:val="18"/>
    </w:rPr>
  </w:style>
  <w:style w:type="character" w:customStyle="1" w:styleId="29">
    <w:name w:val="页脚 Char"/>
    <w:basedOn w:val="17"/>
    <w:link w:val="11"/>
    <w:qFormat/>
    <w:uiPriority w:val="0"/>
    <w:rPr>
      <w:rFonts w:asciiTheme="minorHAnsi" w:hAnsiTheme="minorHAnsi" w:eastAsiaTheme="minorEastAsia" w:cstheme="minorBidi"/>
      <w:kern w:val="2"/>
      <w:sz w:val="18"/>
      <w:szCs w:val="18"/>
    </w:rPr>
  </w:style>
  <w:style w:type="character" w:customStyle="1" w:styleId="30">
    <w:name w:val="批注框文本 Char"/>
    <w:basedOn w:val="17"/>
    <w:link w:val="10"/>
    <w:qFormat/>
    <w:uiPriority w:val="0"/>
    <w:rPr>
      <w:rFonts w:asciiTheme="minorHAnsi" w:hAnsiTheme="minorHAnsi" w:eastAsiaTheme="minorEastAsia" w:cstheme="minorBidi"/>
      <w:kern w:val="2"/>
      <w:sz w:val="18"/>
      <w:szCs w:val="18"/>
    </w:rPr>
  </w:style>
  <w:style w:type="paragraph" w:customStyle="1" w:styleId="31">
    <w:name w:val="WPSOffice手动目录 1"/>
    <w:qFormat/>
    <w:uiPriority w:val="0"/>
    <w:rPr>
      <w:rFonts w:ascii="Times New Roman" w:hAnsi="Times New Roman" w:eastAsia="宋体" w:cs="Times New Roman"/>
      <w:lang w:val="en-US" w:eastAsia="zh-CN" w:bidi="ar-SA"/>
    </w:rPr>
  </w:style>
  <w:style w:type="character" w:customStyle="1" w:styleId="32">
    <w:name w:val="纯文本 Char"/>
    <w:link w:val="9"/>
    <w:qFormat/>
    <w:uiPriority w:val="0"/>
    <w:rPr>
      <w:rFonts w:ascii="宋体" w:hAnsi="Courier New"/>
      <w:kern w:val="2"/>
      <w:sz w:val="21"/>
      <w:szCs w:val="21"/>
    </w:rPr>
  </w:style>
  <w:style w:type="character" w:customStyle="1" w:styleId="33">
    <w:name w:val="正文首行缩进 Char"/>
    <w:basedOn w:val="17"/>
    <w:link w:val="14"/>
    <w:qFormat/>
    <w:uiPriority w:val="0"/>
    <w:rPr>
      <w:kern w:val="2"/>
      <w:sz w:val="21"/>
      <w:szCs w:val="21"/>
    </w:rPr>
  </w:style>
  <w:style w:type="paragraph" w:styleId="34">
    <w:name w:val="List Paragraph"/>
    <w:basedOn w:val="1"/>
    <w:unhideWhenUsed/>
    <w:qFormat/>
    <w:uiPriority w:val="99"/>
    <w:pPr>
      <w:ind w:firstLine="420" w:firstLineChars="200"/>
    </w:pPr>
  </w:style>
  <w:style w:type="paragraph" w:customStyle="1" w:styleId="35">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6">
    <w:name w:val="发文落款"/>
    <w:basedOn w:val="35"/>
    <w:qFormat/>
    <w:uiPriority w:val="0"/>
    <w:pPr>
      <w:ind w:left="4094" w:right="607" w:firstLine="0"/>
      <w:jc w:val="center"/>
    </w:pPr>
  </w:style>
  <w:style w:type="paragraph" w:customStyle="1" w:styleId="37">
    <w:name w:val="样式 小四 行距: 1.5 倍行距"/>
    <w:basedOn w:val="1"/>
    <w:qFormat/>
    <w:uiPriority w:val="0"/>
    <w:pPr>
      <w:ind w:firstLine="480"/>
    </w:pPr>
    <w:rPr>
      <w:rFonts w:cs="宋体"/>
    </w:rPr>
  </w:style>
  <w:style w:type="paragraph" w:customStyle="1" w:styleId="38">
    <w:name w:val="表格文字"/>
    <w:basedOn w:val="1"/>
    <w:qFormat/>
    <w:uiPriority w:val="0"/>
    <w:pPr>
      <w:spacing w:before="25" w:after="25"/>
      <w:jc w:val="left"/>
    </w:pPr>
    <w:rPr>
      <w:bCs/>
      <w:spacing w:val="10"/>
      <w:kern w:val="0"/>
      <w:sz w:val="24"/>
    </w:rPr>
  </w:style>
  <w:style w:type="paragraph" w:customStyle="1" w:styleId="39">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43</Pages>
  <Words>9748</Words>
  <Characters>10434</Characters>
  <Lines>139</Lines>
  <Paragraphs>39</Paragraphs>
  <TotalTime>1</TotalTime>
  <ScaleCrop>false</ScaleCrop>
  <LinksUpToDate>false</LinksUpToDate>
  <CharactersWithSpaces>11015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2022-07-22T06:29:00Z</dcterms:created>
  <dc:creator>李晓晨</dc:creator>
  <cp:lastModifiedBy>Lenovo</cp:lastModifiedBy>
  <cp:lastPrinted>2020-07-23T07:52:00Z</cp:lastPrinted>
  <dcterms:modified xsi:type="dcterms:W3CDTF">2025-02-06T03:21:50Z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34A582031BBD4A8392FE98AAD5F97DA6</vt:lpwstr>
  </property>
  <property fmtid="{D5CDD505-2E9C-101B-9397-08002B2CF9AE}" pid="4" name="KSOTemplateDocerSaveRecord">
    <vt:lpwstr>eyJoZGlkIjoiNWY1ZjliYzFmMGUxYjBmY2U5ZDZlZjE2ZGI3ZDYxMzUiLCJ1c2VySWQiOiI0MzI4Mjc0MDcifQ==</vt:lpwstr>
  </property>
</Properties>
</file>