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6C20C">
      <w:pPr>
        <w:jc w:val="center"/>
        <w:rPr>
          <w:rFonts w:hint="eastAsia" w:asciiTheme="majorEastAsia" w:hAnsiTheme="majorEastAsia" w:eastAsiaTheme="majorEastAsia" w:cstheme="majorEastAsia"/>
          <w:b w:val="0"/>
          <w:bCs w:val="0"/>
          <w:color w:val="auto"/>
          <w:sz w:val="44"/>
          <w:szCs w:val="44"/>
          <w:highlight w:val="none"/>
          <w:lang w:eastAsia="zh-CN"/>
        </w:rPr>
      </w:pPr>
      <w:r>
        <w:rPr>
          <w:rFonts w:hint="eastAsia" w:asciiTheme="majorEastAsia" w:hAnsiTheme="majorEastAsia" w:eastAsiaTheme="majorEastAsia" w:cstheme="majorEastAsia"/>
          <w:b w:val="0"/>
          <w:bCs w:val="0"/>
          <w:color w:val="auto"/>
          <w:sz w:val="44"/>
          <w:szCs w:val="44"/>
          <w:highlight w:val="none"/>
          <w:lang w:eastAsia="zh-CN"/>
        </w:rPr>
        <w:t>2025“Head In The Clouds”（云思妙想）音乐艺术节——大湾区站（南沙）项目</w:t>
      </w:r>
    </w:p>
    <w:p w14:paraId="728A67F3">
      <w:pPr>
        <w:jc w:val="center"/>
        <w:rPr>
          <w:rFonts w:hint="eastAsia" w:asciiTheme="majorEastAsia" w:hAnsiTheme="majorEastAsia" w:eastAsiaTheme="majorEastAsia" w:cstheme="majorEastAsia"/>
          <w:b w:val="0"/>
          <w:bCs w:val="0"/>
          <w:color w:val="auto"/>
          <w:sz w:val="44"/>
          <w:szCs w:val="44"/>
          <w:highlight w:val="none"/>
          <w:lang w:val="en-US" w:eastAsia="zh-CN"/>
        </w:rPr>
      </w:pPr>
      <w:r>
        <w:rPr>
          <w:rFonts w:hint="eastAsia" w:asciiTheme="majorEastAsia" w:hAnsiTheme="majorEastAsia" w:eastAsiaTheme="majorEastAsia" w:cstheme="majorEastAsia"/>
          <w:b w:val="0"/>
          <w:bCs w:val="0"/>
          <w:color w:val="auto"/>
          <w:sz w:val="44"/>
          <w:szCs w:val="44"/>
          <w:highlight w:val="none"/>
          <w:lang w:eastAsia="zh-CN"/>
        </w:rPr>
        <w:t>临时安保服务外包项目</w:t>
      </w:r>
    </w:p>
    <w:p w14:paraId="6A190D40">
      <w:pPr>
        <w:rPr>
          <w:rFonts w:hint="eastAsia"/>
          <w:color w:val="auto"/>
          <w:highlight w:val="none"/>
        </w:rPr>
      </w:pPr>
      <w:bookmarkStart w:id="234" w:name="_GoBack"/>
      <w:bookmarkEnd w:id="234"/>
    </w:p>
    <w:p w14:paraId="46018973">
      <w:pPr>
        <w:pStyle w:val="5"/>
        <w:rPr>
          <w:rFonts w:hint="eastAsia"/>
          <w:color w:val="auto"/>
          <w:highlight w:val="none"/>
        </w:rPr>
      </w:pPr>
    </w:p>
    <w:p w14:paraId="46499114">
      <w:pPr>
        <w:rPr>
          <w:rFonts w:hint="eastAsia"/>
          <w:color w:val="auto"/>
          <w:highlight w:val="none"/>
        </w:rPr>
      </w:pPr>
    </w:p>
    <w:p w14:paraId="243452A4">
      <w:pPr>
        <w:pStyle w:val="5"/>
        <w:rPr>
          <w:rFonts w:hint="eastAsia"/>
          <w:color w:val="auto"/>
          <w:highlight w:val="none"/>
        </w:rPr>
      </w:pPr>
    </w:p>
    <w:p w14:paraId="210FFFD4">
      <w:pPr>
        <w:pStyle w:val="5"/>
        <w:spacing w:before="0" w:after="0" w:line="240" w:lineRule="auto"/>
        <w:ind w:firstLine="0" w:firstLineChars="0"/>
        <w:rPr>
          <w:rFonts w:hint="eastAsia"/>
          <w:color w:val="auto"/>
          <w:highlight w:val="none"/>
        </w:rPr>
      </w:pPr>
    </w:p>
    <w:p w14:paraId="10D4010D">
      <w:pPr>
        <w:jc w:val="both"/>
        <w:rPr>
          <w:rFonts w:hint="eastAsia" w:ascii="宋体" w:hAnsi="宋体" w:cs="宋体"/>
          <w:b/>
          <w:bCs/>
          <w:color w:val="auto"/>
          <w:sz w:val="72"/>
          <w:szCs w:val="72"/>
          <w:highlight w:val="none"/>
        </w:rPr>
      </w:pPr>
    </w:p>
    <w:p w14:paraId="52568651">
      <w:pPr>
        <w:jc w:val="center"/>
        <w:rPr>
          <w:rFonts w:hint="eastAsia" w:ascii="宋体" w:hAnsi="宋体" w:cs="宋体"/>
          <w:b/>
          <w:bCs/>
          <w:color w:val="auto"/>
          <w:sz w:val="72"/>
          <w:szCs w:val="72"/>
          <w:highlight w:val="none"/>
        </w:rPr>
      </w:pPr>
      <w:r>
        <w:rPr>
          <w:rFonts w:hint="eastAsia" w:ascii="宋体" w:hAnsi="宋体" w:cs="宋体"/>
          <w:b/>
          <w:bCs/>
          <w:color w:val="auto"/>
          <w:sz w:val="60"/>
          <w:szCs w:val="60"/>
          <w:highlight w:val="none"/>
        </w:rPr>
        <w:t>邀请招标文件</w:t>
      </w:r>
    </w:p>
    <w:p w14:paraId="399C31B3">
      <w:pPr>
        <w:jc w:val="center"/>
        <w:rPr>
          <w:rFonts w:hint="eastAsia" w:ascii="黑体" w:hAnsi="黑体" w:eastAsia="黑体" w:cs="黑体"/>
          <w:color w:val="auto"/>
          <w:sz w:val="72"/>
          <w:szCs w:val="72"/>
          <w:highlight w:val="none"/>
        </w:rPr>
      </w:pPr>
    </w:p>
    <w:p w14:paraId="59640E8F">
      <w:pPr>
        <w:jc w:val="center"/>
        <w:rPr>
          <w:rFonts w:hint="eastAsia" w:ascii="黑体" w:hAnsi="黑体" w:eastAsia="黑体" w:cs="黑体"/>
          <w:color w:val="auto"/>
          <w:sz w:val="72"/>
          <w:szCs w:val="72"/>
          <w:highlight w:val="none"/>
        </w:rPr>
      </w:pPr>
    </w:p>
    <w:p w14:paraId="641B2632">
      <w:pPr>
        <w:jc w:val="center"/>
        <w:rPr>
          <w:rFonts w:hint="eastAsia" w:ascii="黑体" w:hAnsi="黑体" w:eastAsia="黑体" w:cs="黑体"/>
          <w:color w:val="auto"/>
          <w:sz w:val="72"/>
          <w:szCs w:val="72"/>
          <w:highlight w:val="none"/>
        </w:rPr>
      </w:pPr>
    </w:p>
    <w:p w14:paraId="36393F89">
      <w:pPr>
        <w:pStyle w:val="5"/>
        <w:rPr>
          <w:rFonts w:hint="eastAsia" w:ascii="黑体" w:hAnsi="黑体" w:eastAsia="黑体" w:cs="黑体"/>
          <w:color w:val="auto"/>
          <w:sz w:val="72"/>
          <w:szCs w:val="72"/>
          <w:highlight w:val="none"/>
        </w:rPr>
      </w:pPr>
    </w:p>
    <w:p w14:paraId="6D05610D">
      <w:pPr>
        <w:pStyle w:val="5"/>
        <w:rPr>
          <w:rFonts w:hint="eastAsia"/>
          <w:color w:val="auto"/>
          <w:highlight w:val="none"/>
        </w:rPr>
      </w:pPr>
    </w:p>
    <w:p w14:paraId="0B5616D3">
      <w:pPr>
        <w:rPr>
          <w:rFonts w:hint="eastAsia"/>
          <w:color w:val="auto"/>
          <w:highlight w:val="none"/>
        </w:rPr>
      </w:pPr>
    </w:p>
    <w:p w14:paraId="52A5B0FD">
      <w:pPr>
        <w:ind w:firstLine="440" w:firstLineChars="100"/>
        <w:jc w:val="both"/>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招标人：广州南沙文体投资有限公司</w:t>
      </w:r>
    </w:p>
    <w:p w14:paraId="3082B3AE">
      <w:pPr>
        <w:ind w:firstLine="440" w:firstLineChars="100"/>
        <w:jc w:val="both"/>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日  期：202</w:t>
      </w:r>
      <w:r>
        <w:rPr>
          <w:rFonts w:hint="eastAsia" w:asciiTheme="majorEastAsia" w:hAnsiTheme="majorEastAsia" w:eastAsiaTheme="majorEastAsia" w:cstheme="majorEastAsia"/>
          <w:color w:val="auto"/>
          <w:sz w:val="44"/>
          <w:szCs w:val="44"/>
          <w:highlight w:val="none"/>
          <w:lang w:val="en-US" w:eastAsia="zh-CN"/>
        </w:rPr>
        <w:t>5</w:t>
      </w:r>
      <w:r>
        <w:rPr>
          <w:rFonts w:hint="eastAsia" w:asciiTheme="majorEastAsia" w:hAnsiTheme="majorEastAsia" w:eastAsiaTheme="majorEastAsia" w:cstheme="majorEastAsia"/>
          <w:color w:val="auto"/>
          <w:sz w:val="44"/>
          <w:szCs w:val="44"/>
          <w:highlight w:val="none"/>
        </w:rPr>
        <w:t>年</w:t>
      </w:r>
      <w:r>
        <w:rPr>
          <w:rFonts w:hint="eastAsia" w:asciiTheme="majorEastAsia" w:hAnsiTheme="majorEastAsia" w:eastAsiaTheme="majorEastAsia" w:cstheme="majorEastAsia"/>
          <w:color w:val="auto"/>
          <w:sz w:val="44"/>
          <w:szCs w:val="44"/>
          <w:highlight w:val="none"/>
          <w:lang w:val="en-US" w:eastAsia="zh-CN"/>
        </w:rPr>
        <w:t>4</w:t>
      </w:r>
      <w:r>
        <w:rPr>
          <w:rFonts w:hint="eastAsia" w:asciiTheme="majorEastAsia" w:hAnsiTheme="majorEastAsia" w:eastAsiaTheme="majorEastAsia" w:cstheme="majorEastAsia"/>
          <w:color w:val="auto"/>
          <w:sz w:val="44"/>
          <w:szCs w:val="44"/>
          <w:highlight w:val="none"/>
        </w:rPr>
        <w:t>月</w:t>
      </w:r>
    </w:p>
    <w:p w14:paraId="27AC718D">
      <w:pPr>
        <w:spacing w:line="360" w:lineRule="auto"/>
        <w:jc w:val="center"/>
        <w:rPr>
          <w:rFonts w:hint="eastAsia" w:ascii="宋体" w:hAnsi="宋体" w:cs="宋体"/>
          <w:b/>
          <w:color w:val="auto"/>
          <w:sz w:val="44"/>
          <w:szCs w:val="44"/>
          <w:highlight w:val="none"/>
        </w:rPr>
        <w:sectPr>
          <w:pgSz w:w="11906" w:h="16838"/>
          <w:pgMar w:top="1440" w:right="1800" w:bottom="1440" w:left="1800" w:header="794" w:footer="850" w:gutter="0"/>
          <w:pgNumType w:fmt="decimal"/>
          <w:cols w:space="425" w:num="1"/>
          <w:docGrid w:type="lines" w:linePitch="312" w:charSpace="0"/>
        </w:sectPr>
      </w:pPr>
    </w:p>
    <w:p w14:paraId="7993BDAA">
      <w:pPr>
        <w:spacing w:line="360" w:lineRule="auto"/>
        <w:jc w:val="center"/>
        <w:rPr>
          <w:rFonts w:hint="eastAsia" w:ascii="宋体" w:hAnsi="宋体" w:cs="宋体"/>
          <w:b/>
          <w:color w:val="auto"/>
          <w:sz w:val="40"/>
          <w:szCs w:val="40"/>
          <w:highlight w:val="none"/>
        </w:rPr>
      </w:pPr>
      <w:r>
        <w:rPr>
          <w:rFonts w:hint="eastAsia" w:ascii="宋体" w:hAnsi="宋体" w:cs="宋体"/>
          <w:b/>
          <w:color w:val="auto"/>
          <w:sz w:val="44"/>
          <w:szCs w:val="44"/>
          <w:highlight w:val="none"/>
        </w:rPr>
        <w:t>温馨提示</w:t>
      </w:r>
    </w:p>
    <w:p w14:paraId="34972300">
      <w:pPr>
        <w:pStyle w:val="3"/>
        <w:rPr>
          <w:color w:val="auto"/>
          <w:highlight w:val="none"/>
        </w:rPr>
      </w:pPr>
    </w:p>
    <w:p w14:paraId="01499BFD">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请投标人特别留意</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文件上注明的投标截止和开标时间，逾期送达或</w:t>
      </w:r>
      <w:r>
        <w:rPr>
          <w:rFonts w:hint="eastAsia" w:ascii="宋体" w:hAnsi="宋体" w:cs="宋体"/>
          <w:bCs/>
          <w:color w:val="auto"/>
          <w:sz w:val="24"/>
          <w:szCs w:val="24"/>
          <w:highlight w:val="none"/>
          <w:lang w:val="zh-CN"/>
        </w:rPr>
        <w:t>邮寄送达的投标文件</w:t>
      </w:r>
      <w:r>
        <w:rPr>
          <w:rFonts w:hint="eastAsia" w:ascii="宋体" w:hAnsi="宋体" w:cs="宋体"/>
          <w:color w:val="auto"/>
          <w:sz w:val="24"/>
          <w:szCs w:val="24"/>
          <w:highlight w:val="none"/>
          <w:lang w:val="zh-CN"/>
        </w:rPr>
        <w:t>招标人恕不接收，请投标人适当提前到达</w:t>
      </w:r>
      <w:r>
        <w:rPr>
          <w:rFonts w:hint="eastAsia" w:ascii="宋体" w:hAnsi="宋体" w:cs="宋体"/>
          <w:color w:val="auto"/>
          <w:sz w:val="24"/>
          <w:szCs w:val="24"/>
          <w:highlight w:val="none"/>
        </w:rPr>
        <w:t>评标室</w:t>
      </w:r>
      <w:r>
        <w:rPr>
          <w:rFonts w:hint="eastAsia" w:ascii="宋体" w:hAnsi="宋体" w:cs="宋体"/>
          <w:color w:val="auto"/>
          <w:sz w:val="24"/>
          <w:szCs w:val="24"/>
          <w:highlight w:val="none"/>
          <w:lang w:val="zh-CN"/>
        </w:rPr>
        <w:t>；</w:t>
      </w:r>
    </w:p>
    <w:p w14:paraId="4ECBD579">
      <w:pPr>
        <w:numPr>
          <w:ilvl w:val="0"/>
          <w:numId w:val="1"/>
        </w:numPr>
        <w:tabs>
          <w:tab w:val="left" w:pos="0"/>
          <w:tab w:val="left" w:pos="1080"/>
        </w:tabs>
        <w:spacing w:line="480" w:lineRule="auto"/>
        <w:ind w:left="0" w:firstLine="435"/>
        <w:rPr>
          <w:rStyle w:val="25"/>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Fonts w:hint="eastAsia" w:ascii="宋体" w:hAnsi="宋体" w:cs="宋体"/>
          <w:bCs/>
          <w:color w:val="auto"/>
          <w:sz w:val="24"/>
          <w:szCs w:val="24"/>
          <w:highlight w:val="none"/>
        </w:rPr>
        <w:t>中标有“★”的地方均被视为重要的指标要求，</w:t>
      </w:r>
      <w:r>
        <w:rPr>
          <w:rFonts w:hint="eastAsia" w:ascii="宋体" w:hAnsi="宋体" w:cs="宋体"/>
          <w:color w:val="auto"/>
          <w:sz w:val="24"/>
          <w:szCs w:val="24"/>
          <w:highlight w:val="none"/>
        </w:rPr>
        <w:t>必须一一响应。</w:t>
      </w:r>
      <w:r>
        <w:rPr>
          <w:rFonts w:hint="eastAsia" w:ascii="宋体" w:hAnsi="宋体" w:cs="宋体"/>
          <w:bCs/>
          <w:color w:val="auto"/>
          <w:sz w:val="24"/>
          <w:szCs w:val="24"/>
          <w:highlight w:val="none"/>
        </w:rPr>
        <w:t>若有一项带“★”的指标要求未响应或不满足，将按投标无效处理</w:t>
      </w:r>
      <w:r>
        <w:rPr>
          <w:rFonts w:hint="eastAsia" w:ascii="宋体" w:hAnsi="宋体" w:cs="宋体"/>
          <w:color w:val="auto"/>
          <w:sz w:val="24"/>
          <w:szCs w:val="24"/>
          <w:highlight w:val="none"/>
        </w:rPr>
        <w:t>；</w:t>
      </w:r>
    </w:p>
    <w:p w14:paraId="48131B76">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投标文件应由投标人的授权代表送达开标现场（携带身份证原件核对，授权代表必须与投标文件所授权的人员一致）；</w:t>
      </w:r>
    </w:p>
    <w:p w14:paraId="09860CD6">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为保证投标人的切身利益，避免评委小组在评审过程中遗漏，建议将投标文件按招标</w:t>
      </w:r>
      <w:r>
        <w:rPr>
          <w:rFonts w:hint="eastAsia" w:ascii="宋体" w:hAnsi="宋体" w:cs="宋体"/>
          <w:color w:val="auto"/>
          <w:sz w:val="24"/>
          <w:szCs w:val="24"/>
          <w:highlight w:val="none"/>
          <w:lang w:val="zh-CN"/>
        </w:rPr>
        <w:t>文件</w:t>
      </w:r>
      <w:r>
        <w:rPr>
          <w:rFonts w:hint="eastAsia" w:ascii="宋体" w:hAnsi="宋体" w:cs="宋体"/>
          <w:color w:val="auto"/>
          <w:sz w:val="24"/>
          <w:szCs w:val="24"/>
          <w:highlight w:val="none"/>
        </w:rPr>
        <w:t>描述的顺序编制页码；</w:t>
      </w:r>
    </w:p>
    <w:p w14:paraId="3CAE71AE">
      <w:pPr>
        <w:numPr>
          <w:ilvl w:val="0"/>
          <w:numId w:val="1"/>
        </w:numPr>
        <w:tabs>
          <w:tab w:val="left" w:pos="0"/>
          <w:tab w:val="left" w:pos="1080"/>
        </w:tabs>
        <w:spacing w:line="480" w:lineRule="auto"/>
        <w:ind w:left="0" w:firstLine="435"/>
        <w:rPr>
          <w:rFonts w:hint="eastAsia" w:ascii="宋体" w:hAnsi="宋体" w:cs="Times New Roman"/>
          <w:color w:val="auto"/>
          <w:sz w:val="24"/>
          <w:szCs w:val="20"/>
          <w:highlight w:val="none"/>
        </w:rPr>
      </w:pPr>
      <w:r>
        <w:rPr>
          <w:rStyle w:val="25"/>
          <w:rFonts w:hint="eastAsia" w:ascii="宋体" w:hAnsi="宋体" w:cs="宋体"/>
          <w:color w:val="auto"/>
          <w:sz w:val="24"/>
          <w:szCs w:val="24"/>
          <w:highlight w:val="none"/>
        </w:rPr>
        <w:t>招标人不对投标人领取</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Style w:val="25"/>
          <w:rFonts w:hint="eastAsia" w:ascii="宋体" w:hAnsi="宋体" w:cs="宋体"/>
          <w:color w:val="auto"/>
          <w:sz w:val="24"/>
          <w:szCs w:val="24"/>
          <w:highlight w:val="none"/>
        </w:rPr>
        <w:t>时提交的相关资料的真伪做出判断，如投标人发现相关资料被盗用或复制，建议遵循法律途径解决，追究侵权者责任。</w:t>
      </w:r>
    </w:p>
    <w:p w14:paraId="493B8BF0">
      <w:pPr>
        <w:spacing w:line="480" w:lineRule="auto"/>
        <w:rPr>
          <w:rFonts w:hint="eastAsia" w:ascii="宋体" w:hAnsi="宋体" w:cs="仿宋_GB2312"/>
          <w:color w:val="auto"/>
          <w:sz w:val="24"/>
          <w:szCs w:val="20"/>
          <w:highlight w:val="none"/>
          <w:lang w:val="zh-CN"/>
        </w:rPr>
      </w:pPr>
      <w:r>
        <w:rPr>
          <w:rFonts w:hint="eastAsia" w:ascii="宋体" w:hAnsi="宋体" w:cs="仿宋_GB2312"/>
          <w:color w:val="auto"/>
          <w:sz w:val="24"/>
          <w:szCs w:val="20"/>
          <w:highlight w:val="none"/>
          <w:lang w:val="zh-CN"/>
        </w:rPr>
        <w:t>（本注意事项非</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的组成部分，仅作善意提醒。若有不同，均以</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为准。）</w:t>
      </w:r>
    </w:p>
    <w:p w14:paraId="69815C8E">
      <w:pPr>
        <w:pStyle w:val="3"/>
        <w:rPr>
          <w:color w:val="auto"/>
          <w:highlight w:val="none"/>
        </w:rPr>
      </w:pPr>
    </w:p>
    <w:p w14:paraId="1E707A03">
      <w:pPr>
        <w:rPr>
          <w:color w:val="auto"/>
          <w:highlight w:val="none"/>
        </w:rPr>
      </w:pPr>
    </w:p>
    <w:p w14:paraId="19F8189B">
      <w:pPr>
        <w:pStyle w:val="3"/>
        <w:rPr>
          <w:color w:val="auto"/>
          <w:highlight w:val="none"/>
        </w:rPr>
      </w:pPr>
    </w:p>
    <w:p w14:paraId="5892DD61">
      <w:pPr>
        <w:rPr>
          <w:color w:val="auto"/>
          <w:highlight w:val="none"/>
        </w:rPr>
      </w:pPr>
    </w:p>
    <w:p w14:paraId="178AB551">
      <w:pPr>
        <w:pStyle w:val="3"/>
        <w:rPr>
          <w:color w:val="auto"/>
          <w:highlight w:val="none"/>
        </w:rPr>
      </w:pPr>
    </w:p>
    <w:p w14:paraId="12E2B701">
      <w:pPr>
        <w:rPr>
          <w:color w:val="auto"/>
          <w:highlight w:val="none"/>
        </w:rPr>
      </w:pPr>
    </w:p>
    <w:p w14:paraId="6927614F">
      <w:pPr>
        <w:pStyle w:val="3"/>
        <w:rPr>
          <w:color w:val="auto"/>
          <w:highlight w:val="none"/>
        </w:rPr>
      </w:pPr>
    </w:p>
    <w:p w14:paraId="252E8FD9">
      <w:pPr>
        <w:rPr>
          <w:color w:val="auto"/>
          <w:highlight w:val="none"/>
        </w:rPr>
      </w:pPr>
    </w:p>
    <w:p w14:paraId="704A2F21">
      <w:pPr>
        <w:pStyle w:val="3"/>
        <w:rPr>
          <w:color w:val="auto"/>
          <w:highlight w:val="none"/>
        </w:rPr>
      </w:pPr>
    </w:p>
    <w:p w14:paraId="7942933C">
      <w:pPr>
        <w:rPr>
          <w:b/>
          <w:bCs/>
          <w:color w:val="auto"/>
          <w:sz w:val="44"/>
          <w:szCs w:val="48"/>
          <w:highlight w:val="none"/>
        </w:rPr>
      </w:pPr>
    </w:p>
    <w:p w14:paraId="23997DE6">
      <w:pPr>
        <w:jc w:val="left"/>
        <w:rPr>
          <w:color w:val="auto"/>
          <w:highlight w:val="none"/>
        </w:rPr>
        <w:sectPr>
          <w:footerReference r:id="rId3" w:type="default"/>
          <w:pgSz w:w="11906" w:h="16838"/>
          <w:pgMar w:top="1440" w:right="1800" w:bottom="1440" w:left="1800" w:header="794" w:footer="850" w:gutter="0"/>
          <w:pgNumType w:fmt="decimal" w:start="1"/>
          <w:cols w:space="425" w:num="1"/>
          <w:docGrid w:type="lines" w:linePitch="312" w:charSpace="0"/>
        </w:sectPr>
      </w:pPr>
    </w:p>
    <w:p w14:paraId="7B45F078">
      <w:pPr>
        <w:pStyle w:val="3"/>
        <w:rPr>
          <w:color w:val="auto"/>
          <w:highlight w:val="none"/>
        </w:rPr>
      </w:pPr>
    </w:p>
    <w:p w14:paraId="6882C344">
      <w:pPr>
        <w:jc w:val="center"/>
        <w:rPr>
          <w:b/>
          <w:bCs/>
          <w:color w:val="auto"/>
          <w:sz w:val="44"/>
          <w:szCs w:val="48"/>
          <w:highlight w:val="none"/>
        </w:rPr>
      </w:pPr>
      <w:r>
        <w:rPr>
          <w:rFonts w:hint="eastAsia"/>
          <w:b/>
          <w:bCs/>
          <w:color w:val="auto"/>
          <w:sz w:val="44"/>
          <w:szCs w:val="48"/>
          <w:highlight w:val="none"/>
        </w:rPr>
        <w:t>目录</w:t>
      </w:r>
    </w:p>
    <w:p w14:paraId="2843E1B1">
      <w:pPr>
        <w:rPr>
          <w:b/>
          <w:bCs/>
          <w:color w:val="auto"/>
          <w:sz w:val="44"/>
          <w:szCs w:val="48"/>
          <w:highlight w:val="none"/>
        </w:rPr>
      </w:pPr>
    </w:p>
    <w:p w14:paraId="6FABB59B">
      <w:pPr>
        <w:numPr>
          <w:ilvl w:val="-1"/>
          <w:numId w:val="0"/>
        </w:numPr>
        <w:ind w:firstLine="0" w:firstLineChars="0"/>
        <w:rPr>
          <w:rFonts w:hint="default"/>
          <w:color w:val="auto"/>
          <w:sz w:val="32"/>
          <w:szCs w:val="36"/>
          <w:highlight w:val="none"/>
          <w:lang w:val="en-US"/>
        </w:rPr>
      </w:pPr>
      <w:r>
        <w:rPr>
          <w:rFonts w:hint="eastAsia"/>
          <w:b/>
          <w:bCs/>
          <w:color w:val="auto"/>
          <w:sz w:val="32"/>
          <w:szCs w:val="36"/>
          <w:highlight w:val="none"/>
          <w:lang w:val="en-US" w:eastAsia="zh-CN"/>
        </w:rPr>
        <w:t xml:space="preserve">招标公告  </w:t>
      </w:r>
      <w:r>
        <w:rPr>
          <w:rFonts w:hint="eastAsia" w:asciiTheme="majorEastAsia" w:hAnsiTheme="majorEastAsia" w:eastAsiaTheme="majorEastAsia" w:cstheme="majorEastAsia"/>
          <w:color w:val="auto"/>
          <w:sz w:val="32"/>
          <w:szCs w:val="36"/>
          <w:highlight w:val="none"/>
          <w:lang w:val="en-US" w:eastAsia="zh-CN"/>
        </w:rPr>
        <w:t>……………………………………………………</w:t>
      </w:r>
      <w:r>
        <w:rPr>
          <w:rFonts w:hint="eastAsia" w:asciiTheme="majorEastAsia" w:hAnsiTheme="majorEastAsia" w:eastAsiaTheme="majorEastAsia" w:cstheme="majorEastAsia"/>
          <w:color w:val="auto"/>
          <w:sz w:val="36"/>
          <w:szCs w:val="36"/>
          <w:highlight w:val="none"/>
          <w:lang w:val="en-US" w:eastAsia="zh-CN"/>
        </w:rPr>
        <w:t>3</w:t>
      </w:r>
    </w:p>
    <w:p w14:paraId="69E5B049">
      <w:pPr>
        <w:numPr>
          <w:ilvl w:val="0"/>
          <w:numId w:val="2"/>
        </w:numPr>
        <w:rPr>
          <w:color w:val="auto"/>
          <w:sz w:val="32"/>
          <w:szCs w:val="36"/>
          <w:highlight w:val="none"/>
        </w:rPr>
      </w:pPr>
      <w:r>
        <w:rPr>
          <w:rFonts w:hint="eastAsia"/>
          <w:color w:val="auto"/>
          <w:sz w:val="32"/>
          <w:szCs w:val="36"/>
          <w:highlight w:val="none"/>
        </w:rPr>
        <w:t>投标人须知</w:t>
      </w:r>
      <w:r>
        <w:rPr>
          <w:rFonts w:hint="eastAsia"/>
          <w:color w:val="auto"/>
          <w:sz w:val="32"/>
          <w:szCs w:val="36"/>
          <w:highlight w:val="none"/>
          <w:lang w:val="en-US" w:eastAsia="zh-CN"/>
        </w:rPr>
        <w:t xml:space="preserve"> </w:t>
      </w:r>
      <w:r>
        <w:rPr>
          <w:rFonts w:hint="eastAsia" w:asciiTheme="majorEastAsia" w:hAnsiTheme="majorEastAsia" w:eastAsiaTheme="majorEastAsia" w:cstheme="majorEastAsia"/>
          <w:color w:val="auto"/>
          <w:sz w:val="32"/>
          <w:szCs w:val="36"/>
          <w:highlight w:val="none"/>
          <w:lang w:val="en-US" w:eastAsia="zh-CN"/>
        </w:rPr>
        <w:t>…………………………………………5</w:t>
      </w:r>
    </w:p>
    <w:p w14:paraId="287FB0A9">
      <w:pPr>
        <w:numPr>
          <w:ilvl w:val="0"/>
          <w:numId w:val="2"/>
        </w:numPr>
        <w:rPr>
          <w:color w:val="auto"/>
          <w:sz w:val="32"/>
          <w:szCs w:val="36"/>
          <w:highlight w:val="none"/>
        </w:rPr>
      </w:pPr>
      <w:r>
        <w:rPr>
          <w:rFonts w:hint="eastAsia"/>
          <w:color w:val="auto"/>
          <w:sz w:val="32"/>
          <w:szCs w:val="36"/>
          <w:highlight w:val="none"/>
        </w:rPr>
        <w:t>用户</w:t>
      </w:r>
      <w:r>
        <w:rPr>
          <w:color w:val="auto"/>
          <w:sz w:val="32"/>
          <w:szCs w:val="36"/>
          <w:highlight w:val="none"/>
        </w:rPr>
        <w:t>需求</w:t>
      </w:r>
      <w:r>
        <w:rPr>
          <w:rFonts w:hint="eastAsia"/>
          <w:color w:val="auto"/>
          <w:sz w:val="32"/>
          <w:szCs w:val="36"/>
          <w:highlight w:val="none"/>
        </w:rPr>
        <w:t>书</w:t>
      </w:r>
      <w:r>
        <w:rPr>
          <w:rFonts w:hint="eastAsia"/>
          <w:color w:val="auto"/>
          <w:sz w:val="32"/>
          <w:szCs w:val="36"/>
          <w:highlight w:val="none"/>
          <w:lang w:val="en-US" w:eastAsia="zh-CN"/>
        </w:rPr>
        <w:t xml:space="preserve">  </w:t>
      </w:r>
      <w:r>
        <w:rPr>
          <w:rFonts w:hint="eastAsia" w:asciiTheme="majorEastAsia" w:hAnsiTheme="majorEastAsia" w:eastAsiaTheme="majorEastAsia" w:cstheme="majorEastAsia"/>
          <w:color w:val="auto"/>
          <w:sz w:val="32"/>
          <w:szCs w:val="36"/>
          <w:highlight w:val="none"/>
          <w:lang w:val="en-US" w:eastAsia="zh-CN"/>
        </w:rPr>
        <w:t>………………………………………14</w:t>
      </w:r>
    </w:p>
    <w:p w14:paraId="13EA7408">
      <w:pPr>
        <w:numPr>
          <w:ilvl w:val="0"/>
          <w:numId w:val="2"/>
        </w:numPr>
        <w:rPr>
          <w:color w:val="auto"/>
          <w:sz w:val="32"/>
          <w:szCs w:val="36"/>
          <w:highlight w:val="none"/>
        </w:rPr>
      </w:pPr>
      <w:r>
        <w:rPr>
          <w:rFonts w:hint="eastAsia"/>
          <w:color w:val="auto"/>
          <w:sz w:val="32"/>
          <w:szCs w:val="36"/>
          <w:highlight w:val="none"/>
        </w:rPr>
        <w:t>附件（格式）</w:t>
      </w:r>
      <w:r>
        <w:rPr>
          <w:rFonts w:hint="eastAsia" w:asciiTheme="majorEastAsia" w:hAnsiTheme="majorEastAsia" w:eastAsiaTheme="majorEastAsia" w:cstheme="majorEastAsia"/>
          <w:color w:val="auto"/>
          <w:sz w:val="32"/>
          <w:szCs w:val="36"/>
          <w:highlight w:val="none"/>
          <w:lang w:val="en-US" w:eastAsia="zh-CN"/>
        </w:rPr>
        <w:t>………………………………………16</w:t>
      </w:r>
    </w:p>
    <w:p w14:paraId="5A5638EC">
      <w:pPr>
        <w:numPr>
          <w:ilvl w:val="0"/>
          <w:numId w:val="2"/>
        </w:numPr>
        <w:rPr>
          <w:color w:val="auto"/>
          <w:sz w:val="32"/>
          <w:szCs w:val="36"/>
          <w:highlight w:val="none"/>
        </w:rPr>
      </w:pPr>
      <w:r>
        <w:rPr>
          <w:rFonts w:hint="eastAsia"/>
          <w:color w:val="auto"/>
          <w:sz w:val="32"/>
          <w:szCs w:val="36"/>
          <w:highlight w:val="none"/>
        </w:rPr>
        <w:t>评标细则</w:t>
      </w:r>
      <w:r>
        <w:rPr>
          <w:rFonts w:hint="eastAsia"/>
          <w:color w:val="auto"/>
          <w:sz w:val="32"/>
          <w:szCs w:val="36"/>
          <w:highlight w:val="none"/>
          <w:lang w:val="en-US" w:eastAsia="zh-CN"/>
        </w:rPr>
        <w:t xml:space="preserve">  </w:t>
      </w:r>
      <w:r>
        <w:rPr>
          <w:rFonts w:hint="eastAsia" w:asciiTheme="majorEastAsia" w:hAnsiTheme="majorEastAsia" w:eastAsiaTheme="majorEastAsia" w:cstheme="majorEastAsia"/>
          <w:color w:val="auto"/>
          <w:sz w:val="32"/>
          <w:szCs w:val="36"/>
          <w:highlight w:val="none"/>
          <w:lang w:val="en-US" w:eastAsia="zh-CN"/>
        </w:rPr>
        <w:t>…………………………………………31</w:t>
      </w:r>
    </w:p>
    <w:p w14:paraId="430C8FBB">
      <w:pPr>
        <w:numPr>
          <w:ilvl w:val="0"/>
          <w:numId w:val="2"/>
        </w:numPr>
        <w:rPr>
          <w:color w:val="auto"/>
          <w:sz w:val="32"/>
          <w:szCs w:val="36"/>
          <w:highlight w:val="none"/>
        </w:rPr>
      </w:pPr>
      <w:r>
        <w:rPr>
          <w:rFonts w:hint="eastAsia"/>
          <w:color w:val="auto"/>
          <w:sz w:val="32"/>
          <w:szCs w:val="36"/>
          <w:highlight w:val="none"/>
        </w:rPr>
        <w:t>合同文本</w:t>
      </w:r>
      <w:r>
        <w:rPr>
          <w:rFonts w:hint="eastAsia"/>
          <w:color w:val="auto"/>
          <w:sz w:val="32"/>
          <w:szCs w:val="36"/>
          <w:highlight w:val="none"/>
          <w:lang w:val="en-US" w:eastAsia="zh-CN"/>
        </w:rPr>
        <w:t xml:space="preserve"> </w:t>
      </w:r>
      <w:r>
        <w:rPr>
          <w:rFonts w:hint="eastAsia"/>
          <w:color w:val="auto"/>
          <w:sz w:val="32"/>
          <w:szCs w:val="36"/>
          <w:highlight w:val="none"/>
        </w:rPr>
        <w:t xml:space="preserve"> </w:t>
      </w:r>
      <w:r>
        <w:rPr>
          <w:rFonts w:hint="eastAsia" w:asciiTheme="majorEastAsia" w:hAnsiTheme="majorEastAsia" w:eastAsiaTheme="majorEastAsia" w:cstheme="majorEastAsia"/>
          <w:color w:val="auto"/>
          <w:sz w:val="32"/>
          <w:szCs w:val="36"/>
          <w:highlight w:val="none"/>
          <w:lang w:val="en-US" w:eastAsia="zh-CN"/>
        </w:rPr>
        <w:t>…………………………………………40</w:t>
      </w:r>
      <w:r>
        <w:rPr>
          <w:rFonts w:hint="eastAsia"/>
          <w:color w:val="auto"/>
          <w:sz w:val="32"/>
          <w:szCs w:val="36"/>
          <w:highlight w:val="none"/>
        </w:rPr>
        <w:t xml:space="preserve">  </w:t>
      </w:r>
    </w:p>
    <w:p w14:paraId="163FDADA">
      <w:pPr>
        <w:rPr>
          <w:color w:val="auto"/>
          <w:highlight w:val="none"/>
        </w:rPr>
      </w:pPr>
      <w:r>
        <w:rPr>
          <w:color w:val="auto"/>
          <w:highlight w:val="none"/>
        </w:rPr>
        <w:br w:type="page"/>
      </w:r>
    </w:p>
    <w:p w14:paraId="7374C68B">
      <w:pPr>
        <w:spacing w:line="360" w:lineRule="auto"/>
        <w:jc w:val="center"/>
        <w:rPr>
          <w:rFonts w:hint="default" w:ascii="宋体" w:hAnsi="宋体" w:eastAsia="宋体"/>
          <w:b/>
          <w:bCs/>
          <w:color w:val="auto"/>
          <w:sz w:val="44"/>
          <w:szCs w:val="44"/>
          <w:highlight w:val="none"/>
          <w:lang w:val="en-US" w:eastAsia="zh-CN"/>
        </w:rPr>
      </w:pPr>
      <w:r>
        <w:rPr>
          <w:rFonts w:hint="eastAsia"/>
          <w:b/>
          <w:color w:val="auto"/>
          <w:sz w:val="44"/>
          <w:szCs w:val="44"/>
          <w:highlight w:val="none"/>
          <w:lang w:val="en-US" w:eastAsia="zh-CN"/>
        </w:rPr>
        <w:t>招标公告</w:t>
      </w:r>
    </w:p>
    <w:p w14:paraId="1CADEC82">
      <w:pPr>
        <w:spacing w:line="360" w:lineRule="auto"/>
        <w:jc w:val="center"/>
        <w:rPr>
          <w:rFonts w:hint="eastAsia" w:ascii="宋体" w:hAnsi="宋体"/>
          <w:b/>
          <w:color w:val="auto"/>
          <w:sz w:val="32"/>
          <w:highlight w:val="none"/>
        </w:rPr>
      </w:pPr>
    </w:p>
    <w:p w14:paraId="1EE63E9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广州南沙文体投资有限公司</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w:t>
      </w:r>
      <w:r>
        <w:rPr>
          <w:rFonts w:hint="default" w:ascii="宋体" w:hAnsi="宋体" w:eastAsia="宋体" w:cs="宋体"/>
          <w:sz w:val="24"/>
          <w:szCs w:val="24"/>
          <w:highlight w:val="none"/>
          <w:u w:val="single"/>
        </w:rPr>
        <w:t>2025“Head In The Clouds”（云思妙想）音乐艺术节——大湾区站（南沙）项目临时安保服务外包项目</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进行</w:t>
      </w:r>
      <w:r>
        <w:rPr>
          <w:rFonts w:hint="eastAsia" w:ascii="宋体" w:hAnsi="宋体"/>
          <w:color w:val="auto"/>
          <w:sz w:val="24"/>
          <w:szCs w:val="24"/>
          <w:highlight w:val="none"/>
          <w:u w:val="single"/>
          <w:lang w:val="en-US" w:eastAsia="zh-CN"/>
        </w:rPr>
        <w:t>非定向</w:t>
      </w:r>
      <w:r>
        <w:rPr>
          <w:rFonts w:hint="eastAsia" w:ascii="宋体" w:hAnsi="宋体"/>
          <w:color w:val="auto"/>
          <w:sz w:val="24"/>
          <w:szCs w:val="24"/>
          <w:highlight w:val="none"/>
          <w:u w:val="single"/>
        </w:rPr>
        <w:t>邀请招标</w:t>
      </w:r>
      <w:r>
        <w:rPr>
          <w:rFonts w:hint="eastAsia" w:ascii="宋体" w:hAnsi="宋体"/>
          <w:color w:val="auto"/>
          <w:sz w:val="24"/>
          <w:szCs w:val="24"/>
          <w:highlight w:val="none"/>
        </w:rPr>
        <w:t>，欢迎符合资格条件的供应商</w:t>
      </w:r>
      <w:r>
        <w:rPr>
          <w:rFonts w:hint="eastAsia" w:ascii="宋体" w:hAnsi="宋体"/>
          <w:color w:val="auto"/>
          <w:sz w:val="24"/>
          <w:szCs w:val="24"/>
          <w:highlight w:val="none"/>
          <w:lang w:val="en-US" w:eastAsia="zh-CN"/>
        </w:rPr>
        <w:t>参与</w:t>
      </w:r>
      <w:r>
        <w:rPr>
          <w:rFonts w:hint="eastAsia" w:ascii="宋体" w:hAnsi="宋体"/>
          <w:color w:val="auto"/>
          <w:sz w:val="24"/>
          <w:szCs w:val="24"/>
          <w:highlight w:val="none"/>
        </w:rPr>
        <w:t>投标。</w:t>
      </w:r>
    </w:p>
    <w:p w14:paraId="2D431974">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一、项目名称：</w:t>
      </w:r>
      <w:r>
        <w:rPr>
          <w:rFonts w:hint="default" w:ascii="宋体" w:hAnsi="宋体" w:eastAsia="宋体" w:cs="宋体"/>
          <w:sz w:val="24"/>
          <w:szCs w:val="24"/>
          <w:highlight w:val="none"/>
          <w:u w:val="single"/>
        </w:rPr>
        <w:t>2025“Head In The Clouds”（云思妙想）音乐艺术节——大湾区站（南沙）项目临时安保服务外包项目</w:t>
      </w:r>
      <w:r>
        <w:rPr>
          <w:rFonts w:hint="eastAsia" w:ascii="宋体" w:hAnsi="宋体"/>
          <w:color w:val="auto"/>
          <w:sz w:val="24"/>
          <w:szCs w:val="24"/>
          <w:highlight w:val="none"/>
        </w:rPr>
        <w:t>。</w:t>
      </w:r>
    </w:p>
    <w:p w14:paraId="1A59F82F">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二、项目最高限价：</w:t>
      </w:r>
      <w:r>
        <w:rPr>
          <w:rFonts w:hint="eastAsia" w:ascii="宋体" w:hAnsi="宋体"/>
          <w:b w:val="0"/>
          <w:bCs/>
          <w:color w:val="auto"/>
          <w:sz w:val="24"/>
          <w:szCs w:val="24"/>
          <w:highlight w:val="none"/>
          <w:u w:val="single"/>
        </w:rPr>
        <w:t>人民币43.75元/小时/人</w:t>
      </w:r>
      <w:r>
        <w:rPr>
          <w:rFonts w:hint="eastAsia" w:ascii="宋体" w:hAnsi="宋体"/>
          <w:b w:val="0"/>
          <w:bCs/>
          <w:color w:val="auto"/>
          <w:sz w:val="24"/>
          <w:szCs w:val="24"/>
          <w:highlight w:val="none"/>
          <w:u w:val="single"/>
          <w:lang w:eastAsia="zh-CN"/>
        </w:rPr>
        <w:t>（</w:t>
      </w:r>
      <w:r>
        <w:rPr>
          <w:rFonts w:hint="eastAsia" w:ascii="宋体" w:hAnsi="宋体"/>
          <w:b w:val="0"/>
          <w:bCs/>
          <w:color w:val="auto"/>
          <w:sz w:val="24"/>
          <w:szCs w:val="24"/>
          <w:highlight w:val="none"/>
          <w:u w:val="single"/>
          <w:lang w:val="en-US" w:eastAsia="zh-CN"/>
        </w:rPr>
        <w:t>含税）</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预计</w:t>
      </w:r>
      <w:r>
        <w:rPr>
          <w:rFonts w:hint="eastAsia" w:ascii="宋体" w:hAnsi="宋体"/>
          <w:b w:val="0"/>
          <w:bCs/>
          <w:color w:val="auto"/>
          <w:sz w:val="24"/>
          <w:szCs w:val="24"/>
          <w:highlight w:val="none"/>
          <w:u w:val="single"/>
        </w:rPr>
        <w:t>服务时长为：40000小时，最终结算金额按实际到岗人数及服务时长进行结算</w:t>
      </w:r>
      <w:r>
        <w:rPr>
          <w:rFonts w:hint="eastAsia" w:ascii="宋体" w:hAnsi="宋体"/>
          <w:b w:val="0"/>
          <w:bCs/>
          <w:color w:val="auto"/>
          <w:sz w:val="24"/>
          <w:szCs w:val="24"/>
          <w:highlight w:val="none"/>
          <w:u w:val="single"/>
          <w:lang w:eastAsia="zh-CN"/>
        </w:rPr>
        <w:t>，</w:t>
      </w:r>
      <w:r>
        <w:rPr>
          <w:rFonts w:hint="eastAsia" w:ascii="宋体" w:hAnsi="宋体"/>
          <w:b w:val="0"/>
          <w:bCs/>
          <w:color w:val="auto"/>
          <w:sz w:val="24"/>
          <w:szCs w:val="24"/>
          <w:highlight w:val="none"/>
          <w:u w:val="single"/>
          <w:lang w:val="en-US" w:eastAsia="zh-CN"/>
        </w:rPr>
        <w:t>但最终结算金额不应高于175万元</w:t>
      </w:r>
      <w:r>
        <w:rPr>
          <w:rFonts w:hint="eastAsia" w:ascii="宋体" w:hAnsi="宋体"/>
          <w:b w:val="0"/>
          <w:bCs/>
          <w:color w:val="auto"/>
          <w:sz w:val="24"/>
          <w:szCs w:val="24"/>
          <w:highlight w:val="none"/>
          <w:u w:val="single"/>
        </w:rPr>
        <w:t>。</w:t>
      </w:r>
    </w:p>
    <w:p w14:paraId="5829407E">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三、</w:t>
      </w:r>
      <w:r>
        <w:rPr>
          <w:rFonts w:hint="eastAsia" w:ascii="宋体" w:hAnsi="宋体"/>
          <w:b/>
          <w:bCs/>
          <w:color w:val="auto"/>
          <w:sz w:val="24"/>
          <w:szCs w:val="24"/>
          <w:highlight w:val="none"/>
          <w:lang w:val="en-US" w:eastAsia="zh-CN"/>
        </w:rPr>
        <w:t>招标</w:t>
      </w:r>
      <w:r>
        <w:rPr>
          <w:rFonts w:hint="eastAsia" w:ascii="宋体" w:hAnsi="宋体"/>
          <w:b/>
          <w:bCs/>
          <w:color w:val="auto"/>
          <w:sz w:val="24"/>
          <w:szCs w:val="24"/>
          <w:highlight w:val="none"/>
        </w:rPr>
        <w:t>方式：</w:t>
      </w:r>
      <w:r>
        <w:rPr>
          <w:rFonts w:hint="eastAsia" w:ascii="宋体" w:hAnsi="宋体" w:cs="宋体"/>
          <w:color w:val="auto"/>
          <w:sz w:val="24"/>
          <w:szCs w:val="24"/>
          <w:highlight w:val="none"/>
          <w:u w:val="single"/>
          <w:lang w:val="en-US" w:eastAsia="zh-CN"/>
        </w:rPr>
        <w:t>邀请招标</w:t>
      </w:r>
      <w:r>
        <w:rPr>
          <w:rFonts w:hint="eastAsia" w:ascii="宋体" w:hAnsi="宋体" w:eastAsia="宋体" w:cs="宋体"/>
          <w:color w:val="auto"/>
          <w:sz w:val="24"/>
          <w:szCs w:val="24"/>
          <w:highlight w:val="none"/>
        </w:rPr>
        <w:t>。</w:t>
      </w:r>
      <w:r>
        <w:rPr>
          <w:rFonts w:hint="eastAsia" w:ascii="宋体" w:hAnsi="宋体"/>
          <w:color w:val="auto"/>
          <w:sz w:val="24"/>
          <w:szCs w:val="24"/>
          <w:highlight w:val="none"/>
        </w:rPr>
        <w:t xml:space="preserve">              </w:t>
      </w:r>
    </w:p>
    <w:p w14:paraId="46825586">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四、项目内容及需求：</w:t>
      </w:r>
      <w:r>
        <w:rPr>
          <w:rFonts w:hint="eastAsia" w:ascii="宋体" w:hAnsi="宋体"/>
          <w:color w:val="auto"/>
          <w:sz w:val="24"/>
          <w:szCs w:val="24"/>
          <w:highlight w:val="none"/>
        </w:rPr>
        <w:t>2025年4月21日至2025年5月4日“2025</w:t>
      </w:r>
      <w:r>
        <w:rPr>
          <w:rFonts w:hint="eastAsia" w:ascii="宋体" w:hAnsi="宋体"/>
          <w:color w:val="auto"/>
          <w:sz w:val="24"/>
          <w:szCs w:val="24"/>
          <w:highlight w:val="none"/>
          <w:lang w:eastAsia="zh-CN"/>
        </w:rPr>
        <w:t>‘</w:t>
      </w:r>
      <w:r>
        <w:rPr>
          <w:rFonts w:hint="eastAsia" w:ascii="宋体" w:hAnsi="宋体"/>
          <w:color w:val="auto"/>
          <w:sz w:val="24"/>
          <w:szCs w:val="24"/>
          <w:highlight w:val="none"/>
        </w:rPr>
        <w:t>Head In The Clouds</w:t>
      </w:r>
      <w:r>
        <w:rPr>
          <w:rFonts w:hint="eastAsia" w:ascii="宋体" w:hAnsi="宋体"/>
          <w:color w:val="auto"/>
          <w:sz w:val="24"/>
          <w:szCs w:val="24"/>
          <w:highlight w:val="none"/>
          <w:lang w:eastAsia="zh-CN"/>
        </w:rPr>
        <w:t>’</w:t>
      </w:r>
      <w:r>
        <w:rPr>
          <w:rFonts w:hint="eastAsia" w:ascii="宋体" w:hAnsi="宋体"/>
          <w:color w:val="auto"/>
          <w:sz w:val="24"/>
          <w:szCs w:val="24"/>
          <w:highlight w:val="none"/>
        </w:rPr>
        <w:t>（云思妙想）音乐艺术节——大湾区站（南沙）项目”期间，为保障项目现场的治安秩序，需要临时雇请保安员进行安全保卫工作</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具体内容及需求详见《用户需求书》。</w:t>
      </w:r>
    </w:p>
    <w:p w14:paraId="6DBBC339">
      <w:pPr>
        <w:spacing w:line="360" w:lineRule="auto"/>
        <w:ind w:firstLine="482" w:firstLineChars="200"/>
        <w:rPr>
          <w:b/>
          <w:bCs/>
          <w:color w:val="auto"/>
          <w:highlight w:val="none"/>
        </w:rPr>
      </w:pPr>
      <w:r>
        <w:rPr>
          <w:rFonts w:hint="eastAsia" w:ascii="宋体" w:hAnsi="宋体"/>
          <w:b/>
          <w:bCs/>
          <w:color w:val="auto"/>
          <w:sz w:val="24"/>
          <w:szCs w:val="24"/>
          <w:highlight w:val="none"/>
        </w:rPr>
        <w:t>五、投标单位资格要求：</w:t>
      </w:r>
    </w:p>
    <w:p w14:paraId="3C0DC06A">
      <w:pPr>
        <w:tabs>
          <w:tab w:val="left" w:pos="425"/>
        </w:tabs>
        <w:autoSpaceDE w:val="0"/>
        <w:autoSpaceDN w:val="0"/>
        <w:adjustRightInd w:val="0"/>
        <w:snapToGrid w:val="0"/>
        <w:spacing w:line="360" w:lineRule="auto"/>
        <w:ind w:firstLine="480" w:firstLineChars="200"/>
        <w:jc w:val="left"/>
        <w:rPr>
          <w:rFonts w:ascii="宋体"/>
          <w:bCs/>
          <w:color w:val="auto"/>
          <w:kern w:val="0"/>
          <w:sz w:val="24"/>
          <w:szCs w:val="24"/>
          <w:highlight w:val="none"/>
        </w:rPr>
      </w:pPr>
      <w:r>
        <w:rPr>
          <w:rFonts w:hint="eastAsia" w:ascii="宋体" w:hAnsi="宋体"/>
          <w:color w:val="auto"/>
          <w:sz w:val="24"/>
          <w:szCs w:val="24"/>
          <w:highlight w:val="none"/>
        </w:rPr>
        <w:t>1、具有独立承担民事责任能力的在中华人民共和国境内注册的法人或其他组织，并取得合法企业工商营业执照；</w:t>
      </w:r>
    </w:p>
    <w:p w14:paraId="624BF017">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2、本项目不拆分，不接受联合体投标，否则，相关投标均无效；</w:t>
      </w:r>
    </w:p>
    <w:p w14:paraId="223C67A0">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3、单位负责人为同一人或者存在直接控股、管理关系的不同供应商，不得同时参加本项目投标；</w:t>
      </w:r>
    </w:p>
    <w:p w14:paraId="6CAC262F">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4、</w:t>
      </w:r>
      <w:r>
        <w:rPr>
          <w:rFonts w:hint="eastAsia" w:ascii="宋体" w:hAnsi="宋体" w:cs="Times New Roman"/>
          <w:color w:val="auto"/>
          <w:sz w:val="24"/>
          <w:szCs w:val="24"/>
          <w:highlight w:val="none"/>
          <w:lang w:val="zh-CN"/>
        </w:rPr>
        <w:t>未被列入</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记录失信被执行人或重大税收违法案件当事人名单或政府采购严重违法失信行为</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记录名单</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以</w:t>
      </w:r>
      <w:r>
        <w:rPr>
          <w:rFonts w:hint="eastAsia" w:ascii="宋体" w:hAnsi="宋体" w:cs="Times New Roman"/>
          <w:color w:val="auto"/>
          <w:sz w:val="24"/>
          <w:szCs w:val="24"/>
          <w:highlight w:val="none"/>
          <w:lang w:val="zh-CN"/>
        </w:rPr>
        <w:t>在</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及中国政府采购网查询结果为准</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加盖公章</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如相关失信记录已失效</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投标人需提供相关证明资料。）</w:t>
      </w:r>
    </w:p>
    <w:p w14:paraId="632D91FF">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5、投标人按要求提供投标申请人声明原件（签署、盖章）。</w:t>
      </w:r>
    </w:p>
    <w:p w14:paraId="56B17899">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6、投标人须具备公安机关核发的有效期内的《保安服务许可证》</w:t>
      </w:r>
    </w:p>
    <w:p w14:paraId="5CA41414">
      <w:pPr>
        <w:snapToGrid w:val="0"/>
        <w:spacing w:line="360" w:lineRule="auto"/>
        <w:ind w:firstLine="482" w:firstLineChars="200"/>
        <w:rPr>
          <w:rFonts w:ascii="宋体"/>
          <w:b/>
          <w:bCs/>
          <w:color w:val="auto"/>
          <w:sz w:val="24"/>
          <w:szCs w:val="24"/>
          <w:highlight w:val="none"/>
        </w:rPr>
      </w:pPr>
      <w:r>
        <w:rPr>
          <w:rFonts w:hint="eastAsia" w:ascii="宋体"/>
          <w:b/>
          <w:bCs/>
          <w:color w:val="auto"/>
          <w:sz w:val="24"/>
          <w:szCs w:val="24"/>
          <w:highlight w:val="none"/>
        </w:rPr>
        <w:t>六、获取</w:t>
      </w:r>
      <w:r>
        <w:rPr>
          <w:rFonts w:hint="eastAsia" w:ascii="宋体"/>
          <w:b/>
          <w:bCs/>
          <w:color w:val="auto"/>
          <w:sz w:val="24"/>
          <w:szCs w:val="24"/>
          <w:highlight w:val="none"/>
          <w:lang w:val="en-US" w:eastAsia="zh-CN"/>
        </w:rPr>
        <w:t>招标</w:t>
      </w:r>
      <w:r>
        <w:rPr>
          <w:rFonts w:hint="eastAsia" w:ascii="宋体"/>
          <w:b/>
          <w:bCs/>
          <w:color w:val="auto"/>
          <w:sz w:val="24"/>
          <w:szCs w:val="24"/>
          <w:highlight w:val="none"/>
        </w:rPr>
        <w:t>文件方式</w:t>
      </w:r>
    </w:p>
    <w:p w14:paraId="42062885">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lang w:val="zh-CN"/>
        </w:rPr>
      </w:pP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lang w:val="zh-CN"/>
        </w:rPr>
        <w:t>信息发布及结果公告网站</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广州国企阳光采购信息发布平台https://ygcg.gzggzy.cn/p92/index.html</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rPr>
        <w:t>广州南沙资产经营集团有限公司网站(http//www.gnao.com.cn)</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zh-CN"/>
        </w:rPr>
        <w:t>招标公告及</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文件的</w:t>
      </w:r>
      <w:r>
        <w:rPr>
          <w:rFonts w:hint="eastAsia" w:ascii="宋体" w:hAnsi="宋体" w:cs="Times New Roman"/>
          <w:color w:val="auto"/>
          <w:sz w:val="24"/>
          <w:szCs w:val="24"/>
          <w:highlight w:val="none"/>
        </w:rPr>
        <w:t>发布、</w:t>
      </w:r>
      <w:r>
        <w:rPr>
          <w:rFonts w:hint="eastAsia" w:ascii="宋体" w:hAnsi="宋体" w:cs="Times New Roman"/>
          <w:color w:val="auto"/>
          <w:sz w:val="24"/>
          <w:szCs w:val="24"/>
          <w:highlight w:val="none"/>
          <w:lang w:val="zh-CN"/>
        </w:rPr>
        <w:t>修改、补充以</w:t>
      </w:r>
      <w:r>
        <w:rPr>
          <w:rFonts w:hint="eastAsia" w:ascii="宋体" w:hAnsi="宋体" w:cs="Times New Roman"/>
          <w:color w:val="auto"/>
          <w:sz w:val="24"/>
          <w:szCs w:val="24"/>
          <w:highlight w:val="none"/>
          <w:lang w:val="en-US" w:eastAsia="zh-CN"/>
        </w:rPr>
        <w:t>在上述两个网站发布的</w:t>
      </w:r>
      <w:r>
        <w:rPr>
          <w:rFonts w:hint="eastAsia" w:ascii="宋体" w:hAnsi="宋体" w:cs="Times New Roman"/>
          <w:color w:val="auto"/>
          <w:sz w:val="24"/>
          <w:szCs w:val="24"/>
          <w:highlight w:val="none"/>
          <w:lang w:val="zh-CN"/>
        </w:rPr>
        <w:t>为准。相关公告在</w:t>
      </w:r>
      <w:r>
        <w:rPr>
          <w:rFonts w:hint="eastAsia" w:ascii="宋体" w:hAnsi="宋体" w:cs="Times New Roman"/>
          <w:color w:val="auto"/>
          <w:sz w:val="24"/>
          <w:szCs w:val="24"/>
          <w:highlight w:val="none"/>
          <w:lang w:val="en-US" w:eastAsia="zh-CN"/>
        </w:rPr>
        <w:t>上述</w:t>
      </w:r>
      <w:r>
        <w:rPr>
          <w:rFonts w:hint="eastAsia" w:ascii="宋体" w:hAnsi="宋体" w:cs="Times New Roman"/>
          <w:color w:val="auto"/>
          <w:sz w:val="24"/>
          <w:szCs w:val="24"/>
          <w:highlight w:val="none"/>
          <w:lang w:val="zh-CN"/>
        </w:rPr>
        <w:t>网站公布之日即视为有效送达，不再另行通知。本项目不举行集中答疑会，如有任何疑问请以书面形式至</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单位释疑。投标人自行前往现场踏勘。</w:t>
      </w:r>
    </w:p>
    <w:p w14:paraId="06FB8B1A">
      <w:pPr>
        <w:pStyle w:val="21"/>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、递交</w:t>
      </w:r>
      <w:r>
        <w:rPr>
          <w:rFonts w:hint="eastAsia" w:ascii="宋体" w:hAnsi="宋体" w:eastAsia="宋体" w:cs="宋体"/>
          <w:b/>
          <w:color w:val="auto"/>
          <w:highlight w:val="none"/>
          <w:lang w:val="en-US" w:eastAsia="zh-CN"/>
        </w:rPr>
        <w:t>投</w:t>
      </w:r>
      <w:r>
        <w:rPr>
          <w:rFonts w:hint="eastAsia" w:ascii="宋体" w:hAnsi="宋体" w:eastAsia="宋体" w:cs="宋体"/>
          <w:b/>
          <w:color w:val="auto"/>
          <w:highlight w:val="none"/>
        </w:rPr>
        <w:t>标文件时间、投标截止时间、开标时间及地点：</w:t>
      </w:r>
    </w:p>
    <w:p w14:paraId="78AD6DCF">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递交投标文件时间</w:t>
      </w:r>
      <w:r>
        <w:rPr>
          <w:rFonts w:hint="eastAsia" w:ascii="宋体" w:hAnsi="宋体" w:cs="宋体"/>
          <w:color w:val="auto"/>
          <w:sz w:val="24"/>
          <w:szCs w:val="24"/>
          <w:highlight w:val="none"/>
          <w:lang w:eastAsia="zh-TW"/>
        </w:rPr>
        <w:t>：</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10：00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邮寄或</w:t>
      </w:r>
      <w:r>
        <w:rPr>
          <w:rFonts w:hint="eastAsia" w:ascii="宋体" w:hAnsi="宋体" w:cs="宋体"/>
          <w:b/>
          <w:bCs/>
          <w:color w:val="auto"/>
          <w:sz w:val="24"/>
          <w:szCs w:val="24"/>
          <w:highlight w:val="none"/>
        </w:rPr>
        <w:t>现场提交</w:t>
      </w:r>
      <w:r>
        <w:rPr>
          <w:rFonts w:hint="eastAsia" w:ascii="宋体" w:hAnsi="宋体" w:cs="宋体"/>
          <w:color w:val="auto"/>
          <w:sz w:val="24"/>
          <w:szCs w:val="24"/>
          <w:highlight w:val="none"/>
        </w:rPr>
        <w:t>）；</w:t>
      </w:r>
    </w:p>
    <w:p w14:paraId="7CB418E4">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TW"/>
        </w:rPr>
        <w:t>投标文件递交</w:t>
      </w:r>
      <w:r>
        <w:rPr>
          <w:rFonts w:hint="eastAsia" w:ascii="宋体" w:hAnsi="宋体" w:cs="宋体"/>
          <w:color w:val="auto"/>
          <w:sz w:val="24"/>
          <w:szCs w:val="24"/>
          <w:highlight w:val="none"/>
          <w:lang w:val="en-US" w:eastAsia="zh-CN"/>
        </w:rPr>
        <w:t>/邮寄</w:t>
      </w:r>
      <w:r>
        <w:rPr>
          <w:rFonts w:hint="eastAsia" w:ascii="宋体" w:hAnsi="宋体" w:cs="宋体"/>
          <w:color w:val="auto"/>
          <w:sz w:val="24"/>
          <w:szCs w:val="24"/>
          <w:highlight w:val="none"/>
          <w:lang w:eastAsia="zh-TW"/>
        </w:rPr>
        <w:t>地点：广州市南沙区海滨路171号南沙金融大厦1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TW"/>
        </w:rPr>
        <w:t>楼</w:t>
      </w:r>
      <w:r>
        <w:rPr>
          <w:rFonts w:hint="eastAsia" w:ascii="宋体" w:hAnsi="宋体" w:cs="宋体"/>
          <w:color w:val="auto"/>
          <w:sz w:val="24"/>
          <w:szCs w:val="24"/>
          <w:highlight w:val="none"/>
          <w:lang w:val="en-US" w:eastAsia="zh-CN"/>
        </w:rPr>
        <w:t>南沙文体</w:t>
      </w:r>
      <w:r>
        <w:rPr>
          <w:rFonts w:hint="eastAsia" w:ascii="宋体" w:hAnsi="宋体" w:cs="宋体"/>
          <w:color w:val="auto"/>
          <w:sz w:val="24"/>
          <w:szCs w:val="24"/>
          <w:highlight w:val="none"/>
        </w:rPr>
        <w:t>；</w:t>
      </w:r>
    </w:p>
    <w:p w14:paraId="27A8C22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TW"/>
        </w:rPr>
        <w:t>开标评标时间：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10：30</w:t>
      </w:r>
      <w:r>
        <w:rPr>
          <w:rFonts w:hint="eastAsia" w:ascii="宋体" w:hAnsi="宋体" w:cs="宋体"/>
          <w:color w:val="auto"/>
          <w:sz w:val="24"/>
          <w:szCs w:val="24"/>
          <w:highlight w:val="none"/>
          <w:u w:val="single"/>
        </w:rPr>
        <w:t>；</w:t>
      </w:r>
    </w:p>
    <w:p w14:paraId="2931203E">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TW"/>
        </w:rPr>
        <w:t>开标评标地点：广州市南沙区海滨路171号南沙金融大厦1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TW"/>
        </w:rPr>
        <w:t>楼</w:t>
      </w:r>
      <w:r>
        <w:rPr>
          <w:rFonts w:hint="eastAsia" w:ascii="宋体" w:hAnsi="宋体" w:cs="宋体"/>
          <w:color w:val="auto"/>
          <w:sz w:val="24"/>
          <w:szCs w:val="24"/>
          <w:highlight w:val="none"/>
          <w:lang w:val="en-US" w:eastAsia="zh-CN"/>
        </w:rPr>
        <w:t>1807。</w:t>
      </w:r>
    </w:p>
    <w:p w14:paraId="396EFFD9">
      <w:pPr>
        <w:pStyle w:val="21"/>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、招标单位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14:paraId="034BDE98">
      <w:pPr>
        <w:pStyle w:val="21"/>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1、项目</w:t>
      </w: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吕先生，</w:t>
      </w: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15018456230</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9：00-17：30</w:t>
      </w:r>
      <w:r>
        <w:rPr>
          <w:rFonts w:hint="eastAsia" w:ascii="宋体" w:hAnsi="宋体" w:eastAsia="宋体" w:cs="宋体"/>
          <w:color w:val="auto"/>
          <w:highlight w:val="none"/>
          <w:lang w:eastAsia="zh-CN"/>
        </w:rPr>
        <w:t>）</w:t>
      </w:r>
    </w:p>
    <w:p w14:paraId="236A2F89">
      <w:pPr>
        <w:pStyle w:val="21"/>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2、联系</w:t>
      </w:r>
      <w:r>
        <w:rPr>
          <w:rFonts w:hint="eastAsia" w:ascii="宋体" w:hAnsi="宋体" w:eastAsia="宋体" w:cs="宋体"/>
          <w:color w:val="auto"/>
          <w:highlight w:val="none"/>
        </w:rPr>
        <w:t>地址：</w:t>
      </w:r>
      <w:r>
        <w:rPr>
          <w:rFonts w:hint="eastAsia" w:ascii="宋体" w:hAnsi="宋体" w:eastAsia="宋体" w:cs="宋体"/>
          <w:color w:val="auto"/>
          <w:sz w:val="24"/>
          <w:szCs w:val="24"/>
          <w:highlight w:val="none"/>
          <w:lang w:eastAsia="zh-TW"/>
        </w:rPr>
        <w:t>广州市南沙区海滨路171号南沙金融大厦16楼</w:t>
      </w:r>
    </w:p>
    <w:p w14:paraId="33F2298E">
      <w:pPr>
        <w:pStyle w:val="21"/>
        <w:spacing w:line="360" w:lineRule="auto"/>
        <w:ind w:firstLine="480" w:firstLineChars="200"/>
        <w:jc w:val="right"/>
        <w:rPr>
          <w:rFonts w:eastAsia="宋体"/>
          <w:color w:val="auto"/>
          <w:highlight w:val="none"/>
        </w:rPr>
      </w:pPr>
    </w:p>
    <w:p w14:paraId="4BAC42E9">
      <w:pPr>
        <w:pStyle w:val="21"/>
        <w:spacing w:line="360" w:lineRule="auto"/>
        <w:ind w:firstLine="480" w:firstLineChars="200"/>
        <w:jc w:val="right"/>
        <w:rPr>
          <w:rFonts w:eastAsia="宋体"/>
          <w:color w:val="auto"/>
          <w:highlight w:val="none"/>
        </w:rPr>
      </w:pPr>
    </w:p>
    <w:p w14:paraId="721B579C">
      <w:pPr>
        <w:pStyle w:val="21"/>
        <w:spacing w:line="360" w:lineRule="auto"/>
        <w:ind w:firstLine="480" w:firstLineChars="200"/>
        <w:jc w:val="right"/>
        <w:rPr>
          <w:rFonts w:eastAsia="宋体"/>
          <w:color w:val="auto"/>
          <w:highlight w:val="none"/>
        </w:rPr>
      </w:pPr>
      <w:r>
        <w:rPr>
          <w:rFonts w:hint="eastAsia" w:eastAsia="宋体"/>
          <w:color w:val="auto"/>
          <w:highlight w:val="none"/>
        </w:rPr>
        <w:t>广州南沙</w:t>
      </w:r>
      <w:r>
        <w:rPr>
          <w:rFonts w:hint="eastAsia" w:eastAsia="宋体"/>
          <w:color w:val="auto"/>
          <w:highlight w:val="none"/>
          <w:lang w:val="en-US" w:eastAsia="zh-CN"/>
        </w:rPr>
        <w:t>文体投资</w:t>
      </w:r>
      <w:r>
        <w:rPr>
          <w:rFonts w:hint="eastAsia" w:eastAsia="宋体"/>
          <w:color w:val="auto"/>
          <w:highlight w:val="none"/>
        </w:rPr>
        <w:t>有限公司</w:t>
      </w:r>
    </w:p>
    <w:p w14:paraId="6205421F">
      <w:pPr>
        <w:pStyle w:val="21"/>
        <w:spacing w:line="360" w:lineRule="auto"/>
        <w:ind w:firstLine="480" w:firstLineChars="200"/>
        <w:jc w:val="center"/>
        <w:rPr>
          <w:rFonts w:hint="eastAsia" w:eastAsia="宋体"/>
          <w:color w:val="auto"/>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p>
    <w:p w14:paraId="4DF14246">
      <w:pPr>
        <w:pStyle w:val="21"/>
        <w:spacing w:line="360" w:lineRule="auto"/>
        <w:ind w:firstLine="480" w:firstLineChars="200"/>
        <w:jc w:val="right"/>
        <w:rPr>
          <w:rFonts w:eastAsia="宋体"/>
          <w:color w:val="auto"/>
          <w:highlight w:val="none"/>
        </w:rPr>
      </w:pPr>
    </w:p>
    <w:p w14:paraId="26BA21B9">
      <w:pPr>
        <w:pStyle w:val="22"/>
        <w:widowControl w:val="0"/>
        <w:spacing w:before="0" w:beforeAutospacing="0" w:after="0" w:afterAutospacing="0" w:line="360" w:lineRule="auto"/>
        <w:rPr>
          <w:rFonts w:hint="eastAsia"/>
          <w:b/>
          <w:color w:val="auto"/>
          <w:sz w:val="44"/>
          <w:szCs w:val="44"/>
          <w:highlight w:val="none"/>
        </w:rPr>
      </w:pPr>
    </w:p>
    <w:p w14:paraId="73F42150">
      <w:pPr>
        <w:pStyle w:val="22"/>
        <w:widowControl w:val="0"/>
        <w:spacing w:before="0" w:beforeAutospacing="0" w:after="0" w:afterAutospacing="0" w:line="360" w:lineRule="auto"/>
        <w:rPr>
          <w:rFonts w:hint="eastAsia"/>
          <w:b/>
          <w:color w:val="auto"/>
          <w:sz w:val="44"/>
          <w:szCs w:val="44"/>
          <w:highlight w:val="none"/>
        </w:rPr>
      </w:pPr>
    </w:p>
    <w:p w14:paraId="58DC488D">
      <w:pPr>
        <w:pStyle w:val="22"/>
        <w:widowControl w:val="0"/>
        <w:spacing w:before="0" w:beforeAutospacing="0" w:after="0" w:afterAutospacing="0" w:line="360" w:lineRule="auto"/>
        <w:rPr>
          <w:rFonts w:hint="eastAsia"/>
          <w:b/>
          <w:color w:val="auto"/>
          <w:sz w:val="44"/>
          <w:szCs w:val="44"/>
          <w:highlight w:val="none"/>
        </w:rPr>
      </w:pPr>
    </w:p>
    <w:p w14:paraId="7C5AB471">
      <w:pPr>
        <w:pStyle w:val="22"/>
        <w:widowControl w:val="0"/>
        <w:spacing w:before="0" w:beforeAutospacing="0" w:after="0" w:afterAutospacing="0" w:line="360" w:lineRule="auto"/>
        <w:rPr>
          <w:rFonts w:hint="eastAsia"/>
          <w:b/>
          <w:color w:val="auto"/>
          <w:sz w:val="44"/>
          <w:szCs w:val="44"/>
          <w:highlight w:val="none"/>
        </w:rPr>
      </w:pPr>
    </w:p>
    <w:p w14:paraId="4D192DE1">
      <w:pPr>
        <w:pStyle w:val="22"/>
        <w:widowControl w:val="0"/>
        <w:spacing w:before="0" w:beforeAutospacing="0" w:after="0" w:afterAutospacing="0" w:line="360" w:lineRule="auto"/>
        <w:rPr>
          <w:rFonts w:hint="eastAsia"/>
          <w:b/>
          <w:color w:val="auto"/>
          <w:sz w:val="44"/>
          <w:szCs w:val="44"/>
          <w:highlight w:val="none"/>
        </w:rPr>
      </w:pPr>
    </w:p>
    <w:p w14:paraId="78E1947C">
      <w:pPr>
        <w:rPr>
          <w:rFonts w:hint="eastAsia" w:cs="Times New Roman"/>
          <w:b/>
          <w:bCs/>
          <w:color w:val="auto"/>
          <w:sz w:val="32"/>
          <w:szCs w:val="32"/>
          <w:highlight w:val="none"/>
        </w:rPr>
      </w:pPr>
      <w:r>
        <w:rPr>
          <w:rFonts w:hint="eastAsia" w:cs="Times New Roman"/>
          <w:b/>
          <w:bCs/>
          <w:color w:val="auto"/>
          <w:sz w:val="32"/>
          <w:szCs w:val="32"/>
          <w:highlight w:val="none"/>
        </w:rPr>
        <w:br w:type="page"/>
      </w:r>
    </w:p>
    <w:p w14:paraId="175C7FED">
      <w:pPr>
        <w:keepNext/>
        <w:keepLines/>
        <w:spacing w:before="340" w:after="330" w:line="578" w:lineRule="auto"/>
        <w:ind w:right="-588"/>
        <w:jc w:val="center"/>
        <w:outlineLvl w:val="0"/>
        <w:rPr>
          <w:rFonts w:cs="Times New Roman"/>
          <w:b/>
          <w:bCs/>
          <w:color w:val="auto"/>
          <w:kern w:val="44"/>
          <w:sz w:val="44"/>
          <w:szCs w:val="44"/>
          <w:highlight w:val="none"/>
        </w:rPr>
      </w:pPr>
      <w:bookmarkStart w:id="0" w:name="_Toc14450807"/>
      <w:bookmarkStart w:id="1" w:name="_Toc458795996"/>
      <w:bookmarkStart w:id="2" w:name="_Toc28489434"/>
      <w:bookmarkStart w:id="3" w:name="_Toc6555"/>
      <w:bookmarkStart w:id="4" w:name="_Toc16402"/>
      <w:bookmarkStart w:id="5" w:name="_Toc13149"/>
      <w:bookmarkStart w:id="6" w:name="_Toc16301"/>
      <w:bookmarkStart w:id="7" w:name="_Toc1563"/>
      <w:bookmarkStart w:id="8" w:name="_Toc22648"/>
      <w:bookmarkStart w:id="9" w:name="_Toc11737"/>
      <w:bookmarkStart w:id="10" w:name="_Toc20486"/>
      <w:bookmarkStart w:id="11" w:name="_Toc27703"/>
      <w:bookmarkStart w:id="12" w:name="_Toc31772"/>
      <w:r>
        <w:rPr>
          <w:rFonts w:hint="eastAsia" w:cs="Times New Roman"/>
          <w:b/>
          <w:bCs/>
          <w:color w:val="auto"/>
          <w:kern w:val="44"/>
          <w:sz w:val="44"/>
          <w:szCs w:val="44"/>
          <w:highlight w:val="none"/>
        </w:rPr>
        <w:t>第</w:t>
      </w:r>
      <w:r>
        <w:rPr>
          <w:rFonts w:hint="eastAsia" w:cs="Times New Roman"/>
          <w:b/>
          <w:bCs/>
          <w:color w:val="auto"/>
          <w:kern w:val="44"/>
          <w:sz w:val="44"/>
          <w:szCs w:val="44"/>
          <w:highlight w:val="none"/>
          <w:lang w:val="en-US" w:eastAsia="zh-CN"/>
        </w:rPr>
        <w:t>一</w:t>
      </w:r>
      <w:r>
        <w:rPr>
          <w:rFonts w:hint="eastAsia" w:cs="Times New Roman"/>
          <w:b/>
          <w:bCs/>
          <w:color w:val="auto"/>
          <w:kern w:val="44"/>
          <w:sz w:val="44"/>
          <w:szCs w:val="44"/>
          <w:highlight w:val="none"/>
        </w:rPr>
        <w:t>章</w:t>
      </w:r>
      <w:bookmarkEnd w:id="0"/>
      <w:bookmarkEnd w:id="1"/>
      <w:bookmarkEnd w:id="2"/>
      <w:r>
        <w:rPr>
          <w:rFonts w:hint="eastAsia" w:cs="Times New Roman"/>
          <w:b/>
          <w:bCs/>
          <w:color w:val="auto"/>
          <w:kern w:val="44"/>
          <w:sz w:val="44"/>
          <w:szCs w:val="44"/>
          <w:highlight w:val="none"/>
        </w:rPr>
        <w:t xml:space="preserve"> 投标人须知</w:t>
      </w:r>
      <w:bookmarkEnd w:id="3"/>
      <w:bookmarkEnd w:id="4"/>
      <w:bookmarkEnd w:id="5"/>
      <w:bookmarkEnd w:id="6"/>
      <w:bookmarkEnd w:id="7"/>
      <w:bookmarkEnd w:id="8"/>
      <w:bookmarkEnd w:id="9"/>
      <w:bookmarkEnd w:id="10"/>
      <w:bookmarkEnd w:id="11"/>
      <w:bookmarkEnd w:id="12"/>
    </w:p>
    <w:p w14:paraId="2C7550C0">
      <w:pPr>
        <w:spacing w:line="360" w:lineRule="auto"/>
        <w:jc w:val="center"/>
        <w:rPr>
          <w:rFonts w:hint="eastAsia" w:ascii="宋体" w:hAnsi="宋体" w:cs="Times New Roman"/>
          <w:b/>
          <w:bCs/>
          <w:color w:val="auto"/>
          <w:sz w:val="30"/>
          <w:szCs w:val="20"/>
          <w:highlight w:val="none"/>
        </w:rPr>
      </w:pPr>
      <w:r>
        <w:rPr>
          <w:rFonts w:hint="eastAsia" w:ascii="宋体" w:hAnsi="宋体" w:cs="Times New Roman"/>
          <w:b/>
          <w:bCs/>
          <w:color w:val="auto"/>
          <w:sz w:val="30"/>
          <w:szCs w:val="20"/>
          <w:highlight w:val="none"/>
        </w:rPr>
        <w:t>投标人须知一览表</w:t>
      </w:r>
    </w:p>
    <w:tbl>
      <w:tblPr>
        <w:tblStyle w:val="16"/>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14:paraId="17A73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2446C9F">
            <w:pPr>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14:paraId="66391C81">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项</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784976F0">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主</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要</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内</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容</w:t>
            </w:r>
          </w:p>
        </w:tc>
      </w:tr>
      <w:tr w14:paraId="22AD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104" w:type="dxa"/>
            <w:tcBorders>
              <w:top w:val="single" w:color="auto" w:sz="4" w:space="0"/>
              <w:left w:val="single" w:color="auto" w:sz="4" w:space="0"/>
              <w:right w:val="single" w:color="auto" w:sz="4" w:space="0"/>
            </w:tcBorders>
            <w:vAlign w:val="center"/>
          </w:tcPr>
          <w:p w14:paraId="2CAF945A">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w:t>
            </w:r>
          </w:p>
        </w:tc>
        <w:tc>
          <w:tcPr>
            <w:tcW w:w="1777" w:type="dxa"/>
            <w:tcBorders>
              <w:top w:val="single" w:color="auto" w:sz="4" w:space="0"/>
              <w:left w:val="single" w:color="auto" w:sz="4" w:space="0"/>
              <w:right w:val="single" w:color="auto" w:sz="4" w:space="0"/>
            </w:tcBorders>
            <w:vAlign w:val="center"/>
          </w:tcPr>
          <w:p w14:paraId="3FB00F61">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14:paraId="384A6FCE">
            <w:pPr>
              <w:spacing w:before="220" w:line="360" w:lineRule="auto"/>
              <w:jc w:val="both"/>
              <w:outlineLvl w:val="9"/>
              <w:rPr>
                <w:rFonts w:hint="eastAsia" w:ascii="宋体" w:hAnsi="宋体" w:cs="Times New Roman"/>
                <w:color w:val="auto"/>
                <w:sz w:val="24"/>
                <w:szCs w:val="20"/>
                <w:highlight w:val="none"/>
              </w:rPr>
            </w:pPr>
            <w:r>
              <w:rPr>
                <w:rFonts w:hint="default" w:ascii="宋体" w:hAnsi="宋体" w:eastAsia="宋体" w:cs="Times New Roman"/>
                <w:color w:val="auto"/>
                <w:sz w:val="24"/>
                <w:szCs w:val="20"/>
                <w:highlight w:val="none"/>
                <w:lang w:val="en-US" w:eastAsia="zh-CN"/>
              </w:rPr>
              <w:t>2025“Head In The Clouds”（云思妙想）音乐艺术节——大湾区站（南沙）项目临时安保服务外包项目</w:t>
            </w:r>
          </w:p>
        </w:tc>
      </w:tr>
      <w:tr w14:paraId="5948F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B2FA167">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14:paraId="50EAE3C9">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59CA6BCA">
            <w:pPr>
              <w:pStyle w:val="6"/>
              <w:jc w:val="left"/>
              <w:rPr>
                <w:color w:val="auto"/>
                <w:highlight w:val="none"/>
              </w:rPr>
            </w:pPr>
            <w:r>
              <w:rPr>
                <w:rFonts w:hint="eastAsia" w:ascii="宋体" w:hAnsi="宋体"/>
                <w:color w:val="auto"/>
                <w:highlight w:val="none"/>
              </w:rPr>
              <w:t>广州南沙</w:t>
            </w:r>
            <w:r>
              <w:rPr>
                <w:rFonts w:hint="eastAsia" w:ascii="宋体" w:hAnsi="宋体"/>
                <w:color w:val="auto"/>
                <w:highlight w:val="none"/>
                <w:lang w:val="en-US" w:eastAsia="zh-CN"/>
              </w:rPr>
              <w:t>文体投资</w:t>
            </w:r>
            <w:r>
              <w:rPr>
                <w:rFonts w:hint="eastAsia" w:ascii="宋体" w:hAnsi="宋体"/>
                <w:color w:val="auto"/>
                <w:highlight w:val="none"/>
              </w:rPr>
              <w:t>有限公司</w:t>
            </w:r>
          </w:p>
        </w:tc>
      </w:tr>
      <w:tr w14:paraId="16F08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5B5AD33">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14:paraId="12778C20">
            <w:pPr>
              <w:keepNext/>
              <w:keepLines/>
              <w:tabs>
                <w:tab w:val="left" w:pos="630"/>
                <w:tab w:val="left" w:pos="1981"/>
              </w:tabs>
              <w:adjustRightInd w:val="0"/>
              <w:spacing w:before="40" w:after="40"/>
              <w:ind w:firstLine="240" w:firstLineChars="100"/>
              <w:textAlignment w:val="baseline"/>
              <w:outlineLvl w:val="2"/>
              <w:rPr>
                <w:rFonts w:hint="eastAsia" w:ascii="宋体" w:hAnsi="宋体" w:cs="Times New Roman"/>
                <w:b/>
                <w:color w:val="auto"/>
                <w:sz w:val="24"/>
                <w:highlight w:val="none"/>
              </w:rPr>
            </w:pPr>
            <w:r>
              <w:rPr>
                <w:rFonts w:ascii="宋体" w:hAnsi="宋体" w:cs="Times New Roman"/>
                <w:bCs/>
                <w:color w:val="auto"/>
                <w:sz w:val="24"/>
                <w:highlight w:val="none"/>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306751A0">
            <w:pPr>
              <w:jc w:val="left"/>
              <w:rPr>
                <w:rFonts w:cs="Times New Roman"/>
                <w:color w:val="auto"/>
                <w:sz w:val="24"/>
                <w:szCs w:val="20"/>
                <w:highlight w:val="none"/>
              </w:rPr>
            </w:pPr>
            <w:r>
              <w:rPr>
                <w:rFonts w:hint="eastAsia" w:ascii="宋体" w:hAnsi="宋体" w:cs="Times New Roman"/>
                <w:color w:val="auto"/>
                <w:sz w:val="24"/>
                <w:szCs w:val="20"/>
                <w:highlight w:val="none"/>
              </w:rPr>
              <w:t>从投标截止日起，投标有效期为90天，中标人的投标有效期自动延长至合同终止为止。</w:t>
            </w:r>
          </w:p>
        </w:tc>
      </w:tr>
      <w:tr w14:paraId="2B560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2FC0E50C">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14:paraId="0B288B80">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45EE30B4">
            <w:pPr>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rPr>
              <w:t>详见用户需求书。</w:t>
            </w:r>
          </w:p>
        </w:tc>
      </w:tr>
      <w:tr w14:paraId="15505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280BE15A">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14:paraId="661E1D89">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7D19C2DE">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必须符合国家、省、市、区的相关法律法规和招标人的要求。</w:t>
            </w:r>
          </w:p>
        </w:tc>
      </w:tr>
      <w:tr w14:paraId="5B492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68BDE5D3">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14:paraId="73FEDC36">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0058651C">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均不计息以人民币元结算。</w:t>
            </w:r>
          </w:p>
        </w:tc>
      </w:tr>
      <w:tr w14:paraId="709EB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0CA1846D">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14:paraId="7D122966">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0C829B28">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五份（一份正本、</w:t>
            </w:r>
            <w:r>
              <w:rPr>
                <w:rFonts w:hint="eastAsia" w:ascii="宋体" w:hAnsi="宋体" w:cs="宋体"/>
                <w:color w:val="auto"/>
                <w:sz w:val="24"/>
                <w:szCs w:val="20"/>
                <w:highlight w:val="none"/>
              </w:rPr>
              <w:t>四</w:t>
            </w:r>
            <w:r>
              <w:rPr>
                <w:rFonts w:hint="eastAsia" w:ascii="宋体" w:hAnsi="宋体" w:cs="Times New Roman"/>
                <w:color w:val="auto"/>
                <w:sz w:val="24"/>
                <w:szCs w:val="20"/>
                <w:highlight w:val="none"/>
              </w:rPr>
              <w:t>份副本）、电子文件一份（电子文件为U盘介质，采用Word和PDF格式，Word内容应与投标人打印产生的纸质投标文件内容一致，PDF内容必须是纸质投标文件正本扫描件（含盖章、签署），不留密码，无病毒，不压缩）。</w:t>
            </w:r>
          </w:p>
        </w:tc>
      </w:tr>
      <w:tr w14:paraId="6CEB8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5EEAB5C5">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14:paraId="54A0B5DB">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1555D98F">
            <w:pPr>
              <w:jc w:val="left"/>
              <w:rPr>
                <w:rFonts w:hint="eastAsia" w:ascii="宋体" w:hAnsi="宋体" w:cs="Times New Roman"/>
                <w:color w:val="auto"/>
                <w:sz w:val="24"/>
                <w:szCs w:val="20"/>
                <w:highlight w:val="none"/>
              </w:rPr>
            </w:pPr>
            <w:r>
              <w:rPr>
                <w:rFonts w:hint="eastAsia" w:ascii="宋体" w:hAnsi="宋体" w:cs="宋体"/>
                <w:color w:val="auto"/>
                <w:sz w:val="24"/>
                <w:szCs w:val="24"/>
                <w:highlight w:val="yellow"/>
                <w:u w:val="single"/>
              </w:rPr>
              <w:t>202</w:t>
            </w:r>
            <w:r>
              <w:rPr>
                <w:rFonts w:hint="eastAsia" w:ascii="宋体" w:hAnsi="宋体" w:cs="宋体"/>
                <w:color w:val="auto"/>
                <w:sz w:val="24"/>
                <w:szCs w:val="24"/>
                <w:highlight w:val="yellow"/>
                <w:u w:val="single"/>
                <w:lang w:val="en-US" w:eastAsia="zh-CN"/>
              </w:rPr>
              <w:t>5</w:t>
            </w:r>
            <w:r>
              <w:rPr>
                <w:rFonts w:hint="eastAsia" w:ascii="宋体" w:hAnsi="宋体" w:cs="宋体"/>
                <w:color w:val="auto"/>
                <w:sz w:val="24"/>
                <w:szCs w:val="24"/>
                <w:highlight w:val="yellow"/>
                <w:u w:val="single"/>
                <w:lang w:eastAsia="zh-TW"/>
              </w:rPr>
              <w:t>年</w:t>
            </w:r>
            <w:r>
              <w:rPr>
                <w:rFonts w:hint="eastAsia" w:ascii="宋体" w:hAnsi="宋体" w:cs="宋体"/>
                <w:color w:val="auto"/>
                <w:sz w:val="24"/>
                <w:szCs w:val="24"/>
                <w:highlight w:val="yellow"/>
                <w:u w:val="single"/>
                <w:lang w:val="en-US" w:eastAsia="zh-CN"/>
              </w:rPr>
              <w:t>4</w:t>
            </w:r>
            <w:r>
              <w:rPr>
                <w:rFonts w:hint="eastAsia" w:ascii="宋体" w:hAnsi="宋体" w:cs="宋体"/>
                <w:color w:val="auto"/>
                <w:sz w:val="24"/>
                <w:szCs w:val="24"/>
                <w:highlight w:val="yellow"/>
                <w:u w:val="single"/>
                <w:lang w:eastAsia="zh-TW"/>
              </w:rPr>
              <w:t>月</w:t>
            </w:r>
            <w:r>
              <w:rPr>
                <w:rFonts w:hint="eastAsia" w:ascii="宋体" w:hAnsi="宋体" w:cs="宋体"/>
                <w:color w:val="auto"/>
                <w:sz w:val="24"/>
                <w:szCs w:val="24"/>
                <w:highlight w:val="yellow"/>
                <w:u w:val="single"/>
                <w:lang w:val="en-US" w:eastAsia="zh-CN"/>
              </w:rPr>
              <w:t>15</w:t>
            </w:r>
            <w:r>
              <w:rPr>
                <w:rFonts w:hint="eastAsia" w:ascii="宋体" w:hAnsi="宋体" w:cs="宋体"/>
                <w:color w:val="auto"/>
                <w:sz w:val="24"/>
                <w:szCs w:val="24"/>
                <w:highlight w:val="yellow"/>
                <w:u w:val="single"/>
                <w:lang w:eastAsia="zh-TW"/>
              </w:rPr>
              <w:t>日</w:t>
            </w:r>
            <w:r>
              <w:rPr>
                <w:rFonts w:hint="eastAsia" w:ascii="宋体" w:hAnsi="宋体" w:cs="宋体"/>
                <w:color w:val="auto"/>
                <w:sz w:val="24"/>
                <w:szCs w:val="24"/>
                <w:highlight w:val="yellow"/>
                <w:u w:val="single"/>
                <w:lang w:val="en-US" w:eastAsia="zh-CN"/>
              </w:rPr>
              <w:t>10：30</w:t>
            </w:r>
            <w:r>
              <w:rPr>
                <w:rFonts w:hint="eastAsia" w:ascii="宋体" w:hAnsi="宋体" w:cs="Times New Roman"/>
                <w:color w:val="auto"/>
                <w:sz w:val="24"/>
                <w:szCs w:val="20"/>
                <w:highlight w:val="yellow"/>
              </w:rPr>
              <w:t>（北京时间）</w:t>
            </w:r>
            <w:r>
              <w:rPr>
                <w:rFonts w:hint="eastAsia" w:ascii="宋体" w:hAnsi="宋体" w:cs="Times New Roman"/>
                <w:color w:val="auto"/>
                <w:sz w:val="24"/>
                <w:szCs w:val="20"/>
                <w:highlight w:val="none"/>
              </w:rPr>
              <w:t>。</w:t>
            </w:r>
          </w:p>
        </w:tc>
      </w:tr>
      <w:tr w14:paraId="06582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14:paraId="5117AC13">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（9）</w:t>
            </w:r>
          </w:p>
        </w:tc>
        <w:tc>
          <w:tcPr>
            <w:tcW w:w="1777" w:type="dxa"/>
            <w:tcBorders>
              <w:top w:val="single" w:color="auto" w:sz="4" w:space="0"/>
              <w:left w:val="single" w:color="auto" w:sz="4" w:space="0"/>
              <w:right w:val="single" w:color="auto" w:sz="4" w:space="0"/>
            </w:tcBorders>
            <w:vAlign w:val="center"/>
          </w:tcPr>
          <w:p w14:paraId="44C9AE9F">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14:paraId="585A276B">
            <w:pPr>
              <w:spacing w:line="400" w:lineRule="exact"/>
              <w:jc w:val="left"/>
              <w:rPr>
                <w:rFonts w:hint="eastAsia" w:ascii="宋体" w:hAnsi="宋体" w:eastAsia="宋体" w:cs="Times New Roman"/>
                <w:color w:val="auto"/>
                <w:sz w:val="24"/>
                <w:szCs w:val="20"/>
                <w:highlight w:val="none"/>
                <w:lang w:eastAsia="zh-CN"/>
              </w:rPr>
            </w:pPr>
            <w:r>
              <w:rPr>
                <w:rFonts w:hint="eastAsia" w:ascii="宋体" w:hAnsi="宋体" w:cs="Times New Roman"/>
                <w:color w:val="auto"/>
                <w:sz w:val="24"/>
                <w:szCs w:val="24"/>
                <w:highlight w:val="none"/>
              </w:rPr>
              <w:t>人民币43.75元/小时/人</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含税）</w:t>
            </w:r>
            <w:r>
              <w:rPr>
                <w:rFonts w:hint="eastAsia" w:ascii="宋体" w:hAnsi="宋体" w:cs="Times New Roman"/>
                <w:color w:val="auto"/>
                <w:sz w:val="24"/>
                <w:szCs w:val="24"/>
                <w:highlight w:val="none"/>
              </w:rPr>
              <w:t>，最终结算金额按实际到岗人数及服务时长进行结算</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但最终结算金额不应高于175万元。</w:t>
            </w:r>
          </w:p>
        </w:tc>
      </w:tr>
      <w:tr w14:paraId="3B5F0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14:paraId="0D332F03">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14:paraId="5FE4409C">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0D4E1CBC">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综合评审法（</w:t>
            </w:r>
            <w:r>
              <w:rPr>
                <w:rFonts w:ascii="宋体" w:hAnsi="宋体" w:cs="Times New Roman"/>
                <w:color w:val="auto"/>
                <w:sz w:val="24"/>
                <w:szCs w:val="20"/>
                <w:highlight w:val="none"/>
              </w:rPr>
              <w:t>100%</w:t>
            </w:r>
            <w:r>
              <w:rPr>
                <w:rFonts w:hint="eastAsia" w:ascii="宋体" w:hAnsi="宋体" w:cs="Times New Roman"/>
                <w:color w:val="auto"/>
                <w:sz w:val="24"/>
                <w:szCs w:val="20"/>
                <w:highlight w:val="none"/>
              </w:rPr>
              <w:t>）</w:t>
            </w:r>
          </w:p>
        </w:tc>
      </w:tr>
      <w:tr w14:paraId="09E5E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14:paraId="512BD4AC">
            <w:pPr>
              <w:widowControl/>
              <w:jc w:val="left"/>
              <w:rPr>
                <w:rFonts w:hint="eastAsia" w:ascii="宋体" w:hAnsi="宋体" w:cs="Times New Roman"/>
                <w:color w:val="auto"/>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14:paraId="1F88473A">
            <w:pPr>
              <w:widowControl/>
              <w:jc w:val="left"/>
              <w:rPr>
                <w:rFonts w:hint="eastAsia" w:ascii="宋体" w:hAnsi="宋体" w:cs="Times New Roman"/>
                <w:color w:val="auto"/>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14:paraId="559A28DC">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技术权重</w:t>
            </w:r>
            <w:r>
              <w:rPr>
                <w:rFonts w:hint="eastAsia" w:ascii="宋体" w:hAnsi="宋体" w:cs="Times New Roman"/>
                <w:color w:val="auto"/>
                <w:sz w:val="24"/>
                <w:szCs w:val="20"/>
                <w:highlight w:val="none"/>
                <w:lang w:val="en-US" w:eastAsia="zh-CN"/>
              </w:rPr>
              <w:t>40</w:t>
            </w:r>
            <w:r>
              <w:rPr>
                <w:rFonts w:ascii="宋体" w:hAnsi="宋体" w:cs="Times New Roman"/>
                <w:color w:val="auto"/>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14:paraId="4DB6B4B5">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商务权重</w:t>
            </w:r>
            <w:r>
              <w:rPr>
                <w:rFonts w:hint="eastAsia" w:ascii="宋体" w:hAnsi="宋体" w:cs="Times New Roman"/>
                <w:color w:val="auto"/>
                <w:sz w:val="24"/>
                <w:szCs w:val="20"/>
                <w:highlight w:val="none"/>
                <w:lang w:val="en-US" w:eastAsia="zh-CN"/>
              </w:rPr>
              <w:t>30</w:t>
            </w:r>
            <w:r>
              <w:rPr>
                <w:rFonts w:ascii="宋体" w:hAnsi="宋体" w:cs="Times New Roman"/>
                <w:color w:val="auto"/>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14:paraId="7F9C9D01">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价格权重</w:t>
            </w:r>
            <w:r>
              <w:rPr>
                <w:rFonts w:hint="eastAsia" w:ascii="宋体" w:hAnsi="宋体" w:cs="Times New Roman"/>
                <w:color w:val="auto"/>
                <w:sz w:val="24"/>
                <w:szCs w:val="20"/>
                <w:highlight w:val="none"/>
                <w:lang w:val="en-US" w:eastAsia="zh-CN"/>
              </w:rPr>
              <w:t>3</w:t>
            </w:r>
            <w:r>
              <w:rPr>
                <w:rFonts w:hint="eastAsia" w:ascii="宋体" w:hAnsi="宋体" w:cs="Times New Roman"/>
                <w:color w:val="auto"/>
                <w:sz w:val="24"/>
                <w:szCs w:val="20"/>
                <w:highlight w:val="none"/>
              </w:rPr>
              <w:t>0</w:t>
            </w:r>
            <w:r>
              <w:rPr>
                <w:rFonts w:ascii="宋体" w:hAnsi="宋体" w:cs="Times New Roman"/>
                <w:color w:val="auto"/>
                <w:sz w:val="24"/>
                <w:szCs w:val="20"/>
                <w:highlight w:val="none"/>
              </w:rPr>
              <w:t>%</w:t>
            </w:r>
          </w:p>
        </w:tc>
      </w:tr>
    </w:tbl>
    <w:p w14:paraId="629B650F">
      <w:pPr>
        <w:pStyle w:val="22"/>
        <w:widowControl w:val="0"/>
        <w:spacing w:before="0" w:beforeAutospacing="0" w:after="0" w:afterAutospacing="0" w:line="360" w:lineRule="auto"/>
        <w:rPr>
          <w:rFonts w:hint="eastAsia"/>
          <w:b/>
          <w:color w:val="auto"/>
          <w:sz w:val="44"/>
          <w:szCs w:val="44"/>
          <w:highlight w:val="none"/>
        </w:rPr>
      </w:pPr>
    </w:p>
    <w:p w14:paraId="605434E9">
      <w:pP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投标人必须认真阅读以下内容，以免造成投标失败。</w:t>
      </w:r>
    </w:p>
    <w:p w14:paraId="302E2B2A">
      <w:pPr>
        <w:pStyle w:val="20"/>
        <w:rPr>
          <w:rFonts w:hint="eastAsia" w:ascii="宋体" w:hAnsi="宋体" w:eastAsia="宋体" w:cs="宋体"/>
          <w:color w:val="auto"/>
          <w:highlight w:val="none"/>
        </w:rPr>
      </w:pPr>
    </w:p>
    <w:p w14:paraId="3F413E6C">
      <w:pPr>
        <w:pStyle w:val="3"/>
        <w:spacing w:before="48" w:after="48"/>
        <w:rPr>
          <w:rFonts w:hint="eastAsia" w:ascii="宋体" w:hAnsi="宋体" w:eastAsia="宋体" w:cs="宋体"/>
          <w:color w:val="auto"/>
          <w:sz w:val="28"/>
          <w:szCs w:val="28"/>
          <w:highlight w:val="none"/>
        </w:rPr>
      </w:pPr>
      <w:bookmarkStart w:id="13" w:name="_Toc184442574"/>
      <w:r>
        <w:rPr>
          <w:rFonts w:hint="eastAsia" w:ascii="宋体" w:hAnsi="宋体" w:eastAsia="宋体" w:cs="宋体"/>
          <w:color w:val="auto"/>
          <w:sz w:val="28"/>
          <w:szCs w:val="28"/>
          <w:highlight w:val="none"/>
        </w:rPr>
        <w:t>一、总体说明</w:t>
      </w:r>
      <w:bookmarkEnd w:id="13"/>
    </w:p>
    <w:p w14:paraId="38BABB67">
      <w:pPr>
        <w:pStyle w:val="4"/>
        <w:keepLines w:val="0"/>
        <w:numPr>
          <w:ilvl w:val="1"/>
          <w:numId w:val="3"/>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适用范围</w:t>
      </w:r>
    </w:p>
    <w:p w14:paraId="7524166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本招标文件仅适用于本次</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中所叙述的项目采购。本次</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采用一次报价一次评标定标的方式，投标人的报价必须固定，且只能作一个最有竞争力的报价和方案，否则将作无效投标处理。</w:t>
      </w:r>
    </w:p>
    <w:p w14:paraId="32C60397">
      <w:pPr>
        <w:pStyle w:val="4"/>
        <w:keepLines w:val="0"/>
        <w:numPr>
          <w:ilvl w:val="1"/>
          <w:numId w:val="3"/>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招标内容</w:t>
      </w:r>
    </w:p>
    <w:p w14:paraId="7D912110">
      <w:pPr>
        <w:pStyle w:val="8"/>
        <w:spacing w:line="380" w:lineRule="exact"/>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本次招标的内容为确定广州南沙</w:t>
      </w:r>
      <w:r>
        <w:rPr>
          <w:rFonts w:hint="eastAsia" w:ascii="宋体" w:hAnsi="宋体" w:eastAsia="宋体" w:cs="宋体"/>
          <w:b w:val="0"/>
          <w:color w:val="auto"/>
          <w:kern w:val="0"/>
          <w:sz w:val="24"/>
          <w:highlight w:val="none"/>
          <w:lang w:val="en-US" w:eastAsia="zh-CN"/>
        </w:rPr>
        <w:t>文体投资</w:t>
      </w:r>
      <w:r>
        <w:rPr>
          <w:rFonts w:hint="eastAsia" w:ascii="宋体" w:hAnsi="宋体" w:eastAsia="宋体" w:cs="宋体"/>
          <w:b w:val="0"/>
          <w:color w:val="auto"/>
          <w:kern w:val="0"/>
          <w:sz w:val="24"/>
          <w:highlight w:val="none"/>
        </w:rPr>
        <w:t>有限公司</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u w:val="single"/>
          <w:lang w:val="en-US" w:eastAsia="zh-CN"/>
        </w:rPr>
        <w:t>2025“Head In The Clouds”（云思妙想）音乐艺术节——大湾区站（南沙）项目临时安保服务外包项目》</w:t>
      </w:r>
      <w:r>
        <w:rPr>
          <w:rFonts w:hint="eastAsia" w:ascii="宋体" w:hAnsi="宋体" w:eastAsia="宋体" w:cs="宋体"/>
          <w:b w:val="0"/>
          <w:color w:val="auto"/>
          <w:kern w:val="0"/>
          <w:sz w:val="24"/>
          <w:highlight w:val="none"/>
        </w:rPr>
        <w:t>的供应商。</w:t>
      </w:r>
    </w:p>
    <w:p w14:paraId="535AF577">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服务地点：</w:t>
      </w:r>
      <w:r>
        <w:rPr>
          <w:rFonts w:hint="eastAsia" w:ascii="宋体" w:hAnsi="宋体" w:cs="宋体"/>
          <w:color w:val="auto"/>
          <w:sz w:val="24"/>
          <w:highlight w:val="none"/>
          <w:lang w:val="en-US" w:eastAsia="zh-CN"/>
        </w:rPr>
        <w:t>南沙音乐秀场</w:t>
      </w:r>
      <w:r>
        <w:rPr>
          <w:rFonts w:hint="eastAsia" w:ascii="宋体" w:hAnsi="宋体" w:cs="宋体"/>
          <w:color w:val="auto"/>
          <w:sz w:val="24"/>
          <w:highlight w:val="none"/>
        </w:rPr>
        <w:t>。</w:t>
      </w:r>
    </w:p>
    <w:p w14:paraId="76241EE0">
      <w:pPr>
        <w:pStyle w:val="4"/>
        <w:keepLines w:val="0"/>
        <w:numPr>
          <w:ilvl w:val="1"/>
          <w:numId w:val="3"/>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关于投标费用</w:t>
      </w:r>
    </w:p>
    <w:p w14:paraId="547E2566">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不论招标结果如何，投标人自行承担所有与其参加本次投标活动有关的费用</w:t>
      </w:r>
      <w:r>
        <w:rPr>
          <w:rFonts w:hint="eastAsia" w:ascii="宋体" w:hAnsi="宋体" w:cs="宋体"/>
          <w:color w:val="auto"/>
          <w:sz w:val="24"/>
          <w:highlight w:val="none"/>
          <w:lang w:val="en-GB"/>
        </w:rPr>
        <w:t>。</w:t>
      </w:r>
    </w:p>
    <w:p w14:paraId="40F4DA63">
      <w:pPr>
        <w:pStyle w:val="4"/>
        <w:keepLines w:val="0"/>
        <w:numPr>
          <w:ilvl w:val="1"/>
          <w:numId w:val="3"/>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定义</w:t>
      </w:r>
    </w:p>
    <w:p w14:paraId="13C1F0BE">
      <w:pPr>
        <w:numPr>
          <w:ilvl w:val="2"/>
          <w:numId w:val="3"/>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“招标人”系指依法进行招标的国家机关、事业单位、团体组织，本项目招标人是</w:t>
      </w:r>
      <w:r>
        <w:rPr>
          <w:rFonts w:hint="eastAsia" w:ascii="宋体" w:hAnsi="宋体" w:cs="宋体"/>
          <w:color w:val="auto"/>
          <w:sz w:val="24"/>
          <w:highlight w:val="none"/>
          <w:lang w:eastAsia="zh-CN"/>
        </w:rPr>
        <w:t>广州南沙文体投资有限公司</w:t>
      </w:r>
      <w:r>
        <w:rPr>
          <w:rFonts w:hint="eastAsia" w:ascii="宋体" w:hAnsi="宋体" w:cs="宋体"/>
          <w:color w:val="auto"/>
          <w:sz w:val="24"/>
          <w:highlight w:val="none"/>
        </w:rPr>
        <w:t>。</w:t>
      </w:r>
    </w:p>
    <w:p w14:paraId="6C45FD5C">
      <w:pPr>
        <w:numPr>
          <w:ilvl w:val="2"/>
          <w:numId w:val="3"/>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“投标人”系指向招标人提交投标文件的合格供应商。</w:t>
      </w:r>
    </w:p>
    <w:p w14:paraId="3E7DF0B5">
      <w:pPr>
        <w:numPr>
          <w:ilvl w:val="2"/>
          <w:numId w:val="3"/>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“中标单位”系指经评标委员会评审推荐、招标人确认的获得本项目中标资格的投标人。</w:t>
      </w:r>
    </w:p>
    <w:p w14:paraId="0F0D4B23">
      <w:pPr>
        <w:numPr>
          <w:ilvl w:val="2"/>
          <w:numId w:val="3"/>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“实质性响应”系指符合招标文件的所有要求、条款、条件和规定，且没有不利于项目实施质量效果和服务保障的重大偏离或保留。</w:t>
      </w:r>
    </w:p>
    <w:p w14:paraId="560F66EB">
      <w:pPr>
        <w:numPr>
          <w:ilvl w:val="2"/>
          <w:numId w:val="3"/>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“重大偏离或保留”系指影响到采购文件规定的范围、质量和性能或限制了招标人的权力和投标人义务的规定，而纠正这些偏离将影响到其它投标人的公平竞争地位。</w:t>
      </w:r>
    </w:p>
    <w:p w14:paraId="1FC6BD1E">
      <w:pPr>
        <w:numPr>
          <w:ilvl w:val="2"/>
          <w:numId w:val="3"/>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本招标文件所涉及的日期和时间，除特别说明外均指北京时间，天数为日历日。</w:t>
      </w:r>
    </w:p>
    <w:p w14:paraId="01F5DBFF">
      <w:pPr>
        <w:pStyle w:val="4"/>
        <w:keepLines w:val="0"/>
        <w:numPr>
          <w:ilvl w:val="1"/>
          <w:numId w:val="3"/>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知识产权</w:t>
      </w:r>
    </w:p>
    <w:p w14:paraId="168F4A2E">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1.投标人必须保证，招标人在中华人民共和国境内使用投标</w:t>
      </w:r>
      <w:r>
        <w:rPr>
          <w:rFonts w:hint="eastAsia" w:ascii="宋体" w:hAnsi="宋体" w:cs="宋体"/>
          <w:color w:val="auto"/>
          <w:sz w:val="24"/>
          <w:highlight w:val="none"/>
        </w:rPr>
        <w:t>货物</w:t>
      </w:r>
      <w:r>
        <w:rPr>
          <w:rFonts w:hint="eastAsia" w:ascii="宋体" w:hAnsi="宋体" w:cs="宋体"/>
          <w:color w:val="auto"/>
          <w:sz w:val="24"/>
          <w:highlight w:val="none"/>
          <w:lang w:val="en-GB"/>
        </w:rPr>
        <w:t>、资料、技术、服务或其任何一部分时，享有不受限制的无偿使用权，如有第三方向招标人提出侵犯其专利权、商标权或其它知识产权的主张，该责任应由投标人承担。</w:t>
      </w:r>
    </w:p>
    <w:p w14:paraId="04FB4CB3">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2.投标报价应包含所有应向所有权人支付的专利权、商标权或其它知识产权的一切相关费用。</w:t>
      </w:r>
    </w:p>
    <w:p w14:paraId="7DB1316E">
      <w:pPr>
        <w:pStyle w:val="4"/>
        <w:keepLines w:val="0"/>
        <w:numPr>
          <w:ilvl w:val="1"/>
          <w:numId w:val="3"/>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纪律与保密事项</w:t>
      </w:r>
    </w:p>
    <w:p w14:paraId="50EA544F">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1.投标人不得相互串通投标报价，不得妨碍其他投标人的公平竞争，不得损害招标人或其他投标人的合法权益。投标人不得以向招标人、评标委员会成员行贿或者采取其他不正当手段谋取中标。</w:t>
      </w:r>
    </w:p>
    <w:p w14:paraId="1D924892">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2.在确定中标供应商之前，投标人不得与招标人就投标价格、投标方案等实质性内容进行谈判，也不得私下接触评标委员会成员。</w:t>
      </w:r>
    </w:p>
    <w:p w14:paraId="1A2933B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3.在确定中标供应商之前，投标人试图在投标文件审查、澄清、比较和评价时对评标委员会、招标人和招标人施加任何影响都可能导致其投标无效。</w:t>
      </w:r>
    </w:p>
    <w:p w14:paraId="4559593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4.获得本招标文件者，不得将招标文件用作本次投标以外的任何用途，若有要求，开标后，投标人应归还招标文件中的保密文件和资料。</w:t>
      </w:r>
    </w:p>
    <w:p w14:paraId="7A44443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14:paraId="6B05F76E">
      <w:pPr>
        <w:pStyle w:val="3"/>
        <w:spacing w:before="48" w:after="48" w:line="380" w:lineRule="exact"/>
        <w:rPr>
          <w:rFonts w:hint="eastAsia" w:ascii="宋体" w:hAnsi="宋体" w:eastAsia="宋体" w:cs="宋体"/>
          <w:color w:val="auto"/>
          <w:sz w:val="28"/>
          <w:szCs w:val="28"/>
          <w:highlight w:val="none"/>
        </w:rPr>
      </w:pPr>
    </w:p>
    <w:p w14:paraId="65758DBA">
      <w:pPr>
        <w:pStyle w:val="3"/>
        <w:spacing w:before="48" w:after="48"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二、招标文件</w:t>
      </w:r>
    </w:p>
    <w:p w14:paraId="69259BA5">
      <w:pPr>
        <w:pStyle w:val="4"/>
        <w:keepLines w:val="0"/>
        <w:numPr>
          <w:ilvl w:val="1"/>
          <w:numId w:val="4"/>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关于招标文件</w:t>
      </w:r>
    </w:p>
    <w:p w14:paraId="56FEAEE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招标文件是招标人作为阐明所需服务的基本要求，招标文件、投标文件、评标结果和相关承诺确认文件均作为任何一方当事人履约的重要依据。</w:t>
      </w:r>
    </w:p>
    <w:p w14:paraId="64617CDF">
      <w:pPr>
        <w:pStyle w:val="4"/>
        <w:keepLines w:val="0"/>
        <w:numPr>
          <w:ilvl w:val="1"/>
          <w:numId w:val="4"/>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招标文件的组成</w:t>
      </w:r>
    </w:p>
    <w:p w14:paraId="708AA827">
      <w:pPr>
        <w:numPr>
          <w:ilvl w:val="2"/>
          <w:numId w:val="4"/>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招标公告</w:t>
      </w:r>
    </w:p>
    <w:p w14:paraId="28EFFF1B">
      <w:pPr>
        <w:numPr>
          <w:ilvl w:val="2"/>
          <w:numId w:val="4"/>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投标人须知</w:t>
      </w:r>
    </w:p>
    <w:p w14:paraId="6BA9BE6A">
      <w:pPr>
        <w:numPr>
          <w:ilvl w:val="2"/>
          <w:numId w:val="4"/>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用户需求书</w:t>
      </w:r>
    </w:p>
    <w:p w14:paraId="326E881B">
      <w:pPr>
        <w:numPr>
          <w:ilvl w:val="2"/>
          <w:numId w:val="4"/>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附件（格式）</w:t>
      </w:r>
    </w:p>
    <w:p w14:paraId="2DD9D324">
      <w:pPr>
        <w:numPr>
          <w:ilvl w:val="2"/>
          <w:numId w:val="4"/>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评标细则</w:t>
      </w:r>
    </w:p>
    <w:p w14:paraId="46747464">
      <w:pPr>
        <w:numPr>
          <w:ilvl w:val="2"/>
          <w:numId w:val="4"/>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合同文本</w:t>
      </w:r>
    </w:p>
    <w:p w14:paraId="484FE79D">
      <w:pPr>
        <w:pStyle w:val="4"/>
        <w:keepLines w:val="0"/>
        <w:numPr>
          <w:ilvl w:val="1"/>
          <w:numId w:val="4"/>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招标文件的澄清和修改</w:t>
      </w:r>
    </w:p>
    <w:p w14:paraId="6DC1250C">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1、投标人对招标文件有疑问的，可向招标人依法提出询问，招标人在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个工作日内对投标人询问的内容作出答复。</w:t>
      </w:r>
    </w:p>
    <w:p w14:paraId="0DA4B2FD">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2、招标文件的修改内容是招标文件的组成部分。</w:t>
      </w:r>
    </w:p>
    <w:p w14:paraId="18866194">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3、为使投标人准备投标时有充分时间对招标文件的修改部分进行研究，招标人可顺延投标截止时间，变更时间信息将在</w:t>
      </w:r>
      <w:r>
        <w:rPr>
          <w:rFonts w:hint="eastAsia" w:ascii="宋体" w:hAnsi="宋体" w:cs="Times New Roman"/>
          <w:color w:val="auto"/>
          <w:sz w:val="24"/>
          <w:szCs w:val="24"/>
          <w:highlight w:val="none"/>
        </w:rPr>
        <w:t>广州国企阳光采购信息发布平台https://ygcg.gzggzy.cn/p92/index.html</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rPr>
        <w:t>广州南沙资产经营集团有限公司网站(http//www.gnao.com.cn)</w:t>
      </w:r>
      <w:r>
        <w:rPr>
          <w:rFonts w:hint="eastAsia" w:ascii="宋体" w:hAnsi="宋体" w:cs="宋体"/>
          <w:color w:val="auto"/>
          <w:sz w:val="24"/>
          <w:highlight w:val="none"/>
        </w:rPr>
        <w:t>上发布。</w:t>
      </w:r>
    </w:p>
    <w:p w14:paraId="065B1BF1">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4、投标人在规定的时间内未对招标文件提出澄清或疑问的，将视为对招标文件无异议。</w:t>
      </w:r>
    </w:p>
    <w:p w14:paraId="61092CBC">
      <w:pPr>
        <w:pStyle w:val="3"/>
        <w:spacing w:before="48" w:after="48" w:line="380" w:lineRule="exact"/>
        <w:rPr>
          <w:rFonts w:hint="eastAsia" w:ascii="宋体" w:hAnsi="宋体" w:eastAsia="宋体" w:cs="宋体"/>
          <w:color w:val="auto"/>
          <w:sz w:val="28"/>
          <w:szCs w:val="28"/>
          <w:highlight w:val="none"/>
        </w:rPr>
      </w:pPr>
      <w:bookmarkStart w:id="14" w:name="_Toc184442576"/>
      <w:r>
        <w:rPr>
          <w:rFonts w:hint="eastAsia" w:ascii="宋体" w:hAnsi="宋体" w:eastAsia="宋体" w:cs="宋体"/>
          <w:color w:val="auto"/>
          <w:sz w:val="28"/>
          <w:szCs w:val="28"/>
          <w:highlight w:val="none"/>
        </w:rPr>
        <w:t>三、投标总则</w:t>
      </w:r>
      <w:bookmarkEnd w:id="14"/>
    </w:p>
    <w:p w14:paraId="4376857A">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投标文件的编写</w:t>
      </w:r>
    </w:p>
    <w:p w14:paraId="1B9FAEDC">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投标人应仔细阅读招标文件的所有内容，并按招标文件的规定及附件要求的内容和格式，提交完整的投标文件，并保证所提供全部资料的真实性，所有不完整的投标将被拒绝。</w:t>
      </w:r>
    </w:p>
    <w:p w14:paraId="0704C1F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14:paraId="730F12EE">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14:paraId="29F3A193">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招标文件中，如标有“★”的地方均为必须完全满足指标，投标人须进行实质性响应，投标人若有一项带“★”的条款未响应或不满足，将按无效投标处理。</w:t>
      </w:r>
    </w:p>
    <w:p w14:paraId="6C50825B">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w:t>
      </w:r>
      <w:r>
        <w:rPr>
          <w:rFonts w:hint="eastAsia" w:ascii="宋体" w:hAnsi="宋体" w:cs="宋体"/>
          <w:color w:val="auto"/>
          <w:sz w:val="24"/>
          <w:highlight w:val="none"/>
        </w:rPr>
        <w:t>▲</w:t>
      </w:r>
      <w:r>
        <w:rPr>
          <w:rFonts w:hint="eastAsia" w:ascii="宋体" w:hAnsi="宋体" w:cs="宋体"/>
          <w:b/>
          <w:color w:val="auto"/>
          <w:sz w:val="24"/>
          <w:highlight w:val="none"/>
        </w:rPr>
        <w:t>”的地方均为重要参数和指标要求条款，投标人若有部分“</w:t>
      </w:r>
      <w:r>
        <w:rPr>
          <w:rFonts w:hint="eastAsia" w:ascii="宋体" w:hAnsi="宋体" w:cs="宋体"/>
          <w:color w:val="auto"/>
          <w:sz w:val="24"/>
          <w:highlight w:val="none"/>
        </w:rPr>
        <w:t>▲</w:t>
      </w:r>
      <w:r>
        <w:rPr>
          <w:rFonts w:hint="eastAsia" w:ascii="宋体" w:hAnsi="宋体" w:cs="宋体"/>
          <w:b/>
          <w:color w:val="auto"/>
          <w:sz w:val="24"/>
          <w:highlight w:val="none"/>
        </w:rPr>
        <w:t>”条款未响应或不满足，将导致其响应性评审严重扣分。</w:t>
      </w:r>
    </w:p>
    <w:p w14:paraId="051E4DEC">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★本项目最高限价为：</w:t>
      </w:r>
      <w:bookmarkStart w:id="15" w:name="_Toc361990148"/>
      <w:bookmarkStart w:id="16" w:name="_Toc119321130"/>
      <w:bookmarkStart w:id="17" w:name="_Toc367884850"/>
      <w:bookmarkStart w:id="18" w:name="_Toc397349838"/>
      <w:bookmarkStart w:id="19" w:name="_Toc157504573"/>
      <w:bookmarkStart w:id="20" w:name="_Toc361989945"/>
      <w:bookmarkStart w:id="21" w:name="_Toc397349687"/>
      <w:bookmarkStart w:id="22" w:name="_Toc136662919"/>
      <w:bookmarkStart w:id="23" w:name="_Toc136682895"/>
      <w:bookmarkStart w:id="24" w:name="_Toc367885865"/>
      <w:r>
        <w:rPr>
          <w:rFonts w:hint="eastAsia" w:ascii="宋体" w:hAnsi="宋体" w:cs="宋体"/>
          <w:b/>
          <w:color w:val="auto"/>
          <w:sz w:val="24"/>
          <w:highlight w:val="none"/>
          <w:lang w:val="en-US" w:eastAsia="zh-CN"/>
        </w:rPr>
        <w:t>人民币</w:t>
      </w:r>
      <w:r>
        <w:rPr>
          <w:rFonts w:hint="eastAsia" w:ascii="宋体" w:hAnsi="宋体" w:cs="宋体"/>
          <w:b/>
          <w:color w:val="auto"/>
          <w:sz w:val="24"/>
          <w:highlight w:val="none"/>
        </w:rPr>
        <w:t>43.75元/小时/人</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投标人报价超出最高限价视为非实质性响应投标而予以拒绝。</w:t>
      </w:r>
    </w:p>
    <w:bookmarkEnd w:id="15"/>
    <w:bookmarkEnd w:id="16"/>
    <w:bookmarkEnd w:id="17"/>
    <w:bookmarkEnd w:id="18"/>
    <w:bookmarkEnd w:id="19"/>
    <w:bookmarkEnd w:id="20"/>
    <w:bookmarkEnd w:id="21"/>
    <w:bookmarkEnd w:id="22"/>
    <w:bookmarkEnd w:id="23"/>
    <w:bookmarkEnd w:id="24"/>
    <w:p w14:paraId="09A42BC6">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14:paraId="4AA5AD8D">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14:paraId="60564EA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14:paraId="702AE88A">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投标文件按规定加盖的投标人公章必须为企业法人公章，且与投标人名称一致，不能以其它业务章或附属机构章代替。需签名之处必须由法定代表人或投标授权代表签署。</w:t>
      </w:r>
    </w:p>
    <w:p w14:paraId="5290AF8A">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投标文件的组成</w:t>
      </w:r>
    </w:p>
    <w:p w14:paraId="2D928647">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投标文件由资格文件、商务文件、技术文件、报价文件构成，按第四章的顺序和要求编制。</w:t>
      </w:r>
    </w:p>
    <w:p w14:paraId="2099E7EC">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w:t>
      </w:r>
    </w:p>
    <w:p w14:paraId="59149EA2">
      <w:pPr>
        <w:spacing w:line="38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全部投标文件应一式五份，正本1份（内装投标文件正本1份，投标文件电子文件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14:paraId="59C65C0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所有投标文件应在投标截止时间前送达投标文件递交地点（时间及地点以第一章投标邀请为准），拒绝以下情况之一的投标文件：</w:t>
      </w:r>
    </w:p>
    <w:p w14:paraId="1ADA76E4">
      <w:pPr>
        <w:numPr>
          <w:ilvl w:val="2"/>
          <w:numId w:val="5"/>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迟于投标截止时间递交的；</w:t>
      </w:r>
    </w:p>
    <w:p w14:paraId="13D36E0F">
      <w:pPr>
        <w:numPr>
          <w:ilvl w:val="2"/>
          <w:numId w:val="5"/>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以电报、电话、电传、传真或邮递形式递交的；</w:t>
      </w:r>
    </w:p>
    <w:p w14:paraId="3844EEB4">
      <w:pPr>
        <w:numPr>
          <w:ilvl w:val="2"/>
          <w:numId w:val="5"/>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密封不严、册装不整的；</w:t>
      </w:r>
    </w:p>
    <w:p w14:paraId="2FB30D5E">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所有投标文件必须封入密封的信封或包装，在封口上加盖投标人的公章，并在每一信封或包装的封面上写明：</w:t>
      </w:r>
    </w:p>
    <w:tbl>
      <w:tblPr>
        <w:tblStyle w:val="16"/>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14:paraId="70FA7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29C46772">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收件人名称：</w:t>
            </w:r>
          </w:p>
          <w:p w14:paraId="3E192922">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14:paraId="06FCA4B7">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包装内容：投标文件正本/副本</w:t>
            </w:r>
          </w:p>
          <w:p w14:paraId="594FB8C4">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p>
          <w:p w14:paraId="5A544ED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投标人地址：</w:t>
            </w:r>
          </w:p>
          <w:p w14:paraId="49A027B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p>
          <w:p w14:paraId="2DED0D3A">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p>
          <w:p w14:paraId="622DBA32">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在规定的开标时间    年   月   日   时  分前不得启封</w:t>
            </w:r>
          </w:p>
        </w:tc>
      </w:tr>
    </w:tbl>
    <w:p w14:paraId="2AD85B85">
      <w:pPr>
        <w:numPr>
          <w:ilvl w:val="2"/>
          <w:numId w:val="5"/>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招标人对不可抗力事件造成的投标文件的损坏、丢失不承担任何责任。</w:t>
      </w:r>
    </w:p>
    <w:p w14:paraId="316C953D">
      <w:pPr>
        <w:numPr>
          <w:ilvl w:val="2"/>
          <w:numId w:val="5"/>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招标人不退还投标人的投标文件及递交的其它资料。</w:t>
      </w:r>
    </w:p>
    <w:p w14:paraId="7A4DC146">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投标有效期</w:t>
      </w:r>
    </w:p>
    <w:p w14:paraId="173E1C74">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从投标截止日起，投标有效期为</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14:paraId="5B93F42E">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投标的修改和撤回</w:t>
      </w:r>
    </w:p>
    <w:p w14:paraId="71A2EFB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1、投标人在投标截止时间前，可采用书面通知的形式向招标人修改或撤回其投标文件。</w:t>
      </w:r>
    </w:p>
    <w:p w14:paraId="0A4EC1B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2、在投标截止时间后，投标人不得对其投标文件作任何修改及撤回。</w:t>
      </w:r>
    </w:p>
    <w:p w14:paraId="647A473B">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开标</w:t>
      </w:r>
    </w:p>
    <w:p w14:paraId="0C28647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开标过程由专人负责记录，并存档备验。</w:t>
      </w:r>
    </w:p>
    <w:p w14:paraId="498F3D2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1、开标会由招标人主持，邀请投标人参加，投标人按招标文件中规定的日期、时间和地点自行前往参加开标。</w:t>
      </w:r>
    </w:p>
    <w:p w14:paraId="7013231F">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14:paraId="228F8A6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3、开标过程应当由招标人负责记录，由参加开标的各投标人代表和相关工作人员签字确认后随招标文件一并存档。</w:t>
      </w:r>
    </w:p>
    <w:p w14:paraId="038F3084">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4、投标人代表对开标过程和开标记录有疑义，以及认为招标人相关工作人员有需要回避的情形的，应当场提出询问或者回避申请。招标人对投标人代表提出的询问或者回避申请应当及时处理。</w:t>
      </w:r>
    </w:p>
    <w:p w14:paraId="3D0056C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5、在招标文件要求提交投标文件截止时间前收到的所有投标文件不足三家时，不予以拆封、宣读，作流标处理。</w:t>
      </w:r>
    </w:p>
    <w:p w14:paraId="20532A9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、投标文件送交评标委员会评审。投标文件报价出现前后不一致的，除招标文件另有规定外，按照下列规定修正：</w:t>
      </w:r>
    </w:p>
    <w:p w14:paraId="34FADA5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0E68D47">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7216F3C">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（3）单价金额小数点或者百分比有明显错位的，以开标一览表（报价表）的总价为准，并修改单价；</w:t>
      </w:r>
    </w:p>
    <w:p w14:paraId="13C18187">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71DCBF58">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14:paraId="6A4C61E4">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highlight w:val="none"/>
        </w:rPr>
      </w:pPr>
      <w:r>
        <w:rPr>
          <w:rFonts w:hint="eastAsia" w:cs="宋体"/>
          <w:color w:val="auto"/>
          <w:sz w:val="24"/>
          <w:highlight w:val="none"/>
        </w:rPr>
        <w:t>评标</w:t>
      </w:r>
    </w:p>
    <w:p w14:paraId="1ABC73AE">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评标工作由招标人负责组织，具体评标事务由依法组建的评标委员会负责，并独立履行下列职责：</w:t>
      </w:r>
    </w:p>
    <w:p w14:paraId="5E3D4061">
      <w:pPr>
        <w:numPr>
          <w:ilvl w:val="0"/>
          <w:numId w:val="6"/>
        </w:numPr>
        <w:tabs>
          <w:tab w:val="left" w:pos="1134"/>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审查投标文件是否符合招标文件要求，并作出评价；</w:t>
      </w:r>
    </w:p>
    <w:p w14:paraId="1B646761">
      <w:pPr>
        <w:numPr>
          <w:ilvl w:val="0"/>
          <w:numId w:val="6"/>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要求投标人对投标文件有关事项作出解释或者澄清；</w:t>
      </w:r>
    </w:p>
    <w:p w14:paraId="3B1AD7DF">
      <w:pPr>
        <w:numPr>
          <w:ilvl w:val="0"/>
          <w:numId w:val="6"/>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推荐中标候选人名单；</w:t>
      </w:r>
    </w:p>
    <w:p w14:paraId="0B320BE7">
      <w:pPr>
        <w:numPr>
          <w:ilvl w:val="0"/>
          <w:numId w:val="6"/>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向招标人或者有关部门报告非法干预评标工作的行为。</w:t>
      </w:r>
    </w:p>
    <w:p w14:paraId="77383844">
      <w:pPr>
        <w:numPr>
          <w:ilvl w:val="2"/>
          <w:numId w:val="5"/>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评标方法</w:t>
      </w:r>
    </w:p>
    <w:p w14:paraId="2043053F">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本项目采用综合评审法：在最大限度地满足招标文件实质性要求前提下，按照招标文件中规定的各项因素进行综合评审后，以评标总得分最高的投标人作为中标候选人。</w:t>
      </w:r>
    </w:p>
    <w:p w14:paraId="404CE6C4">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综合评审的主要因素是：价格、技术、信誉、业绩、服务、对招标文件的响应程度，以及相应的比重或者权值等（详见评标细则）。</w:t>
      </w:r>
    </w:p>
    <w:p w14:paraId="2934F127">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评标时，评标委员会各成员应当独立对每个有效投标人的标书进行评价、打分，然后汇总每个投标人每项评分因素的得分。</w:t>
      </w:r>
    </w:p>
    <w:p w14:paraId="2999F7D1">
      <w:pPr>
        <w:numPr>
          <w:ilvl w:val="2"/>
          <w:numId w:val="5"/>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评标过程的保密性</w:t>
      </w:r>
    </w:p>
    <w:p w14:paraId="553185B3">
      <w:pPr>
        <w:numPr>
          <w:ilvl w:val="0"/>
          <w:numId w:val="7"/>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公开开标后，直至向中标人授予合同时止，凡与审查、澄清、评价和比较投标有关的资料以及授标意见等，均不得向投标人及与评标无关的其他人透露。</w:t>
      </w:r>
    </w:p>
    <w:p w14:paraId="43C1605B">
      <w:pPr>
        <w:numPr>
          <w:ilvl w:val="0"/>
          <w:numId w:val="7"/>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在评标过程中，如果投标人试图在投标文件审查、澄清、比较及授予合同方面向采购人、评标委员会施加任何影响，其投标将被拒绝。</w:t>
      </w:r>
    </w:p>
    <w:p w14:paraId="5E63F663">
      <w:pPr>
        <w:numPr>
          <w:ilvl w:val="2"/>
          <w:numId w:val="5"/>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评标工作程序</w:t>
      </w:r>
    </w:p>
    <w:p w14:paraId="67A41A0A">
      <w:pPr>
        <w:numPr>
          <w:ilvl w:val="0"/>
          <w:numId w:val="8"/>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投标文件初审。</w:t>
      </w:r>
    </w:p>
    <w:p w14:paraId="4E21242E">
      <w:pPr>
        <w:tabs>
          <w:tab w:val="left" w:pos="560"/>
        </w:tabs>
        <w:spacing w:line="380" w:lineRule="exact"/>
        <w:ind w:left="420" w:leftChars="200" w:firstLine="556" w:firstLineChars="232"/>
        <w:rPr>
          <w:rFonts w:hint="eastAsia" w:ascii="宋体" w:hAnsi="宋体" w:cs="宋体"/>
          <w:color w:val="auto"/>
          <w:sz w:val="24"/>
          <w:highlight w:val="none"/>
        </w:rPr>
      </w:pPr>
      <w:r>
        <w:rPr>
          <w:rFonts w:hint="eastAsia" w:ascii="宋体" w:hAnsi="宋体" w:cs="宋体"/>
          <w:color w:val="auto"/>
          <w:sz w:val="24"/>
          <w:highlight w:val="none"/>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14:paraId="11EC4E48">
      <w:pPr>
        <w:spacing w:line="380" w:lineRule="exact"/>
        <w:ind w:left="840" w:leftChars="400"/>
        <w:rPr>
          <w:rFonts w:hint="eastAsia" w:ascii="宋体" w:hAnsi="宋体" w:cs="宋体"/>
          <w:color w:val="auto"/>
          <w:sz w:val="24"/>
          <w:highlight w:val="none"/>
        </w:rPr>
      </w:pPr>
      <w:r>
        <w:rPr>
          <w:rFonts w:hint="eastAsia" w:ascii="宋体" w:hAnsi="宋体" w:cs="宋体"/>
          <w:color w:val="auto"/>
          <w:sz w:val="24"/>
          <w:highlight w:val="none"/>
        </w:rPr>
        <w:t>投标文件应符合下列情况，否则在符合性检查时可按无效投标处理：</w:t>
      </w:r>
    </w:p>
    <w:p w14:paraId="6A2EEE15">
      <w:pPr>
        <w:numPr>
          <w:ilvl w:val="0"/>
          <w:numId w:val="9"/>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投标报价确定且不高于最高限价；</w:t>
      </w:r>
    </w:p>
    <w:p w14:paraId="79D50C6C">
      <w:pPr>
        <w:numPr>
          <w:ilvl w:val="0"/>
          <w:numId w:val="9"/>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按招标文件规定，有投标人盖章及其法定代表人（或法定代表人委托的投标授权代表）的签字或签章；</w:t>
      </w:r>
    </w:p>
    <w:p w14:paraId="77671A20">
      <w:pPr>
        <w:numPr>
          <w:ilvl w:val="0"/>
          <w:numId w:val="9"/>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投标文件完全满足招标文件中带“★”号的条款和指标，符合招标文件的其他要求，没有重大偏离；</w:t>
      </w:r>
    </w:p>
    <w:p w14:paraId="66912322">
      <w:pPr>
        <w:numPr>
          <w:ilvl w:val="0"/>
          <w:numId w:val="9"/>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符合法律、法规和招标文件中规定的其他实质性要求：</w:t>
      </w:r>
    </w:p>
    <w:p w14:paraId="3FC0AE3B">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在参与项目所在地市的各级或以上招投标活动中未被列入不良行为记录名单并正处于处罚期内；</w:t>
      </w:r>
    </w:p>
    <w:p w14:paraId="3F4CB6B7">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投标文件未出现制作严重不符合要求，按要求提供重要的样板、物证或资料；</w:t>
      </w:r>
    </w:p>
    <w:p w14:paraId="537DC1F2">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未故意提供虚假材料谋取中标；</w:t>
      </w:r>
    </w:p>
    <w:p w14:paraId="4B071204">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未采取不正当手段诋毁、排斥其他投标人；</w:t>
      </w:r>
    </w:p>
    <w:p w14:paraId="058EAE19">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未在评标、定标过程中对采购人、评标委员会及其工作人员施加影响，有碍招标公平、公正；</w:t>
      </w:r>
    </w:p>
    <w:p w14:paraId="28214D13">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符合专业条件，对技术、商务要求能有效地作实质性响应，未出现重大偏离或保留；</w:t>
      </w:r>
    </w:p>
    <w:p w14:paraId="536BEC70">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评审期间按评委会要求提交经授权代表签字的澄清、说明、补正或调整补充部分未改变投标文件的实质性内容及修正报价未超出允许规定范围；</w:t>
      </w:r>
    </w:p>
    <w:p w14:paraId="437921AE">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 xml:space="preserve">未拒绝、对抗评委会所作的决定或合理要求； </w:t>
      </w:r>
    </w:p>
    <w:p w14:paraId="7EAD6B66">
      <w:pPr>
        <w:numPr>
          <w:ilvl w:val="0"/>
          <w:numId w:val="10"/>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未出现按有关法律、法规、规章规定属于中标无效的及符合采购文件中载明会导致无效投标的其它规定和要求。</w:t>
      </w:r>
    </w:p>
    <w:p w14:paraId="34DB3BDA">
      <w:pPr>
        <w:numPr>
          <w:ilvl w:val="0"/>
          <w:numId w:val="8"/>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14:paraId="7B4A2EB3">
      <w:pPr>
        <w:numPr>
          <w:ilvl w:val="0"/>
          <w:numId w:val="8"/>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比较与评价。按照招标文件中规定的评标方法和标准，对符合性检查合格的投标文件进行商务和技术评估，综合比较与评价。综合评审法评分权重详见评标细则。</w:t>
      </w:r>
    </w:p>
    <w:p w14:paraId="3B1C28CB">
      <w:pPr>
        <w:numPr>
          <w:ilvl w:val="0"/>
          <w:numId w:val="8"/>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14:paraId="2CD551A6">
      <w:pPr>
        <w:numPr>
          <w:ilvl w:val="0"/>
          <w:numId w:val="8"/>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编写评审报告。</w:t>
      </w:r>
    </w:p>
    <w:p w14:paraId="39976127">
      <w:pPr>
        <w:numPr>
          <w:ilvl w:val="2"/>
          <w:numId w:val="5"/>
        </w:numPr>
        <w:tabs>
          <w:tab w:val="left" w:pos="-3600"/>
          <w:tab w:val="left" w:pos="720"/>
          <w:tab w:val="left" w:pos="780"/>
        </w:tabs>
        <w:spacing w:line="380" w:lineRule="exact"/>
        <w:ind w:left="1080" w:hanging="800"/>
        <w:rPr>
          <w:rFonts w:hint="eastAsia" w:ascii="宋体" w:hAnsi="宋体" w:cs="宋体"/>
          <w:color w:val="auto"/>
          <w:sz w:val="24"/>
          <w:highlight w:val="none"/>
        </w:rPr>
      </w:pPr>
      <w:r>
        <w:rPr>
          <w:rFonts w:hint="eastAsia" w:ascii="宋体" w:hAnsi="宋体" w:cs="宋体"/>
          <w:color w:val="auto"/>
          <w:sz w:val="24"/>
          <w:highlight w:val="none"/>
        </w:rPr>
        <w:t>废标的认定</w:t>
      </w:r>
    </w:p>
    <w:p w14:paraId="64AE5A6B">
      <w:pPr>
        <w:numPr>
          <w:ilvl w:val="0"/>
          <w:numId w:val="11"/>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符合专业条件的承包商或者对招标文件作实质响应的承包商不足三家的；</w:t>
      </w:r>
    </w:p>
    <w:p w14:paraId="35B23B39">
      <w:pPr>
        <w:numPr>
          <w:ilvl w:val="0"/>
          <w:numId w:val="11"/>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14:paraId="732D211A">
      <w:pPr>
        <w:numPr>
          <w:ilvl w:val="0"/>
          <w:numId w:val="11"/>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投标人的报价均超过了最高限额的；</w:t>
      </w:r>
    </w:p>
    <w:p w14:paraId="77432F8D">
      <w:pPr>
        <w:numPr>
          <w:ilvl w:val="0"/>
          <w:numId w:val="11"/>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14:paraId="789F4DAF">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定标</w:t>
      </w:r>
    </w:p>
    <w:p w14:paraId="34B0701A">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招标人确认评标委员会推荐的评标结果后，由招标人对中标候选人的资格和履约能力进行再次审查，凡发现中标候选人有下列情形之一的，将移交招投标监督管理部门依法处理：</w:t>
      </w:r>
    </w:p>
    <w:p w14:paraId="78EFEB9D">
      <w:pPr>
        <w:numPr>
          <w:ilvl w:val="2"/>
          <w:numId w:val="5"/>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提供虚假材料谋取中标的；</w:t>
      </w:r>
    </w:p>
    <w:p w14:paraId="6DDA0910">
      <w:pPr>
        <w:numPr>
          <w:ilvl w:val="2"/>
          <w:numId w:val="5"/>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采取不正当手段诋毁、排挤其他投标人的；</w:t>
      </w:r>
    </w:p>
    <w:p w14:paraId="31C6E304">
      <w:pPr>
        <w:numPr>
          <w:ilvl w:val="2"/>
          <w:numId w:val="5"/>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与招标人、其他投标人恶意串通的；</w:t>
      </w:r>
    </w:p>
    <w:p w14:paraId="3B042A9A">
      <w:pPr>
        <w:numPr>
          <w:ilvl w:val="2"/>
          <w:numId w:val="5"/>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向招标人行贿或者提供其他不正当利益的；</w:t>
      </w:r>
    </w:p>
    <w:p w14:paraId="1A82FB91">
      <w:pPr>
        <w:numPr>
          <w:ilvl w:val="2"/>
          <w:numId w:val="5"/>
        </w:numPr>
        <w:tabs>
          <w:tab w:val="left" w:pos="-3600"/>
          <w:tab w:val="left" w:pos="720"/>
          <w:tab w:val="left" w:pos="780"/>
        </w:tabs>
        <w:spacing w:line="380" w:lineRule="exact"/>
        <w:ind w:left="851" w:leftChars="200" w:hanging="431"/>
        <w:rPr>
          <w:rFonts w:hint="eastAsia" w:ascii="宋体" w:hAnsi="宋体" w:cs="宋体"/>
          <w:color w:val="auto"/>
          <w:sz w:val="24"/>
          <w:highlight w:val="none"/>
        </w:rPr>
      </w:pPr>
      <w:r>
        <w:rPr>
          <w:rFonts w:hint="eastAsia" w:ascii="宋体" w:hAnsi="宋体" w:cs="宋体"/>
          <w:color w:val="auto"/>
          <w:sz w:val="24"/>
          <w:highlight w:val="none"/>
        </w:rPr>
        <w:t>在招标过程中与</w:t>
      </w:r>
      <w:r>
        <w:rPr>
          <w:rFonts w:hint="eastAsia" w:ascii="宋体" w:hAnsi="宋体" w:cs="宋体"/>
          <w:color w:val="auto"/>
          <w:sz w:val="24"/>
          <w:highlight w:val="none"/>
          <w:lang w:eastAsia="zh-CN"/>
        </w:rPr>
        <w:t>招标</w:t>
      </w:r>
      <w:r>
        <w:rPr>
          <w:rFonts w:hint="eastAsia" w:ascii="宋体" w:hAnsi="宋体" w:cs="宋体"/>
          <w:color w:val="auto"/>
          <w:sz w:val="24"/>
          <w:highlight w:val="none"/>
        </w:rPr>
        <w:t>人进行协商谈判、不按照招标文件和中标人的投标文件订立合同，或者与招标人另行订立背离合同实质性内容的协议的；</w:t>
      </w:r>
    </w:p>
    <w:p w14:paraId="6A7BD233">
      <w:pPr>
        <w:numPr>
          <w:ilvl w:val="2"/>
          <w:numId w:val="5"/>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拒绝有关部门监督检查或者提供虚假情况的。</w:t>
      </w:r>
    </w:p>
    <w:p w14:paraId="5C18759F">
      <w:pPr>
        <w:numPr>
          <w:ilvl w:val="2"/>
          <w:numId w:val="5"/>
        </w:numPr>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投标人有前款1至6项情形之一的，中标无效。</w:t>
      </w:r>
    </w:p>
    <w:p w14:paraId="1A00AEA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TW"/>
        </w:rPr>
        <w:t>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确定后</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将在广州国企阳光采购信息发布平台(https://ygcg.gzggzy.cn/p92/index.html)和广州南沙资产经营集团有限公司网站(http//www.gnao.com.cn)</w:t>
      </w:r>
      <w:r>
        <w:rPr>
          <w:rFonts w:hint="eastAsia" w:ascii="宋体" w:hAnsi="宋体" w:cs="宋体"/>
          <w:color w:val="auto"/>
          <w:sz w:val="24"/>
          <w:highlight w:val="none"/>
        </w:rPr>
        <w:t>上发布</w:t>
      </w:r>
      <w:r>
        <w:rPr>
          <w:rFonts w:hint="eastAsia" w:ascii="宋体" w:hAnsi="宋体" w:cs="宋体"/>
          <w:color w:val="auto"/>
          <w:sz w:val="24"/>
          <w:highlight w:val="none"/>
          <w:lang w:eastAsia="zh-TW"/>
        </w:rPr>
        <w:t>中标</w:t>
      </w:r>
      <w:r>
        <w:rPr>
          <w:rFonts w:hint="eastAsia" w:ascii="宋体" w:hAnsi="宋体" w:cs="宋体"/>
          <w:color w:val="auto"/>
          <w:sz w:val="24"/>
          <w:highlight w:val="none"/>
        </w:rPr>
        <w:t>结果公告，公告期满后</w:t>
      </w:r>
      <w:r>
        <w:rPr>
          <w:rFonts w:hint="eastAsia" w:ascii="宋体" w:hAnsi="宋体" w:cs="宋体"/>
          <w:color w:val="auto"/>
          <w:sz w:val="24"/>
          <w:highlight w:val="none"/>
          <w:lang w:eastAsia="zh-TW"/>
        </w:rPr>
        <w:t>向中标</w:t>
      </w:r>
      <w:r>
        <w:rPr>
          <w:rFonts w:hint="eastAsia" w:ascii="宋体" w:hAnsi="宋体" w:cs="宋体"/>
          <w:color w:val="auto"/>
          <w:sz w:val="24"/>
          <w:highlight w:val="none"/>
        </w:rPr>
        <w:t>人</w:t>
      </w:r>
      <w:r>
        <w:rPr>
          <w:rFonts w:hint="eastAsia" w:ascii="宋体" w:hAnsi="宋体" w:cs="宋体"/>
          <w:color w:val="auto"/>
          <w:sz w:val="24"/>
          <w:highlight w:val="none"/>
          <w:lang w:eastAsia="zh-TW"/>
        </w:rPr>
        <w:t>发出《中标通知书》</w:t>
      </w:r>
      <w:r>
        <w:rPr>
          <w:rFonts w:hint="eastAsia" w:ascii="宋体" w:hAnsi="宋体" w:cs="宋体"/>
          <w:color w:val="auto"/>
          <w:sz w:val="24"/>
          <w:highlight w:val="none"/>
        </w:rPr>
        <w:t>，</w:t>
      </w:r>
      <w:r>
        <w:rPr>
          <w:rFonts w:hint="eastAsia" w:ascii="宋体" w:hAnsi="宋体" w:cs="宋体"/>
          <w:color w:val="auto"/>
          <w:sz w:val="24"/>
          <w:highlight w:val="none"/>
          <w:lang w:eastAsia="zh-TW"/>
        </w:rPr>
        <w:t>《中标通知书》对中标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和</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具有同等法律效力。</w:t>
      </w:r>
      <w:r>
        <w:rPr>
          <w:rFonts w:hint="eastAsia" w:ascii="宋体" w:hAnsi="宋体" w:cs="宋体"/>
          <w:color w:val="auto"/>
          <w:sz w:val="24"/>
          <w:highlight w:val="none"/>
        </w:rPr>
        <w:t>中标人放弃中标的，应当依法承担法律责任。</w:t>
      </w:r>
    </w:p>
    <w:p w14:paraId="503BE64F">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bookmarkStart w:id="25" w:name="_Toc184442577"/>
      <w:r>
        <w:rPr>
          <w:rFonts w:hint="eastAsia" w:cs="宋体"/>
          <w:color w:val="auto"/>
          <w:sz w:val="24"/>
          <w:highlight w:val="none"/>
        </w:rPr>
        <w:t>签约</w:t>
      </w:r>
      <w:bookmarkEnd w:id="25"/>
    </w:p>
    <w:p w14:paraId="6BCF60B4">
      <w:pPr>
        <w:keepNext w:val="0"/>
        <w:keepLines w:val="0"/>
        <w:widowControl/>
        <w:numPr>
          <w:ilvl w:val="-1"/>
          <w:numId w:val="0"/>
        </w:numPr>
        <w:autoSpaceDE w:val="0"/>
        <w:autoSpaceDN w:val="0"/>
        <w:adjustRightInd w:val="0"/>
        <w:snapToGrid w:val="0"/>
        <w:spacing w:before="0" w:after="0" w:line="380" w:lineRule="exact"/>
        <w:ind w:left="11" w:right="32" w:firstLine="549" w:firstLine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采购人应当自《中标通知书》发出之日起</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日内，按照招标文件和中标供应商投标文件的约定，与中标供应商签订合同。所签订的合同不得对招标文件和中标供应商投标文件作实质性修改。</w:t>
      </w:r>
    </w:p>
    <w:p w14:paraId="77F806F2">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投标费用说明</w:t>
      </w:r>
    </w:p>
    <w:p w14:paraId="10A1E2AD">
      <w:pPr>
        <w:autoSpaceDE w:val="0"/>
        <w:autoSpaceDN w:val="0"/>
        <w:adjustRightInd w:val="0"/>
        <w:snapToGrid w:val="0"/>
        <w:spacing w:line="380" w:lineRule="exact"/>
        <w:ind w:left="11" w:right="32" w:firstLine="549"/>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投标供应商应承担所有与准备和参加投标有关的费用。不论投标的结果如何，招标人均无义务和责任承担。</w:t>
      </w:r>
    </w:p>
    <w:p w14:paraId="0F53BA5F">
      <w:pPr>
        <w:pStyle w:val="21"/>
        <w:spacing w:line="360" w:lineRule="auto"/>
        <w:ind w:firstLine="480" w:firstLineChars="200"/>
        <w:jc w:val="right"/>
        <w:rPr>
          <w:rFonts w:hint="eastAsia" w:ascii="宋体" w:hAnsi="宋体" w:eastAsia="宋体" w:cs="宋体"/>
          <w:color w:val="auto"/>
          <w:highlight w:val="none"/>
        </w:rPr>
      </w:pPr>
    </w:p>
    <w:p w14:paraId="70A19E14">
      <w:pPr>
        <w:pStyle w:val="21"/>
        <w:spacing w:line="360" w:lineRule="auto"/>
        <w:ind w:firstLine="480" w:firstLineChars="200"/>
        <w:jc w:val="right"/>
        <w:rPr>
          <w:rFonts w:hint="eastAsia" w:ascii="宋体" w:hAnsi="宋体" w:eastAsia="宋体" w:cs="宋体"/>
          <w:color w:val="auto"/>
          <w:highlight w:val="none"/>
        </w:rPr>
      </w:pPr>
    </w:p>
    <w:p w14:paraId="39661288">
      <w:pPr>
        <w:pStyle w:val="21"/>
        <w:spacing w:line="360" w:lineRule="auto"/>
        <w:ind w:firstLine="480" w:firstLineChars="200"/>
        <w:jc w:val="right"/>
        <w:rPr>
          <w:rFonts w:hint="eastAsia" w:ascii="宋体" w:hAnsi="宋体" w:eastAsia="宋体" w:cs="宋体"/>
          <w:color w:val="auto"/>
          <w:highlight w:val="none"/>
        </w:rPr>
      </w:pPr>
    </w:p>
    <w:p w14:paraId="6340A029">
      <w:pPr>
        <w:pStyle w:val="21"/>
        <w:spacing w:line="360" w:lineRule="auto"/>
        <w:ind w:firstLine="480" w:firstLineChars="200"/>
        <w:jc w:val="right"/>
        <w:rPr>
          <w:rFonts w:hint="eastAsia" w:ascii="宋体" w:hAnsi="宋体" w:eastAsia="宋体" w:cs="宋体"/>
          <w:color w:val="auto"/>
          <w:highlight w:val="none"/>
        </w:rPr>
      </w:pPr>
    </w:p>
    <w:p w14:paraId="5DA950C6">
      <w:pPr>
        <w:pStyle w:val="21"/>
        <w:spacing w:line="360" w:lineRule="auto"/>
        <w:ind w:firstLine="480" w:firstLineChars="200"/>
        <w:jc w:val="right"/>
        <w:rPr>
          <w:rFonts w:hint="eastAsia" w:ascii="宋体" w:hAnsi="宋体" w:eastAsia="宋体" w:cs="宋体"/>
          <w:color w:val="auto"/>
          <w:highlight w:val="none"/>
        </w:rPr>
      </w:pPr>
    </w:p>
    <w:p w14:paraId="5AD8F887">
      <w:pPr>
        <w:pStyle w:val="21"/>
        <w:spacing w:line="360" w:lineRule="auto"/>
        <w:ind w:firstLine="480" w:firstLineChars="200"/>
        <w:jc w:val="right"/>
        <w:rPr>
          <w:rFonts w:hint="eastAsia" w:ascii="宋体" w:hAnsi="宋体" w:eastAsia="宋体" w:cs="宋体"/>
          <w:color w:val="auto"/>
          <w:highlight w:val="none"/>
        </w:rPr>
      </w:pPr>
    </w:p>
    <w:p w14:paraId="0871B05A">
      <w:pPr>
        <w:pStyle w:val="21"/>
        <w:spacing w:line="360" w:lineRule="auto"/>
        <w:ind w:firstLine="480" w:firstLineChars="200"/>
        <w:jc w:val="right"/>
        <w:rPr>
          <w:rFonts w:hint="eastAsia" w:ascii="宋体" w:hAnsi="宋体" w:eastAsia="宋体" w:cs="宋体"/>
          <w:color w:val="auto"/>
          <w:highlight w:val="none"/>
        </w:rPr>
      </w:pPr>
    </w:p>
    <w:p w14:paraId="5FC7420A">
      <w:pPr>
        <w:pStyle w:val="21"/>
        <w:spacing w:line="360" w:lineRule="auto"/>
        <w:ind w:firstLine="480" w:firstLineChars="200"/>
        <w:jc w:val="right"/>
        <w:rPr>
          <w:rFonts w:hint="eastAsia" w:ascii="宋体" w:hAnsi="宋体" w:eastAsia="宋体" w:cs="宋体"/>
          <w:color w:val="auto"/>
          <w:highlight w:val="none"/>
        </w:rPr>
      </w:pPr>
    </w:p>
    <w:p w14:paraId="5D193AC0">
      <w:pPr>
        <w:pStyle w:val="21"/>
        <w:spacing w:line="360" w:lineRule="auto"/>
        <w:ind w:firstLine="480" w:firstLineChars="200"/>
        <w:jc w:val="right"/>
        <w:rPr>
          <w:rFonts w:hint="eastAsia" w:ascii="宋体" w:hAnsi="宋体" w:eastAsia="宋体" w:cs="宋体"/>
          <w:color w:val="auto"/>
          <w:highlight w:val="none"/>
        </w:rPr>
      </w:pPr>
    </w:p>
    <w:p w14:paraId="368ED30B">
      <w:pPr>
        <w:pStyle w:val="21"/>
        <w:spacing w:line="360" w:lineRule="auto"/>
        <w:ind w:firstLine="480" w:firstLineChars="200"/>
        <w:jc w:val="right"/>
        <w:rPr>
          <w:rFonts w:hint="eastAsia" w:ascii="宋体" w:hAnsi="宋体" w:eastAsia="宋体" w:cs="宋体"/>
          <w:color w:val="auto"/>
          <w:highlight w:val="none"/>
        </w:rPr>
      </w:pPr>
    </w:p>
    <w:p w14:paraId="15C29DDA">
      <w:pPr>
        <w:pStyle w:val="21"/>
        <w:spacing w:line="360" w:lineRule="auto"/>
        <w:ind w:firstLine="480" w:firstLineChars="200"/>
        <w:jc w:val="right"/>
        <w:rPr>
          <w:rFonts w:hint="eastAsia" w:ascii="宋体" w:hAnsi="宋体" w:eastAsia="宋体" w:cs="宋体"/>
          <w:color w:val="auto"/>
          <w:highlight w:val="none"/>
        </w:rPr>
      </w:pPr>
    </w:p>
    <w:p w14:paraId="247F8F0D">
      <w:pPr>
        <w:pStyle w:val="21"/>
        <w:spacing w:line="360" w:lineRule="auto"/>
        <w:ind w:firstLine="480" w:firstLineChars="200"/>
        <w:jc w:val="right"/>
        <w:rPr>
          <w:rFonts w:hint="eastAsia" w:ascii="宋体" w:hAnsi="宋体" w:eastAsia="宋体" w:cs="宋体"/>
          <w:color w:val="auto"/>
          <w:highlight w:val="none"/>
        </w:rPr>
      </w:pPr>
    </w:p>
    <w:p w14:paraId="1A0EAFC3">
      <w:pPr>
        <w:pStyle w:val="21"/>
        <w:spacing w:line="360" w:lineRule="auto"/>
        <w:ind w:firstLine="480" w:firstLineChars="200"/>
        <w:jc w:val="right"/>
        <w:rPr>
          <w:rFonts w:hint="eastAsia" w:ascii="宋体" w:hAnsi="宋体" w:eastAsia="宋体" w:cs="宋体"/>
          <w:color w:val="auto"/>
          <w:highlight w:val="none"/>
        </w:rPr>
      </w:pPr>
    </w:p>
    <w:p w14:paraId="37E1F7AE">
      <w:pPr>
        <w:pStyle w:val="21"/>
        <w:spacing w:line="360" w:lineRule="auto"/>
        <w:ind w:firstLine="480" w:firstLineChars="200"/>
        <w:jc w:val="right"/>
        <w:rPr>
          <w:rFonts w:hint="eastAsia" w:ascii="宋体" w:hAnsi="宋体" w:eastAsia="宋体" w:cs="宋体"/>
          <w:color w:val="auto"/>
          <w:highlight w:val="none"/>
        </w:rPr>
      </w:pPr>
    </w:p>
    <w:p w14:paraId="4C470446">
      <w:pPr>
        <w:pStyle w:val="21"/>
        <w:spacing w:line="360" w:lineRule="auto"/>
        <w:ind w:firstLine="480" w:firstLineChars="200"/>
        <w:jc w:val="right"/>
        <w:rPr>
          <w:rFonts w:hint="eastAsia" w:ascii="宋体" w:hAnsi="宋体" w:eastAsia="宋体" w:cs="宋体"/>
          <w:color w:val="auto"/>
          <w:highlight w:val="none"/>
        </w:rPr>
      </w:pPr>
    </w:p>
    <w:p w14:paraId="0EDDB2AC">
      <w:pPr>
        <w:jc w:val="left"/>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p>
    <w:p w14:paraId="4FF1B0AC">
      <w:pPr>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rPr>
        <w:t>第</w:t>
      </w:r>
      <w:r>
        <w:rPr>
          <w:rFonts w:hint="eastAsia" w:ascii="宋体" w:hAnsi="宋体" w:cs="宋体"/>
          <w:b/>
          <w:bCs/>
          <w:color w:val="auto"/>
          <w:sz w:val="44"/>
          <w:szCs w:val="44"/>
          <w:highlight w:val="none"/>
          <w:lang w:val="en-US" w:eastAsia="zh-CN"/>
        </w:rPr>
        <w:t>二</w:t>
      </w:r>
      <w:r>
        <w:rPr>
          <w:rFonts w:hint="eastAsia" w:ascii="宋体" w:hAnsi="宋体" w:cs="宋体"/>
          <w:b/>
          <w:bCs/>
          <w:color w:val="auto"/>
          <w:sz w:val="44"/>
          <w:szCs w:val="44"/>
          <w:highlight w:val="none"/>
        </w:rPr>
        <w:t>章 用户需求书</w:t>
      </w:r>
    </w:p>
    <w:p w14:paraId="296E17FA">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p>
    <w:p w14:paraId="65973BBB">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投标人须对本项目为单位的服务进行整体响应，任何只对其中一部分内容进行的响应都被视为无效响应。</w:t>
      </w:r>
    </w:p>
    <w:p w14:paraId="2F6BD23C">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用户需求书中打“★ ”号条款为实质性条款，投标人如有任何一条负偏离则导致投标无效。</w:t>
      </w:r>
    </w:p>
    <w:p w14:paraId="1527982B">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用户需求书中打“▲ ”号条款为重要技术参数，不作为无效投标条款。</w:t>
      </w:r>
    </w:p>
    <w:p w14:paraId="25BAFDBD">
      <w:pPr>
        <w:spacing w:before="181" w:line="219" w:lineRule="auto"/>
        <w:ind w:left="492"/>
        <w:outlineLvl w:val="1"/>
        <w:rPr>
          <w:rFonts w:hint="eastAsia" w:ascii="宋体" w:hAnsi="宋体" w:eastAsia="宋体" w:cs="宋体"/>
          <w:b/>
          <w:color w:val="auto"/>
          <w:kern w:val="2"/>
          <w:sz w:val="24"/>
          <w:szCs w:val="22"/>
          <w:highlight w:val="none"/>
          <w:lang w:val="en-US" w:eastAsia="zh-CN" w:bidi="ar-SA"/>
        </w:rPr>
      </w:pPr>
      <w:bookmarkStart w:id="26" w:name="_Toc18058"/>
      <w:r>
        <w:rPr>
          <w:rFonts w:hint="eastAsia" w:ascii="宋体" w:hAnsi="宋体" w:eastAsia="宋体" w:cs="宋体"/>
          <w:b/>
          <w:color w:val="auto"/>
          <w:kern w:val="2"/>
          <w:sz w:val="24"/>
          <w:szCs w:val="22"/>
          <w:highlight w:val="none"/>
          <w:lang w:val="en-US" w:eastAsia="zh-CN" w:bidi="ar-SA"/>
        </w:rPr>
        <w:t>一、项目概况</w:t>
      </w:r>
      <w:bookmarkEnd w:id="26"/>
    </w:p>
    <w:p w14:paraId="02A0B74C">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（一）项目名称：</w:t>
      </w:r>
      <w:r>
        <w:rPr>
          <w:rFonts w:hint="eastAsia" w:ascii="宋体" w:hAnsi="宋体" w:cs="宋体"/>
          <w:color w:val="auto"/>
          <w:sz w:val="24"/>
          <w:szCs w:val="24"/>
          <w:highlight w:val="none"/>
          <w:lang w:eastAsia="zh-CN"/>
        </w:rPr>
        <w:t>2025“Head In The Clouds”（云思妙想）音乐艺术节——大湾区站（南沙）项目临时安保服务外包项目</w:t>
      </w:r>
    </w:p>
    <w:p w14:paraId="30EEEB71">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（二）项目地点：</w:t>
      </w:r>
      <w:r>
        <w:rPr>
          <w:rFonts w:hint="eastAsia" w:ascii="宋体" w:hAnsi="宋体" w:cs="宋体"/>
          <w:color w:val="auto"/>
          <w:sz w:val="24"/>
          <w:szCs w:val="24"/>
          <w:highlight w:val="none"/>
          <w:lang w:val="en-US" w:eastAsia="zh-CN"/>
        </w:rPr>
        <w:t>南沙音乐秀场</w:t>
      </w:r>
      <w:r>
        <w:rPr>
          <w:rFonts w:hint="eastAsia" w:ascii="宋体" w:hAnsi="宋体" w:eastAsia="宋体" w:cs="宋体"/>
          <w:color w:val="auto"/>
          <w:sz w:val="24"/>
          <w:szCs w:val="24"/>
          <w:highlight w:val="none"/>
        </w:rPr>
        <w:t>。</w:t>
      </w:r>
    </w:p>
    <w:p w14:paraId="5225A852">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最高限价：</w:t>
      </w:r>
      <w:r>
        <w:rPr>
          <w:rFonts w:hint="eastAsia" w:ascii="宋体" w:hAnsi="宋体" w:cs="宋体"/>
          <w:color w:val="auto"/>
          <w:sz w:val="24"/>
          <w:szCs w:val="24"/>
          <w:highlight w:val="none"/>
          <w:lang w:eastAsia="zh-CN"/>
        </w:rPr>
        <w:t>人民币43.75元/小时/人，预计服务时长为：40000小时，最终结算金额按实际到岗人数及服务时长进行结算，但最终结算金额不应高于175万元。。</w:t>
      </w:r>
    </w:p>
    <w:p w14:paraId="0E97825D">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 合同履行期限：</w:t>
      </w:r>
      <w:r>
        <w:rPr>
          <w:rFonts w:hint="eastAsia" w:ascii="宋体" w:hAnsi="宋体"/>
          <w:color w:val="auto"/>
          <w:sz w:val="24"/>
          <w:szCs w:val="24"/>
          <w:highlight w:val="none"/>
        </w:rPr>
        <w:t>2025年4月21日至2025年5月4日“2025“Head In The Clouds”（云思妙想）音乐艺术节——大湾区站（南沙）项目”期间</w:t>
      </w:r>
      <w:r>
        <w:rPr>
          <w:rFonts w:hint="eastAsia" w:ascii="宋体" w:hAnsi="宋体" w:eastAsia="宋体" w:cs="宋体"/>
          <w:color w:val="auto"/>
          <w:sz w:val="24"/>
          <w:szCs w:val="24"/>
          <w:highlight w:val="none"/>
        </w:rPr>
        <w:t>。实际履行期限以双方签订合同为准</w:t>
      </w:r>
      <w:r>
        <w:rPr>
          <w:rFonts w:hint="eastAsia" w:ascii="宋体" w:hAnsi="宋体" w:cs="宋体"/>
          <w:color w:val="auto"/>
          <w:sz w:val="24"/>
          <w:szCs w:val="24"/>
          <w:highlight w:val="none"/>
          <w:lang w:eastAsia="zh-CN"/>
        </w:rPr>
        <w:t>。</w:t>
      </w:r>
    </w:p>
    <w:p w14:paraId="4D71296E">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项目类别：</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类</w:t>
      </w:r>
    </w:p>
    <w:p w14:paraId="3E1374F6">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 招标内容：</w:t>
      </w:r>
    </w:p>
    <w:p w14:paraId="2A629AB6">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2025年4月21日至2025年5月4日“2025“Head In The Clouds”（云思妙想）音乐艺术节——大湾区站（南沙）项目”期间，为保障项目现场的治安秩序，需要临时雇请保安员进行安全保卫工作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★为保障服务质量，中标人须免费提供安检门</w:t>
      </w:r>
      <w:r>
        <w:rPr>
          <w:rFonts w:hint="eastAsia" w:ascii="宋体" w:hAnsi="宋体" w:cs="宋体"/>
          <w:color w:val="auto"/>
          <w:sz w:val="24"/>
          <w:szCs w:val="24"/>
          <w:highlight w:val="none"/>
          <w:lang w:val="en-US" w:eastAsia="zh-CN"/>
        </w:rPr>
        <w:t>13个</w:t>
      </w:r>
      <w:r>
        <w:rPr>
          <w:rFonts w:hint="eastAsia" w:ascii="宋体" w:hAnsi="宋体" w:eastAsia="宋体" w:cs="宋体"/>
          <w:color w:val="auto"/>
          <w:sz w:val="24"/>
          <w:szCs w:val="24"/>
          <w:highlight w:val="none"/>
        </w:rPr>
        <w:t>、安检X光机</w:t>
      </w:r>
      <w:r>
        <w:rPr>
          <w:rFonts w:hint="eastAsia" w:ascii="宋体" w:hAnsi="宋体" w:cs="宋体"/>
          <w:color w:val="auto"/>
          <w:sz w:val="24"/>
          <w:szCs w:val="24"/>
          <w:highlight w:val="none"/>
          <w:lang w:val="en-US" w:eastAsia="zh-CN"/>
        </w:rPr>
        <w:t>8套</w:t>
      </w:r>
      <w:r>
        <w:rPr>
          <w:rFonts w:hint="eastAsia" w:ascii="宋体" w:hAnsi="宋体" w:eastAsia="宋体" w:cs="宋体"/>
          <w:color w:val="auto"/>
          <w:sz w:val="24"/>
          <w:szCs w:val="24"/>
          <w:highlight w:val="none"/>
        </w:rPr>
        <w:t>。</w:t>
      </w:r>
    </w:p>
    <w:p w14:paraId="01E041CB">
      <w:pPr>
        <w:spacing w:before="181" w:line="219" w:lineRule="auto"/>
        <w:ind w:firstLine="482" w:firstLineChars="200"/>
        <w:outlineLvl w:val="1"/>
        <w:rPr>
          <w:rFonts w:hint="eastAsia" w:ascii="宋体" w:hAnsi="宋体" w:cs="宋体"/>
          <w:b/>
          <w:color w:val="auto"/>
          <w:kern w:val="2"/>
          <w:sz w:val="24"/>
          <w:szCs w:val="22"/>
          <w:highlight w:val="none"/>
          <w:lang w:val="en-US" w:eastAsia="zh-CN" w:bidi="ar-SA"/>
        </w:rPr>
      </w:pPr>
      <w:r>
        <w:rPr>
          <w:rFonts w:hint="eastAsia" w:ascii="宋体" w:hAnsi="宋体" w:eastAsia="宋体" w:cs="宋体"/>
          <w:b/>
          <w:color w:val="auto"/>
          <w:kern w:val="2"/>
          <w:sz w:val="24"/>
          <w:szCs w:val="22"/>
          <w:highlight w:val="none"/>
          <w:lang w:val="en-US" w:eastAsia="zh-CN" w:bidi="ar-SA"/>
        </w:rPr>
        <w:t>★二、</w:t>
      </w:r>
      <w:bookmarkStart w:id="27" w:name="_Toc9205"/>
      <w:r>
        <w:rPr>
          <w:rFonts w:hint="eastAsia" w:ascii="宋体" w:hAnsi="宋体" w:cs="宋体"/>
          <w:b/>
          <w:color w:val="auto"/>
          <w:kern w:val="2"/>
          <w:sz w:val="24"/>
          <w:szCs w:val="22"/>
          <w:highlight w:val="none"/>
          <w:lang w:val="en-US" w:eastAsia="zh-CN" w:bidi="ar-SA"/>
        </w:rPr>
        <w:t>项目主要内容</w:t>
      </w:r>
    </w:p>
    <w:p w14:paraId="42A3622E">
      <w:pPr>
        <w:spacing w:line="360" w:lineRule="auto"/>
        <w:ind w:firstLine="480" w:firstLineChars="200"/>
        <w:rPr>
          <w:rFonts w:ascii="宋体" w:hAnsi="宋体" w:cs="仿宋_GB2312"/>
          <w:bCs/>
          <w:sz w:val="24"/>
          <w:szCs w:val="24"/>
        </w:rPr>
      </w:pPr>
      <w:r>
        <w:rPr>
          <w:rFonts w:hint="eastAsia" w:ascii="宋体" w:hAnsi="宋体" w:cs="仿宋_GB2312"/>
          <w:bCs/>
          <w:sz w:val="24"/>
          <w:szCs w:val="24"/>
        </w:rPr>
        <w:t>1、工作内容：</w:t>
      </w:r>
    </w:p>
    <w:p w14:paraId="68397E45">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1）各</w:t>
      </w:r>
      <w:r>
        <w:rPr>
          <w:rFonts w:hint="eastAsia" w:ascii="宋体" w:hAnsi="宋体" w:eastAsia="宋体" w:cs="仿宋_GB2312"/>
          <w:color w:val="000000"/>
          <w:sz w:val="24"/>
          <w:szCs w:val="24"/>
          <w:lang w:val="en-US" w:eastAsia="zh-CN"/>
        </w:rPr>
        <w:t>岗位</w:t>
      </w:r>
      <w:r>
        <w:rPr>
          <w:rFonts w:hint="eastAsia" w:ascii="宋体" w:hAnsi="宋体" w:cs="仿宋_GB2312"/>
          <w:color w:val="000000"/>
          <w:sz w:val="24"/>
          <w:szCs w:val="24"/>
        </w:rPr>
        <w:t>值勤：按照</w:t>
      </w:r>
      <w:r>
        <w:rPr>
          <w:rFonts w:hint="eastAsia" w:ascii="宋体" w:hAnsi="宋体" w:eastAsia="宋体" w:cs="仿宋_GB2312"/>
          <w:color w:val="000000"/>
          <w:sz w:val="24"/>
          <w:szCs w:val="24"/>
          <w:lang w:val="en-US" w:eastAsia="zh-CN"/>
        </w:rPr>
        <w:t>招标人</w:t>
      </w:r>
      <w:r>
        <w:rPr>
          <w:rFonts w:hint="eastAsia" w:ascii="宋体" w:hAnsi="宋体" w:cs="仿宋_GB2312"/>
          <w:color w:val="000000"/>
          <w:sz w:val="24"/>
          <w:szCs w:val="24"/>
        </w:rPr>
        <w:t>要求做好安全值守、礼貌接访、严格验证。</w:t>
      </w:r>
    </w:p>
    <w:p w14:paraId="4E8AFCD3">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2）巡逻值勤：按照</w:t>
      </w:r>
      <w:r>
        <w:rPr>
          <w:rFonts w:ascii="宋体" w:hAnsi="宋体" w:eastAsia="宋体" w:cs="宋体"/>
          <w:spacing w:val="-5"/>
          <w:sz w:val="24"/>
          <w:szCs w:val="24"/>
        </w:rPr>
        <w:t>招标人</w:t>
      </w:r>
      <w:r>
        <w:rPr>
          <w:rFonts w:hint="eastAsia" w:ascii="宋体" w:hAnsi="宋体" w:cs="仿宋_GB2312"/>
          <w:color w:val="000000"/>
          <w:sz w:val="24"/>
          <w:szCs w:val="24"/>
        </w:rPr>
        <w:t>要求</w:t>
      </w:r>
      <w:r>
        <w:rPr>
          <w:rFonts w:hint="eastAsia" w:ascii="宋体" w:hAnsi="宋体" w:eastAsia="宋体" w:cs="仿宋_GB2312"/>
          <w:color w:val="000000"/>
          <w:sz w:val="24"/>
          <w:szCs w:val="24"/>
          <w:lang w:val="en-US" w:eastAsia="zh-CN"/>
        </w:rPr>
        <w:t>做好</w:t>
      </w:r>
      <w:r>
        <w:rPr>
          <w:rFonts w:hint="eastAsia" w:ascii="宋体" w:hAnsi="宋体" w:cs="仿宋_GB2312"/>
          <w:color w:val="000000"/>
          <w:sz w:val="24"/>
          <w:szCs w:val="24"/>
        </w:rPr>
        <w:t>安全巡查，发现治安或消防隐患及时上报并协助相关人员处理，发现</w:t>
      </w:r>
      <w:r>
        <w:rPr>
          <w:rFonts w:hint="eastAsia" w:ascii="宋体" w:hAnsi="宋体" w:eastAsia="宋体" w:cs="仿宋_GB2312"/>
          <w:color w:val="000000"/>
          <w:sz w:val="24"/>
          <w:szCs w:val="24"/>
          <w:lang w:val="en-US" w:eastAsia="zh-CN"/>
        </w:rPr>
        <w:t>观众</w:t>
      </w:r>
      <w:r>
        <w:rPr>
          <w:rFonts w:hint="eastAsia" w:ascii="宋体" w:hAnsi="宋体" w:cs="仿宋_GB2312"/>
          <w:color w:val="000000"/>
          <w:sz w:val="24"/>
          <w:szCs w:val="24"/>
        </w:rPr>
        <w:t>不文明行为及时劝阻。</w:t>
      </w:r>
    </w:p>
    <w:p w14:paraId="569B1927">
      <w:pPr>
        <w:spacing w:line="360" w:lineRule="auto"/>
        <w:ind w:firstLine="480" w:firstLineChars="200"/>
        <w:rPr>
          <w:rFonts w:ascii="宋体" w:hAnsi="宋体" w:cs="仿宋_GB2312"/>
          <w:sz w:val="24"/>
          <w:szCs w:val="24"/>
        </w:rPr>
      </w:pPr>
      <w:r>
        <w:rPr>
          <w:rFonts w:hint="eastAsia" w:ascii="宋体" w:hAnsi="宋体" w:cs="仿宋_GB2312"/>
          <w:sz w:val="24"/>
          <w:szCs w:val="24"/>
        </w:rPr>
        <w:t>3）对</w:t>
      </w:r>
      <w:r>
        <w:rPr>
          <w:rFonts w:hint="eastAsia" w:ascii="宋体" w:hAnsi="宋体" w:eastAsia="宋体" w:cs="仿宋_GB2312"/>
          <w:sz w:val="24"/>
          <w:szCs w:val="24"/>
          <w:lang w:val="en-US" w:eastAsia="zh-CN"/>
        </w:rPr>
        <w:t>服务区域</w:t>
      </w:r>
      <w:r>
        <w:rPr>
          <w:rFonts w:hint="eastAsia" w:ascii="宋体" w:hAnsi="宋体" w:cs="仿宋_GB2312"/>
          <w:sz w:val="24"/>
          <w:szCs w:val="24"/>
        </w:rPr>
        <w:t>实施安全防范、秩序维护，做好防火、防盗、防破坏的工作，防止和制止侵害</w:t>
      </w:r>
      <w:r>
        <w:rPr>
          <w:rFonts w:ascii="宋体" w:hAnsi="宋体" w:eastAsia="宋体" w:cs="宋体"/>
          <w:spacing w:val="-5"/>
          <w:sz w:val="24"/>
          <w:szCs w:val="24"/>
        </w:rPr>
        <w:t>招标人</w:t>
      </w:r>
      <w:r>
        <w:rPr>
          <w:rFonts w:hint="eastAsia" w:ascii="宋体" w:hAnsi="宋体" w:cs="仿宋_GB2312"/>
          <w:sz w:val="24"/>
          <w:szCs w:val="24"/>
        </w:rPr>
        <w:t>财产安全的行为发生。</w:t>
      </w:r>
    </w:p>
    <w:p w14:paraId="6B459831">
      <w:pPr>
        <w:spacing w:line="360" w:lineRule="auto"/>
        <w:ind w:firstLine="480" w:firstLineChars="200"/>
        <w:rPr>
          <w:rFonts w:ascii="宋体" w:hAnsi="宋体" w:cs="仿宋_GB2312"/>
          <w:sz w:val="24"/>
          <w:szCs w:val="24"/>
        </w:rPr>
      </w:pPr>
      <w:r>
        <w:rPr>
          <w:rFonts w:hint="eastAsia" w:ascii="宋体" w:hAnsi="宋体" w:cs="仿宋_GB2312"/>
          <w:sz w:val="24"/>
          <w:szCs w:val="24"/>
        </w:rPr>
        <w:t>4）协助</w:t>
      </w:r>
      <w:r>
        <w:rPr>
          <w:rFonts w:ascii="宋体" w:hAnsi="宋体" w:eastAsia="宋体" w:cs="宋体"/>
          <w:spacing w:val="-5"/>
          <w:sz w:val="24"/>
          <w:szCs w:val="24"/>
        </w:rPr>
        <w:t>招标人</w:t>
      </w:r>
      <w:r>
        <w:rPr>
          <w:rFonts w:hint="eastAsia" w:ascii="宋体" w:hAnsi="宋体" w:cs="仿宋_GB2312"/>
          <w:sz w:val="24"/>
          <w:szCs w:val="24"/>
        </w:rPr>
        <w:t>处置各类突发事件。</w:t>
      </w:r>
    </w:p>
    <w:p w14:paraId="04C56419">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sz w:val="24"/>
          <w:szCs w:val="24"/>
        </w:rPr>
        <w:t>2、</w:t>
      </w:r>
      <w:r>
        <w:rPr>
          <w:rFonts w:hint="eastAsia" w:ascii="宋体" w:hAnsi="宋体" w:cs="仿宋_GB2312"/>
          <w:color w:val="000000"/>
          <w:sz w:val="24"/>
          <w:szCs w:val="24"/>
        </w:rPr>
        <w:t>服务工作标准</w:t>
      </w:r>
    </w:p>
    <w:p w14:paraId="534A37E1">
      <w:pPr>
        <w:autoSpaceDE w:val="0"/>
        <w:autoSpaceDN w:val="0"/>
        <w:spacing w:line="360" w:lineRule="auto"/>
        <w:ind w:firstLine="480" w:firstLineChars="200"/>
        <w:rPr>
          <w:rFonts w:hint="eastAsia" w:ascii="宋体" w:hAnsi="宋体" w:eastAsia="宋体" w:cs="仿宋_GB2312"/>
          <w:color w:val="000000"/>
          <w:sz w:val="24"/>
          <w:szCs w:val="24"/>
          <w:lang w:eastAsia="zh-CN"/>
        </w:rPr>
      </w:pPr>
      <w:r>
        <w:rPr>
          <w:rFonts w:hint="eastAsia" w:ascii="宋体" w:hAnsi="宋体" w:cs="仿宋_GB2312"/>
          <w:color w:val="000000"/>
          <w:sz w:val="24"/>
          <w:szCs w:val="24"/>
        </w:rPr>
        <w:t>1）严格执行国家规定的安全消防管理条例</w:t>
      </w:r>
      <w:r>
        <w:rPr>
          <w:rFonts w:hint="eastAsia" w:ascii="宋体" w:hAnsi="宋体" w:eastAsia="宋体" w:cs="仿宋_GB2312"/>
          <w:color w:val="000000"/>
          <w:sz w:val="24"/>
          <w:szCs w:val="24"/>
          <w:lang w:eastAsia="zh-CN"/>
        </w:rPr>
        <w:t>，</w:t>
      </w:r>
      <w:r>
        <w:rPr>
          <w:rFonts w:hint="eastAsia" w:ascii="宋体" w:hAnsi="宋体" w:cs="仿宋_GB2312"/>
          <w:color w:val="000000"/>
          <w:sz w:val="24"/>
          <w:szCs w:val="24"/>
        </w:rPr>
        <w:t>坚持“安全第一，预防为主，防治结合”的方针，对委托</w:t>
      </w:r>
      <w:r>
        <w:rPr>
          <w:rFonts w:hint="eastAsia" w:ascii="宋体" w:hAnsi="宋体" w:eastAsia="宋体" w:cs="仿宋_GB2312"/>
          <w:color w:val="000000"/>
          <w:sz w:val="24"/>
          <w:szCs w:val="24"/>
          <w:lang w:val="en-US" w:eastAsia="zh-CN"/>
        </w:rPr>
        <w:t>服务</w:t>
      </w:r>
      <w:r>
        <w:rPr>
          <w:rFonts w:hint="eastAsia" w:ascii="宋体" w:hAnsi="宋体" w:cs="仿宋_GB2312"/>
          <w:color w:val="000000"/>
          <w:sz w:val="24"/>
          <w:szCs w:val="24"/>
        </w:rPr>
        <w:t>区域进行全方位值勤巡查</w:t>
      </w:r>
      <w:r>
        <w:rPr>
          <w:rFonts w:hint="eastAsia" w:ascii="宋体" w:hAnsi="宋体" w:eastAsia="宋体" w:cs="仿宋_GB2312"/>
          <w:color w:val="000000"/>
          <w:sz w:val="24"/>
          <w:szCs w:val="24"/>
          <w:lang w:eastAsia="zh-CN"/>
        </w:rPr>
        <w:t>。</w:t>
      </w:r>
    </w:p>
    <w:p w14:paraId="1A0E3E60">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2）安保人员服装整齐统一、训练有素、礼貌用语、文明服务、忠于职守，优质服务</w:t>
      </w:r>
      <w:r>
        <w:rPr>
          <w:rFonts w:hint="eastAsia" w:ascii="宋体" w:hAnsi="宋体" w:eastAsia="宋体" w:cs="仿宋_GB2312"/>
          <w:color w:val="000000"/>
          <w:sz w:val="24"/>
          <w:szCs w:val="24"/>
          <w:lang w:eastAsia="zh-CN"/>
        </w:rPr>
        <w:t>、</w:t>
      </w:r>
      <w:r>
        <w:rPr>
          <w:rFonts w:hint="eastAsia" w:ascii="宋体" w:hAnsi="宋体" w:cs="仿宋_GB2312"/>
          <w:color w:val="000000"/>
          <w:sz w:val="24"/>
          <w:szCs w:val="24"/>
        </w:rPr>
        <w:t>客户至上，遵守</w:t>
      </w:r>
      <w:r>
        <w:rPr>
          <w:rFonts w:hint="eastAsia" w:ascii="宋体" w:hAnsi="宋体" w:eastAsia="宋体" w:cs="仿宋_GB2312"/>
          <w:color w:val="000000"/>
          <w:sz w:val="24"/>
          <w:szCs w:val="24"/>
          <w:lang w:val="en-US" w:eastAsia="zh-CN"/>
        </w:rPr>
        <w:t>招标人</w:t>
      </w:r>
      <w:r>
        <w:rPr>
          <w:rFonts w:hint="eastAsia" w:ascii="宋体" w:hAnsi="宋体" w:cs="仿宋_GB2312"/>
          <w:color w:val="000000"/>
          <w:sz w:val="24"/>
          <w:szCs w:val="24"/>
        </w:rPr>
        <w:t>的规章制度，在工作中正确</w:t>
      </w:r>
      <w:r>
        <w:rPr>
          <w:rFonts w:hint="eastAsia" w:ascii="宋体" w:hAnsi="宋体" w:eastAsia="宋体" w:cs="仿宋_GB2312"/>
          <w:color w:val="000000"/>
          <w:sz w:val="24"/>
          <w:szCs w:val="24"/>
          <w:lang w:eastAsia="zh-CN"/>
        </w:rPr>
        <w:t>佩戴</w:t>
      </w:r>
      <w:r>
        <w:rPr>
          <w:rFonts w:hint="eastAsia" w:ascii="宋体" w:hAnsi="宋体" w:cs="仿宋_GB2312"/>
          <w:color w:val="000000"/>
          <w:sz w:val="24"/>
          <w:szCs w:val="24"/>
        </w:rPr>
        <w:t>和使用有关安全工具和装备。</w:t>
      </w:r>
    </w:p>
    <w:p w14:paraId="5E8A2E0A">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w:t>
      </w:r>
      <w:r>
        <w:rPr>
          <w:rFonts w:hint="eastAsia" w:ascii="宋体" w:hAnsi="宋体" w:eastAsia="宋体" w:cs="仿宋_GB2312"/>
          <w:color w:val="000000"/>
          <w:sz w:val="24"/>
          <w:szCs w:val="24"/>
          <w:lang w:val="en-US" w:eastAsia="zh-CN"/>
        </w:rPr>
        <w:t>安保人员应有良好的</w:t>
      </w:r>
      <w:r>
        <w:rPr>
          <w:rFonts w:hint="eastAsia" w:ascii="宋体" w:hAnsi="宋体" w:cs="仿宋_GB2312"/>
          <w:color w:val="000000"/>
          <w:sz w:val="24"/>
          <w:szCs w:val="24"/>
        </w:rPr>
        <w:t>安全意识和业务技能，最大限度防止各类安全事故的发生，确保</w:t>
      </w:r>
      <w:r>
        <w:rPr>
          <w:rFonts w:hint="eastAsia" w:ascii="宋体" w:hAnsi="宋体" w:eastAsia="宋体" w:cs="仿宋_GB2312"/>
          <w:color w:val="000000"/>
          <w:sz w:val="24"/>
          <w:szCs w:val="24"/>
          <w:lang w:val="en-US" w:eastAsia="zh-CN"/>
        </w:rPr>
        <w:t>委托服务区域</w:t>
      </w:r>
      <w:r>
        <w:rPr>
          <w:rFonts w:hint="eastAsia" w:ascii="宋体" w:hAnsi="宋体" w:cs="仿宋_GB2312"/>
          <w:color w:val="000000"/>
          <w:sz w:val="24"/>
          <w:szCs w:val="24"/>
        </w:rPr>
        <w:t>内无闲杂人员及逃票游客入内</w:t>
      </w:r>
      <w:r>
        <w:rPr>
          <w:rFonts w:hint="eastAsia" w:ascii="宋体" w:hAnsi="宋体" w:eastAsia="宋体" w:cs="仿宋_GB2312"/>
          <w:color w:val="000000"/>
          <w:sz w:val="24"/>
          <w:szCs w:val="24"/>
          <w:lang w:eastAsia="zh-CN"/>
        </w:rPr>
        <w:t>。</w:t>
      </w:r>
    </w:p>
    <w:p w14:paraId="7B4AB551">
      <w:pPr>
        <w:autoSpaceDE w:val="0"/>
        <w:autoSpaceDN w:val="0"/>
        <w:spacing w:line="360" w:lineRule="auto"/>
        <w:ind w:firstLine="480" w:firstLineChars="200"/>
        <w:rPr>
          <w:rFonts w:hint="eastAsia"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4</w:t>
      </w:r>
      <w:r>
        <w:rPr>
          <w:rFonts w:hint="eastAsia" w:ascii="宋体" w:hAnsi="宋体" w:cs="仿宋_GB2312"/>
          <w:color w:val="000000"/>
          <w:sz w:val="24"/>
          <w:szCs w:val="24"/>
        </w:rPr>
        <w:t>）按要求对</w:t>
      </w:r>
      <w:r>
        <w:rPr>
          <w:rFonts w:hint="eastAsia" w:ascii="宋体" w:hAnsi="宋体" w:eastAsia="宋体" w:cs="仿宋_GB2312"/>
          <w:color w:val="000000"/>
          <w:sz w:val="24"/>
          <w:szCs w:val="24"/>
          <w:lang w:val="en-US" w:eastAsia="zh-CN"/>
        </w:rPr>
        <w:t>委托服务区域</w:t>
      </w:r>
      <w:r>
        <w:rPr>
          <w:rFonts w:hint="eastAsia" w:ascii="宋体" w:hAnsi="宋体" w:cs="仿宋_GB2312"/>
          <w:color w:val="000000"/>
          <w:sz w:val="24"/>
          <w:szCs w:val="24"/>
        </w:rPr>
        <w:t>进行安全巡查，发现治安或消防隐患及时上报并协助相关人员处理，发现游客不文明行为及时劝阻。保证管辖区内无重大治安责任事故，无因失职或玩忽职守而造成的其它安全事故</w:t>
      </w:r>
      <w:r>
        <w:rPr>
          <w:rFonts w:hint="eastAsia" w:ascii="宋体" w:hAnsi="宋体" w:eastAsia="宋体" w:cs="仿宋_GB2312"/>
          <w:color w:val="000000"/>
          <w:sz w:val="24"/>
          <w:szCs w:val="24"/>
          <w:lang w:eastAsia="zh-CN"/>
        </w:rPr>
        <w:t>。</w:t>
      </w:r>
    </w:p>
    <w:p w14:paraId="27655F43">
      <w:pPr>
        <w:autoSpaceDE w:val="0"/>
        <w:autoSpaceDN w:val="0"/>
        <w:spacing w:line="360" w:lineRule="auto"/>
        <w:ind w:firstLine="480" w:firstLineChars="200"/>
        <w:rPr>
          <w:rFonts w:hint="default" w:ascii="宋体" w:hAnsi="宋体" w:cs="仿宋_GB2312"/>
          <w:color w:val="000000"/>
          <w:sz w:val="24"/>
          <w:szCs w:val="24"/>
          <w:lang w:val="en-US" w:eastAsia="zh-CN"/>
        </w:rPr>
      </w:pPr>
      <w:r>
        <w:rPr>
          <w:rFonts w:hint="eastAsia" w:ascii="宋体" w:hAnsi="宋体" w:cs="仿宋_GB2312"/>
          <w:color w:val="000000"/>
          <w:sz w:val="24"/>
          <w:szCs w:val="24"/>
          <w:lang w:val="en-US" w:eastAsia="zh-CN"/>
        </w:rPr>
        <w:t>4、根据项目布局图及现场实际情况出具专业安保方案。</w:t>
      </w:r>
    </w:p>
    <w:p w14:paraId="601C2F47">
      <w:pPr>
        <w:numPr>
          <w:ilvl w:val="0"/>
          <w:numId w:val="0"/>
        </w:numPr>
        <w:autoSpaceDE w:val="0"/>
        <w:autoSpaceDN w:val="0"/>
        <w:spacing w:line="240" w:lineRule="auto"/>
        <w:jc w:val="center"/>
        <w:rPr>
          <w:rFonts w:hint="default" w:ascii="宋体" w:hAnsi="宋体" w:cs="宋体"/>
          <w:b/>
          <w:color w:val="auto"/>
          <w:kern w:val="2"/>
          <w:sz w:val="24"/>
          <w:szCs w:val="22"/>
          <w:highlight w:val="none"/>
          <w:lang w:val="en-US" w:eastAsia="zh-CN" w:bidi="ar-SA"/>
        </w:rPr>
      </w:pPr>
      <w:r>
        <w:rPr>
          <w:rFonts w:hint="default" w:ascii="宋体" w:hAnsi="宋体" w:cs="宋体"/>
          <w:b/>
          <w:color w:val="auto"/>
          <w:kern w:val="2"/>
          <w:sz w:val="24"/>
          <w:szCs w:val="22"/>
          <w:highlight w:val="none"/>
          <w:lang w:val="en-US" w:eastAsia="zh-CN" w:bidi="ar-SA"/>
        </w:rPr>
        <w:drawing>
          <wp:inline distT="0" distB="0" distL="114300" distR="114300">
            <wp:extent cx="5259070" cy="3366770"/>
            <wp:effectExtent l="0" t="0" r="17780" b="5080"/>
            <wp:docPr id="4" name="图片 4" descr="2e47bd48d332520f42ac4078ae81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47bd48d332520f42ac4078ae81e25"/>
                    <pic:cNvPicPr>
                      <a:picLocks noChangeAspect="1"/>
                    </pic:cNvPicPr>
                  </pic:nvPicPr>
                  <pic:blipFill>
                    <a:blip r:embed="rId8"/>
                    <a:stretch>
                      <a:fillRect/>
                    </a:stretch>
                  </pic:blipFill>
                  <pic:spPr>
                    <a:xfrm>
                      <a:off x="0" y="0"/>
                      <a:ext cx="5259070" cy="3366770"/>
                    </a:xfrm>
                    <a:prstGeom prst="rect">
                      <a:avLst/>
                    </a:prstGeom>
                  </pic:spPr>
                </pic:pic>
              </a:graphicData>
            </a:graphic>
          </wp:inline>
        </w:drawing>
      </w:r>
    </w:p>
    <w:p w14:paraId="2FC9036C">
      <w:pPr>
        <w:spacing w:before="181" w:line="219" w:lineRule="auto"/>
        <w:ind w:firstLine="482" w:firstLineChars="200"/>
        <w:outlineLvl w:val="1"/>
        <w:rPr>
          <w:rFonts w:hint="eastAsia" w:ascii="宋体" w:hAnsi="宋体" w:eastAsia="宋体" w:cs="宋体"/>
          <w:b/>
          <w:color w:val="auto"/>
          <w:kern w:val="2"/>
          <w:sz w:val="24"/>
          <w:szCs w:val="22"/>
          <w:highlight w:val="none"/>
          <w:lang w:val="en-US" w:eastAsia="zh-CN" w:bidi="ar-SA"/>
        </w:rPr>
      </w:pPr>
      <w:r>
        <w:rPr>
          <w:rFonts w:hint="eastAsia" w:ascii="宋体" w:hAnsi="宋体" w:eastAsia="宋体" w:cs="宋体"/>
          <w:b/>
          <w:color w:val="auto"/>
          <w:kern w:val="2"/>
          <w:sz w:val="24"/>
          <w:szCs w:val="22"/>
          <w:highlight w:val="none"/>
          <w:lang w:val="en-US" w:eastAsia="zh-CN" w:bidi="ar-SA"/>
        </w:rPr>
        <w:t>三、付款方式：</w:t>
      </w:r>
      <w:bookmarkEnd w:id="27"/>
    </w:p>
    <w:p w14:paraId="17CC9CE0">
      <w:pPr>
        <w:numPr>
          <w:ilvl w:val="0"/>
          <w:numId w:val="0"/>
        </w:numPr>
        <w:spacing w:before="180" w:line="360" w:lineRule="auto"/>
        <w:ind w:firstLine="472" w:firstLineChars="200"/>
        <w:outlineLvl w:val="2"/>
        <w:rPr>
          <w:rFonts w:ascii="宋体" w:hAnsi="宋体" w:eastAsia="宋体" w:cs="宋体"/>
          <w:spacing w:val="-2"/>
          <w:position w:val="0"/>
          <w:sz w:val="24"/>
          <w:szCs w:val="24"/>
          <w:lang w:eastAsia="zh-CN"/>
        </w:rPr>
      </w:pP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保卫任务结束后，乙方向甲方提供验收报告、安保服务结算单并开具相应金额的增值税专用发票，甲方在收到发票后的15个工作日内，据实结算保安服务费给乙方</w:t>
      </w:r>
      <w:r>
        <w:rPr>
          <w:rFonts w:ascii="宋体" w:hAnsi="宋体" w:eastAsia="宋体" w:cs="宋体"/>
          <w:spacing w:val="-2"/>
          <w:sz w:val="24"/>
          <w:szCs w:val="24"/>
          <w:lang w:eastAsia="zh-CN"/>
        </w:rPr>
        <w:t>；</w:t>
      </w:r>
    </w:p>
    <w:p w14:paraId="39308E5D">
      <w:pPr>
        <w:pStyle w:val="8"/>
        <w:spacing w:line="366" w:lineRule="auto"/>
        <w:rPr>
          <w:rFonts w:ascii="宋体" w:hAnsi="宋体" w:eastAsia="宋体" w:cs="宋体"/>
          <w:spacing w:val="-2"/>
          <w:sz w:val="24"/>
          <w:szCs w:val="24"/>
          <w:lang w:eastAsia="zh-CN"/>
        </w:rPr>
      </w:pPr>
      <w:r>
        <w:rPr>
          <w:rFonts w:ascii="宋体" w:hAnsi="宋体" w:eastAsia="宋体" w:cs="宋体"/>
          <w:spacing w:val="-2"/>
          <w:position w:val="0"/>
          <w:sz w:val="24"/>
          <w:szCs w:val="24"/>
          <w:lang w:eastAsia="zh-CN"/>
        </w:rPr>
        <w:t>说明：</w:t>
      </w:r>
      <w:r>
        <w:rPr>
          <w:rFonts w:hint="default" w:ascii="宋体" w:hAnsi="宋体" w:eastAsia="宋体" w:cs="宋体"/>
          <w:spacing w:val="-2"/>
          <w:position w:val="0"/>
          <w:sz w:val="24"/>
          <w:szCs w:val="24"/>
          <w:lang w:eastAsia="zh-CN"/>
        </w:rPr>
        <w:t>乙方</w:t>
      </w:r>
      <w:r>
        <w:rPr>
          <w:rFonts w:ascii="宋体" w:hAnsi="宋体" w:eastAsia="宋体" w:cs="宋体"/>
          <w:spacing w:val="-2"/>
          <w:position w:val="0"/>
          <w:sz w:val="24"/>
          <w:szCs w:val="24"/>
          <w:lang w:eastAsia="zh-CN"/>
        </w:rPr>
        <w:t>需向</w:t>
      </w:r>
      <w:r>
        <w:rPr>
          <w:rFonts w:hint="default" w:ascii="宋体" w:hAnsi="宋体" w:eastAsia="宋体" w:cs="宋体"/>
          <w:spacing w:val="-2"/>
          <w:position w:val="0"/>
          <w:sz w:val="24"/>
          <w:szCs w:val="24"/>
          <w:lang w:eastAsia="zh-CN"/>
        </w:rPr>
        <w:t>甲方提</w:t>
      </w:r>
      <w:r>
        <w:rPr>
          <w:rFonts w:ascii="宋体" w:hAnsi="宋体" w:eastAsia="宋体" w:cs="宋体"/>
          <w:spacing w:val="-2"/>
          <w:position w:val="0"/>
          <w:sz w:val="24"/>
          <w:szCs w:val="24"/>
          <w:lang w:eastAsia="zh-CN"/>
        </w:rPr>
        <w:t>供符合国家规定的等额增值税</w:t>
      </w:r>
      <w:r>
        <w:rPr>
          <w:rFonts w:hint="default" w:ascii="宋体" w:hAnsi="宋体" w:eastAsia="宋体" w:cs="宋体"/>
          <w:spacing w:val="-2"/>
          <w:position w:val="0"/>
          <w:sz w:val="24"/>
          <w:szCs w:val="24"/>
          <w:lang w:eastAsia="zh-CN"/>
        </w:rPr>
        <w:t>专用</w:t>
      </w:r>
      <w:r>
        <w:rPr>
          <w:rFonts w:ascii="宋体" w:hAnsi="宋体" w:eastAsia="宋体" w:cs="宋体"/>
          <w:spacing w:val="-2"/>
          <w:position w:val="0"/>
          <w:sz w:val="24"/>
          <w:szCs w:val="24"/>
          <w:lang w:eastAsia="zh-CN"/>
        </w:rPr>
        <w:t>发票。</w:t>
      </w:r>
    </w:p>
    <w:p w14:paraId="602C8674">
      <w:pPr>
        <w:spacing w:line="380" w:lineRule="exact"/>
        <w:rPr>
          <w:rFonts w:hint="eastAsia" w:ascii="宋体" w:hAnsi="宋体"/>
          <w:color w:val="auto"/>
          <w:sz w:val="24"/>
          <w:highlight w:val="none"/>
        </w:rPr>
      </w:pPr>
      <w:r>
        <w:rPr>
          <w:rFonts w:ascii="宋体" w:hAnsi="宋体"/>
          <w:color w:val="auto"/>
          <w:sz w:val="24"/>
          <w:highlight w:val="none"/>
        </w:rPr>
        <w:br w:type="page"/>
      </w:r>
    </w:p>
    <w:p w14:paraId="512D91B2">
      <w:pPr>
        <w:spacing w:line="360" w:lineRule="auto"/>
        <w:jc w:val="center"/>
        <w:rPr>
          <w:color w:val="auto"/>
          <w:sz w:val="44"/>
          <w:highlight w:val="none"/>
        </w:rPr>
      </w:pPr>
      <w:r>
        <w:rPr>
          <w:rFonts w:hint="eastAsia"/>
          <w:b/>
          <w:bCs/>
          <w:color w:val="auto"/>
          <w:sz w:val="44"/>
          <w:highlight w:val="none"/>
        </w:rPr>
        <w:t>第</w:t>
      </w:r>
      <w:r>
        <w:rPr>
          <w:rFonts w:hint="eastAsia"/>
          <w:b/>
          <w:bCs/>
          <w:color w:val="auto"/>
          <w:sz w:val="44"/>
          <w:highlight w:val="none"/>
          <w:lang w:val="en-US" w:eastAsia="zh-CN"/>
        </w:rPr>
        <w:t>三</w:t>
      </w:r>
      <w:r>
        <w:rPr>
          <w:rFonts w:hint="eastAsia"/>
          <w:b/>
          <w:bCs/>
          <w:color w:val="auto"/>
          <w:sz w:val="44"/>
          <w:highlight w:val="none"/>
        </w:rPr>
        <w:t>章 附件（格式）</w:t>
      </w:r>
    </w:p>
    <w:p w14:paraId="3FFF4691">
      <w:pPr>
        <w:pStyle w:val="3"/>
        <w:rPr>
          <w:color w:val="auto"/>
          <w:highlight w:val="none"/>
        </w:rPr>
      </w:pPr>
    </w:p>
    <w:p w14:paraId="586F368B">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14:paraId="1D1A06A2">
      <w:pPr>
        <w:pStyle w:val="10"/>
        <w:tabs>
          <w:tab w:val="left" w:pos="1260"/>
        </w:tabs>
        <w:adjustRightInd w:val="0"/>
        <w:snapToGrid w:val="0"/>
        <w:spacing w:line="360" w:lineRule="auto"/>
        <w:rPr>
          <w:rFonts w:hint="eastAsia" w:hAnsi="宋体"/>
          <w:b/>
          <w:color w:val="auto"/>
          <w:spacing w:val="100"/>
          <w:w w:val="110"/>
          <w:sz w:val="48"/>
          <w:szCs w:val="48"/>
          <w:highlight w:val="none"/>
        </w:rPr>
      </w:pPr>
    </w:p>
    <w:p w14:paraId="0DBA7A9A">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14:paraId="06EA8DE1">
      <w:pPr>
        <w:pStyle w:val="10"/>
        <w:tabs>
          <w:tab w:val="left" w:pos="1260"/>
        </w:tabs>
        <w:adjustRightInd w:val="0"/>
        <w:snapToGrid w:val="0"/>
        <w:spacing w:line="360" w:lineRule="auto"/>
        <w:jc w:val="center"/>
        <w:rPr>
          <w:rFonts w:hint="eastAsia" w:hAnsi="宋体"/>
          <w:b/>
          <w:color w:val="auto"/>
          <w:spacing w:val="100"/>
          <w:sz w:val="48"/>
          <w:szCs w:val="48"/>
          <w:highlight w:val="none"/>
        </w:rPr>
      </w:pPr>
      <w:r>
        <w:rPr>
          <w:rFonts w:hint="eastAsia" w:hAnsi="宋体"/>
          <w:b/>
          <w:color w:val="auto"/>
          <w:spacing w:val="100"/>
          <w:sz w:val="48"/>
          <w:szCs w:val="48"/>
          <w:highlight w:val="none"/>
        </w:rPr>
        <w:t>投标文件</w:t>
      </w:r>
    </w:p>
    <w:p w14:paraId="6D9B6EC9">
      <w:pPr>
        <w:pStyle w:val="10"/>
        <w:adjustRightInd w:val="0"/>
        <w:snapToGrid w:val="0"/>
        <w:spacing w:line="360" w:lineRule="auto"/>
        <w:jc w:val="center"/>
        <w:rPr>
          <w:rFonts w:hint="eastAsia" w:hAnsi="宋体"/>
          <w:b/>
          <w:color w:val="auto"/>
          <w:sz w:val="48"/>
          <w:szCs w:val="48"/>
          <w:highlight w:val="none"/>
        </w:rPr>
      </w:pPr>
      <w:r>
        <w:rPr>
          <w:rFonts w:hint="eastAsia" w:hAnsi="宋体"/>
          <w:b/>
          <w:color w:val="auto"/>
          <w:sz w:val="48"/>
          <w:szCs w:val="48"/>
          <w:highlight w:val="none"/>
        </w:rPr>
        <w:t>（正本/副本）</w:t>
      </w:r>
    </w:p>
    <w:p w14:paraId="049C5237">
      <w:pPr>
        <w:pStyle w:val="10"/>
        <w:adjustRightInd w:val="0"/>
        <w:snapToGrid w:val="0"/>
        <w:spacing w:line="360" w:lineRule="auto"/>
        <w:rPr>
          <w:rFonts w:hint="eastAsia" w:hAnsi="宋体"/>
          <w:b/>
          <w:color w:val="auto"/>
          <w:szCs w:val="28"/>
          <w:highlight w:val="none"/>
        </w:rPr>
      </w:pPr>
    </w:p>
    <w:p w14:paraId="39A82383">
      <w:pPr>
        <w:pStyle w:val="10"/>
        <w:adjustRightInd w:val="0"/>
        <w:snapToGrid w:val="0"/>
        <w:spacing w:line="360" w:lineRule="auto"/>
        <w:jc w:val="center"/>
        <w:rPr>
          <w:rFonts w:hint="eastAsia" w:hAnsi="宋体"/>
          <w:b/>
          <w:color w:val="auto"/>
          <w:szCs w:val="28"/>
          <w:highlight w:val="none"/>
        </w:rPr>
      </w:pPr>
    </w:p>
    <w:p w14:paraId="1512E0E7">
      <w:pPr>
        <w:pStyle w:val="9"/>
        <w:adjustRightInd w:val="0"/>
        <w:snapToGrid w:val="0"/>
        <w:spacing w:line="360" w:lineRule="auto"/>
        <w:ind w:firstLine="1124" w:firstLineChars="400"/>
        <w:rPr>
          <w:rFonts w:hint="eastAsia" w:ascii="宋体" w:hAnsi="宋体"/>
          <w:b/>
          <w:color w:val="auto"/>
          <w:sz w:val="28"/>
          <w:szCs w:val="28"/>
          <w:highlight w:val="none"/>
        </w:rPr>
      </w:pPr>
    </w:p>
    <w:p w14:paraId="27613A7C">
      <w:pPr>
        <w:pStyle w:val="9"/>
        <w:adjustRightInd w:val="0"/>
        <w:snapToGrid w:val="0"/>
        <w:spacing w:line="360" w:lineRule="auto"/>
        <w:ind w:firstLine="1124" w:firstLineChars="400"/>
        <w:rPr>
          <w:rFonts w:hint="eastAsia" w:ascii="宋体" w:hAnsi="宋体"/>
          <w:b/>
          <w:color w:val="auto"/>
          <w:sz w:val="28"/>
          <w:szCs w:val="28"/>
          <w:highlight w:val="none"/>
        </w:rPr>
      </w:pPr>
    </w:p>
    <w:p w14:paraId="6E09FEF7">
      <w:pPr>
        <w:pStyle w:val="9"/>
        <w:adjustRightInd w:val="0"/>
        <w:snapToGrid w:val="0"/>
        <w:spacing w:line="360" w:lineRule="auto"/>
        <w:ind w:firstLine="1124" w:firstLineChars="400"/>
        <w:rPr>
          <w:rFonts w:hint="eastAsia" w:ascii="宋体" w:hAnsi="宋体"/>
          <w:b/>
          <w:color w:val="auto"/>
          <w:sz w:val="28"/>
          <w:szCs w:val="28"/>
          <w:highlight w:val="none"/>
        </w:rPr>
      </w:pPr>
    </w:p>
    <w:p w14:paraId="638B0074">
      <w:pPr>
        <w:pStyle w:val="9"/>
        <w:adjustRightInd w:val="0"/>
        <w:snapToGrid w:val="0"/>
        <w:spacing w:line="360" w:lineRule="auto"/>
        <w:ind w:firstLine="1124" w:firstLineChars="400"/>
        <w:rPr>
          <w:rFonts w:hint="eastAsia" w:ascii="宋体" w:hAnsi="宋体"/>
          <w:b/>
          <w:color w:val="auto"/>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 xml:space="preserve">                                 </w:t>
      </w:r>
    </w:p>
    <w:p w14:paraId="55FABF8A">
      <w:pPr>
        <w:pStyle w:val="10"/>
        <w:adjustRightInd w:val="0"/>
        <w:snapToGrid w:val="0"/>
        <w:spacing w:line="360" w:lineRule="auto"/>
        <w:ind w:firstLine="632" w:firstLineChars="300"/>
        <w:rPr>
          <w:rFonts w:hint="eastAsia" w:hAnsi="宋体"/>
          <w:b/>
          <w:color w:val="auto"/>
          <w:szCs w:val="28"/>
          <w:highlight w:val="none"/>
        </w:rPr>
      </w:pPr>
    </w:p>
    <w:p w14:paraId="1F209009">
      <w:pPr>
        <w:pStyle w:val="10"/>
        <w:adjustRightInd w:val="0"/>
        <w:snapToGrid w:val="0"/>
        <w:spacing w:line="360" w:lineRule="auto"/>
        <w:ind w:firstLine="632" w:firstLineChars="300"/>
        <w:rPr>
          <w:rFonts w:hint="eastAsia" w:hAnsi="宋体"/>
          <w:b/>
          <w:color w:val="auto"/>
          <w:szCs w:val="28"/>
          <w:highlight w:val="none"/>
        </w:rPr>
      </w:pPr>
    </w:p>
    <w:p w14:paraId="06294722">
      <w:pPr>
        <w:pStyle w:val="10"/>
        <w:adjustRightInd w:val="0"/>
        <w:snapToGrid w:val="0"/>
        <w:spacing w:line="360" w:lineRule="auto"/>
        <w:ind w:firstLine="632" w:firstLineChars="300"/>
        <w:rPr>
          <w:rFonts w:hint="eastAsia" w:hAnsi="宋体"/>
          <w:b/>
          <w:color w:val="auto"/>
          <w:szCs w:val="28"/>
          <w:highlight w:val="none"/>
        </w:rPr>
      </w:pPr>
    </w:p>
    <w:p w14:paraId="49FF5993">
      <w:pPr>
        <w:pStyle w:val="10"/>
        <w:adjustRightInd w:val="0"/>
        <w:snapToGrid w:val="0"/>
        <w:spacing w:line="360" w:lineRule="auto"/>
        <w:ind w:firstLine="632" w:firstLineChars="300"/>
        <w:rPr>
          <w:rFonts w:hint="eastAsia" w:hAnsi="宋体"/>
          <w:b/>
          <w:color w:val="auto"/>
          <w:szCs w:val="28"/>
          <w:highlight w:val="none"/>
        </w:rPr>
      </w:pPr>
    </w:p>
    <w:p w14:paraId="67796C0C">
      <w:pPr>
        <w:pStyle w:val="10"/>
        <w:adjustRightInd w:val="0"/>
        <w:snapToGrid w:val="0"/>
        <w:spacing w:line="360" w:lineRule="auto"/>
        <w:ind w:firstLine="632" w:firstLineChars="300"/>
        <w:rPr>
          <w:rFonts w:hint="eastAsia" w:hAnsi="宋体"/>
          <w:b/>
          <w:color w:val="auto"/>
          <w:szCs w:val="28"/>
          <w:highlight w:val="none"/>
        </w:rPr>
      </w:pPr>
    </w:p>
    <w:p w14:paraId="742BA948">
      <w:pPr>
        <w:pStyle w:val="10"/>
        <w:adjustRightInd w:val="0"/>
        <w:snapToGrid w:val="0"/>
        <w:spacing w:line="360" w:lineRule="auto"/>
        <w:ind w:firstLine="632" w:firstLineChars="300"/>
        <w:rPr>
          <w:rFonts w:hint="eastAsia" w:hAnsi="宋体"/>
          <w:b/>
          <w:color w:val="auto"/>
          <w:szCs w:val="28"/>
          <w:highlight w:val="none"/>
        </w:rPr>
      </w:pPr>
    </w:p>
    <w:p w14:paraId="2519D416">
      <w:pPr>
        <w:spacing w:line="380" w:lineRule="exact"/>
        <w:ind w:firstLine="420" w:firstLineChars="200"/>
        <w:rPr>
          <w:rFonts w:hint="eastAsia" w:ascii="宋体" w:hAnsi="宋体"/>
          <w:color w:val="auto"/>
          <w:szCs w:val="28"/>
          <w:highlight w:val="none"/>
          <w:u w:val="single"/>
        </w:rPr>
      </w:pPr>
      <w:r>
        <w:rPr>
          <w:rFonts w:hint="eastAsia" w:ascii="宋体" w:hAnsi="宋体"/>
          <w:color w:val="auto"/>
          <w:szCs w:val="28"/>
          <w:highlight w:val="none"/>
        </w:rPr>
        <w:t>投标人名称：</w:t>
      </w:r>
      <w:r>
        <w:rPr>
          <w:rFonts w:hint="eastAsia" w:ascii="宋体" w:hAnsi="宋体"/>
          <w:color w:val="auto"/>
          <w:szCs w:val="28"/>
          <w:highlight w:val="none"/>
          <w:u w:val="single"/>
        </w:rPr>
        <w:t xml:space="preserve">                                     </w:t>
      </w:r>
    </w:p>
    <w:p w14:paraId="4352D244">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投标人地址：</w:t>
      </w:r>
      <w:r>
        <w:rPr>
          <w:rFonts w:hint="eastAsia" w:ascii="宋体" w:hAnsi="宋体"/>
          <w:color w:val="auto"/>
          <w:szCs w:val="28"/>
          <w:highlight w:val="none"/>
          <w:u w:val="single"/>
        </w:rPr>
        <w:t xml:space="preserve">                                     </w:t>
      </w:r>
    </w:p>
    <w:p w14:paraId="565567AE">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w:t>
      </w:r>
      <w:r>
        <w:rPr>
          <w:rFonts w:ascii="宋体" w:hAnsi="宋体"/>
          <w:color w:val="auto"/>
          <w:szCs w:val="28"/>
          <w:highlight w:val="none"/>
        </w:rPr>
        <w:t xml:space="preserve"> 系 人：</w:t>
      </w:r>
      <w:r>
        <w:rPr>
          <w:rFonts w:hint="eastAsia" w:ascii="宋体" w:hAnsi="宋体"/>
          <w:color w:val="auto"/>
          <w:szCs w:val="28"/>
          <w:highlight w:val="none"/>
          <w:u w:val="single"/>
        </w:rPr>
        <w:t xml:space="preserve">                                       </w:t>
      </w:r>
    </w:p>
    <w:p w14:paraId="010B1061">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联系电话：</w:t>
      </w:r>
      <w:r>
        <w:rPr>
          <w:rFonts w:hint="eastAsia" w:ascii="宋体" w:hAnsi="宋体"/>
          <w:color w:val="auto"/>
          <w:szCs w:val="28"/>
          <w:highlight w:val="none"/>
          <w:u w:val="single"/>
        </w:rPr>
        <w:t xml:space="preserve">                                       </w:t>
      </w:r>
    </w:p>
    <w:p w14:paraId="303E547F">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传真电话（或电子邮箱）：</w:t>
      </w:r>
      <w:r>
        <w:rPr>
          <w:rFonts w:hint="eastAsia" w:ascii="宋体" w:hAnsi="宋体"/>
          <w:color w:val="auto"/>
          <w:szCs w:val="28"/>
          <w:highlight w:val="none"/>
          <w:u w:val="single"/>
        </w:rPr>
        <w:t xml:space="preserve">                         </w:t>
      </w:r>
    </w:p>
    <w:p w14:paraId="55D62619">
      <w:pPr>
        <w:pStyle w:val="8"/>
        <w:ind w:firstLine="420" w:firstLineChars="200"/>
        <w:rPr>
          <w:color w:val="auto"/>
          <w:highlight w:val="none"/>
        </w:rPr>
      </w:pPr>
      <w:r>
        <w:rPr>
          <w:rFonts w:hint="eastAsia" w:ascii="宋体" w:hAnsi="宋体" w:eastAsia="宋体" w:cs="Arial"/>
          <w:b w:val="0"/>
          <w:color w:val="auto"/>
          <w:sz w:val="21"/>
          <w:szCs w:val="28"/>
          <w:highlight w:val="none"/>
        </w:rPr>
        <w:t>日期：</w:t>
      </w:r>
      <w:r>
        <w:rPr>
          <w:rFonts w:hint="eastAsia" w:ascii="宋体" w:hAnsi="宋体" w:eastAsia="宋体"/>
          <w:b w:val="0"/>
          <w:color w:val="auto"/>
          <w:sz w:val="21"/>
          <w:szCs w:val="28"/>
          <w:highlight w:val="none"/>
        </w:rPr>
        <w:t xml:space="preserve">     </w:t>
      </w:r>
      <w:r>
        <w:rPr>
          <w:rFonts w:hint="eastAsia" w:ascii="宋体" w:hAnsi="宋体"/>
          <w:color w:val="auto"/>
          <w:szCs w:val="28"/>
          <w:highlight w:val="none"/>
        </w:rPr>
        <w:t xml:space="preserve">                           </w:t>
      </w:r>
    </w:p>
    <w:p w14:paraId="05F2738A">
      <w:pPr>
        <w:pStyle w:val="4"/>
        <w:rPr>
          <w:rFonts w:hint="eastAsia"/>
          <w:bCs/>
          <w:color w:val="auto"/>
          <w:sz w:val="24"/>
          <w:highlight w:val="none"/>
        </w:rPr>
      </w:pPr>
      <w:r>
        <w:rPr>
          <w:rFonts w:hint="eastAsia"/>
          <w:bCs/>
          <w:color w:val="auto"/>
          <w:sz w:val="24"/>
          <w:highlight w:val="none"/>
        </w:rPr>
        <w:t>附件</w:t>
      </w:r>
      <w:bookmarkStart w:id="28" w:name="_Toc35834921"/>
      <w:bookmarkStart w:id="29" w:name="_Toc109467920"/>
      <w:bookmarkStart w:id="30" w:name="_Toc14450847"/>
      <w:bookmarkStart w:id="31" w:name="_Toc34535367"/>
      <w:bookmarkStart w:id="32" w:name="_Toc28489505"/>
      <w:r>
        <w:rPr>
          <w:rFonts w:hint="eastAsia"/>
          <w:bCs/>
          <w:color w:val="auto"/>
          <w:sz w:val="24"/>
          <w:highlight w:val="none"/>
        </w:rPr>
        <w:t xml:space="preserve">1                     </w:t>
      </w:r>
    </w:p>
    <w:p w14:paraId="59EF54A7">
      <w:pPr>
        <w:jc w:val="center"/>
        <w:rPr>
          <w:rFonts w:cs="Times New Roman"/>
          <w:b/>
          <w:color w:val="auto"/>
          <w:sz w:val="32"/>
          <w:szCs w:val="32"/>
          <w:highlight w:val="none"/>
        </w:rPr>
      </w:pPr>
      <w:r>
        <w:rPr>
          <w:rFonts w:hint="eastAsia" w:cs="Times New Roman"/>
          <w:b/>
          <w:bCs/>
          <w:color w:val="auto"/>
          <w:sz w:val="32"/>
          <w:szCs w:val="32"/>
          <w:highlight w:val="none"/>
        </w:rPr>
        <w:t>投标申请人声明</w:t>
      </w:r>
    </w:p>
    <w:p w14:paraId="3D1A8071">
      <w:pPr>
        <w:pStyle w:val="21"/>
        <w:spacing w:line="360" w:lineRule="auto"/>
        <w:ind w:firstLine="2650" w:firstLineChars="1100"/>
        <w:rPr>
          <w:rFonts w:hint="eastAsia" w:hAnsi="宋体"/>
          <w:b/>
          <w:color w:val="auto"/>
          <w:highlight w:val="none"/>
        </w:rPr>
      </w:pPr>
    </w:p>
    <w:p w14:paraId="61B4A91C">
      <w:pPr>
        <w:snapToGrid w:val="0"/>
        <w:spacing w:line="500" w:lineRule="exact"/>
        <w:rPr>
          <w:rFonts w:cs="Times New Roman"/>
          <w:color w:val="auto"/>
          <w:szCs w:val="28"/>
          <w:highlight w:val="none"/>
        </w:rPr>
      </w:pPr>
      <w:r>
        <w:rPr>
          <w:rFonts w:hint="eastAsia" w:cs="Times New Roman"/>
          <w:color w:val="auto"/>
          <w:szCs w:val="28"/>
          <w:highlight w:val="none"/>
        </w:rPr>
        <w:t>致：广州南沙</w:t>
      </w:r>
      <w:r>
        <w:rPr>
          <w:rFonts w:hint="eastAsia" w:cs="Times New Roman"/>
          <w:color w:val="auto"/>
          <w:szCs w:val="28"/>
          <w:highlight w:val="none"/>
          <w:lang w:val="en-US" w:eastAsia="zh-CN"/>
        </w:rPr>
        <w:t>文体投资</w:t>
      </w:r>
      <w:r>
        <w:rPr>
          <w:rFonts w:hint="eastAsia" w:cs="Times New Roman"/>
          <w:color w:val="auto"/>
          <w:szCs w:val="28"/>
          <w:highlight w:val="none"/>
        </w:rPr>
        <w:t>有限公司</w:t>
      </w:r>
    </w:p>
    <w:p w14:paraId="2DFB6711">
      <w:pPr>
        <w:snapToGrid w:val="0"/>
        <w:spacing w:line="500" w:lineRule="exact"/>
        <w:ind w:firstLine="630" w:firstLineChars="300"/>
        <w:rPr>
          <w:rFonts w:cs="Times New Roman"/>
          <w:color w:val="auto"/>
          <w:szCs w:val="28"/>
          <w:highlight w:val="none"/>
        </w:rPr>
      </w:pPr>
    </w:p>
    <w:p w14:paraId="1854E2DC">
      <w:pPr>
        <w:snapToGrid w:val="0"/>
        <w:spacing w:line="500" w:lineRule="exact"/>
        <w:ind w:firstLine="420" w:firstLineChars="200"/>
        <w:rPr>
          <w:rFonts w:cs="Times New Roman"/>
          <w:color w:val="auto"/>
          <w:szCs w:val="28"/>
          <w:highlight w:val="none"/>
        </w:rPr>
      </w:pPr>
      <w:r>
        <w:rPr>
          <w:rFonts w:hint="eastAsia" w:cs="Times New Roman"/>
          <w:color w:val="auto"/>
          <w:szCs w:val="28"/>
          <w:highlight w:val="none"/>
        </w:rPr>
        <w:t>本公司就参加</w:t>
      </w:r>
      <w:r>
        <w:rPr>
          <w:rFonts w:hint="eastAsia" w:cs="Times New Roman"/>
          <w:color w:val="auto"/>
          <w:szCs w:val="28"/>
          <w:highlight w:val="none"/>
          <w:u w:val="single"/>
          <w:lang w:eastAsia="zh-CN"/>
        </w:rPr>
        <w:t>《</w:t>
      </w:r>
      <w:r>
        <w:rPr>
          <w:rFonts w:hint="eastAsia" w:cs="Times New Roman"/>
          <w:color w:val="auto"/>
          <w:szCs w:val="28"/>
          <w:highlight w:val="none"/>
          <w:u w:val="single"/>
        </w:rPr>
        <w:t>2025“Head In The Clouds”（云思妙想）音乐艺术节——大湾区站（南沙）项目临时安保服务外包项目</w:t>
      </w:r>
      <w:r>
        <w:rPr>
          <w:rFonts w:hint="eastAsia" w:cs="Times New Roman"/>
          <w:color w:val="auto"/>
          <w:szCs w:val="28"/>
          <w:highlight w:val="none"/>
          <w:u w:val="single"/>
          <w:lang w:val="en-US" w:eastAsia="zh-CN"/>
        </w:rPr>
        <w:t>》</w:t>
      </w:r>
      <w:r>
        <w:rPr>
          <w:rFonts w:hint="eastAsia" w:cs="Times New Roman"/>
          <w:color w:val="auto"/>
          <w:szCs w:val="28"/>
          <w:highlight w:val="none"/>
        </w:rPr>
        <w:t>投标工作，作出郑重声明：</w:t>
      </w:r>
    </w:p>
    <w:p w14:paraId="69EB79C7">
      <w:pPr>
        <w:numPr>
          <w:ilvl w:val="1"/>
          <w:numId w:val="12"/>
        </w:numPr>
        <w:snapToGrid w:val="0"/>
        <w:spacing w:line="500" w:lineRule="exact"/>
        <w:rPr>
          <w:rFonts w:cs="Times New Roman"/>
          <w:color w:val="auto"/>
          <w:szCs w:val="28"/>
          <w:highlight w:val="none"/>
        </w:rPr>
      </w:pPr>
      <w:r>
        <w:rPr>
          <w:rFonts w:hint="eastAsia" w:cs="Times New Roman"/>
          <w:color w:val="auto"/>
          <w:szCs w:val="28"/>
          <w:highlight w:val="none"/>
        </w:rPr>
        <w:t>本公司保证投标报名材料及其后提供的一切材料都是真实的。</w:t>
      </w:r>
    </w:p>
    <w:p w14:paraId="751C2D7A">
      <w:pPr>
        <w:numPr>
          <w:ilvl w:val="1"/>
          <w:numId w:val="12"/>
        </w:numPr>
        <w:snapToGrid w:val="0"/>
        <w:spacing w:line="500" w:lineRule="exact"/>
        <w:rPr>
          <w:rFonts w:cs="Times New Roman"/>
          <w:color w:val="auto"/>
          <w:szCs w:val="28"/>
          <w:highlight w:val="none"/>
        </w:rPr>
      </w:pPr>
      <w:r>
        <w:rPr>
          <w:rFonts w:hint="eastAsia" w:cs="Times New Roman"/>
          <w:color w:val="auto"/>
          <w:szCs w:val="28"/>
          <w:highlight w:val="none"/>
        </w:rPr>
        <w:t>本公司保证不与其他单位围标、串标，不出让投标资格，不向招标单位或评标委员会成员行贿。</w:t>
      </w:r>
    </w:p>
    <w:p w14:paraId="6118D003">
      <w:pPr>
        <w:numPr>
          <w:ilvl w:val="1"/>
          <w:numId w:val="12"/>
        </w:numPr>
        <w:snapToGrid w:val="0"/>
        <w:spacing w:line="500" w:lineRule="exact"/>
        <w:rPr>
          <w:rFonts w:cs="Times New Roman"/>
          <w:color w:val="auto"/>
          <w:szCs w:val="28"/>
          <w:highlight w:val="none"/>
        </w:rPr>
      </w:pPr>
      <w:r>
        <w:rPr>
          <w:rFonts w:hint="eastAsia" w:cs="Times New Roman"/>
          <w:color w:val="auto"/>
          <w:szCs w:val="28"/>
          <w:highlight w:val="none"/>
        </w:rPr>
        <w:t>本公司没有处于被责令停业的状态；没有处于被取消投标资格的处罚期内；没有处于财产被接管、冻结、破产的状态；在</w:t>
      </w:r>
      <w:r>
        <w:rPr>
          <w:rFonts w:hint="eastAsia" w:cs="Times New Roman"/>
          <w:color w:val="auto"/>
          <w:szCs w:val="28"/>
          <w:highlight w:val="none"/>
          <w:lang w:val="en-US" w:eastAsia="zh-CN"/>
        </w:rPr>
        <w:t>地区</w:t>
      </w:r>
      <w:r>
        <w:rPr>
          <w:rFonts w:hint="eastAsia" w:cs="Times New Roman"/>
          <w:color w:val="auto"/>
          <w:szCs w:val="28"/>
          <w:highlight w:val="none"/>
        </w:rPr>
        <w:t>人民检察院行贿犯罪档案结果中，本公司没有在投标报名截止时间前三年内被人民法院判决犯有行贿罪的记录；在投标报名截止日期前三年内，本公司没有弄虚作假骗取中标、围标串标行为（以行政部门或法院或检察院书面认定为准）。</w:t>
      </w:r>
    </w:p>
    <w:p w14:paraId="000EB847">
      <w:pPr>
        <w:numPr>
          <w:ilvl w:val="1"/>
          <w:numId w:val="12"/>
        </w:numPr>
        <w:snapToGrid w:val="0"/>
        <w:spacing w:line="500" w:lineRule="exact"/>
        <w:rPr>
          <w:rFonts w:cs="Times New Roman"/>
          <w:color w:val="auto"/>
          <w:szCs w:val="28"/>
          <w:highlight w:val="none"/>
        </w:rPr>
      </w:pPr>
      <w:r>
        <w:rPr>
          <w:rFonts w:hint="eastAsia" w:cs="Times New Roman"/>
          <w:color w:val="auto"/>
          <w:szCs w:val="28"/>
          <w:highlight w:val="none"/>
        </w:rPr>
        <w:t>本公司及其有隶属关系的机构，没有参加本项目采购文件的编写工作。本公司违反上述保证或本声明陈述与事实不符，经查实，本公司愿意接受公开通报，承担由此带来的法律后果，同意由招标人将本公司列入不良行为记录名单，在一至三年内禁止参加招标人的招标活动。</w:t>
      </w:r>
    </w:p>
    <w:p w14:paraId="2ABD7C7D">
      <w:pPr>
        <w:numPr>
          <w:ilvl w:val="-1"/>
          <w:numId w:val="0"/>
        </w:numPr>
        <w:snapToGrid w:val="0"/>
        <w:spacing w:line="500" w:lineRule="exact"/>
        <w:ind w:left="802" w:leftChars="182" w:hanging="420" w:hangingChars="200"/>
        <w:rPr>
          <w:rFonts w:hint="eastAsia" w:eastAsia="宋体" w:cs="Times New Roman"/>
          <w:color w:val="auto"/>
          <w:szCs w:val="28"/>
          <w:highlight w:val="none"/>
          <w:lang w:val="en-US" w:eastAsia="zh-CN"/>
        </w:rPr>
      </w:pPr>
      <w:r>
        <w:rPr>
          <w:rFonts w:hint="eastAsia" w:cs="Times New Roman"/>
          <w:color w:val="auto"/>
          <w:szCs w:val="28"/>
          <w:highlight w:val="none"/>
          <w:lang w:val="en-US" w:eastAsia="zh-CN"/>
        </w:rPr>
        <w:t>五、</w:t>
      </w:r>
      <w:r>
        <w:rPr>
          <w:rFonts w:hint="eastAsia" w:ascii="Calibri" w:hAnsi="Calibri" w:cs="Times New Roman"/>
          <w:color w:val="auto"/>
          <w:sz w:val="21"/>
          <w:szCs w:val="28"/>
          <w:highlight w:val="none"/>
          <w:lang w:val="en-US" w:eastAsia="zh-CN"/>
        </w:rPr>
        <w:t>本公司</w:t>
      </w:r>
      <w:r>
        <w:rPr>
          <w:rFonts w:hint="eastAsia" w:cs="Times New Roman"/>
          <w:color w:val="auto"/>
          <w:szCs w:val="28"/>
          <w:highlight w:val="none"/>
        </w:rPr>
        <w:t>在投标报名截止日期前三年内</w:t>
      </w:r>
      <w:r>
        <w:rPr>
          <w:rFonts w:hint="eastAsia" w:ascii="Calibri" w:hAnsi="Calibri" w:cs="Times New Roman"/>
          <w:color w:val="auto"/>
          <w:sz w:val="21"/>
          <w:szCs w:val="28"/>
          <w:highlight w:val="none"/>
          <w:lang w:val="en-US" w:eastAsia="zh-CN"/>
        </w:rPr>
        <w:t>未被劳动监察部门依据法律法规进行处罚，在项目履行过程中将严格遵守劳动法律法规。</w:t>
      </w:r>
    </w:p>
    <w:p w14:paraId="2871B0C6">
      <w:pPr>
        <w:snapToGrid w:val="0"/>
        <w:spacing w:line="500" w:lineRule="exact"/>
        <w:ind w:left="420" w:firstLine="420" w:firstLineChars="200"/>
        <w:rPr>
          <w:rFonts w:cs="Times New Roman"/>
          <w:color w:val="auto"/>
          <w:szCs w:val="28"/>
          <w:highlight w:val="none"/>
        </w:rPr>
      </w:pPr>
      <w:r>
        <w:rPr>
          <w:rFonts w:hint="eastAsia" w:cs="Times New Roman"/>
          <w:color w:val="auto"/>
          <w:szCs w:val="28"/>
          <w:highlight w:val="none"/>
        </w:rPr>
        <w:t>特此声明。</w:t>
      </w:r>
    </w:p>
    <w:p w14:paraId="64A52B62">
      <w:pPr>
        <w:snapToGrid w:val="0"/>
        <w:spacing w:before="156" w:beforeLines="50" w:line="360" w:lineRule="auto"/>
        <w:ind w:left="420"/>
        <w:rPr>
          <w:rFonts w:cs="Times New Roman"/>
          <w:color w:val="auto"/>
          <w:szCs w:val="28"/>
          <w:highlight w:val="none"/>
        </w:rPr>
      </w:pPr>
    </w:p>
    <w:p w14:paraId="2F23924E">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w:t>
      </w:r>
    </w:p>
    <w:p w14:paraId="26FF8DEB">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声明企业：（企业公章）</w:t>
      </w:r>
    </w:p>
    <w:p w14:paraId="0BD64F8B">
      <w:pPr>
        <w:pStyle w:val="22"/>
        <w:widowControl w:val="0"/>
        <w:spacing w:before="0" w:beforeAutospacing="0" w:after="0" w:afterAutospacing="0" w:line="360" w:lineRule="auto"/>
        <w:rPr>
          <w:rFonts w:hint="eastAsia" w:cs="Times New Roman"/>
          <w:color w:val="auto"/>
          <w:highlight w:val="none"/>
          <w:u w:val="single"/>
        </w:rPr>
      </w:pPr>
      <w:r>
        <w:rPr>
          <w:rFonts w:hint="eastAsia" w:cs="Times New Roman"/>
          <w:color w:val="auto"/>
          <w:highlight w:val="none"/>
        </w:rPr>
        <w:t xml:space="preserve">        法定代表人签字：</w:t>
      </w:r>
      <w:r>
        <w:rPr>
          <w:rFonts w:hint="eastAsia" w:cs="Times New Roman"/>
          <w:color w:val="auto"/>
          <w:highlight w:val="none"/>
          <w:u w:val="single"/>
        </w:rPr>
        <w:t xml:space="preserve">                       </w:t>
      </w:r>
    </w:p>
    <w:p w14:paraId="373BAC56">
      <w:pPr>
        <w:wordWrap w:val="0"/>
        <w:snapToGrid w:val="0"/>
        <w:spacing w:before="156" w:beforeLines="50" w:line="360" w:lineRule="auto"/>
        <w:ind w:left="420"/>
        <w:jc w:val="right"/>
        <w:rPr>
          <w:rFonts w:hint="eastAsia" w:ascii="宋体" w:hAnsi="宋体" w:cs="Times New Roman"/>
          <w:color w:val="auto"/>
          <w:szCs w:val="28"/>
          <w:highlight w:val="none"/>
        </w:rPr>
      </w:pPr>
      <w:r>
        <w:rPr>
          <w:rFonts w:hint="eastAsia" w:ascii="宋体" w:hAnsi="宋体" w:cs="Times New Roman"/>
          <w:color w:val="auto"/>
          <w:szCs w:val="28"/>
          <w:highlight w:val="none"/>
        </w:rPr>
        <w:t xml:space="preserve">        年       月       日     </w:t>
      </w:r>
    </w:p>
    <w:p w14:paraId="78D5F813">
      <w:pPr>
        <w:pStyle w:val="22"/>
        <w:widowControl w:val="0"/>
        <w:spacing w:before="0" w:beforeAutospacing="0" w:after="0" w:afterAutospacing="0" w:line="360" w:lineRule="auto"/>
        <w:jc w:val="left"/>
        <w:rPr>
          <w:rFonts w:hint="eastAsia" w:cs="Times New Roman"/>
          <w:color w:val="auto"/>
          <w:highlight w:val="none"/>
          <w:u w:val="single"/>
        </w:rPr>
      </w:pPr>
      <w:r>
        <w:rPr>
          <w:rFonts w:hint="eastAsia"/>
          <w:b/>
          <w:bCs w:val="0"/>
          <w:color w:val="auto"/>
          <w:sz w:val="24"/>
          <w:highlight w:val="none"/>
        </w:rPr>
        <w:t xml:space="preserve">附件2 </w:t>
      </w:r>
      <w:r>
        <w:rPr>
          <w:rFonts w:hint="eastAsia"/>
          <w:bCs/>
          <w:color w:val="auto"/>
          <w:sz w:val="24"/>
          <w:highlight w:val="none"/>
        </w:rPr>
        <w:t xml:space="preserve">    </w:t>
      </w:r>
    </w:p>
    <w:p w14:paraId="2DF9CA48">
      <w:pPr>
        <w:pStyle w:val="4"/>
        <w:jc w:val="center"/>
        <w:rPr>
          <w:rFonts w:hint="eastAsia"/>
          <w:bCs/>
          <w:color w:val="auto"/>
          <w:sz w:val="24"/>
          <w:highlight w:val="none"/>
        </w:rPr>
      </w:pPr>
    </w:p>
    <w:p w14:paraId="5A8D011C">
      <w:pPr>
        <w:pStyle w:val="4"/>
        <w:jc w:val="center"/>
        <w:rPr>
          <w:rFonts w:hint="eastAsia"/>
          <w:bCs/>
          <w:color w:val="auto"/>
          <w:sz w:val="24"/>
          <w:highlight w:val="none"/>
        </w:rPr>
      </w:pPr>
      <w:r>
        <w:rPr>
          <w:rFonts w:hint="eastAsia"/>
          <w:bCs/>
          <w:color w:val="auto"/>
          <w:sz w:val="24"/>
          <w:highlight w:val="none"/>
        </w:rPr>
        <w:t>法定代表人证明书</w:t>
      </w:r>
      <w:bookmarkEnd w:id="28"/>
      <w:bookmarkEnd w:id="29"/>
      <w:bookmarkEnd w:id="30"/>
      <w:bookmarkEnd w:id="31"/>
      <w:bookmarkEnd w:id="32"/>
    </w:p>
    <w:p w14:paraId="4A3AC9C6">
      <w:pPr>
        <w:pStyle w:val="23"/>
        <w:rPr>
          <w:rFonts w:hint="eastAsia"/>
          <w:color w:val="auto"/>
          <w:highlight w:val="none"/>
        </w:rPr>
      </w:pPr>
    </w:p>
    <w:p w14:paraId="1C202234">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先生/女士，现任我公司</w:t>
      </w:r>
      <w:r>
        <w:rPr>
          <w:rFonts w:hint="eastAsia" w:ascii="宋体" w:hAnsi="宋体"/>
          <w:color w:val="auto"/>
          <w:sz w:val="24"/>
          <w:highlight w:val="none"/>
          <w:u w:val="single"/>
        </w:rPr>
        <w:t xml:space="preserve">         </w:t>
      </w:r>
      <w:r>
        <w:rPr>
          <w:rFonts w:hint="eastAsia" w:ascii="宋体" w:hAnsi="宋体"/>
          <w:color w:val="auto"/>
          <w:sz w:val="24"/>
          <w:highlight w:val="none"/>
        </w:rPr>
        <w:t>职务，为法定代表人，特此证明。</w:t>
      </w:r>
    </w:p>
    <w:p w14:paraId="029478E2">
      <w:pPr>
        <w:spacing w:line="360" w:lineRule="auto"/>
        <w:rPr>
          <w:rFonts w:hint="eastAsia" w:ascii="宋体" w:hAnsi="宋体"/>
          <w:color w:val="auto"/>
          <w:sz w:val="24"/>
          <w:highlight w:val="none"/>
        </w:rPr>
      </w:pPr>
    </w:p>
    <w:p w14:paraId="41A4129F">
      <w:pPr>
        <w:spacing w:line="360" w:lineRule="auto"/>
        <w:rPr>
          <w:rFonts w:hint="eastAsia" w:ascii="宋体" w:hAnsi="宋体"/>
          <w:color w:val="auto"/>
          <w:sz w:val="24"/>
          <w:highlight w:val="none"/>
        </w:rPr>
      </w:pPr>
      <w:r>
        <w:rPr>
          <w:rFonts w:hint="eastAsia" w:ascii="宋体" w:hAnsi="宋体"/>
          <w:color w:val="auto"/>
          <w:sz w:val="24"/>
          <w:highlight w:val="none"/>
        </w:rPr>
        <w:t>单位（盖公章）：</w:t>
      </w:r>
    </w:p>
    <w:p w14:paraId="1EFB14B7">
      <w:pPr>
        <w:spacing w:line="360" w:lineRule="auto"/>
        <w:rPr>
          <w:rFonts w:hint="eastAsia" w:ascii="宋体" w:hAnsi="宋体"/>
          <w:color w:val="auto"/>
          <w:sz w:val="24"/>
          <w:highlight w:val="none"/>
        </w:rPr>
      </w:pPr>
    </w:p>
    <w:p w14:paraId="502ED7EF">
      <w:pPr>
        <w:spacing w:line="360" w:lineRule="auto"/>
        <w:rPr>
          <w:rFonts w:hint="eastAsia" w:ascii="宋体" w:hAnsi="宋体"/>
          <w:color w:val="auto"/>
          <w:sz w:val="24"/>
          <w:highlight w:val="none"/>
        </w:rPr>
      </w:pPr>
      <w:r>
        <w:rPr>
          <w:rFonts w:hint="eastAsia" w:ascii="宋体" w:hAnsi="宋体"/>
          <w:color w:val="auto"/>
          <w:sz w:val="24"/>
          <w:highlight w:val="none"/>
        </w:rPr>
        <w:t>附：</w:t>
      </w:r>
    </w:p>
    <w:p w14:paraId="0FA7EC88">
      <w:pPr>
        <w:spacing w:line="360" w:lineRule="auto"/>
        <w:rPr>
          <w:rFonts w:hint="eastAsia" w:ascii="宋体" w:hAnsi="宋体"/>
          <w:color w:val="auto"/>
          <w:sz w:val="24"/>
          <w:highlight w:val="none"/>
        </w:rPr>
      </w:pPr>
      <w:r>
        <w:rPr>
          <w:rFonts w:hint="eastAsia" w:ascii="宋体" w:hAnsi="宋体"/>
          <w:color w:val="auto"/>
          <w:sz w:val="24"/>
          <w:highlight w:val="none"/>
        </w:rPr>
        <w:t>代表人性别：</w:t>
      </w:r>
      <w:r>
        <w:rPr>
          <w:rFonts w:hint="eastAsia" w:ascii="宋体" w:hAnsi="宋体"/>
          <w:color w:val="auto"/>
          <w:sz w:val="24"/>
          <w:highlight w:val="none"/>
          <w:u w:val="single"/>
        </w:rPr>
        <w:t xml:space="preserve">                             </w:t>
      </w:r>
    </w:p>
    <w:p w14:paraId="59F821B6">
      <w:pPr>
        <w:spacing w:line="360" w:lineRule="auto"/>
        <w:rPr>
          <w:rFonts w:hint="eastAsia"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4ABA9875">
      <w:pPr>
        <w:spacing w:line="360" w:lineRule="auto"/>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D47AD2E">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纳税人识别号</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45595BD6">
      <w:pPr>
        <w:spacing w:line="360" w:lineRule="auto"/>
        <w:rPr>
          <w:rFonts w:hint="eastAsia" w:ascii="宋体" w:hAnsi="宋体"/>
          <w:color w:val="auto"/>
          <w:sz w:val="24"/>
          <w:highlight w:val="none"/>
        </w:rPr>
      </w:pPr>
      <w:r>
        <w:rPr>
          <w:rFonts w:hint="eastAsia" w:ascii="宋体" w:hAnsi="宋体"/>
          <w:color w:val="auto"/>
          <w:sz w:val="24"/>
          <w:highlight w:val="none"/>
        </w:rPr>
        <w:t>经济性质：</w:t>
      </w:r>
      <w:r>
        <w:rPr>
          <w:rFonts w:hint="eastAsia" w:ascii="宋体" w:hAnsi="宋体"/>
          <w:color w:val="auto"/>
          <w:sz w:val="24"/>
          <w:highlight w:val="none"/>
          <w:u w:val="single"/>
        </w:rPr>
        <w:t xml:space="preserve">                               </w:t>
      </w:r>
    </w:p>
    <w:p w14:paraId="6E357D07">
      <w:pPr>
        <w:spacing w:line="360" w:lineRule="auto"/>
        <w:rPr>
          <w:rFonts w:hint="eastAsia" w:ascii="宋体" w:hAnsi="宋体"/>
          <w:color w:val="auto"/>
          <w:sz w:val="24"/>
          <w:highlight w:val="none"/>
          <w:u w:val="single"/>
        </w:rPr>
      </w:pPr>
      <w:r>
        <w:rPr>
          <w:rFonts w:hint="eastAsia" w:ascii="宋体" w:hAnsi="宋体"/>
          <w:color w:val="auto"/>
          <w:sz w:val="24"/>
          <w:highlight w:val="none"/>
        </w:rPr>
        <w:t>主营（产）：</w:t>
      </w:r>
      <w:r>
        <w:rPr>
          <w:rFonts w:hint="eastAsia" w:ascii="宋体" w:hAnsi="宋体"/>
          <w:color w:val="auto"/>
          <w:sz w:val="24"/>
          <w:highlight w:val="none"/>
          <w:u w:val="single"/>
        </w:rPr>
        <w:t xml:space="preserve">                              </w:t>
      </w:r>
    </w:p>
    <w:p w14:paraId="42474DCC">
      <w:pPr>
        <w:spacing w:line="360" w:lineRule="auto"/>
        <w:rPr>
          <w:rFonts w:hint="eastAsia" w:ascii="宋体" w:hAnsi="宋体"/>
          <w:bCs/>
          <w:color w:val="auto"/>
          <w:sz w:val="24"/>
          <w:highlight w:val="none"/>
          <w:u w:val="single"/>
        </w:rPr>
      </w:pPr>
    </w:p>
    <w:p w14:paraId="7DBAE78A">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CF7E68">
                            <w:pPr>
                              <w:jc w:val="center"/>
                            </w:pPr>
                            <w:r>
                              <w:rPr>
                                <w:rFonts w:hint="eastAsia"/>
                              </w:rPr>
                              <w:t>加盖投标人公章</w:t>
                            </w:r>
                          </w:p>
                          <w:p w14:paraId="7A613B90">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14:paraId="6ECF7E68">
                      <w:pPr>
                        <w:jc w:val="center"/>
                      </w:pPr>
                      <w:r>
                        <w:rPr>
                          <w:rFonts w:hint="eastAsia"/>
                        </w:rPr>
                        <w:t>加盖投标人公章</w:t>
                      </w:r>
                    </w:p>
                    <w:p w14:paraId="7A613B90">
                      <w:pPr>
                        <w:jc w:val="center"/>
                      </w:pPr>
                    </w:p>
                  </w:txbxContent>
                </v:textbox>
              </v:shape>
            </w:pict>
          </mc:Fallback>
        </mc:AlternateContent>
      </w:r>
    </w:p>
    <w:tbl>
      <w:tblPr>
        <w:tblStyle w:val="16"/>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49DC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14:paraId="74878F3E">
            <w:pPr>
              <w:spacing w:line="460" w:lineRule="exact"/>
              <w:ind w:right="-85"/>
              <w:jc w:val="center"/>
              <w:rPr>
                <w:rFonts w:hint="eastAsia" w:ascii="宋体" w:hAnsi="宋体"/>
                <w:color w:val="auto"/>
                <w:highlight w:val="none"/>
              </w:rPr>
            </w:pPr>
            <w:r>
              <w:rPr>
                <w:rFonts w:hint="eastAsia" w:ascii="宋体" w:hAnsi="宋体"/>
                <w:color w:val="auto"/>
                <w:highlight w:val="none"/>
              </w:rPr>
              <w:t>（法人代表身份证复印件）</w:t>
            </w:r>
          </w:p>
        </w:tc>
      </w:tr>
    </w:tbl>
    <w:p w14:paraId="429A68EF">
      <w:pPr>
        <w:spacing w:line="360" w:lineRule="auto"/>
        <w:ind w:left="420" w:hanging="420" w:hangingChars="200"/>
        <w:rPr>
          <w:rFonts w:hint="eastAsia" w:ascii="宋体" w:hAnsi="宋体"/>
          <w:bCs/>
          <w:color w:val="auto"/>
          <w:highlight w:val="none"/>
        </w:rPr>
      </w:pPr>
    </w:p>
    <w:p w14:paraId="5DE608FB">
      <w:pPr>
        <w:spacing w:line="360" w:lineRule="auto"/>
        <w:ind w:left="422" w:hanging="422" w:hangingChars="200"/>
        <w:rPr>
          <w:rFonts w:hint="eastAsia" w:ascii="宋体" w:hAnsi="宋体"/>
          <w:b/>
          <w:bCs/>
          <w:color w:val="auto"/>
          <w:highlight w:val="none"/>
        </w:rPr>
      </w:pPr>
      <w:r>
        <w:rPr>
          <w:rFonts w:hint="eastAsia" w:ascii="宋体" w:hAnsi="宋体"/>
          <w:b/>
          <w:bCs/>
          <w:color w:val="auto"/>
          <w:highlight w:val="none"/>
        </w:rPr>
        <w:t>注：法定代表人的姓名必须与营业执照法定代表人姓名完全一致。</w:t>
      </w:r>
    </w:p>
    <w:p w14:paraId="6CD100E8">
      <w:pPr>
        <w:pStyle w:val="4"/>
        <w:rPr>
          <w:rFonts w:hint="eastAsia"/>
          <w:bCs/>
          <w:color w:val="auto"/>
          <w:sz w:val="24"/>
          <w:highlight w:val="none"/>
        </w:rPr>
      </w:pPr>
      <w:r>
        <w:rPr>
          <w:color w:val="auto"/>
          <w:highlight w:val="none"/>
        </w:rPr>
        <w:br w:type="page"/>
      </w:r>
      <w:bookmarkStart w:id="33" w:name="_Toc34535368"/>
      <w:bookmarkStart w:id="34" w:name="_Toc14450848"/>
      <w:bookmarkStart w:id="35" w:name="_Toc109467921"/>
      <w:bookmarkStart w:id="36" w:name="_Toc35834922"/>
      <w:bookmarkStart w:id="37" w:name="_Toc28489506"/>
      <w:r>
        <w:rPr>
          <w:rFonts w:hint="eastAsia"/>
          <w:bCs/>
          <w:color w:val="auto"/>
          <w:sz w:val="24"/>
          <w:highlight w:val="none"/>
        </w:rPr>
        <w:t xml:space="preserve">               </w:t>
      </w:r>
    </w:p>
    <w:p w14:paraId="20A5FD6A">
      <w:pPr>
        <w:pStyle w:val="4"/>
        <w:jc w:val="center"/>
        <w:rPr>
          <w:rFonts w:hint="eastAsia"/>
          <w:bCs/>
          <w:color w:val="auto"/>
          <w:sz w:val="24"/>
          <w:highlight w:val="none"/>
        </w:rPr>
      </w:pPr>
      <w:r>
        <w:rPr>
          <w:rFonts w:hint="eastAsia"/>
          <w:bCs/>
          <w:color w:val="auto"/>
          <w:sz w:val="24"/>
          <w:highlight w:val="none"/>
        </w:rPr>
        <w:t>法定代表人授权委托书</w:t>
      </w:r>
      <w:bookmarkEnd w:id="33"/>
      <w:bookmarkEnd w:id="34"/>
      <w:bookmarkEnd w:id="35"/>
      <w:bookmarkEnd w:id="36"/>
      <w:bookmarkEnd w:id="37"/>
    </w:p>
    <w:p w14:paraId="4C585C34">
      <w:pPr>
        <w:pStyle w:val="23"/>
        <w:rPr>
          <w:rFonts w:hint="eastAsia"/>
          <w:color w:val="auto"/>
          <w:highlight w:val="none"/>
        </w:rPr>
      </w:pPr>
    </w:p>
    <w:p w14:paraId="1A28A3D2">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兹授权</w:t>
      </w:r>
      <w:r>
        <w:rPr>
          <w:rFonts w:hint="eastAsia" w:ascii="宋体" w:hAnsi="宋体"/>
          <w:bCs/>
          <w:color w:val="auto"/>
          <w:sz w:val="24"/>
          <w:highlight w:val="none"/>
          <w:u w:val="single"/>
        </w:rPr>
        <w:t xml:space="preserve">     </w:t>
      </w:r>
      <w:r>
        <w:rPr>
          <w:rFonts w:hint="eastAsia" w:ascii="宋体" w:hAnsi="宋体"/>
          <w:bCs/>
          <w:color w:val="auto"/>
          <w:sz w:val="24"/>
          <w:highlight w:val="none"/>
        </w:rPr>
        <w:t>（身份证号</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，性别：</w:t>
      </w:r>
      <w:r>
        <w:rPr>
          <w:rFonts w:hint="eastAsia" w:ascii="宋体" w:hAnsi="宋体"/>
          <w:bCs/>
          <w:color w:val="auto"/>
          <w:sz w:val="24"/>
          <w:highlight w:val="none"/>
          <w:u w:val="single"/>
        </w:rPr>
        <w:t xml:space="preserve">   </w:t>
      </w:r>
      <w:r>
        <w:rPr>
          <w:rFonts w:hint="eastAsia" w:ascii="宋体" w:hAnsi="宋体"/>
          <w:bCs/>
          <w:color w:val="auto"/>
          <w:sz w:val="24"/>
          <w:highlight w:val="none"/>
        </w:rPr>
        <w:t>，年龄：</w:t>
      </w:r>
      <w:r>
        <w:rPr>
          <w:rFonts w:hint="eastAsia" w:ascii="宋体" w:hAnsi="宋体"/>
          <w:bCs/>
          <w:color w:val="auto"/>
          <w:sz w:val="24"/>
          <w:highlight w:val="none"/>
          <w:u w:val="single"/>
        </w:rPr>
        <w:t xml:space="preserve">     </w:t>
      </w:r>
      <w:r>
        <w:rPr>
          <w:rFonts w:hint="eastAsia" w:ascii="宋体" w:hAnsi="宋体"/>
          <w:bCs/>
          <w:color w:val="auto"/>
          <w:sz w:val="24"/>
          <w:highlight w:val="none"/>
        </w:rPr>
        <w:t>，职务：</w:t>
      </w:r>
      <w:r>
        <w:rPr>
          <w:rFonts w:hint="eastAsia" w:ascii="宋体" w:hAnsi="宋体"/>
          <w:bCs/>
          <w:color w:val="auto"/>
          <w:sz w:val="24"/>
          <w:highlight w:val="none"/>
          <w:u w:val="single"/>
        </w:rPr>
        <w:t xml:space="preserve">     </w:t>
      </w:r>
      <w:r>
        <w:rPr>
          <w:rFonts w:hint="eastAsia" w:ascii="宋体" w:hAnsi="宋体"/>
          <w:bCs/>
          <w:color w:val="auto"/>
          <w:sz w:val="24"/>
          <w:highlight w:val="none"/>
        </w:rPr>
        <w:t>，联系电话：</w:t>
      </w:r>
      <w:r>
        <w:rPr>
          <w:rFonts w:hint="eastAsia" w:ascii="宋体" w:hAnsi="宋体"/>
          <w:bCs/>
          <w:color w:val="auto"/>
          <w:sz w:val="24"/>
          <w:highlight w:val="none"/>
          <w:u w:val="single"/>
        </w:rPr>
        <w:t xml:space="preserve">                </w:t>
      </w:r>
      <w:r>
        <w:rPr>
          <w:rFonts w:hint="eastAsia" w:ascii="宋体" w:hAnsi="宋体"/>
          <w:bCs/>
          <w:color w:val="auto"/>
          <w:sz w:val="24"/>
          <w:highlight w:val="none"/>
        </w:rPr>
        <w:t>），作为投标人代表以本公司的名义处理一切与之有关的事宜。</w:t>
      </w:r>
    </w:p>
    <w:p w14:paraId="29644AB0">
      <w:pPr>
        <w:spacing w:line="360" w:lineRule="auto"/>
        <w:ind w:left="2" w:firstLine="460" w:firstLineChars="192"/>
        <w:rPr>
          <w:rFonts w:hint="eastAsia" w:ascii="宋体" w:hAnsi="宋体"/>
          <w:bCs/>
          <w:color w:val="auto"/>
          <w:sz w:val="24"/>
          <w:highlight w:val="none"/>
        </w:rPr>
      </w:pPr>
      <w:r>
        <w:rPr>
          <w:rFonts w:hint="eastAsia" w:ascii="宋体" w:hAnsi="宋体"/>
          <w:color w:val="auto"/>
          <w:sz w:val="24"/>
          <w:highlight w:val="none"/>
        </w:rPr>
        <w:t>代理人无转委权。</w:t>
      </w:r>
    </w:p>
    <w:p w14:paraId="6A0C60EA">
      <w:pPr>
        <w:spacing w:line="360" w:lineRule="auto"/>
        <w:ind w:left="2" w:firstLine="460" w:firstLineChars="192"/>
        <w:rPr>
          <w:rFonts w:hint="eastAsia" w:ascii="宋体" w:hAnsi="宋体"/>
          <w:color w:val="auto"/>
          <w:sz w:val="24"/>
          <w:highlight w:val="none"/>
        </w:rPr>
      </w:pPr>
      <w:r>
        <w:rPr>
          <w:rFonts w:hint="eastAsia" w:ascii="宋体" w:hAnsi="宋体"/>
          <w:bCs/>
          <w:color w:val="auto"/>
          <w:sz w:val="24"/>
          <w:highlight w:val="none"/>
        </w:rPr>
        <w:t>本授权书于</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日签字生效，</w:t>
      </w:r>
      <w:r>
        <w:rPr>
          <w:rFonts w:hint="eastAsia" w:ascii="宋体" w:hAnsi="宋体"/>
          <w:color w:val="auto"/>
          <w:sz w:val="24"/>
          <w:highlight w:val="none"/>
        </w:rPr>
        <w:t>有效日期：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color w:val="auto"/>
          <w:sz w:val="24"/>
          <w:highlight w:val="none"/>
        </w:rPr>
        <w:t xml:space="preserve">  </w:t>
      </w:r>
    </w:p>
    <w:p w14:paraId="78D66B29">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特此声明。</w:t>
      </w:r>
    </w:p>
    <w:p w14:paraId="00474BC3">
      <w:pPr>
        <w:spacing w:line="360" w:lineRule="auto"/>
        <w:rPr>
          <w:rFonts w:hint="eastAsia" w:ascii="宋体" w:hAnsi="宋体"/>
          <w:bCs/>
          <w:color w:val="auto"/>
          <w:sz w:val="24"/>
          <w:highlight w:val="none"/>
        </w:rPr>
      </w:pPr>
    </w:p>
    <w:p w14:paraId="7CFB17EE">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法定代表人签字或盖章：</w:t>
      </w:r>
      <w:r>
        <w:rPr>
          <w:rFonts w:hint="eastAsia" w:ascii="宋体" w:hAnsi="宋体"/>
          <w:bCs/>
          <w:color w:val="auto"/>
          <w:sz w:val="24"/>
          <w:highlight w:val="none"/>
          <w:u w:val="single"/>
        </w:rPr>
        <w:t xml:space="preserve">                                  </w:t>
      </w:r>
    </w:p>
    <w:p w14:paraId="421BDA02">
      <w:pPr>
        <w:spacing w:line="360" w:lineRule="auto"/>
        <w:rPr>
          <w:rFonts w:hint="eastAsia" w:ascii="宋体" w:hAnsi="宋体"/>
          <w:bCs/>
          <w:color w:val="auto"/>
          <w:sz w:val="24"/>
          <w:highlight w:val="none"/>
        </w:rPr>
      </w:pPr>
    </w:p>
    <w:p w14:paraId="3D7DBFF5">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投标人代表（授权代表）签字或盖章：</w:t>
      </w:r>
      <w:r>
        <w:rPr>
          <w:rFonts w:hint="eastAsia" w:ascii="宋体" w:hAnsi="宋体"/>
          <w:bCs/>
          <w:color w:val="auto"/>
          <w:sz w:val="24"/>
          <w:highlight w:val="none"/>
          <w:u w:val="single"/>
        </w:rPr>
        <w:t xml:space="preserve">                    </w:t>
      </w:r>
    </w:p>
    <w:p w14:paraId="39D9D50A">
      <w:pPr>
        <w:spacing w:line="360" w:lineRule="auto"/>
        <w:rPr>
          <w:rFonts w:hint="eastAsia" w:ascii="宋体" w:hAnsi="宋体"/>
          <w:bCs/>
          <w:color w:val="auto"/>
          <w:sz w:val="24"/>
          <w:highlight w:val="none"/>
        </w:rPr>
      </w:pPr>
    </w:p>
    <w:p w14:paraId="7C1EDF67">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7E886B">
                            <w:pPr>
                              <w:jc w:val="center"/>
                            </w:pPr>
                            <w:r>
                              <w:rPr>
                                <w:rFonts w:hint="eastAsia"/>
                              </w:rPr>
                              <w:t>加盖投标人公章</w:t>
                            </w:r>
                          </w:p>
                          <w:p w14:paraId="6FCCB4E4"/>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14:paraId="187E886B">
                      <w:pPr>
                        <w:jc w:val="center"/>
                      </w:pPr>
                      <w:r>
                        <w:rPr>
                          <w:rFonts w:hint="eastAsia"/>
                        </w:rPr>
                        <w:t>加盖投标人公章</w:t>
                      </w:r>
                    </w:p>
                    <w:p w14:paraId="6FCCB4E4"/>
                  </w:txbxContent>
                </v:textbox>
              </v:shape>
            </w:pict>
          </mc:Fallback>
        </mc:AlternateContent>
      </w:r>
    </w:p>
    <w:tbl>
      <w:tblPr>
        <w:tblStyle w:val="16"/>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3CAC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14:paraId="279DAFCF">
            <w:pPr>
              <w:spacing w:line="460" w:lineRule="exact"/>
              <w:ind w:right="-85" w:firstLine="589"/>
              <w:jc w:val="center"/>
              <w:rPr>
                <w:rFonts w:hint="eastAsia" w:ascii="宋体" w:hAnsi="宋体"/>
                <w:color w:val="auto"/>
                <w:highlight w:val="none"/>
              </w:rPr>
            </w:pPr>
            <w:r>
              <w:rPr>
                <w:rFonts w:hint="eastAsia" w:ascii="宋体" w:hAnsi="宋体"/>
                <w:color w:val="auto"/>
                <w:highlight w:val="none"/>
              </w:rPr>
              <w:t>（投标人代表身份证复印件）</w:t>
            </w:r>
          </w:p>
        </w:tc>
      </w:tr>
    </w:tbl>
    <w:p w14:paraId="666EF7A5">
      <w:pPr>
        <w:pStyle w:val="4"/>
        <w:rPr>
          <w:rFonts w:hint="eastAsia"/>
          <w:color w:val="auto"/>
          <w:sz w:val="24"/>
          <w:highlight w:val="none"/>
        </w:rPr>
      </w:pPr>
    </w:p>
    <w:p w14:paraId="5D6DD5D9">
      <w:pPr>
        <w:rPr>
          <w:color w:val="auto"/>
          <w:highlight w:val="none"/>
        </w:rPr>
      </w:pPr>
    </w:p>
    <w:p w14:paraId="4100ED19">
      <w:pPr>
        <w:rPr>
          <w:color w:val="auto"/>
          <w:highlight w:val="none"/>
        </w:rPr>
      </w:pPr>
    </w:p>
    <w:p w14:paraId="5B972F97">
      <w:pPr>
        <w:rPr>
          <w:color w:val="auto"/>
          <w:highlight w:val="none"/>
        </w:rPr>
      </w:pPr>
    </w:p>
    <w:p w14:paraId="6D4FF615">
      <w:pPr>
        <w:rPr>
          <w:color w:val="auto"/>
          <w:highlight w:val="none"/>
        </w:rPr>
      </w:pPr>
    </w:p>
    <w:p w14:paraId="466A487B">
      <w:pPr>
        <w:pStyle w:val="4"/>
        <w:rPr>
          <w:rFonts w:hint="eastAsia"/>
          <w:bCs/>
          <w:color w:val="auto"/>
          <w:sz w:val="24"/>
          <w:highlight w:val="none"/>
        </w:rPr>
      </w:pPr>
      <w:r>
        <w:rPr>
          <w:rFonts w:hint="eastAsia"/>
          <w:bCs/>
          <w:color w:val="auto"/>
          <w:sz w:val="24"/>
          <w:highlight w:val="none"/>
        </w:rPr>
        <w:t xml:space="preserve">附件3                            </w:t>
      </w:r>
    </w:p>
    <w:p w14:paraId="4C3968E7">
      <w:pPr>
        <w:pStyle w:val="4"/>
        <w:ind w:firstLine="3306" w:firstLineChars="1372"/>
        <w:rPr>
          <w:rFonts w:hint="eastAsia"/>
          <w:bCs/>
          <w:color w:val="auto"/>
          <w:sz w:val="24"/>
          <w:highlight w:val="none"/>
        </w:rPr>
      </w:pPr>
      <w:r>
        <w:rPr>
          <w:rFonts w:hint="eastAsia"/>
          <w:bCs/>
          <w:color w:val="auto"/>
          <w:sz w:val="24"/>
          <w:highlight w:val="none"/>
        </w:rPr>
        <w:t xml:space="preserve">   投标函</w:t>
      </w:r>
    </w:p>
    <w:p w14:paraId="26CCFDB0">
      <w:pPr>
        <w:pStyle w:val="23"/>
        <w:rPr>
          <w:rFonts w:hint="eastAsia"/>
          <w:color w:val="auto"/>
          <w:highlight w:val="none"/>
        </w:rPr>
      </w:pPr>
    </w:p>
    <w:p w14:paraId="54D49B56">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广州南沙文体投资有限公司</w:t>
      </w:r>
    </w:p>
    <w:p w14:paraId="5FCB0CFE">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为响应你方组织的</w:t>
      </w:r>
      <w:r>
        <w:rPr>
          <w:rFonts w:hint="eastAsia" w:hAnsi="宋体"/>
          <w:color w:val="auto"/>
          <w:sz w:val="24"/>
          <w:szCs w:val="24"/>
          <w:highlight w:val="none"/>
          <w:u w:val="single"/>
        </w:rPr>
        <w:t xml:space="preserve">  </w:t>
      </w:r>
      <w:bookmarkStart w:id="38" w:name="fsmingc_6"/>
      <w:r>
        <w:rPr>
          <w:rFonts w:hint="eastAsia" w:hAnsi="宋体"/>
          <w:color w:val="auto"/>
          <w:sz w:val="24"/>
          <w:szCs w:val="24"/>
          <w:highlight w:val="none"/>
          <w:u w:val="single"/>
        </w:rPr>
        <w:t>(项目名称)</w:t>
      </w:r>
      <w:bookmarkEnd w:id="38"/>
      <w:r>
        <w:rPr>
          <w:rFonts w:hint="eastAsia" w:hAnsi="宋体"/>
          <w:color w:val="auto"/>
          <w:sz w:val="24"/>
          <w:szCs w:val="24"/>
          <w:highlight w:val="none"/>
          <w:u w:val="single"/>
        </w:rPr>
        <w:t xml:space="preserve">  </w:t>
      </w:r>
      <w:r>
        <w:rPr>
          <w:rFonts w:hint="eastAsia" w:hAnsi="宋体"/>
          <w:color w:val="auto"/>
          <w:kern w:val="28"/>
          <w:sz w:val="24"/>
          <w:szCs w:val="24"/>
          <w:highlight w:val="none"/>
        </w:rPr>
        <w:t>项目</w:t>
      </w:r>
      <w:r>
        <w:rPr>
          <w:rFonts w:hint="eastAsia" w:hAnsi="宋体"/>
          <w:color w:val="auto"/>
          <w:sz w:val="24"/>
          <w:szCs w:val="24"/>
          <w:highlight w:val="none"/>
        </w:rPr>
        <w:t>的采购，我方愿参与投标。</w:t>
      </w:r>
    </w:p>
    <w:p w14:paraId="023EAFD1">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我方确认收到贵方提供的</w:t>
      </w:r>
      <w:r>
        <w:rPr>
          <w:rFonts w:hAnsi="宋体"/>
          <w:color w:val="auto"/>
          <w:kern w:val="28"/>
          <w:sz w:val="24"/>
          <w:szCs w:val="24"/>
          <w:highlight w:val="none"/>
          <w:u w:val="single"/>
        </w:rPr>
        <w:t xml:space="preserve">  </w:t>
      </w:r>
      <w:bookmarkStart w:id="39" w:name="fsmingc_7"/>
      <w:r>
        <w:rPr>
          <w:rFonts w:hint="eastAsia" w:hAnsi="宋体"/>
          <w:color w:val="auto"/>
          <w:kern w:val="28"/>
          <w:sz w:val="24"/>
          <w:szCs w:val="24"/>
          <w:highlight w:val="none"/>
          <w:u w:val="single"/>
        </w:rPr>
        <w:t>(项目名称)</w:t>
      </w:r>
      <w:bookmarkEnd w:id="39"/>
      <w:r>
        <w:rPr>
          <w:rFonts w:hAnsi="宋体"/>
          <w:color w:val="auto"/>
          <w:kern w:val="28"/>
          <w:sz w:val="24"/>
          <w:szCs w:val="24"/>
          <w:highlight w:val="none"/>
          <w:u w:val="single"/>
        </w:rPr>
        <w:t xml:space="preserve">  </w:t>
      </w:r>
      <w:r>
        <w:rPr>
          <w:rFonts w:hint="eastAsia" w:hAnsi="宋体"/>
          <w:color w:val="auto"/>
          <w:sz w:val="24"/>
          <w:szCs w:val="24"/>
          <w:highlight w:val="none"/>
        </w:rPr>
        <w:t>的招标文件的全部内容。</w:t>
      </w:r>
    </w:p>
    <w:p w14:paraId="2AAC0C1A">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14:paraId="7F8165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i/>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作为投标人正式授权</w:t>
      </w:r>
      <w:r>
        <w:rPr>
          <w:rFonts w:hint="eastAsia" w:ascii="宋体" w:hAnsi="宋体"/>
          <w:color w:val="auto"/>
          <w:sz w:val="24"/>
          <w:highlight w:val="none"/>
          <w:u w:val="single"/>
        </w:rPr>
        <w:t xml:space="preserve">  </w:t>
      </w:r>
      <w:r>
        <w:rPr>
          <w:rFonts w:hint="eastAsia" w:ascii="宋体" w:hAnsi="宋体"/>
          <w:i/>
          <w:color w:val="auto"/>
          <w:sz w:val="24"/>
          <w:highlight w:val="none"/>
          <w:u w:val="single"/>
        </w:rPr>
        <w:t xml:space="preserve">(授权代表全名, 职务)  </w:t>
      </w:r>
      <w:r>
        <w:rPr>
          <w:rFonts w:hint="eastAsia" w:ascii="宋体" w:hAnsi="宋体"/>
          <w:color w:val="auto"/>
          <w:sz w:val="24"/>
          <w:highlight w:val="none"/>
        </w:rPr>
        <w:t>代表我方全权处理有关本投标的一切事宜。</w:t>
      </w:r>
    </w:p>
    <w:p w14:paraId="48E5092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在此提交的投标文件，正本壹份，副本肆份及电子文件。</w:t>
      </w:r>
    </w:p>
    <w:p w14:paraId="16B79583">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我方已完全明白招标文件的所有条款要求，并申明如下：</w:t>
      </w:r>
    </w:p>
    <w:p w14:paraId="0B285F0F">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（一）按采购文件提供的相关服务的投标总价详见《开标一览表(报价表)》。</w:t>
      </w:r>
    </w:p>
    <w:p w14:paraId="09E80CD2">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14:paraId="5A7FE975">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（三）我方明白并同意，在规定的投标截止日之后，投标有效期之内不得撤回投标。</w:t>
      </w:r>
    </w:p>
    <w:p w14:paraId="02E3A5DD">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（四）我方同意按照贵方可能提出的要求而提供与投标有关的任何其它数据、信息或资料。</w:t>
      </w:r>
    </w:p>
    <w:p w14:paraId="3CD73CAB">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（五）我方理解贵方不一定接受最低投标价或任何贵方可能收到的投标。</w:t>
      </w:r>
    </w:p>
    <w:p w14:paraId="3DE5DA68">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（六）我方如果中标，将保证履行招标文件及其澄清、修改文件（如有）中的全部责任和义务，按质、按量、按期完成《用户需求书》及《合同书》中的全部任务。</w:t>
      </w:r>
    </w:p>
    <w:p w14:paraId="3722CD0C">
      <w:pPr>
        <w:pStyle w:val="10"/>
        <w:tabs>
          <w:tab w:val="left" w:pos="9360"/>
        </w:tabs>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（八）我方是在法律、财务和运作上独立于采购人的投标人，在此保证所提交的所有文件和全部说明是真实的和正确的。</w:t>
      </w:r>
    </w:p>
    <w:p w14:paraId="599BEE67">
      <w:p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（九）我方投标报价已包含应向知识产权所有权人支付的所有相关税费，并保证招标人在中国使用我方提供的货物或服务时，如有第三方提出侵犯其知识产权主张的，责任由我方承担。</w:t>
      </w:r>
    </w:p>
    <w:p w14:paraId="46C617E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（十）我方对在本函及投标文件中所作的所有承诺承担法律责任。</w:t>
      </w:r>
    </w:p>
    <w:p w14:paraId="0E0380F4">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以上内容如有虚假或与事实不符的，评审委员会可将我方做无效投标处理，我方愿意承担相应的法律责任。</w:t>
      </w:r>
    </w:p>
    <w:p w14:paraId="7B64701D">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20E01C7D">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 标 人 名 称：</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5905955A">
      <w:pPr>
        <w:pStyle w:val="6"/>
        <w:rPr>
          <w:color w:val="auto"/>
          <w:highlight w:val="none"/>
        </w:rPr>
      </w:pPr>
    </w:p>
    <w:p w14:paraId="2A84023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法定代表人或投标授权代表（签字或签章）：</w:t>
      </w:r>
      <w:r>
        <w:rPr>
          <w:rFonts w:hint="eastAsia" w:ascii="宋体" w:hAnsi="宋体"/>
          <w:color w:val="auto"/>
          <w:sz w:val="24"/>
          <w:highlight w:val="none"/>
          <w:u w:val="single"/>
        </w:rPr>
        <w:t xml:space="preserve">                            </w:t>
      </w:r>
    </w:p>
    <w:p w14:paraId="764BD8B2">
      <w:pPr>
        <w:spacing w:line="360" w:lineRule="auto"/>
        <w:ind w:firstLine="480" w:firstLineChars="200"/>
        <w:rPr>
          <w:rFonts w:hint="eastAsia" w:ascii="宋体" w:hAnsi="宋体"/>
          <w:color w:val="auto"/>
          <w:sz w:val="24"/>
          <w:highlight w:val="none"/>
        </w:rPr>
      </w:pPr>
    </w:p>
    <w:p w14:paraId="6A1AFA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投标人（公章）：</w:t>
      </w:r>
    </w:p>
    <w:p w14:paraId="33A95482">
      <w:pPr>
        <w:spacing w:line="360" w:lineRule="auto"/>
        <w:rPr>
          <w:rFonts w:hint="eastAsia" w:ascii="宋体" w:hAnsi="宋体"/>
          <w:color w:val="auto"/>
          <w:sz w:val="24"/>
          <w:highlight w:val="none"/>
          <w:u w:val="single"/>
        </w:rPr>
      </w:pPr>
    </w:p>
    <w:p w14:paraId="3C0A0C0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传真：</w:t>
      </w:r>
    </w:p>
    <w:p w14:paraId="134126C9">
      <w:pPr>
        <w:pStyle w:val="4"/>
        <w:rPr>
          <w:rFonts w:hint="eastAsia"/>
          <w:bCs/>
          <w:color w:val="auto"/>
          <w:sz w:val="24"/>
          <w:highlight w:val="none"/>
        </w:rPr>
      </w:pPr>
      <w:r>
        <w:rPr>
          <w:color w:val="auto"/>
          <w:highlight w:val="none"/>
        </w:rPr>
        <w:br w:type="page"/>
      </w:r>
      <w:bookmarkStart w:id="40" w:name="_Toc86065029"/>
      <w:bookmarkStart w:id="41" w:name="_Toc25224019"/>
      <w:bookmarkStart w:id="42" w:name="_Toc41448359"/>
      <w:bookmarkStart w:id="43" w:name="_Toc55816096"/>
      <w:bookmarkStart w:id="44" w:name="_Toc109467909"/>
      <w:bookmarkStart w:id="45" w:name="_Toc14450839"/>
      <w:bookmarkStart w:id="46" w:name="_Toc35834913"/>
      <w:bookmarkStart w:id="47" w:name="_Toc28489497"/>
      <w:bookmarkStart w:id="48" w:name="_Toc34535359"/>
      <w:r>
        <w:rPr>
          <w:rFonts w:hint="eastAsia"/>
          <w:bCs/>
          <w:color w:val="auto"/>
          <w:sz w:val="24"/>
          <w:highlight w:val="none"/>
        </w:rPr>
        <w:t xml:space="preserve">附件4                      </w:t>
      </w:r>
    </w:p>
    <w:p w14:paraId="15586E81">
      <w:pPr>
        <w:pStyle w:val="4"/>
        <w:ind w:firstLine="3188" w:firstLineChars="1323"/>
        <w:rPr>
          <w:rFonts w:hint="eastAsia"/>
          <w:bCs/>
          <w:color w:val="auto"/>
          <w:sz w:val="24"/>
          <w:highlight w:val="none"/>
        </w:rPr>
      </w:pPr>
      <w:r>
        <w:rPr>
          <w:rFonts w:hint="eastAsia"/>
          <w:bCs/>
          <w:color w:val="auto"/>
          <w:sz w:val="24"/>
          <w:highlight w:val="none"/>
        </w:rPr>
        <w:t>投标人基本情况表</w:t>
      </w:r>
      <w:bookmarkEnd w:id="40"/>
      <w:bookmarkEnd w:id="41"/>
      <w:bookmarkEnd w:id="42"/>
      <w:bookmarkEnd w:id="43"/>
      <w:bookmarkEnd w:id="44"/>
    </w:p>
    <w:p w14:paraId="4D420359">
      <w:pPr>
        <w:pStyle w:val="23"/>
        <w:rPr>
          <w:rFonts w:hint="eastAsia"/>
          <w:color w:val="auto"/>
          <w:highlight w:val="none"/>
        </w:rPr>
      </w:pPr>
    </w:p>
    <w:p w14:paraId="14838361">
      <w:pPr>
        <w:spacing w:line="360" w:lineRule="auto"/>
        <w:rPr>
          <w:rFonts w:hint="eastAsia" w:ascii="宋体" w:hAnsi="宋体"/>
          <w:color w:val="auto"/>
          <w:sz w:val="24"/>
          <w:highlight w:val="none"/>
          <w:u w:val="singl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电话号码：</w:t>
      </w:r>
      <w:r>
        <w:rPr>
          <w:rFonts w:hint="eastAsia" w:ascii="宋体" w:hAnsi="宋体"/>
          <w:color w:val="auto"/>
          <w:sz w:val="24"/>
          <w:highlight w:val="none"/>
          <w:u w:val="single"/>
        </w:rPr>
        <w:t xml:space="preserve">               </w:t>
      </w:r>
    </w:p>
    <w:p w14:paraId="0C951905">
      <w:pPr>
        <w:spacing w:line="360" w:lineRule="auto"/>
        <w:rPr>
          <w:rFonts w:hint="eastAsia" w:ascii="宋体" w:hAnsi="宋体"/>
          <w:color w:val="auto"/>
          <w:sz w:val="24"/>
          <w:highlight w:val="none"/>
          <w:u w:val="single"/>
        </w:rPr>
      </w:pPr>
      <w:r>
        <w:rPr>
          <w:rFonts w:hint="eastAsia" w:ascii="宋体" w:hAnsi="宋体"/>
          <w:color w:val="auto"/>
          <w:sz w:val="24"/>
          <w:highlight w:val="none"/>
        </w:rPr>
        <w:t>2、地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14:paraId="615A4E06">
      <w:pPr>
        <w:spacing w:line="360" w:lineRule="auto"/>
        <w:rPr>
          <w:rFonts w:hint="eastAsia" w:ascii="宋体" w:hAnsi="宋体"/>
          <w:color w:val="auto"/>
          <w:sz w:val="24"/>
          <w:highlight w:val="none"/>
          <w:u w:val="single"/>
        </w:rPr>
      </w:pPr>
      <w:r>
        <w:rPr>
          <w:rFonts w:hint="eastAsia" w:ascii="宋体" w:hAnsi="宋体"/>
          <w:color w:val="auto"/>
          <w:sz w:val="24"/>
          <w:highlight w:val="none"/>
        </w:rPr>
        <w:t>3、注册资金：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经济性质：</w:t>
      </w:r>
      <w:r>
        <w:rPr>
          <w:rFonts w:hint="eastAsia" w:ascii="宋体" w:hAnsi="宋体"/>
          <w:color w:val="auto"/>
          <w:sz w:val="24"/>
          <w:highlight w:val="none"/>
          <w:u w:val="single"/>
        </w:rPr>
        <w:t xml:space="preserve">               </w:t>
      </w:r>
    </w:p>
    <w:p w14:paraId="3B8520DF">
      <w:pPr>
        <w:spacing w:line="360" w:lineRule="auto"/>
        <w:rPr>
          <w:rFonts w:hint="eastAsia" w:ascii="宋体" w:hAnsi="宋体"/>
          <w:color w:val="auto"/>
          <w:sz w:val="24"/>
          <w:highlight w:val="none"/>
        </w:rPr>
      </w:pPr>
      <w:r>
        <w:rPr>
          <w:rFonts w:hint="eastAsia" w:ascii="宋体" w:hAnsi="宋体"/>
          <w:color w:val="auto"/>
          <w:sz w:val="24"/>
          <w:highlight w:val="none"/>
        </w:rPr>
        <w:t>4、公司经营及资金状况：</w:t>
      </w:r>
    </w:p>
    <w:p w14:paraId="17D41B0B">
      <w:pPr>
        <w:spacing w:line="360" w:lineRule="auto"/>
        <w:rPr>
          <w:rFonts w:hint="eastAsia" w:ascii="宋体" w:hAnsi="宋体"/>
          <w:color w:val="auto"/>
          <w:sz w:val="24"/>
          <w:highlight w:val="none"/>
        </w:rPr>
      </w:pPr>
      <w:r>
        <w:rPr>
          <w:rFonts w:hint="eastAsia" w:ascii="宋体" w:hAnsi="宋体"/>
          <w:color w:val="auto"/>
          <w:sz w:val="24"/>
          <w:highlight w:val="none"/>
        </w:rPr>
        <w:t>经营范围：</w:t>
      </w:r>
    </w:p>
    <w:p w14:paraId="7515F4A7">
      <w:pPr>
        <w:spacing w:line="360" w:lineRule="auto"/>
        <w:rPr>
          <w:rFonts w:hint="eastAsia" w:ascii="宋体" w:hAnsi="宋体"/>
          <w:color w:val="auto"/>
          <w:sz w:val="24"/>
          <w:highlight w:val="none"/>
        </w:rPr>
      </w:pPr>
    </w:p>
    <w:p w14:paraId="0EAF954A">
      <w:pPr>
        <w:spacing w:line="360" w:lineRule="auto"/>
        <w:rPr>
          <w:rFonts w:hint="eastAsia" w:ascii="宋体" w:hAnsi="宋体"/>
          <w:color w:val="auto"/>
          <w:sz w:val="24"/>
          <w:highlight w:val="none"/>
        </w:rPr>
      </w:pPr>
      <w:r>
        <w:rPr>
          <w:rFonts w:hint="eastAsia" w:ascii="宋体" w:hAnsi="宋体"/>
          <w:color w:val="auto"/>
          <w:sz w:val="24"/>
          <w:highlight w:val="none"/>
        </w:rPr>
        <w:t>5、公司开户银行名称及帐户：                  地    址：</w:t>
      </w:r>
    </w:p>
    <w:p w14:paraId="3B829F35">
      <w:pPr>
        <w:pStyle w:val="23"/>
        <w:rPr>
          <w:rFonts w:hint="eastAsia"/>
          <w:color w:val="auto"/>
          <w:highlight w:val="none"/>
        </w:rPr>
      </w:pPr>
      <w:r>
        <w:rPr>
          <w:rFonts w:hint="eastAsia"/>
          <w:color w:val="auto"/>
          <w:highlight w:val="none"/>
        </w:rPr>
        <w:t xml:space="preserve">   名称：                    </w:t>
      </w:r>
    </w:p>
    <w:p w14:paraId="2B36A951">
      <w:pPr>
        <w:spacing w:line="360" w:lineRule="auto"/>
        <w:ind w:firstLine="420" w:firstLineChars="175"/>
        <w:rPr>
          <w:rFonts w:hint="eastAsia" w:ascii="宋体" w:hAnsi="宋体"/>
          <w:color w:val="auto"/>
          <w:sz w:val="24"/>
          <w:highlight w:val="none"/>
          <w:u w:val="single"/>
        </w:rPr>
      </w:pPr>
      <w:r>
        <w:rPr>
          <w:rFonts w:hint="eastAsia" w:ascii="宋体" w:hAnsi="宋体"/>
          <w:color w:val="auto"/>
          <w:sz w:val="24"/>
          <w:highlight w:val="none"/>
        </w:rPr>
        <w:t>帐户：</w:t>
      </w:r>
    </w:p>
    <w:p w14:paraId="194FE910">
      <w:pPr>
        <w:spacing w:line="360" w:lineRule="auto"/>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纳税人识别号</w:t>
      </w:r>
      <w:r>
        <w:rPr>
          <w:rFonts w:hint="eastAsia" w:ascii="宋体" w:hAnsi="宋体"/>
          <w:color w:val="auto"/>
          <w:sz w:val="24"/>
          <w:highlight w:val="none"/>
        </w:rPr>
        <w:t>：</w:t>
      </w:r>
    </w:p>
    <w:p w14:paraId="1334A300">
      <w:pPr>
        <w:spacing w:line="360" w:lineRule="auto"/>
        <w:rPr>
          <w:rFonts w:hint="eastAsia" w:ascii="宋体" w:hAnsi="宋体"/>
          <w:color w:val="auto"/>
          <w:sz w:val="24"/>
          <w:highlight w:val="none"/>
        </w:rPr>
      </w:pPr>
    </w:p>
    <w:p w14:paraId="00C187D7">
      <w:pPr>
        <w:spacing w:line="360" w:lineRule="auto"/>
        <w:rPr>
          <w:rFonts w:hint="eastAsia" w:ascii="宋体" w:hAnsi="宋体"/>
          <w:color w:val="auto"/>
          <w:sz w:val="24"/>
          <w:highlight w:val="none"/>
        </w:rPr>
      </w:pPr>
      <w:r>
        <w:rPr>
          <w:rFonts w:hint="eastAsia" w:ascii="宋体" w:hAnsi="宋体"/>
          <w:color w:val="auto"/>
          <w:sz w:val="24"/>
          <w:highlight w:val="none"/>
        </w:rPr>
        <w:t>我/我们声明以上所述准确无误，您有权进行您认为有必要的所有调查。</w:t>
      </w:r>
    </w:p>
    <w:p w14:paraId="1BD7DAE8">
      <w:pPr>
        <w:spacing w:line="360" w:lineRule="auto"/>
        <w:rPr>
          <w:rFonts w:hint="eastAsia" w:ascii="宋体" w:hAnsi="宋体"/>
          <w:color w:val="auto"/>
          <w:sz w:val="24"/>
          <w:highlight w:val="none"/>
        </w:rPr>
      </w:pPr>
    </w:p>
    <w:p w14:paraId="36C14718">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14:paraId="22654F3E">
      <w:pPr>
        <w:spacing w:line="360" w:lineRule="auto"/>
        <w:rPr>
          <w:rFonts w:hint="eastAsia" w:ascii="宋体" w:hAnsi="宋体"/>
          <w:color w:val="auto"/>
          <w:sz w:val="24"/>
          <w:highlight w:val="none"/>
        </w:rPr>
      </w:pPr>
    </w:p>
    <w:p w14:paraId="7C03A422">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14:paraId="2B980686">
      <w:pPr>
        <w:spacing w:line="360" w:lineRule="auto"/>
        <w:rPr>
          <w:rFonts w:hint="eastAsia" w:ascii="宋体" w:hAnsi="宋体"/>
          <w:color w:val="auto"/>
          <w:sz w:val="24"/>
          <w:highlight w:val="none"/>
        </w:rPr>
      </w:pPr>
    </w:p>
    <w:p w14:paraId="72805D30">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14:paraId="00C39534">
      <w:pPr>
        <w:pStyle w:val="4"/>
        <w:rPr>
          <w:rFonts w:hint="eastAsia"/>
          <w:bCs/>
          <w:color w:val="auto"/>
          <w:sz w:val="24"/>
          <w:highlight w:val="none"/>
        </w:rPr>
      </w:pPr>
      <w:r>
        <w:rPr>
          <w:color w:val="auto"/>
          <w:highlight w:val="none"/>
        </w:rPr>
        <w:br w:type="page"/>
      </w:r>
      <w:bookmarkStart w:id="49" w:name="_Toc109467910"/>
      <w:r>
        <w:rPr>
          <w:rFonts w:hint="eastAsia"/>
          <w:bCs/>
          <w:color w:val="auto"/>
          <w:sz w:val="24"/>
          <w:highlight w:val="none"/>
        </w:rPr>
        <w:t xml:space="preserve">附件5                       </w:t>
      </w:r>
    </w:p>
    <w:bookmarkEnd w:id="45"/>
    <w:bookmarkEnd w:id="46"/>
    <w:bookmarkEnd w:id="47"/>
    <w:bookmarkEnd w:id="48"/>
    <w:bookmarkEnd w:id="49"/>
    <w:p w14:paraId="3E21770A">
      <w:pPr>
        <w:pStyle w:val="4"/>
        <w:ind w:firstLine="0" w:firstLineChars="0"/>
        <w:jc w:val="center"/>
        <w:rPr>
          <w:rFonts w:hint="eastAsia"/>
          <w:color w:val="auto"/>
          <w:highlight w:val="none"/>
        </w:rPr>
      </w:pPr>
      <w:r>
        <w:rPr>
          <w:rFonts w:hint="eastAsia"/>
          <w:bCs/>
          <w:color w:val="auto"/>
          <w:sz w:val="24"/>
          <w:highlight w:val="none"/>
        </w:rPr>
        <w:t>开标一览表</w:t>
      </w:r>
    </w:p>
    <w:p w14:paraId="723061B0">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2025“Head In The Clouds”（云思妙想）音乐艺术节——大湾区站（南沙）项目临时安保服务外包项目</w:t>
      </w:r>
      <w:r>
        <w:rPr>
          <w:rFonts w:hint="eastAsia" w:ascii="宋体" w:hAnsi="宋体"/>
          <w:color w:val="auto"/>
          <w:sz w:val="24"/>
          <w:highlight w:val="none"/>
        </w:rPr>
        <w:t xml:space="preserve">                </w:t>
      </w:r>
    </w:p>
    <w:tbl>
      <w:tblPr>
        <w:tblStyle w:val="16"/>
        <w:tblpPr w:leftFromText="180" w:rightFromText="180" w:vertAnchor="text" w:horzAnchor="page" w:tblpX="1825" w:tblpY="20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436"/>
        <w:gridCol w:w="1031"/>
        <w:gridCol w:w="1235"/>
        <w:gridCol w:w="1130"/>
        <w:gridCol w:w="4034"/>
      </w:tblGrid>
      <w:tr w14:paraId="7E4B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10B9AF">
            <w:pPr>
              <w:keepNext w:val="0"/>
              <w:keepLines w:val="0"/>
              <w:widowControl/>
              <w:suppressLineNumbers w:val="0"/>
              <w:jc w:val="center"/>
              <w:textAlignment w:val="center"/>
              <w:rPr>
                <w:rFonts w:hint="eastAsia" w:ascii="小标宋" w:hAnsi="小标宋" w:eastAsia="小标宋" w:cs="小标宋"/>
                <w:i w:val="0"/>
                <w:iCs w:val="0"/>
                <w:color w:val="000000"/>
                <w:kern w:val="0"/>
                <w:sz w:val="32"/>
                <w:szCs w:val="32"/>
                <w:u w:val="none"/>
                <w:lang w:val="en-US" w:eastAsia="zh-CN" w:bidi="ar"/>
              </w:rPr>
            </w:pPr>
            <w:r>
              <w:rPr>
                <w:rFonts w:hint="eastAsia" w:ascii="小标宋" w:hAnsi="小标宋" w:eastAsia="小标宋" w:cs="小标宋"/>
                <w:i w:val="0"/>
                <w:iCs w:val="0"/>
                <w:color w:val="000000"/>
                <w:kern w:val="0"/>
                <w:sz w:val="32"/>
                <w:szCs w:val="32"/>
                <w:u w:val="none"/>
                <w:lang w:val="en-US" w:eastAsia="zh-CN" w:bidi="ar"/>
              </w:rPr>
              <w:t>2025“Head In The Clouds”（云思妙想）音乐艺术节</w:t>
            </w:r>
          </w:p>
          <w:p w14:paraId="79A24FFD">
            <w:pPr>
              <w:keepNext w:val="0"/>
              <w:keepLines w:val="0"/>
              <w:widowControl/>
              <w:suppressLineNumbers w:val="0"/>
              <w:jc w:val="center"/>
              <w:textAlignment w:val="center"/>
              <w:rPr>
                <w:rFonts w:ascii="小标宋" w:hAnsi="小标宋" w:eastAsia="小标宋" w:cs="小标宋"/>
                <w:i w:val="0"/>
                <w:iCs w:val="0"/>
                <w:color w:val="000000"/>
                <w:sz w:val="32"/>
                <w:szCs w:val="32"/>
                <w:u w:val="none"/>
              </w:rPr>
            </w:pPr>
            <w:r>
              <w:rPr>
                <w:rFonts w:hint="eastAsia" w:ascii="小标宋" w:hAnsi="小标宋" w:eastAsia="小标宋" w:cs="小标宋"/>
                <w:i w:val="0"/>
                <w:iCs w:val="0"/>
                <w:color w:val="000000"/>
                <w:kern w:val="0"/>
                <w:sz w:val="32"/>
                <w:szCs w:val="32"/>
                <w:u w:val="none"/>
                <w:lang w:val="en-US" w:eastAsia="zh-CN" w:bidi="ar"/>
              </w:rPr>
              <w:t>—大湾区站（南沙）项目安保服务需求清单</w:t>
            </w:r>
          </w:p>
        </w:tc>
      </w:tr>
      <w:tr w14:paraId="570F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C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3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（元/人次/小时）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预计服务时长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（小时）</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5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投标含税单价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（元/人次/小时）</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2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497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9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E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安保员</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1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7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B0BE">
            <w:pPr>
              <w:jc w:val="center"/>
              <w:rPr>
                <w:rFonts w:hint="eastAsia" w:ascii="宋体" w:hAnsi="宋体" w:eastAsia="宋体" w:cs="宋体"/>
                <w:i w:val="0"/>
                <w:iCs w:val="0"/>
                <w:color w:val="000000"/>
                <w:sz w:val="22"/>
                <w:szCs w:val="22"/>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提供2025“Head In The Clouds”（云思妙想）音乐艺术节—大湾区站（南沙）项目4月21日-5月4日安保服务，需免费提供X光机</w:t>
            </w:r>
            <w:r>
              <w:rPr>
                <w:rFonts w:hint="eastAsia" w:ascii="宋体" w:hAnsi="宋体" w:cs="宋体"/>
                <w:i w:val="0"/>
                <w:iCs w:val="0"/>
                <w:color w:val="000000"/>
                <w:kern w:val="0"/>
                <w:sz w:val="22"/>
                <w:szCs w:val="22"/>
                <w:u w:val="none"/>
                <w:lang w:val="en-US" w:eastAsia="zh-CN" w:bidi="ar"/>
              </w:rPr>
              <w:t>8套</w:t>
            </w:r>
            <w:r>
              <w:rPr>
                <w:rFonts w:hint="eastAsia" w:ascii="宋体" w:hAnsi="宋体" w:eastAsia="宋体" w:cs="宋体"/>
                <w:i w:val="0"/>
                <w:iCs w:val="0"/>
                <w:color w:val="000000"/>
                <w:kern w:val="0"/>
                <w:sz w:val="22"/>
                <w:szCs w:val="22"/>
                <w:u w:val="none"/>
                <w:lang w:val="en-US" w:eastAsia="zh-CN" w:bidi="ar"/>
              </w:rPr>
              <w:t>、安检门</w:t>
            </w:r>
            <w:r>
              <w:rPr>
                <w:rFonts w:hint="eastAsia" w:ascii="宋体" w:hAnsi="宋体" w:cs="宋体"/>
                <w:i w:val="0"/>
                <w:iCs w:val="0"/>
                <w:color w:val="000000"/>
                <w:kern w:val="0"/>
                <w:sz w:val="22"/>
                <w:szCs w:val="22"/>
                <w:u w:val="none"/>
                <w:lang w:val="en-US" w:eastAsia="zh-CN" w:bidi="ar"/>
              </w:rPr>
              <w:t>13个</w:t>
            </w:r>
            <w:r>
              <w:rPr>
                <w:rFonts w:hint="eastAsia" w:ascii="宋体" w:hAnsi="宋体" w:eastAsia="宋体" w:cs="宋体"/>
                <w:i w:val="0"/>
                <w:iCs w:val="0"/>
                <w:color w:val="000000"/>
                <w:kern w:val="0"/>
                <w:sz w:val="22"/>
                <w:szCs w:val="22"/>
                <w:u w:val="none"/>
                <w:lang w:val="en-US" w:eastAsia="zh-CN" w:bidi="ar"/>
              </w:rPr>
              <w:t>，相关人员需完全配合工作。最终结算金额按实际到岗人数及服务时长进行结算</w:t>
            </w:r>
            <w:r>
              <w:rPr>
                <w:rFonts w:hint="eastAsia" w:ascii="宋体" w:hAnsi="宋体" w:cs="宋体"/>
                <w:i w:val="0"/>
                <w:iCs w:val="0"/>
                <w:color w:val="000000"/>
                <w:kern w:val="0"/>
                <w:sz w:val="22"/>
                <w:szCs w:val="22"/>
                <w:u w:val="none"/>
                <w:lang w:val="en-US" w:eastAsia="zh-CN" w:bidi="ar"/>
              </w:rPr>
              <w:t>，</w:t>
            </w:r>
            <w:r>
              <w:rPr>
                <w:rFonts w:hint="eastAsia" w:ascii="宋体" w:hAnsi="宋体" w:cs="宋体"/>
                <w:color w:val="000000"/>
                <w:kern w:val="0"/>
                <w:sz w:val="22"/>
                <w:u w:val="none"/>
                <w:lang w:bidi="ar"/>
              </w:rPr>
              <w:t>但最终结算金额不应高于175万元</w:t>
            </w:r>
            <w:r>
              <w:rPr>
                <w:rFonts w:hint="eastAsia" w:ascii="宋体" w:hAnsi="宋体" w:eastAsia="宋体" w:cs="宋体"/>
                <w:i w:val="0"/>
                <w:iCs w:val="0"/>
                <w:color w:val="000000"/>
                <w:kern w:val="0"/>
                <w:sz w:val="22"/>
                <w:szCs w:val="22"/>
                <w:u w:val="none"/>
                <w:lang w:val="en-US" w:eastAsia="zh-CN" w:bidi="ar"/>
              </w:rPr>
              <w:t>。</w:t>
            </w:r>
          </w:p>
        </w:tc>
      </w:tr>
    </w:tbl>
    <w:p w14:paraId="11C12F5C">
      <w:pPr>
        <w:pStyle w:val="13"/>
        <w:spacing w:line="360" w:lineRule="auto"/>
        <w:rPr>
          <w:rFonts w:hint="eastAsia" w:ascii="宋体" w:hAnsi="宋体"/>
          <w:color w:val="auto"/>
          <w:sz w:val="24"/>
          <w:highlight w:val="none"/>
        </w:rPr>
      </w:pPr>
    </w:p>
    <w:p w14:paraId="6A4ACC35">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投标人全称（盖公章）：</w:t>
      </w:r>
    </w:p>
    <w:p w14:paraId="55B07940">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 xml:space="preserve">授权代表（签字或签章）： </w:t>
      </w:r>
    </w:p>
    <w:p w14:paraId="6BD6B1AB">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日    期：</w:t>
      </w:r>
    </w:p>
    <w:p w14:paraId="02A0FC13">
      <w:pPr>
        <w:pStyle w:val="13"/>
        <w:spacing w:line="360" w:lineRule="auto"/>
        <w:ind w:left="418" w:leftChars="199"/>
        <w:rPr>
          <w:rFonts w:hint="eastAsia" w:ascii="宋体" w:hAnsi="宋体"/>
          <w:color w:val="auto"/>
          <w:sz w:val="24"/>
          <w:highlight w:val="none"/>
        </w:rPr>
      </w:pPr>
    </w:p>
    <w:p w14:paraId="28465CC4">
      <w:pPr>
        <w:snapToGrid w:val="0"/>
        <w:spacing w:line="360" w:lineRule="auto"/>
        <w:ind w:left="720" w:hanging="720" w:hangingChars="299"/>
        <w:rPr>
          <w:rFonts w:hint="eastAsia" w:ascii="宋体" w:hAnsi="宋体"/>
          <w:b/>
          <w:color w:val="auto"/>
          <w:sz w:val="24"/>
          <w:szCs w:val="24"/>
          <w:highlight w:val="none"/>
        </w:rPr>
      </w:pPr>
      <w:r>
        <w:rPr>
          <w:rFonts w:hint="eastAsia" w:ascii="宋体" w:hAnsi="宋体"/>
          <w:b/>
          <w:color w:val="auto"/>
          <w:sz w:val="24"/>
          <w:szCs w:val="24"/>
          <w:highlight w:val="none"/>
        </w:rPr>
        <w:t>注:1</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投标人应按“用户需求书”的要求，根据实际情况进行报价。本表内的投标报价为最终报价，投标文件内不得含有任何对本报价进行修改的其他说明，否则将被视为无效投标；</w:t>
      </w:r>
    </w:p>
    <w:p w14:paraId="7FA49E0F">
      <w:pPr>
        <w:snapToGrid w:val="0"/>
        <w:spacing w:line="360" w:lineRule="auto"/>
        <w:ind w:left="527" w:leftChars="195" w:hanging="118" w:hangingChars="49"/>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投标报价应综合考虑招标项目的全部费用，投标人不得再向招标人收取任何费用；</w:t>
      </w:r>
    </w:p>
    <w:p w14:paraId="27693698">
      <w:pPr>
        <w:snapToGrid w:val="0"/>
        <w:spacing w:line="360" w:lineRule="auto"/>
        <w:ind w:firstLine="472" w:firstLineChars="196"/>
        <w:rPr>
          <w:rFonts w:hint="eastAsia" w:ascii="宋体" w:hAnsi="宋体"/>
          <w:b/>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eastAsia="zh-CN"/>
        </w:rPr>
        <w:t>、</w:t>
      </w:r>
      <w:r>
        <w:rPr>
          <w:rFonts w:hint="eastAsia" w:ascii="宋体" w:hAnsi="宋体"/>
          <w:b/>
          <w:color w:val="auto"/>
          <w:sz w:val="24"/>
          <w:szCs w:val="24"/>
          <w:highlight w:val="none"/>
        </w:rPr>
        <w:t>投标报价的小数点后保留两位有效数；</w:t>
      </w:r>
    </w:p>
    <w:p w14:paraId="4F27957E">
      <w:pPr>
        <w:spacing w:line="240" w:lineRule="auto"/>
        <w:ind w:left="0" w:firstLine="474" w:firstLineChars="200"/>
        <w:outlineLvl w:val="2"/>
        <w:rPr>
          <w:rFonts w:hint="eastAsia" w:ascii="宋体" w:hAnsi="宋体" w:eastAsia="宋体" w:cs="宋体"/>
          <w:spacing w:val="-2"/>
          <w:position w:val="18"/>
          <w:sz w:val="24"/>
          <w:szCs w:val="24"/>
        </w:rPr>
      </w:pPr>
      <w:r>
        <w:rPr>
          <w:rFonts w:hint="eastAsia" w:ascii="宋体" w:hAnsi="宋体" w:eastAsia="宋体" w:cs="宋体"/>
          <w:b/>
          <w:bCs/>
          <w:spacing w:val="-2"/>
          <w:position w:val="18"/>
          <w:sz w:val="24"/>
          <w:szCs w:val="24"/>
          <w:lang w:val="en-US" w:eastAsia="zh-CN"/>
        </w:rPr>
        <w:t>4、</w:t>
      </w:r>
      <w:r>
        <w:rPr>
          <w:rFonts w:hint="eastAsia" w:ascii="宋体" w:hAnsi="宋体" w:eastAsia="宋体" w:cs="宋体"/>
          <w:b/>
          <w:bCs/>
          <w:spacing w:val="-2"/>
          <w:position w:val="18"/>
          <w:sz w:val="24"/>
          <w:szCs w:val="24"/>
        </w:rPr>
        <w:t>上述</w:t>
      </w:r>
      <w:r>
        <w:rPr>
          <w:rFonts w:hint="eastAsia" w:ascii="宋体" w:hAnsi="宋体" w:cs="宋体"/>
          <w:b/>
          <w:bCs/>
          <w:spacing w:val="-2"/>
          <w:position w:val="18"/>
          <w:sz w:val="24"/>
          <w:szCs w:val="24"/>
          <w:lang w:val="en-US" w:eastAsia="zh-CN"/>
        </w:rPr>
        <w:t>投标</w:t>
      </w:r>
      <w:r>
        <w:rPr>
          <w:rFonts w:hint="eastAsia" w:ascii="宋体" w:hAnsi="宋体" w:eastAsia="宋体" w:cs="宋体"/>
          <w:b/>
          <w:bCs/>
          <w:spacing w:val="-2"/>
          <w:position w:val="18"/>
          <w:sz w:val="24"/>
          <w:szCs w:val="24"/>
        </w:rPr>
        <w:t>单价为含税单价，最终结算金额=已约定的</w:t>
      </w:r>
      <w:r>
        <w:rPr>
          <w:rFonts w:hint="eastAsia" w:ascii="宋体" w:hAnsi="宋体" w:cs="宋体"/>
          <w:b/>
          <w:bCs/>
          <w:spacing w:val="-2"/>
          <w:position w:val="18"/>
          <w:sz w:val="24"/>
          <w:szCs w:val="24"/>
          <w:lang w:val="en-US" w:eastAsia="zh-CN"/>
        </w:rPr>
        <w:t>投标含税</w:t>
      </w:r>
      <w:r>
        <w:rPr>
          <w:rFonts w:hint="eastAsia" w:ascii="宋体" w:hAnsi="宋体" w:eastAsia="宋体" w:cs="宋体"/>
          <w:b/>
          <w:bCs/>
          <w:spacing w:val="-2"/>
          <w:position w:val="18"/>
          <w:sz w:val="24"/>
          <w:szCs w:val="24"/>
        </w:rPr>
        <w:t>单价*实际发生的数量（以公安要求为准），以双方书面确认的结算单为准。</w:t>
      </w:r>
      <w:r>
        <w:rPr>
          <w:rFonts w:hint="eastAsia" w:ascii="宋体" w:hAnsi="宋体" w:cs="宋体"/>
          <w:b/>
          <w:bCs/>
          <w:spacing w:val="-2"/>
          <w:position w:val="18"/>
          <w:sz w:val="24"/>
          <w:szCs w:val="24"/>
          <w:lang w:val="en-US" w:eastAsia="zh-CN"/>
        </w:rPr>
        <w:t>最终结算金额</w:t>
      </w:r>
      <w:r>
        <w:rPr>
          <w:rFonts w:hint="eastAsia" w:ascii="宋体" w:hAnsi="宋体" w:eastAsia="宋体" w:cs="宋体"/>
          <w:b/>
          <w:bCs/>
          <w:spacing w:val="-2"/>
          <w:position w:val="18"/>
          <w:sz w:val="24"/>
          <w:szCs w:val="24"/>
        </w:rPr>
        <w:t>已包含需求项下的所有因完成服务而产生的人工、餐食、饮水、税费等所有费用，如有新增项，则另行签订补充协议。</w:t>
      </w:r>
    </w:p>
    <w:p w14:paraId="791DBD35">
      <w:pPr>
        <w:snapToGrid w:val="0"/>
        <w:spacing w:line="360" w:lineRule="auto"/>
        <w:ind w:firstLine="472" w:firstLineChars="196"/>
        <w:rPr>
          <w:rFonts w:hint="eastAsia" w:ascii="宋体" w:hAnsi="宋体" w:eastAsia="宋体"/>
          <w:b/>
          <w:color w:val="auto"/>
          <w:sz w:val="24"/>
          <w:szCs w:val="24"/>
          <w:highlight w:val="none"/>
          <w:lang w:val="en-US" w:eastAsia="zh-CN"/>
        </w:rPr>
      </w:pPr>
    </w:p>
    <w:p w14:paraId="5EF6AA43">
      <w:pPr>
        <w:rPr>
          <w:color w:val="auto"/>
          <w:highlight w:val="none"/>
        </w:rPr>
      </w:pPr>
    </w:p>
    <w:p w14:paraId="77F097AB">
      <w:pPr>
        <w:rPr>
          <w:color w:val="auto"/>
          <w:highlight w:val="none"/>
        </w:rPr>
      </w:pPr>
    </w:p>
    <w:p w14:paraId="5221D160">
      <w:pPr>
        <w:pStyle w:val="5"/>
        <w:ind w:left="0" w:leftChars="0" w:firstLine="0" w:firstLineChars="0"/>
        <w:rPr>
          <w:color w:val="auto"/>
          <w:highlight w:val="none"/>
        </w:rPr>
      </w:pPr>
    </w:p>
    <w:p w14:paraId="0E898180">
      <w:pPr>
        <w:rPr>
          <w:color w:val="auto"/>
          <w:highlight w:val="none"/>
        </w:rPr>
      </w:pPr>
    </w:p>
    <w:p w14:paraId="2CEC0CA6">
      <w:pPr>
        <w:rPr>
          <w:color w:val="auto"/>
          <w:highlight w:val="none"/>
        </w:rPr>
      </w:pPr>
    </w:p>
    <w:p w14:paraId="745E51C8">
      <w:pPr>
        <w:rPr>
          <w:rFonts w:hint="eastAsia" w:ascii="宋体" w:hAnsi="宋体" w:cs="Times New Roman"/>
          <w:b/>
          <w:bCs/>
          <w:color w:val="auto"/>
          <w:sz w:val="24"/>
          <w:highlight w:val="none"/>
        </w:rPr>
      </w:pPr>
      <w:r>
        <w:rPr>
          <w:rFonts w:hint="eastAsia" w:ascii="宋体" w:hAnsi="宋体" w:cs="Times New Roman"/>
          <w:b/>
          <w:bCs/>
          <w:color w:val="auto"/>
          <w:sz w:val="24"/>
          <w:highlight w:val="none"/>
        </w:rPr>
        <w:br w:type="page"/>
      </w:r>
    </w:p>
    <w:p w14:paraId="3D0B1E78">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附件6</w:t>
      </w:r>
    </w:p>
    <w:p w14:paraId="69BFE0D4">
      <w:pPr>
        <w:pStyle w:val="4"/>
        <w:ind w:firstLine="3318" w:firstLineChars="1377"/>
        <w:rPr>
          <w:rFonts w:hint="eastAsia"/>
          <w:color w:val="auto"/>
          <w:highlight w:val="none"/>
        </w:rPr>
      </w:pPr>
      <w:r>
        <w:rPr>
          <w:rFonts w:hint="eastAsia"/>
          <w:bCs/>
          <w:color w:val="auto"/>
          <w:sz w:val="24"/>
          <w:highlight w:val="none"/>
        </w:rPr>
        <w:t>投标人业绩一览表</w:t>
      </w:r>
    </w:p>
    <w:p w14:paraId="46ADC732">
      <w:pPr>
        <w:spacing w:line="360" w:lineRule="auto"/>
        <w:ind w:right="-260" w:rightChars="-124" w:firstLine="40" w:firstLineChars="17"/>
        <w:rPr>
          <w:rFonts w:hint="eastAsia" w:ascii="宋体" w:hAnsi="宋体"/>
          <w:color w:val="auto"/>
          <w:sz w:val="24"/>
          <w:highlight w:val="none"/>
        </w:rPr>
      </w:pPr>
      <w:r>
        <w:rPr>
          <w:rFonts w:hint="eastAsia" w:ascii="宋体" w:hAnsi="宋体"/>
          <w:color w:val="auto"/>
          <w:sz w:val="24"/>
          <w:highlight w:val="none"/>
        </w:rPr>
        <w:t xml:space="preserve">项目名称： </w:t>
      </w:r>
      <w:r>
        <w:rPr>
          <w:rFonts w:hint="eastAsia" w:ascii="宋体" w:hAnsi="宋体"/>
          <w:color w:val="auto"/>
          <w:sz w:val="24"/>
          <w:highlight w:val="none"/>
          <w:lang w:eastAsia="zh-CN"/>
        </w:rPr>
        <w:t>2025“Head In The Clouds”（云思妙想）音乐艺术节——大湾区站（南沙）项目临时安保服务外包项目</w:t>
      </w:r>
      <w:r>
        <w:rPr>
          <w:rFonts w:hint="eastAsia" w:ascii="宋体" w:hAnsi="宋体"/>
          <w:color w:val="auto"/>
          <w:sz w:val="24"/>
          <w:highlight w:val="none"/>
        </w:rPr>
        <w:t xml:space="preserve">                 </w:t>
      </w:r>
    </w:p>
    <w:tbl>
      <w:tblPr>
        <w:tblStyle w:val="1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14:paraId="3EB9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14:paraId="1ADB140B">
            <w:pPr>
              <w:jc w:val="center"/>
              <w:rPr>
                <w:rFonts w:hint="eastAsia" w:ascii="宋体" w:hAnsi="宋体"/>
                <w:color w:val="auto"/>
                <w:sz w:val="24"/>
                <w:highlight w:val="none"/>
              </w:rPr>
            </w:pPr>
            <w:r>
              <w:rPr>
                <w:rFonts w:hint="eastAsia" w:ascii="宋体" w:hAnsi="宋体"/>
                <w:color w:val="auto"/>
                <w:sz w:val="24"/>
                <w:highlight w:val="none"/>
              </w:rPr>
              <w:t>序号</w:t>
            </w:r>
          </w:p>
        </w:tc>
        <w:tc>
          <w:tcPr>
            <w:tcW w:w="1575" w:type="dxa"/>
            <w:vAlign w:val="center"/>
          </w:tcPr>
          <w:p w14:paraId="75C0C347">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1575" w:type="dxa"/>
            <w:vAlign w:val="center"/>
          </w:tcPr>
          <w:p w14:paraId="4776805A">
            <w:pPr>
              <w:jc w:val="center"/>
              <w:rPr>
                <w:rFonts w:hint="eastAsia" w:ascii="宋体" w:hAnsi="宋体"/>
                <w:color w:val="auto"/>
                <w:sz w:val="24"/>
                <w:highlight w:val="none"/>
              </w:rPr>
            </w:pPr>
            <w:r>
              <w:rPr>
                <w:rFonts w:hint="eastAsia" w:ascii="宋体" w:hAnsi="宋体"/>
                <w:color w:val="auto"/>
                <w:sz w:val="24"/>
                <w:highlight w:val="none"/>
              </w:rPr>
              <w:t>规模</w:t>
            </w:r>
          </w:p>
        </w:tc>
        <w:tc>
          <w:tcPr>
            <w:tcW w:w="1575" w:type="dxa"/>
            <w:vAlign w:val="center"/>
          </w:tcPr>
          <w:p w14:paraId="1C39648F">
            <w:pPr>
              <w:jc w:val="center"/>
              <w:rPr>
                <w:rFonts w:hint="eastAsia" w:ascii="宋体" w:hAnsi="宋体"/>
                <w:color w:val="auto"/>
                <w:sz w:val="24"/>
                <w:highlight w:val="none"/>
              </w:rPr>
            </w:pPr>
            <w:r>
              <w:rPr>
                <w:rFonts w:hint="eastAsia" w:ascii="宋体" w:hAnsi="宋体"/>
                <w:color w:val="auto"/>
                <w:sz w:val="24"/>
                <w:highlight w:val="none"/>
              </w:rPr>
              <w:t>合同总价</w:t>
            </w:r>
          </w:p>
        </w:tc>
        <w:tc>
          <w:tcPr>
            <w:tcW w:w="1575" w:type="dxa"/>
            <w:vAlign w:val="center"/>
          </w:tcPr>
          <w:p w14:paraId="0F22D9B5">
            <w:pPr>
              <w:jc w:val="center"/>
              <w:rPr>
                <w:rFonts w:hint="eastAsia" w:ascii="宋体" w:hAnsi="宋体"/>
                <w:color w:val="auto"/>
                <w:sz w:val="24"/>
                <w:highlight w:val="none"/>
              </w:rPr>
            </w:pPr>
            <w:r>
              <w:rPr>
                <w:rFonts w:hint="eastAsia" w:ascii="宋体" w:hAnsi="宋体"/>
                <w:color w:val="auto"/>
                <w:sz w:val="24"/>
                <w:highlight w:val="none"/>
              </w:rPr>
              <w:t>开始时间</w:t>
            </w:r>
          </w:p>
        </w:tc>
        <w:tc>
          <w:tcPr>
            <w:tcW w:w="1576" w:type="dxa"/>
            <w:vAlign w:val="center"/>
          </w:tcPr>
          <w:p w14:paraId="0FB0A8A8">
            <w:pPr>
              <w:jc w:val="center"/>
              <w:rPr>
                <w:rFonts w:hint="eastAsia" w:ascii="宋体" w:hAnsi="宋体"/>
                <w:color w:val="auto"/>
                <w:sz w:val="24"/>
                <w:highlight w:val="none"/>
              </w:rPr>
            </w:pPr>
            <w:r>
              <w:rPr>
                <w:rFonts w:hint="eastAsia" w:ascii="宋体" w:hAnsi="宋体"/>
                <w:color w:val="auto"/>
                <w:sz w:val="24"/>
                <w:highlight w:val="none"/>
              </w:rPr>
              <w:t>业主单位、</w:t>
            </w:r>
          </w:p>
          <w:p w14:paraId="2B13E899">
            <w:pPr>
              <w:jc w:val="center"/>
              <w:rPr>
                <w:rFonts w:hint="eastAsia" w:ascii="宋体" w:hAnsi="宋体"/>
                <w:color w:val="auto"/>
                <w:sz w:val="24"/>
                <w:highlight w:val="none"/>
              </w:rPr>
            </w:pPr>
            <w:r>
              <w:rPr>
                <w:rFonts w:hint="eastAsia" w:ascii="宋体" w:hAnsi="宋体"/>
                <w:color w:val="auto"/>
                <w:sz w:val="24"/>
                <w:highlight w:val="none"/>
              </w:rPr>
              <w:t>联系人及电话</w:t>
            </w:r>
          </w:p>
        </w:tc>
      </w:tr>
      <w:tr w14:paraId="4426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629A0B16">
            <w:pPr>
              <w:spacing w:line="360" w:lineRule="auto"/>
              <w:rPr>
                <w:rFonts w:hint="eastAsia" w:ascii="宋体" w:hAnsi="宋体"/>
                <w:color w:val="auto"/>
                <w:sz w:val="24"/>
                <w:highlight w:val="none"/>
              </w:rPr>
            </w:pPr>
          </w:p>
        </w:tc>
        <w:tc>
          <w:tcPr>
            <w:tcW w:w="1575" w:type="dxa"/>
            <w:vAlign w:val="center"/>
          </w:tcPr>
          <w:p w14:paraId="3443422F">
            <w:pPr>
              <w:spacing w:line="360" w:lineRule="auto"/>
              <w:rPr>
                <w:rFonts w:hint="eastAsia" w:ascii="宋体" w:hAnsi="宋体"/>
                <w:color w:val="auto"/>
                <w:sz w:val="24"/>
                <w:highlight w:val="none"/>
              </w:rPr>
            </w:pPr>
          </w:p>
        </w:tc>
        <w:tc>
          <w:tcPr>
            <w:tcW w:w="1575" w:type="dxa"/>
            <w:vAlign w:val="center"/>
          </w:tcPr>
          <w:p w14:paraId="3D20F77E">
            <w:pPr>
              <w:spacing w:line="360" w:lineRule="auto"/>
              <w:rPr>
                <w:rFonts w:hint="eastAsia" w:ascii="宋体" w:hAnsi="宋体"/>
                <w:color w:val="auto"/>
                <w:sz w:val="24"/>
                <w:highlight w:val="none"/>
              </w:rPr>
            </w:pPr>
          </w:p>
        </w:tc>
        <w:tc>
          <w:tcPr>
            <w:tcW w:w="1575" w:type="dxa"/>
            <w:vAlign w:val="center"/>
          </w:tcPr>
          <w:p w14:paraId="28C6965D">
            <w:pPr>
              <w:spacing w:line="360" w:lineRule="auto"/>
              <w:rPr>
                <w:rFonts w:hint="eastAsia" w:ascii="宋体" w:hAnsi="宋体"/>
                <w:color w:val="auto"/>
                <w:sz w:val="24"/>
                <w:highlight w:val="none"/>
              </w:rPr>
            </w:pPr>
          </w:p>
        </w:tc>
        <w:tc>
          <w:tcPr>
            <w:tcW w:w="1575" w:type="dxa"/>
            <w:vAlign w:val="center"/>
          </w:tcPr>
          <w:p w14:paraId="1C46BCA2">
            <w:pPr>
              <w:spacing w:line="360" w:lineRule="auto"/>
              <w:rPr>
                <w:rFonts w:hint="eastAsia" w:ascii="宋体" w:hAnsi="宋体"/>
                <w:color w:val="auto"/>
                <w:sz w:val="24"/>
                <w:highlight w:val="none"/>
              </w:rPr>
            </w:pPr>
          </w:p>
        </w:tc>
        <w:tc>
          <w:tcPr>
            <w:tcW w:w="1576" w:type="dxa"/>
            <w:vAlign w:val="center"/>
          </w:tcPr>
          <w:p w14:paraId="5FE54849">
            <w:pPr>
              <w:spacing w:line="360" w:lineRule="auto"/>
              <w:rPr>
                <w:rFonts w:hint="eastAsia" w:ascii="宋体" w:hAnsi="宋体"/>
                <w:color w:val="auto"/>
                <w:sz w:val="24"/>
                <w:highlight w:val="none"/>
              </w:rPr>
            </w:pPr>
          </w:p>
        </w:tc>
      </w:tr>
      <w:tr w14:paraId="735F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767BA8ED">
            <w:pPr>
              <w:spacing w:line="360" w:lineRule="auto"/>
              <w:rPr>
                <w:rFonts w:hint="eastAsia" w:ascii="宋体" w:hAnsi="宋体"/>
                <w:color w:val="auto"/>
                <w:sz w:val="24"/>
                <w:highlight w:val="none"/>
              </w:rPr>
            </w:pPr>
          </w:p>
        </w:tc>
        <w:tc>
          <w:tcPr>
            <w:tcW w:w="1575" w:type="dxa"/>
            <w:vAlign w:val="center"/>
          </w:tcPr>
          <w:p w14:paraId="13085CC6">
            <w:pPr>
              <w:spacing w:line="360" w:lineRule="auto"/>
              <w:rPr>
                <w:rFonts w:hint="eastAsia" w:ascii="宋体" w:hAnsi="宋体"/>
                <w:color w:val="auto"/>
                <w:sz w:val="24"/>
                <w:highlight w:val="none"/>
              </w:rPr>
            </w:pPr>
          </w:p>
        </w:tc>
        <w:tc>
          <w:tcPr>
            <w:tcW w:w="1575" w:type="dxa"/>
            <w:vAlign w:val="center"/>
          </w:tcPr>
          <w:p w14:paraId="44F8ABBB">
            <w:pPr>
              <w:spacing w:line="360" w:lineRule="auto"/>
              <w:rPr>
                <w:rFonts w:hint="eastAsia" w:ascii="宋体" w:hAnsi="宋体"/>
                <w:color w:val="auto"/>
                <w:sz w:val="24"/>
                <w:highlight w:val="none"/>
              </w:rPr>
            </w:pPr>
          </w:p>
        </w:tc>
        <w:tc>
          <w:tcPr>
            <w:tcW w:w="1575" w:type="dxa"/>
            <w:vAlign w:val="center"/>
          </w:tcPr>
          <w:p w14:paraId="5FD4636E">
            <w:pPr>
              <w:spacing w:line="360" w:lineRule="auto"/>
              <w:rPr>
                <w:rFonts w:hint="eastAsia" w:ascii="宋体" w:hAnsi="宋体"/>
                <w:color w:val="auto"/>
                <w:sz w:val="24"/>
                <w:highlight w:val="none"/>
              </w:rPr>
            </w:pPr>
          </w:p>
        </w:tc>
        <w:tc>
          <w:tcPr>
            <w:tcW w:w="1575" w:type="dxa"/>
            <w:vAlign w:val="center"/>
          </w:tcPr>
          <w:p w14:paraId="1E54E163">
            <w:pPr>
              <w:spacing w:line="360" w:lineRule="auto"/>
              <w:rPr>
                <w:rFonts w:hint="eastAsia" w:ascii="宋体" w:hAnsi="宋体"/>
                <w:color w:val="auto"/>
                <w:sz w:val="24"/>
                <w:highlight w:val="none"/>
              </w:rPr>
            </w:pPr>
          </w:p>
        </w:tc>
        <w:tc>
          <w:tcPr>
            <w:tcW w:w="1576" w:type="dxa"/>
            <w:vAlign w:val="center"/>
          </w:tcPr>
          <w:p w14:paraId="4B8AC749">
            <w:pPr>
              <w:spacing w:line="360" w:lineRule="auto"/>
              <w:rPr>
                <w:rFonts w:hint="eastAsia" w:ascii="宋体" w:hAnsi="宋体"/>
                <w:color w:val="auto"/>
                <w:sz w:val="24"/>
                <w:highlight w:val="none"/>
              </w:rPr>
            </w:pPr>
          </w:p>
        </w:tc>
      </w:tr>
      <w:tr w14:paraId="3D81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60943107">
            <w:pPr>
              <w:spacing w:line="360" w:lineRule="auto"/>
              <w:rPr>
                <w:rFonts w:hint="eastAsia" w:ascii="宋体" w:hAnsi="宋体"/>
                <w:color w:val="auto"/>
                <w:sz w:val="24"/>
                <w:highlight w:val="none"/>
              </w:rPr>
            </w:pPr>
          </w:p>
        </w:tc>
        <w:tc>
          <w:tcPr>
            <w:tcW w:w="1575" w:type="dxa"/>
            <w:vAlign w:val="center"/>
          </w:tcPr>
          <w:p w14:paraId="16E6E63E">
            <w:pPr>
              <w:spacing w:line="360" w:lineRule="auto"/>
              <w:rPr>
                <w:rFonts w:hint="eastAsia" w:ascii="宋体" w:hAnsi="宋体"/>
                <w:color w:val="auto"/>
                <w:sz w:val="24"/>
                <w:highlight w:val="none"/>
              </w:rPr>
            </w:pPr>
          </w:p>
        </w:tc>
        <w:tc>
          <w:tcPr>
            <w:tcW w:w="1575" w:type="dxa"/>
            <w:vAlign w:val="center"/>
          </w:tcPr>
          <w:p w14:paraId="42C2F5AF">
            <w:pPr>
              <w:spacing w:line="360" w:lineRule="auto"/>
              <w:rPr>
                <w:rFonts w:hint="eastAsia" w:ascii="宋体" w:hAnsi="宋体"/>
                <w:color w:val="auto"/>
                <w:sz w:val="24"/>
                <w:highlight w:val="none"/>
              </w:rPr>
            </w:pPr>
          </w:p>
        </w:tc>
        <w:tc>
          <w:tcPr>
            <w:tcW w:w="1575" w:type="dxa"/>
            <w:vAlign w:val="center"/>
          </w:tcPr>
          <w:p w14:paraId="46B4B0BE">
            <w:pPr>
              <w:spacing w:line="360" w:lineRule="auto"/>
              <w:rPr>
                <w:rFonts w:hint="eastAsia" w:ascii="宋体" w:hAnsi="宋体"/>
                <w:color w:val="auto"/>
                <w:sz w:val="24"/>
                <w:highlight w:val="none"/>
              </w:rPr>
            </w:pPr>
          </w:p>
        </w:tc>
        <w:tc>
          <w:tcPr>
            <w:tcW w:w="1575" w:type="dxa"/>
            <w:vAlign w:val="center"/>
          </w:tcPr>
          <w:p w14:paraId="491AE38B">
            <w:pPr>
              <w:spacing w:line="360" w:lineRule="auto"/>
              <w:rPr>
                <w:rFonts w:hint="eastAsia" w:ascii="宋体" w:hAnsi="宋体"/>
                <w:color w:val="auto"/>
                <w:sz w:val="24"/>
                <w:highlight w:val="none"/>
              </w:rPr>
            </w:pPr>
          </w:p>
        </w:tc>
        <w:tc>
          <w:tcPr>
            <w:tcW w:w="1576" w:type="dxa"/>
            <w:vAlign w:val="center"/>
          </w:tcPr>
          <w:p w14:paraId="7100A4D5">
            <w:pPr>
              <w:spacing w:line="360" w:lineRule="auto"/>
              <w:rPr>
                <w:rFonts w:hint="eastAsia" w:ascii="宋体" w:hAnsi="宋体"/>
                <w:color w:val="auto"/>
                <w:sz w:val="24"/>
                <w:highlight w:val="none"/>
              </w:rPr>
            </w:pPr>
          </w:p>
        </w:tc>
      </w:tr>
      <w:tr w14:paraId="0D5C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0A19EAF2">
            <w:pPr>
              <w:spacing w:line="360" w:lineRule="auto"/>
              <w:rPr>
                <w:rFonts w:hint="eastAsia" w:ascii="宋体" w:hAnsi="宋体"/>
                <w:color w:val="auto"/>
                <w:sz w:val="24"/>
                <w:highlight w:val="none"/>
              </w:rPr>
            </w:pPr>
          </w:p>
        </w:tc>
        <w:tc>
          <w:tcPr>
            <w:tcW w:w="1575" w:type="dxa"/>
            <w:vAlign w:val="center"/>
          </w:tcPr>
          <w:p w14:paraId="6E6C559F">
            <w:pPr>
              <w:spacing w:line="360" w:lineRule="auto"/>
              <w:rPr>
                <w:rFonts w:hint="eastAsia" w:ascii="宋体" w:hAnsi="宋体"/>
                <w:color w:val="auto"/>
                <w:sz w:val="24"/>
                <w:highlight w:val="none"/>
              </w:rPr>
            </w:pPr>
          </w:p>
        </w:tc>
        <w:tc>
          <w:tcPr>
            <w:tcW w:w="1575" w:type="dxa"/>
            <w:vAlign w:val="center"/>
          </w:tcPr>
          <w:p w14:paraId="5CFC28CB">
            <w:pPr>
              <w:spacing w:line="360" w:lineRule="auto"/>
              <w:rPr>
                <w:rFonts w:hint="eastAsia" w:ascii="宋体" w:hAnsi="宋体"/>
                <w:color w:val="auto"/>
                <w:sz w:val="24"/>
                <w:highlight w:val="none"/>
              </w:rPr>
            </w:pPr>
          </w:p>
        </w:tc>
        <w:tc>
          <w:tcPr>
            <w:tcW w:w="1575" w:type="dxa"/>
            <w:vAlign w:val="center"/>
          </w:tcPr>
          <w:p w14:paraId="528CC7B4">
            <w:pPr>
              <w:spacing w:line="360" w:lineRule="auto"/>
              <w:rPr>
                <w:rFonts w:hint="eastAsia" w:ascii="宋体" w:hAnsi="宋体"/>
                <w:color w:val="auto"/>
                <w:sz w:val="24"/>
                <w:highlight w:val="none"/>
              </w:rPr>
            </w:pPr>
          </w:p>
        </w:tc>
        <w:tc>
          <w:tcPr>
            <w:tcW w:w="1575" w:type="dxa"/>
            <w:vAlign w:val="center"/>
          </w:tcPr>
          <w:p w14:paraId="5E003B7C">
            <w:pPr>
              <w:spacing w:line="360" w:lineRule="auto"/>
              <w:rPr>
                <w:rFonts w:hint="eastAsia" w:ascii="宋体" w:hAnsi="宋体"/>
                <w:color w:val="auto"/>
                <w:sz w:val="24"/>
                <w:highlight w:val="none"/>
              </w:rPr>
            </w:pPr>
          </w:p>
        </w:tc>
        <w:tc>
          <w:tcPr>
            <w:tcW w:w="1576" w:type="dxa"/>
            <w:vAlign w:val="center"/>
          </w:tcPr>
          <w:p w14:paraId="44B9F4E3">
            <w:pPr>
              <w:spacing w:line="360" w:lineRule="auto"/>
              <w:rPr>
                <w:rFonts w:hint="eastAsia" w:ascii="宋体" w:hAnsi="宋体"/>
                <w:color w:val="auto"/>
                <w:sz w:val="24"/>
                <w:highlight w:val="none"/>
              </w:rPr>
            </w:pPr>
          </w:p>
        </w:tc>
      </w:tr>
      <w:tr w14:paraId="2B1B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1DDB1D0A">
            <w:pPr>
              <w:spacing w:line="360" w:lineRule="auto"/>
              <w:rPr>
                <w:rFonts w:hint="eastAsia" w:ascii="宋体" w:hAnsi="宋体"/>
                <w:color w:val="auto"/>
                <w:sz w:val="24"/>
                <w:highlight w:val="none"/>
              </w:rPr>
            </w:pPr>
          </w:p>
        </w:tc>
        <w:tc>
          <w:tcPr>
            <w:tcW w:w="1575" w:type="dxa"/>
            <w:vAlign w:val="center"/>
          </w:tcPr>
          <w:p w14:paraId="769A4BF6">
            <w:pPr>
              <w:spacing w:line="360" w:lineRule="auto"/>
              <w:rPr>
                <w:rFonts w:hint="eastAsia" w:ascii="宋体" w:hAnsi="宋体"/>
                <w:color w:val="auto"/>
                <w:sz w:val="24"/>
                <w:highlight w:val="none"/>
              </w:rPr>
            </w:pPr>
          </w:p>
        </w:tc>
        <w:tc>
          <w:tcPr>
            <w:tcW w:w="1575" w:type="dxa"/>
            <w:vAlign w:val="center"/>
          </w:tcPr>
          <w:p w14:paraId="6EEA94AE">
            <w:pPr>
              <w:spacing w:line="360" w:lineRule="auto"/>
              <w:rPr>
                <w:rFonts w:hint="eastAsia" w:ascii="宋体" w:hAnsi="宋体"/>
                <w:color w:val="auto"/>
                <w:sz w:val="24"/>
                <w:highlight w:val="none"/>
              </w:rPr>
            </w:pPr>
          </w:p>
        </w:tc>
        <w:tc>
          <w:tcPr>
            <w:tcW w:w="1575" w:type="dxa"/>
            <w:vAlign w:val="center"/>
          </w:tcPr>
          <w:p w14:paraId="76969868">
            <w:pPr>
              <w:spacing w:line="360" w:lineRule="auto"/>
              <w:rPr>
                <w:rFonts w:hint="eastAsia" w:ascii="宋体" w:hAnsi="宋体"/>
                <w:color w:val="auto"/>
                <w:sz w:val="24"/>
                <w:highlight w:val="none"/>
              </w:rPr>
            </w:pPr>
          </w:p>
        </w:tc>
        <w:tc>
          <w:tcPr>
            <w:tcW w:w="1575" w:type="dxa"/>
            <w:vAlign w:val="center"/>
          </w:tcPr>
          <w:p w14:paraId="08DE7DBC">
            <w:pPr>
              <w:spacing w:line="360" w:lineRule="auto"/>
              <w:rPr>
                <w:rFonts w:hint="eastAsia" w:ascii="宋体" w:hAnsi="宋体"/>
                <w:color w:val="auto"/>
                <w:sz w:val="24"/>
                <w:highlight w:val="none"/>
              </w:rPr>
            </w:pPr>
          </w:p>
        </w:tc>
        <w:tc>
          <w:tcPr>
            <w:tcW w:w="1576" w:type="dxa"/>
            <w:vAlign w:val="center"/>
          </w:tcPr>
          <w:p w14:paraId="69A9134B">
            <w:pPr>
              <w:spacing w:line="360" w:lineRule="auto"/>
              <w:rPr>
                <w:rFonts w:hint="eastAsia" w:ascii="宋体" w:hAnsi="宋体"/>
                <w:color w:val="auto"/>
                <w:sz w:val="24"/>
                <w:highlight w:val="none"/>
              </w:rPr>
            </w:pPr>
          </w:p>
        </w:tc>
      </w:tr>
      <w:tr w14:paraId="7063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79C8039D">
            <w:pPr>
              <w:spacing w:line="360" w:lineRule="auto"/>
              <w:rPr>
                <w:rFonts w:hint="eastAsia" w:ascii="宋体" w:hAnsi="宋体"/>
                <w:color w:val="auto"/>
                <w:sz w:val="24"/>
                <w:highlight w:val="none"/>
              </w:rPr>
            </w:pPr>
          </w:p>
        </w:tc>
        <w:tc>
          <w:tcPr>
            <w:tcW w:w="1575" w:type="dxa"/>
            <w:vAlign w:val="center"/>
          </w:tcPr>
          <w:p w14:paraId="050DD8D6">
            <w:pPr>
              <w:spacing w:line="360" w:lineRule="auto"/>
              <w:rPr>
                <w:rFonts w:hint="eastAsia" w:ascii="宋体" w:hAnsi="宋体"/>
                <w:color w:val="auto"/>
                <w:sz w:val="24"/>
                <w:highlight w:val="none"/>
              </w:rPr>
            </w:pPr>
          </w:p>
        </w:tc>
        <w:tc>
          <w:tcPr>
            <w:tcW w:w="1575" w:type="dxa"/>
            <w:vAlign w:val="center"/>
          </w:tcPr>
          <w:p w14:paraId="1826440F">
            <w:pPr>
              <w:spacing w:line="360" w:lineRule="auto"/>
              <w:rPr>
                <w:rFonts w:hint="eastAsia" w:ascii="宋体" w:hAnsi="宋体"/>
                <w:color w:val="auto"/>
                <w:sz w:val="24"/>
                <w:highlight w:val="none"/>
              </w:rPr>
            </w:pPr>
          </w:p>
        </w:tc>
        <w:tc>
          <w:tcPr>
            <w:tcW w:w="1575" w:type="dxa"/>
            <w:vAlign w:val="center"/>
          </w:tcPr>
          <w:p w14:paraId="02B4266A">
            <w:pPr>
              <w:spacing w:line="360" w:lineRule="auto"/>
              <w:rPr>
                <w:rFonts w:hint="eastAsia" w:ascii="宋体" w:hAnsi="宋体"/>
                <w:color w:val="auto"/>
                <w:sz w:val="24"/>
                <w:highlight w:val="none"/>
              </w:rPr>
            </w:pPr>
          </w:p>
        </w:tc>
        <w:tc>
          <w:tcPr>
            <w:tcW w:w="1575" w:type="dxa"/>
            <w:vAlign w:val="center"/>
          </w:tcPr>
          <w:p w14:paraId="198135AF">
            <w:pPr>
              <w:spacing w:line="360" w:lineRule="auto"/>
              <w:rPr>
                <w:rFonts w:hint="eastAsia" w:ascii="宋体" w:hAnsi="宋体"/>
                <w:color w:val="auto"/>
                <w:sz w:val="24"/>
                <w:highlight w:val="none"/>
              </w:rPr>
            </w:pPr>
          </w:p>
        </w:tc>
        <w:tc>
          <w:tcPr>
            <w:tcW w:w="1576" w:type="dxa"/>
            <w:vAlign w:val="center"/>
          </w:tcPr>
          <w:p w14:paraId="3682CC25">
            <w:pPr>
              <w:spacing w:line="360" w:lineRule="auto"/>
              <w:rPr>
                <w:rFonts w:hint="eastAsia" w:ascii="宋体" w:hAnsi="宋体"/>
                <w:color w:val="auto"/>
                <w:sz w:val="24"/>
                <w:highlight w:val="none"/>
              </w:rPr>
            </w:pPr>
          </w:p>
        </w:tc>
      </w:tr>
      <w:tr w14:paraId="38EE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34E042D4">
            <w:pPr>
              <w:spacing w:line="360" w:lineRule="auto"/>
              <w:rPr>
                <w:rFonts w:hint="eastAsia" w:ascii="宋体" w:hAnsi="宋体"/>
                <w:color w:val="auto"/>
                <w:sz w:val="24"/>
                <w:highlight w:val="none"/>
              </w:rPr>
            </w:pPr>
          </w:p>
        </w:tc>
        <w:tc>
          <w:tcPr>
            <w:tcW w:w="1575" w:type="dxa"/>
            <w:vAlign w:val="center"/>
          </w:tcPr>
          <w:p w14:paraId="591AE2F1">
            <w:pPr>
              <w:spacing w:line="360" w:lineRule="auto"/>
              <w:rPr>
                <w:rFonts w:hint="eastAsia" w:ascii="宋体" w:hAnsi="宋体"/>
                <w:color w:val="auto"/>
                <w:sz w:val="24"/>
                <w:highlight w:val="none"/>
              </w:rPr>
            </w:pPr>
          </w:p>
        </w:tc>
        <w:tc>
          <w:tcPr>
            <w:tcW w:w="1575" w:type="dxa"/>
            <w:vAlign w:val="center"/>
          </w:tcPr>
          <w:p w14:paraId="689C9931">
            <w:pPr>
              <w:spacing w:line="360" w:lineRule="auto"/>
              <w:rPr>
                <w:rFonts w:hint="eastAsia" w:ascii="宋体" w:hAnsi="宋体"/>
                <w:color w:val="auto"/>
                <w:sz w:val="24"/>
                <w:highlight w:val="none"/>
              </w:rPr>
            </w:pPr>
          </w:p>
        </w:tc>
        <w:tc>
          <w:tcPr>
            <w:tcW w:w="1575" w:type="dxa"/>
            <w:vAlign w:val="center"/>
          </w:tcPr>
          <w:p w14:paraId="2AF8217C">
            <w:pPr>
              <w:spacing w:line="360" w:lineRule="auto"/>
              <w:rPr>
                <w:rFonts w:hint="eastAsia" w:ascii="宋体" w:hAnsi="宋体"/>
                <w:color w:val="auto"/>
                <w:sz w:val="24"/>
                <w:highlight w:val="none"/>
              </w:rPr>
            </w:pPr>
          </w:p>
        </w:tc>
        <w:tc>
          <w:tcPr>
            <w:tcW w:w="1575" w:type="dxa"/>
            <w:vAlign w:val="center"/>
          </w:tcPr>
          <w:p w14:paraId="458B4967">
            <w:pPr>
              <w:spacing w:line="360" w:lineRule="auto"/>
              <w:rPr>
                <w:rFonts w:hint="eastAsia" w:ascii="宋体" w:hAnsi="宋体"/>
                <w:color w:val="auto"/>
                <w:sz w:val="24"/>
                <w:highlight w:val="none"/>
              </w:rPr>
            </w:pPr>
          </w:p>
        </w:tc>
        <w:tc>
          <w:tcPr>
            <w:tcW w:w="1576" w:type="dxa"/>
            <w:vAlign w:val="center"/>
          </w:tcPr>
          <w:p w14:paraId="4DE1E1A1">
            <w:pPr>
              <w:spacing w:line="360" w:lineRule="auto"/>
              <w:rPr>
                <w:rFonts w:hint="eastAsia" w:ascii="宋体" w:hAnsi="宋体"/>
                <w:color w:val="auto"/>
                <w:sz w:val="24"/>
                <w:highlight w:val="none"/>
              </w:rPr>
            </w:pPr>
          </w:p>
        </w:tc>
      </w:tr>
      <w:tr w14:paraId="6C5E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1886E2BE">
            <w:pPr>
              <w:spacing w:line="360" w:lineRule="auto"/>
              <w:rPr>
                <w:rFonts w:hint="eastAsia" w:ascii="宋体" w:hAnsi="宋体"/>
                <w:color w:val="auto"/>
                <w:sz w:val="24"/>
                <w:highlight w:val="none"/>
              </w:rPr>
            </w:pPr>
          </w:p>
        </w:tc>
        <w:tc>
          <w:tcPr>
            <w:tcW w:w="1575" w:type="dxa"/>
            <w:vAlign w:val="center"/>
          </w:tcPr>
          <w:p w14:paraId="2A73872F">
            <w:pPr>
              <w:spacing w:line="360" w:lineRule="auto"/>
              <w:rPr>
                <w:rFonts w:hint="eastAsia" w:ascii="宋体" w:hAnsi="宋体"/>
                <w:color w:val="auto"/>
                <w:sz w:val="24"/>
                <w:highlight w:val="none"/>
              </w:rPr>
            </w:pPr>
          </w:p>
        </w:tc>
        <w:tc>
          <w:tcPr>
            <w:tcW w:w="1575" w:type="dxa"/>
            <w:vAlign w:val="center"/>
          </w:tcPr>
          <w:p w14:paraId="32ADB531">
            <w:pPr>
              <w:spacing w:line="360" w:lineRule="auto"/>
              <w:rPr>
                <w:rFonts w:hint="eastAsia" w:ascii="宋体" w:hAnsi="宋体"/>
                <w:color w:val="auto"/>
                <w:sz w:val="24"/>
                <w:highlight w:val="none"/>
              </w:rPr>
            </w:pPr>
          </w:p>
        </w:tc>
        <w:tc>
          <w:tcPr>
            <w:tcW w:w="1575" w:type="dxa"/>
            <w:vAlign w:val="center"/>
          </w:tcPr>
          <w:p w14:paraId="216E6C3B">
            <w:pPr>
              <w:spacing w:line="360" w:lineRule="auto"/>
              <w:rPr>
                <w:rFonts w:hint="eastAsia" w:ascii="宋体" w:hAnsi="宋体"/>
                <w:color w:val="auto"/>
                <w:sz w:val="24"/>
                <w:highlight w:val="none"/>
              </w:rPr>
            </w:pPr>
          </w:p>
        </w:tc>
        <w:tc>
          <w:tcPr>
            <w:tcW w:w="1575" w:type="dxa"/>
            <w:vAlign w:val="center"/>
          </w:tcPr>
          <w:p w14:paraId="77D6EE50">
            <w:pPr>
              <w:pStyle w:val="23"/>
              <w:rPr>
                <w:rFonts w:hint="eastAsia"/>
                <w:color w:val="auto"/>
                <w:highlight w:val="none"/>
              </w:rPr>
            </w:pPr>
          </w:p>
        </w:tc>
        <w:tc>
          <w:tcPr>
            <w:tcW w:w="1576" w:type="dxa"/>
            <w:vAlign w:val="center"/>
          </w:tcPr>
          <w:p w14:paraId="368CBDF6">
            <w:pPr>
              <w:spacing w:line="360" w:lineRule="auto"/>
              <w:rPr>
                <w:rFonts w:hint="eastAsia" w:ascii="宋体" w:hAnsi="宋体"/>
                <w:color w:val="auto"/>
                <w:sz w:val="24"/>
                <w:highlight w:val="none"/>
              </w:rPr>
            </w:pPr>
          </w:p>
        </w:tc>
      </w:tr>
      <w:tr w14:paraId="223A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6577ECE4">
            <w:pPr>
              <w:spacing w:line="360" w:lineRule="auto"/>
              <w:rPr>
                <w:rFonts w:hint="eastAsia" w:ascii="宋体" w:hAnsi="宋体"/>
                <w:color w:val="auto"/>
                <w:sz w:val="24"/>
                <w:highlight w:val="none"/>
              </w:rPr>
            </w:pPr>
          </w:p>
        </w:tc>
        <w:tc>
          <w:tcPr>
            <w:tcW w:w="1575" w:type="dxa"/>
            <w:vAlign w:val="center"/>
          </w:tcPr>
          <w:p w14:paraId="0E54C5F4">
            <w:pPr>
              <w:spacing w:line="360" w:lineRule="auto"/>
              <w:rPr>
                <w:rFonts w:hint="eastAsia" w:ascii="宋体" w:hAnsi="宋体"/>
                <w:color w:val="auto"/>
                <w:sz w:val="24"/>
                <w:highlight w:val="none"/>
              </w:rPr>
            </w:pPr>
          </w:p>
        </w:tc>
        <w:tc>
          <w:tcPr>
            <w:tcW w:w="1575" w:type="dxa"/>
            <w:vAlign w:val="center"/>
          </w:tcPr>
          <w:p w14:paraId="51F473E6">
            <w:pPr>
              <w:spacing w:line="360" w:lineRule="auto"/>
              <w:rPr>
                <w:rFonts w:hint="eastAsia" w:ascii="宋体" w:hAnsi="宋体"/>
                <w:color w:val="auto"/>
                <w:sz w:val="24"/>
                <w:highlight w:val="none"/>
              </w:rPr>
            </w:pPr>
          </w:p>
        </w:tc>
        <w:tc>
          <w:tcPr>
            <w:tcW w:w="1575" w:type="dxa"/>
            <w:vAlign w:val="center"/>
          </w:tcPr>
          <w:p w14:paraId="6012D5AF">
            <w:pPr>
              <w:spacing w:line="360" w:lineRule="auto"/>
              <w:rPr>
                <w:rFonts w:hint="eastAsia" w:ascii="宋体" w:hAnsi="宋体"/>
                <w:color w:val="auto"/>
                <w:sz w:val="24"/>
                <w:highlight w:val="none"/>
              </w:rPr>
            </w:pPr>
          </w:p>
        </w:tc>
        <w:tc>
          <w:tcPr>
            <w:tcW w:w="1575" w:type="dxa"/>
            <w:vAlign w:val="center"/>
          </w:tcPr>
          <w:p w14:paraId="2F02E7B2">
            <w:pPr>
              <w:spacing w:line="360" w:lineRule="auto"/>
              <w:rPr>
                <w:rFonts w:hint="eastAsia" w:ascii="宋体" w:hAnsi="宋体"/>
                <w:color w:val="auto"/>
                <w:sz w:val="24"/>
                <w:highlight w:val="none"/>
              </w:rPr>
            </w:pPr>
          </w:p>
        </w:tc>
        <w:tc>
          <w:tcPr>
            <w:tcW w:w="1576" w:type="dxa"/>
            <w:vAlign w:val="center"/>
          </w:tcPr>
          <w:p w14:paraId="595BC554">
            <w:pPr>
              <w:spacing w:line="360" w:lineRule="auto"/>
              <w:rPr>
                <w:rFonts w:hint="eastAsia" w:ascii="宋体" w:hAnsi="宋体"/>
                <w:color w:val="auto"/>
                <w:sz w:val="24"/>
                <w:highlight w:val="none"/>
              </w:rPr>
            </w:pPr>
          </w:p>
        </w:tc>
      </w:tr>
      <w:tr w14:paraId="1695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14:paraId="1906F88E">
            <w:pPr>
              <w:spacing w:line="360" w:lineRule="auto"/>
              <w:rPr>
                <w:rFonts w:hint="eastAsia" w:ascii="宋体" w:hAnsi="宋体"/>
                <w:color w:val="auto"/>
                <w:sz w:val="24"/>
                <w:highlight w:val="none"/>
              </w:rPr>
            </w:pPr>
          </w:p>
        </w:tc>
        <w:tc>
          <w:tcPr>
            <w:tcW w:w="1575" w:type="dxa"/>
            <w:vAlign w:val="center"/>
          </w:tcPr>
          <w:p w14:paraId="72686C49">
            <w:pPr>
              <w:spacing w:line="360" w:lineRule="auto"/>
              <w:rPr>
                <w:rFonts w:hint="eastAsia" w:ascii="宋体" w:hAnsi="宋体"/>
                <w:color w:val="auto"/>
                <w:sz w:val="24"/>
                <w:highlight w:val="none"/>
              </w:rPr>
            </w:pPr>
          </w:p>
        </w:tc>
        <w:tc>
          <w:tcPr>
            <w:tcW w:w="1575" w:type="dxa"/>
            <w:vAlign w:val="center"/>
          </w:tcPr>
          <w:p w14:paraId="130D4A59">
            <w:pPr>
              <w:spacing w:line="360" w:lineRule="auto"/>
              <w:rPr>
                <w:rFonts w:hint="eastAsia" w:ascii="宋体" w:hAnsi="宋体"/>
                <w:color w:val="auto"/>
                <w:sz w:val="24"/>
                <w:highlight w:val="none"/>
              </w:rPr>
            </w:pPr>
          </w:p>
        </w:tc>
        <w:tc>
          <w:tcPr>
            <w:tcW w:w="1575" w:type="dxa"/>
            <w:vAlign w:val="center"/>
          </w:tcPr>
          <w:p w14:paraId="1A2A6F3B">
            <w:pPr>
              <w:spacing w:line="360" w:lineRule="auto"/>
              <w:rPr>
                <w:rFonts w:hint="eastAsia" w:ascii="宋体" w:hAnsi="宋体"/>
                <w:color w:val="auto"/>
                <w:sz w:val="24"/>
                <w:highlight w:val="none"/>
              </w:rPr>
            </w:pPr>
          </w:p>
        </w:tc>
        <w:tc>
          <w:tcPr>
            <w:tcW w:w="1575" w:type="dxa"/>
            <w:vAlign w:val="center"/>
          </w:tcPr>
          <w:p w14:paraId="039C5879">
            <w:pPr>
              <w:spacing w:line="360" w:lineRule="auto"/>
              <w:rPr>
                <w:rFonts w:hint="eastAsia" w:ascii="宋体" w:hAnsi="宋体"/>
                <w:color w:val="auto"/>
                <w:sz w:val="24"/>
                <w:highlight w:val="none"/>
              </w:rPr>
            </w:pPr>
          </w:p>
        </w:tc>
        <w:tc>
          <w:tcPr>
            <w:tcW w:w="1576" w:type="dxa"/>
            <w:vAlign w:val="center"/>
          </w:tcPr>
          <w:p w14:paraId="2ABA42B7">
            <w:pPr>
              <w:spacing w:line="360" w:lineRule="auto"/>
              <w:rPr>
                <w:rFonts w:hint="eastAsia" w:ascii="宋体" w:hAnsi="宋体"/>
                <w:color w:val="auto"/>
                <w:sz w:val="24"/>
                <w:highlight w:val="none"/>
              </w:rPr>
            </w:pPr>
          </w:p>
        </w:tc>
      </w:tr>
    </w:tbl>
    <w:p w14:paraId="1670A4C1">
      <w:pPr>
        <w:spacing w:line="360" w:lineRule="auto"/>
        <w:rPr>
          <w:rFonts w:hint="eastAsia" w:ascii="宋体" w:hAnsi="宋体"/>
          <w:color w:val="auto"/>
          <w:sz w:val="24"/>
          <w:highlight w:val="none"/>
        </w:rPr>
      </w:pPr>
    </w:p>
    <w:p w14:paraId="094BB155">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14:paraId="4D568971">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14:paraId="01BCB93D">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14:paraId="39093996">
      <w:pPr>
        <w:pStyle w:val="4"/>
        <w:ind w:left="480"/>
        <w:rPr>
          <w:rFonts w:hint="eastAsia"/>
          <w:color w:val="auto"/>
          <w:highlight w:val="none"/>
        </w:rPr>
      </w:pPr>
      <w:r>
        <w:rPr>
          <w:rFonts w:hint="eastAsia"/>
          <w:color w:val="auto"/>
          <w:highlight w:val="none"/>
        </w:rPr>
        <w:t>注：1、本格式仅供参考，投标人可根据实际情况自定。</w:t>
      </w:r>
    </w:p>
    <w:p w14:paraId="131B0E1D">
      <w:pPr>
        <w:ind w:firstLine="843" w:firstLineChars="400"/>
        <w:rPr>
          <w:b/>
          <w:bCs/>
          <w:color w:val="auto"/>
          <w:highlight w:val="none"/>
        </w:rPr>
      </w:pPr>
      <w:r>
        <w:rPr>
          <w:rFonts w:hint="eastAsia"/>
          <w:b/>
          <w:bCs/>
          <w:color w:val="auto"/>
          <w:highlight w:val="none"/>
        </w:rPr>
        <w:t>2、投标人应附上项目合同等相关证明材料，证明材料所需资料</w:t>
      </w:r>
      <w:r>
        <w:rPr>
          <w:rFonts w:hint="eastAsia"/>
          <w:b/>
          <w:bCs/>
          <w:color w:val="auto"/>
          <w:highlight w:val="none"/>
          <w:lang w:val="en-US" w:eastAsia="zh-CN"/>
        </w:rPr>
        <w:t>详</w:t>
      </w:r>
      <w:r>
        <w:rPr>
          <w:rFonts w:hint="eastAsia"/>
          <w:b/>
          <w:bCs/>
          <w:color w:val="auto"/>
          <w:highlight w:val="none"/>
        </w:rPr>
        <w:t>见商务评分要求。</w:t>
      </w:r>
    </w:p>
    <w:p w14:paraId="3035AB2A">
      <w:pPr>
        <w:rPr>
          <w:color w:val="auto"/>
          <w:highlight w:val="none"/>
        </w:rPr>
      </w:pPr>
    </w:p>
    <w:p w14:paraId="07B1CCE5">
      <w:pPr>
        <w:rPr>
          <w:color w:val="auto"/>
          <w:highlight w:val="none"/>
        </w:rPr>
      </w:pPr>
    </w:p>
    <w:p w14:paraId="7FFB9113">
      <w:pPr>
        <w:rPr>
          <w:rFonts w:hint="eastAsia" w:ascii="宋体" w:hAnsi="宋体" w:cs="Times New Roman"/>
          <w:b/>
          <w:bCs/>
          <w:color w:val="auto"/>
          <w:sz w:val="24"/>
          <w:highlight w:val="none"/>
        </w:rPr>
      </w:pPr>
    </w:p>
    <w:p w14:paraId="2C961AB7">
      <w:pPr>
        <w:rPr>
          <w:rFonts w:hint="eastAsia" w:ascii="宋体" w:hAnsi="宋体" w:cs="Times New Roman"/>
          <w:b/>
          <w:bCs/>
          <w:color w:val="auto"/>
          <w:sz w:val="24"/>
          <w:highlight w:val="none"/>
        </w:rPr>
      </w:pPr>
      <w:r>
        <w:rPr>
          <w:rFonts w:hint="eastAsia" w:ascii="宋体" w:hAnsi="宋体" w:cs="Times New Roman"/>
          <w:b/>
          <w:bCs/>
          <w:color w:val="auto"/>
          <w:sz w:val="24"/>
          <w:highlight w:val="none"/>
        </w:rPr>
        <w:br w:type="page"/>
      </w:r>
    </w:p>
    <w:p w14:paraId="06D878F9">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附件7  技术文件（格式自定，可另册）</w:t>
      </w:r>
      <w:r>
        <w:rPr>
          <w:rFonts w:hint="eastAsia" w:ascii="宋体" w:hAnsi="宋体" w:cs="Times New Roman"/>
          <w:b/>
          <w:bCs/>
          <w:color w:val="auto"/>
          <w:sz w:val="24"/>
          <w:highlight w:val="none"/>
        </w:rPr>
        <w:tab/>
      </w:r>
    </w:p>
    <w:p w14:paraId="0927B021">
      <w:pPr>
        <w:pStyle w:val="8"/>
        <w:rPr>
          <w:color w:val="auto"/>
          <w:highlight w:val="none"/>
        </w:rPr>
      </w:pPr>
    </w:p>
    <w:p w14:paraId="28A0FA31">
      <w:pPr>
        <w:rPr>
          <w:color w:val="auto"/>
          <w:highlight w:val="none"/>
        </w:rPr>
      </w:pPr>
    </w:p>
    <w:p w14:paraId="4178252A">
      <w:pPr>
        <w:pStyle w:val="3"/>
        <w:rPr>
          <w:color w:val="auto"/>
          <w:highlight w:val="none"/>
        </w:rPr>
      </w:pPr>
    </w:p>
    <w:p w14:paraId="7833CB1C">
      <w:pPr>
        <w:rPr>
          <w:color w:val="auto"/>
          <w:highlight w:val="none"/>
        </w:rPr>
      </w:pPr>
    </w:p>
    <w:p w14:paraId="1E73BA10">
      <w:pPr>
        <w:pStyle w:val="3"/>
        <w:rPr>
          <w:color w:val="auto"/>
          <w:highlight w:val="none"/>
        </w:rPr>
      </w:pPr>
    </w:p>
    <w:p w14:paraId="494F4538">
      <w:pPr>
        <w:rPr>
          <w:color w:val="auto"/>
          <w:highlight w:val="none"/>
        </w:rPr>
      </w:pPr>
    </w:p>
    <w:p w14:paraId="6768F727">
      <w:pPr>
        <w:pStyle w:val="3"/>
        <w:rPr>
          <w:color w:val="auto"/>
          <w:highlight w:val="none"/>
        </w:rPr>
      </w:pPr>
    </w:p>
    <w:p w14:paraId="3E179D55">
      <w:pPr>
        <w:rPr>
          <w:color w:val="auto"/>
          <w:highlight w:val="none"/>
        </w:rPr>
      </w:pPr>
    </w:p>
    <w:p w14:paraId="464C6D11">
      <w:pPr>
        <w:pStyle w:val="3"/>
        <w:rPr>
          <w:color w:val="auto"/>
          <w:highlight w:val="none"/>
        </w:rPr>
      </w:pPr>
    </w:p>
    <w:p w14:paraId="7B4DD589">
      <w:pPr>
        <w:rPr>
          <w:color w:val="auto"/>
          <w:highlight w:val="none"/>
        </w:rPr>
      </w:pPr>
    </w:p>
    <w:p w14:paraId="67F72071">
      <w:pPr>
        <w:pStyle w:val="3"/>
        <w:rPr>
          <w:color w:val="auto"/>
          <w:highlight w:val="none"/>
        </w:rPr>
      </w:pPr>
    </w:p>
    <w:p w14:paraId="52BF4C01">
      <w:pPr>
        <w:rPr>
          <w:color w:val="auto"/>
          <w:highlight w:val="none"/>
        </w:rPr>
      </w:pPr>
    </w:p>
    <w:p w14:paraId="41C206AF">
      <w:pPr>
        <w:pStyle w:val="3"/>
        <w:rPr>
          <w:color w:val="auto"/>
          <w:highlight w:val="none"/>
        </w:rPr>
      </w:pPr>
    </w:p>
    <w:p w14:paraId="337A74C4">
      <w:pPr>
        <w:rPr>
          <w:color w:val="auto"/>
          <w:highlight w:val="none"/>
        </w:rPr>
      </w:pPr>
    </w:p>
    <w:p w14:paraId="7D4B6DDD">
      <w:pPr>
        <w:pStyle w:val="3"/>
        <w:rPr>
          <w:color w:val="auto"/>
          <w:highlight w:val="none"/>
        </w:rPr>
      </w:pPr>
    </w:p>
    <w:p w14:paraId="35AAB3DD">
      <w:pPr>
        <w:rPr>
          <w:color w:val="auto"/>
          <w:highlight w:val="none"/>
        </w:rPr>
      </w:pPr>
    </w:p>
    <w:p w14:paraId="106EE5EB">
      <w:pPr>
        <w:pStyle w:val="3"/>
        <w:rPr>
          <w:color w:val="auto"/>
          <w:highlight w:val="none"/>
        </w:rPr>
      </w:pPr>
    </w:p>
    <w:p w14:paraId="4F5B3896">
      <w:pPr>
        <w:rPr>
          <w:color w:val="auto"/>
          <w:highlight w:val="none"/>
        </w:rPr>
      </w:pPr>
    </w:p>
    <w:p w14:paraId="1A4C17D6">
      <w:pPr>
        <w:pStyle w:val="3"/>
        <w:rPr>
          <w:color w:val="auto"/>
          <w:highlight w:val="none"/>
        </w:rPr>
      </w:pPr>
    </w:p>
    <w:p w14:paraId="46A129E2">
      <w:pPr>
        <w:rPr>
          <w:color w:val="auto"/>
          <w:highlight w:val="none"/>
        </w:rPr>
      </w:pPr>
    </w:p>
    <w:p w14:paraId="778C0B26">
      <w:pPr>
        <w:pStyle w:val="3"/>
        <w:rPr>
          <w:color w:val="auto"/>
          <w:highlight w:val="none"/>
        </w:rPr>
      </w:pPr>
    </w:p>
    <w:p w14:paraId="25FF1C64">
      <w:pPr>
        <w:rPr>
          <w:color w:val="auto"/>
          <w:highlight w:val="none"/>
        </w:rPr>
      </w:pPr>
    </w:p>
    <w:p w14:paraId="03000ACA">
      <w:pPr>
        <w:pStyle w:val="3"/>
        <w:rPr>
          <w:color w:val="auto"/>
          <w:highlight w:val="none"/>
        </w:rPr>
      </w:pPr>
    </w:p>
    <w:p w14:paraId="3AEE4B66">
      <w:pPr>
        <w:rPr>
          <w:color w:val="auto"/>
          <w:highlight w:val="none"/>
        </w:rPr>
      </w:pPr>
    </w:p>
    <w:p w14:paraId="2F105EE3">
      <w:pPr>
        <w:pStyle w:val="3"/>
        <w:rPr>
          <w:color w:val="auto"/>
          <w:highlight w:val="none"/>
        </w:rPr>
      </w:pPr>
    </w:p>
    <w:p w14:paraId="61D84318">
      <w:pPr>
        <w:rPr>
          <w:color w:val="auto"/>
          <w:highlight w:val="none"/>
        </w:rPr>
      </w:pPr>
    </w:p>
    <w:p w14:paraId="4AD108CC">
      <w:pPr>
        <w:pStyle w:val="3"/>
        <w:rPr>
          <w:color w:val="auto"/>
          <w:highlight w:val="none"/>
        </w:rPr>
      </w:pPr>
    </w:p>
    <w:p w14:paraId="2891FCE7">
      <w:pPr>
        <w:rPr>
          <w:color w:val="auto"/>
          <w:highlight w:val="none"/>
        </w:rPr>
      </w:pPr>
    </w:p>
    <w:p w14:paraId="417111A1">
      <w:pPr>
        <w:pStyle w:val="4"/>
        <w:rPr>
          <w:rFonts w:hint="eastAsia"/>
          <w:bCs/>
          <w:color w:val="auto"/>
          <w:sz w:val="24"/>
          <w:highlight w:val="none"/>
        </w:rPr>
      </w:pPr>
      <w:r>
        <w:rPr>
          <w:rFonts w:hint="eastAsia"/>
          <w:bCs/>
          <w:color w:val="auto"/>
          <w:sz w:val="24"/>
          <w:highlight w:val="none"/>
        </w:rPr>
        <w:t>附件8</w:t>
      </w:r>
    </w:p>
    <w:p w14:paraId="1A7D9DB2">
      <w:pPr>
        <w:pStyle w:val="4"/>
        <w:ind w:firstLine="3424" w:firstLineChars="1421"/>
        <w:rPr>
          <w:rFonts w:hint="eastAsia"/>
          <w:bCs/>
          <w:color w:val="auto"/>
          <w:sz w:val="24"/>
          <w:highlight w:val="none"/>
        </w:rPr>
      </w:pPr>
      <w:r>
        <w:rPr>
          <w:rFonts w:hint="eastAsia"/>
          <w:bCs/>
          <w:color w:val="auto"/>
          <w:sz w:val="24"/>
          <w:highlight w:val="none"/>
        </w:rPr>
        <w:t>公平竞争承诺书</w:t>
      </w:r>
    </w:p>
    <w:p w14:paraId="7C9FD6BC">
      <w:pPr>
        <w:autoSpaceDE w:val="0"/>
        <w:autoSpaceDN w:val="0"/>
        <w:adjustRightInd w:val="0"/>
        <w:spacing w:line="360" w:lineRule="auto"/>
        <w:ind w:firstLine="240" w:firstLineChars="100"/>
        <w:jc w:val="left"/>
        <w:rPr>
          <w:rFonts w:hint="eastAsia" w:ascii="宋体" w:hAnsi="宋体" w:cs="宋体"/>
          <w:color w:val="auto"/>
          <w:sz w:val="24"/>
          <w:highlight w:val="none"/>
        </w:rPr>
      </w:pPr>
    </w:p>
    <w:p w14:paraId="52333419">
      <w:pPr>
        <w:autoSpaceDE w:val="0"/>
        <w:autoSpaceDN w:val="0"/>
        <w:adjustRightInd w:val="0"/>
        <w:spacing w:line="360" w:lineRule="auto"/>
        <w:ind w:firstLine="240" w:firstLineChars="100"/>
        <w:jc w:val="left"/>
        <w:rPr>
          <w:rFonts w:hint="eastAsia" w:ascii="宋体" w:hAnsi="宋体" w:cs="宋体"/>
          <w:color w:val="auto"/>
          <w:sz w:val="24"/>
          <w:highlight w:val="none"/>
        </w:rPr>
      </w:pPr>
    </w:p>
    <w:p w14:paraId="6AE4CADF">
      <w:pPr>
        <w:autoSpaceDE w:val="0"/>
        <w:autoSpaceDN w:val="0"/>
        <w:adjustRightInd w:val="0"/>
        <w:spacing w:line="360" w:lineRule="auto"/>
        <w:ind w:firstLine="240" w:firstLineChars="100"/>
        <w:jc w:val="left"/>
        <w:rPr>
          <w:rFonts w:hint="eastAsia" w:ascii="宋体" w:hAnsi="宋体" w:cs="宋体"/>
          <w:color w:val="auto"/>
          <w:sz w:val="24"/>
          <w:highlight w:val="none"/>
        </w:rPr>
      </w:pPr>
    </w:p>
    <w:p w14:paraId="58AEEB3F">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本公司郑重承诺：本公司保证所提交的相关资质文件和证明材料的真实性，有良好的历史诚信记录，并将依法参与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项目的公平竞争，不以任何不正当行为谋取不当利益，不与其他投标人存在影响投标公平、公正的关联关系，不存在串通其他投标人的情形，否则承担相应的法律责任。</w:t>
      </w:r>
    </w:p>
    <w:p w14:paraId="231DFC27">
      <w:pPr>
        <w:autoSpaceDE w:val="0"/>
        <w:autoSpaceDN w:val="0"/>
        <w:adjustRightInd w:val="0"/>
        <w:spacing w:line="360" w:lineRule="auto"/>
        <w:jc w:val="right"/>
        <w:rPr>
          <w:rFonts w:hint="eastAsia" w:ascii="宋体" w:hAnsi="宋体" w:cs="宋体"/>
          <w:color w:val="auto"/>
          <w:sz w:val="24"/>
          <w:highlight w:val="none"/>
        </w:rPr>
      </w:pPr>
    </w:p>
    <w:p w14:paraId="58820401">
      <w:pPr>
        <w:autoSpaceDE w:val="0"/>
        <w:autoSpaceDN w:val="0"/>
        <w:adjustRightInd w:val="0"/>
        <w:spacing w:line="360" w:lineRule="auto"/>
        <w:jc w:val="right"/>
        <w:rPr>
          <w:rFonts w:hint="eastAsia" w:ascii="宋体" w:hAnsi="宋体" w:cs="宋体"/>
          <w:color w:val="auto"/>
          <w:sz w:val="24"/>
          <w:highlight w:val="none"/>
        </w:rPr>
      </w:pPr>
    </w:p>
    <w:p w14:paraId="36B48060">
      <w:pPr>
        <w:autoSpaceDE w:val="0"/>
        <w:autoSpaceDN w:val="0"/>
        <w:adjustRightInd w:val="0"/>
        <w:spacing w:line="360" w:lineRule="auto"/>
        <w:jc w:val="right"/>
        <w:rPr>
          <w:rFonts w:hint="eastAsia" w:ascii="宋体" w:hAnsi="宋体" w:cs="宋体"/>
          <w:color w:val="auto"/>
          <w:sz w:val="24"/>
          <w:highlight w:val="none"/>
        </w:rPr>
      </w:pPr>
    </w:p>
    <w:p w14:paraId="34766FDD">
      <w:pPr>
        <w:autoSpaceDE w:val="0"/>
        <w:autoSpaceDN w:val="0"/>
        <w:adjustRightInd w:val="0"/>
        <w:spacing w:line="360" w:lineRule="auto"/>
        <w:jc w:val="right"/>
        <w:rPr>
          <w:rFonts w:hint="eastAsia" w:ascii="宋体" w:hAnsi="宋体" w:cs="宋体"/>
          <w:color w:val="auto"/>
          <w:sz w:val="24"/>
          <w:highlight w:val="none"/>
        </w:rPr>
      </w:pPr>
    </w:p>
    <w:p w14:paraId="610890B0">
      <w:pPr>
        <w:autoSpaceDE w:val="0"/>
        <w:autoSpaceDN w:val="0"/>
        <w:adjustRightIn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（公司名称，加盖公章）</w:t>
      </w:r>
    </w:p>
    <w:p w14:paraId="080CD6A6">
      <w:pPr>
        <w:spacing w:line="380" w:lineRule="exact"/>
        <w:ind w:firstLine="120" w:firstLineChars="50"/>
        <w:jc w:val="right"/>
        <w:rPr>
          <w:rFonts w:hint="eastAsia" w:ascii="宋体" w:hAnsi="宋体" w:cs="宋体"/>
          <w:color w:val="auto"/>
          <w:sz w:val="24"/>
          <w:highlight w:val="none"/>
        </w:rPr>
      </w:pPr>
      <w:r>
        <w:rPr>
          <w:rFonts w:hint="eastAsia" w:ascii="宋体" w:hAnsi="宋体" w:cs="宋体"/>
          <w:color w:val="auto"/>
          <w:sz w:val="24"/>
          <w:highlight w:val="none"/>
        </w:rPr>
        <w:t xml:space="preserve">时间：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4A840EE">
      <w:pPr>
        <w:rPr>
          <w:color w:val="auto"/>
          <w:highlight w:val="none"/>
        </w:rPr>
      </w:pPr>
    </w:p>
    <w:p w14:paraId="7C60F3C6">
      <w:pPr>
        <w:pStyle w:val="8"/>
        <w:rPr>
          <w:color w:val="auto"/>
          <w:highlight w:val="none"/>
        </w:rPr>
      </w:pPr>
    </w:p>
    <w:p w14:paraId="41F43840">
      <w:pPr>
        <w:rPr>
          <w:color w:val="auto"/>
          <w:highlight w:val="none"/>
        </w:rPr>
      </w:pPr>
    </w:p>
    <w:p w14:paraId="4A045B87">
      <w:pPr>
        <w:pStyle w:val="8"/>
        <w:rPr>
          <w:color w:val="auto"/>
          <w:highlight w:val="none"/>
        </w:rPr>
      </w:pPr>
    </w:p>
    <w:p w14:paraId="48E336D0">
      <w:pPr>
        <w:rPr>
          <w:color w:val="auto"/>
          <w:highlight w:val="none"/>
        </w:rPr>
      </w:pPr>
    </w:p>
    <w:p w14:paraId="12806BA4">
      <w:pPr>
        <w:pStyle w:val="8"/>
        <w:rPr>
          <w:color w:val="auto"/>
          <w:highlight w:val="none"/>
        </w:rPr>
      </w:pPr>
    </w:p>
    <w:p w14:paraId="56B3CEC2">
      <w:pPr>
        <w:rPr>
          <w:color w:val="auto"/>
          <w:highlight w:val="none"/>
        </w:rPr>
      </w:pPr>
    </w:p>
    <w:p w14:paraId="36735AC9">
      <w:pPr>
        <w:pStyle w:val="8"/>
        <w:rPr>
          <w:color w:val="auto"/>
          <w:highlight w:val="none"/>
        </w:rPr>
      </w:pPr>
    </w:p>
    <w:p w14:paraId="2B3A31D7">
      <w:pPr>
        <w:rPr>
          <w:color w:val="auto"/>
          <w:highlight w:val="none"/>
        </w:rPr>
      </w:pPr>
    </w:p>
    <w:p w14:paraId="109053F4">
      <w:pPr>
        <w:pStyle w:val="8"/>
        <w:rPr>
          <w:color w:val="auto"/>
          <w:highlight w:val="none"/>
        </w:rPr>
      </w:pPr>
    </w:p>
    <w:p w14:paraId="6CA96A9F">
      <w:pPr>
        <w:rPr>
          <w:color w:val="auto"/>
          <w:highlight w:val="none"/>
        </w:rPr>
      </w:pPr>
    </w:p>
    <w:p w14:paraId="2468312D">
      <w:pPr>
        <w:pStyle w:val="8"/>
        <w:rPr>
          <w:color w:val="auto"/>
          <w:highlight w:val="none"/>
        </w:rPr>
      </w:pPr>
    </w:p>
    <w:p w14:paraId="7557C29B">
      <w:pPr>
        <w:rPr>
          <w:color w:val="auto"/>
          <w:highlight w:val="none"/>
        </w:rPr>
      </w:pPr>
    </w:p>
    <w:p w14:paraId="11C111F7">
      <w:pPr>
        <w:pStyle w:val="3"/>
        <w:rPr>
          <w:color w:val="auto"/>
          <w:highlight w:val="none"/>
        </w:rPr>
      </w:pPr>
    </w:p>
    <w:p w14:paraId="104B9EBC">
      <w:pPr>
        <w:rPr>
          <w:color w:val="auto"/>
          <w:highlight w:val="none"/>
        </w:rPr>
      </w:pPr>
    </w:p>
    <w:p w14:paraId="4D3BD2B1">
      <w:pPr>
        <w:pStyle w:val="4"/>
        <w:rPr>
          <w:rFonts w:hint="eastAsia" w:eastAsia="宋体"/>
          <w:bCs/>
          <w:color w:val="auto"/>
          <w:sz w:val="24"/>
          <w:highlight w:val="none"/>
          <w:lang w:eastAsia="zh-CN"/>
        </w:rPr>
      </w:pPr>
      <w:r>
        <w:rPr>
          <w:rFonts w:hint="eastAsia"/>
          <w:bCs/>
          <w:color w:val="auto"/>
          <w:sz w:val="24"/>
          <w:highlight w:val="none"/>
        </w:rPr>
        <w:t>附件</w:t>
      </w:r>
      <w:r>
        <w:rPr>
          <w:rFonts w:hint="eastAsia"/>
          <w:bCs/>
          <w:color w:val="auto"/>
          <w:sz w:val="24"/>
          <w:highlight w:val="none"/>
          <w:lang w:val="en-US" w:eastAsia="zh-CN"/>
        </w:rPr>
        <w:t>9</w:t>
      </w:r>
    </w:p>
    <w:p w14:paraId="21668CF7">
      <w:pPr>
        <w:pStyle w:val="4"/>
        <w:jc w:val="center"/>
        <w:rPr>
          <w:rFonts w:hint="eastAsia" w:ascii="宋体" w:hAnsi="宋体" w:eastAsia="宋体"/>
          <w:bCs/>
          <w:color w:val="auto"/>
          <w:sz w:val="24"/>
          <w:highlight w:val="none"/>
        </w:rPr>
      </w:pPr>
      <w:r>
        <w:rPr>
          <w:rFonts w:hint="eastAsia" w:ascii="宋体" w:hAnsi="宋体" w:eastAsia="宋体"/>
          <w:bCs/>
          <w:color w:val="auto"/>
          <w:sz w:val="24"/>
          <w:highlight w:val="none"/>
        </w:rPr>
        <w:t>拟投入本项目人员概况表</w:t>
      </w:r>
    </w:p>
    <w:tbl>
      <w:tblPr>
        <w:tblStyle w:val="17"/>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258"/>
        <w:gridCol w:w="592"/>
        <w:gridCol w:w="617"/>
        <w:gridCol w:w="1605"/>
        <w:gridCol w:w="1087"/>
        <w:gridCol w:w="3512"/>
        <w:gridCol w:w="620"/>
      </w:tblGrid>
      <w:tr w14:paraId="2CD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24BBF4CB">
            <w:pPr>
              <w:spacing w:before="120" w:line="223" w:lineRule="auto"/>
              <w:jc w:val="center"/>
              <w:outlineLvl w:val="1"/>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序号</w:t>
            </w:r>
          </w:p>
        </w:tc>
        <w:tc>
          <w:tcPr>
            <w:tcW w:w="1258" w:type="dxa"/>
            <w:vAlign w:val="center"/>
          </w:tcPr>
          <w:p w14:paraId="4ECCC19E">
            <w:pPr>
              <w:spacing w:before="120" w:line="223" w:lineRule="auto"/>
              <w:jc w:val="center"/>
              <w:outlineLvl w:val="1"/>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姓名</w:t>
            </w:r>
          </w:p>
        </w:tc>
        <w:tc>
          <w:tcPr>
            <w:tcW w:w="592" w:type="dxa"/>
            <w:vAlign w:val="center"/>
          </w:tcPr>
          <w:p w14:paraId="13812D2E">
            <w:pPr>
              <w:spacing w:before="120" w:line="223" w:lineRule="auto"/>
              <w:jc w:val="center"/>
              <w:outlineLvl w:val="1"/>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性别</w:t>
            </w:r>
          </w:p>
        </w:tc>
        <w:tc>
          <w:tcPr>
            <w:tcW w:w="617" w:type="dxa"/>
            <w:vAlign w:val="center"/>
          </w:tcPr>
          <w:p w14:paraId="09A4EDEB">
            <w:pPr>
              <w:spacing w:before="120" w:line="223" w:lineRule="auto"/>
              <w:jc w:val="center"/>
              <w:outlineLvl w:val="1"/>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学历</w:t>
            </w:r>
          </w:p>
        </w:tc>
        <w:tc>
          <w:tcPr>
            <w:tcW w:w="1605" w:type="dxa"/>
            <w:vAlign w:val="center"/>
          </w:tcPr>
          <w:p w14:paraId="4AD175B9">
            <w:pPr>
              <w:spacing w:before="120" w:line="223" w:lineRule="auto"/>
              <w:jc w:val="center"/>
              <w:outlineLvl w:val="1"/>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职称</w:t>
            </w:r>
          </w:p>
        </w:tc>
        <w:tc>
          <w:tcPr>
            <w:tcW w:w="1087" w:type="dxa"/>
            <w:vAlign w:val="center"/>
          </w:tcPr>
          <w:p w14:paraId="0DC62184">
            <w:pPr>
              <w:spacing w:before="120" w:line="223" w:lineRule="auto"/>
              <w:jc w:val="center"/>
              <w:outlineLvl w:val="1"/>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职务</w:t>
            </w:r>
          </w:p>
        </w:tc>
        <w:tc>
          <w:tcPr>
            <w:tcW w:w="3512" w:type="dxa"/>
            <w:vAlign w:val="center"/>
          </w:tcPr>
          <w:p w14:paraId="06950161">
            <w:pPr>
              <w:spacing w:before="120" w:line="223" w:lineRule="auto"/>
              <w:jc w:val="center"/>
              <w:outlineLvl w:val="1"/>
              <w:rPr>
                <w:rFonts w:ascii="宋体" w:hAnsi="宋体" w:eastAsia="宋体" w:cs="宋体"/>
                <w:spacing w:val="-5"/>
                <w:sz w:val="24"/>
                <w:szCs w:val="24"/>
                <w:highlight w:val="none"/>
              </w:rPr>
            </w:pPr>
            <w:r>
              <w:rPr>
                <w:rFonts w:ascii="宋体" w:hAnsi="宋体" w:eastAsia="宋体" w:cs="宋体"/>
                <w:spacing w:val="-5"/>
                <w:sz w:val="24"/>
                <w:szCs w:val="24"/>
                <w:highlight w:val="none"/>
              </w:rPr>
              <w:t>从事类似服务简历/年限/经验</w:t>
            </w:r>
          </w:p>
        </w:tc>
        <w:tc>
          <w:tcPr>
            <w:tcW w:w="620" w:type="dxa"/>
            <w:vAlign w:val="center"/>
          </w:tcPr>
          <w:p w14:paraId="3C08102C">
            <w:pPr>
              <w:spacing w:before="120" w:line="223" w:lineRule="auto"/>
              <w:jc w:val="center"/>
              <w:outlineLvl w:val="1"/>
              <w:rPr>
                <w:rFonts w:ascii="宋体" w:hAnsi="宋体" w:eastAsia="宋体" w:cs="宋体"/>
                <w:spacing w:val="-5"/>
                <w:sz w:val="24"/>
                <w:szCs w:val="24"/>
                <w:highlight w:val="none"/>
              </w:rPr>
            </w:pPr>
            <w:r>
              <w:rPr>
                <w:rFonts w:ascii="宋体" w:hAnsi="宋体" w:eastAsia="宋体" w:cs="宋体"/>
                <w:spacing w:val="-5"/>
                <w:sz w:val="24"/>
                <w:szCs w:val="24"/>
                <w:highlight w:val="none"/>
              </w:rPr>
              <w:t>备注</w:t>
            </w:r>
          </w:p>
        </w:tc>
      </w:tr>
      <w:tr w14:paraId="474A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764F73AD">
            <w:pPr>
              <w:spacing w:before="120" w:line="223" w:lineRule="auto"/>
              <w:jc w:val="center"/>
              <w:outlineLvl w:val="1"/>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w:t>
            </w:r>
          </w:p>
        </w:tc>
        <w:tc>
          <w:tcPr>
            <w:tcW w:w="1258" w:type="dxa"/>
            <w:vAlign w:val="center"/>
          </w:tcPr>
          <w:p w14:paraId="6A5A955D">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592" w:type="dxa"/>
            <w:vAlign w:val="center"/>
          </w:tcPr>
          <w:p w14:paraId="638C17E8">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617" w:type="dxa"/>
            <w:vAlign w:val="center"/>
          </w:tcPr>
          <w:p w14:paraId="60C0688E">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605" w:type="dxa"/>
            <w:vAlign w:val="center"/>
          </w:tcPr>
          <w:p w14:paraId="298981BC">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087" w:type="dxa"/>
            <w:vAlign w:val="center"/>
          </w:tcPr>
          <w:p w14:paraId="5B25BA15">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3512" w:type="dxa"/>
            <w:vAlign w:val="center"/>
          </w:tcPr>
          <w:p w14:paraId="3865594F">
            <w:pPr>
              <w:spacing w:before="120" w:line="223" w:lineRule="auto"/>
              <w:jc w:val="center"/>
              <w:outlineLvl w:val="1"/>
              <w:rPr>
                <w:rFonts w:ascii="宋体" w:hAnsi="宋体" w:eastAsia="宋体" w:cs="宋体"/>
                <w:spacing w:val="-5"/>
                <w:sz w:val="24"/>
                <w:szCs w:val="24"/>
                <w:highlight w:val="none"/>
              </w:rPr>
            </w:pPr>
          </w:p>
        </w:tc>
        <w:tc>
          <w:tcPr>
            <w:tcW w:w="620" w:type="dxa"/>
            <w:vAlign w:val="center"/>
          </w:tcPr>
          <w:p w14:paraId="72C6C9DE">
            <w:pPr>
              <w:spacing w:before="120" w:line="223" w:lineRule="auto"/>
              <w:jc w:val="center"/>
              <w:outlineLvl w:val="1"/>
              <w:rPr>
                <w:rFonts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项目负责人</w:t>
            </w:r>
          </w:p>
        </w:tc>
      </w:tr>
      <w:tr w14:paraId="22A2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1B165CC9">
            <w:pPr>
              <w:spacing w:before="120" w:line="223" w:lineRule="auto"/>
              <w:jc w:val="center"/>
              <w:outlineLvl w:val="1"/>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2</w:t>
            </w:r>
          </w:p>
        </w:tc>
        <w:tc>
          <w:tcPr>
            <w:tcW w:w="1258" w:type="dxa"/>
            <w:vAlign w:val="center"/>
          </w:tcPr>
          <w:p w14:paraId="509CD805">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592" w:type="dxa"/>
            <w:vAlign w:val="center"/>
          </w:tcPr>
          <w:p w14:paraId="71BF91B6">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617" w:type="dxa"/>
            <w:vAlign w:val="center"/>
          </w:tcPr>
          <w:p w14:paraId="0011301C">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605" w:type="dxa"/>
            <w:vAlign w:val="center"/>
          </w:tcPr>
          <w:p w14:paraId="7284E0AA">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087" w:type="dxa"/>
            <w:vAlign w:val="center"/>
          </w:tcPr>
          <w:p w14:paraId="66AEB855">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3512" w:type="dxa"/>
            <w:vAlign w:val="center"/>
          </w:tcPr>
          <w:p w14:paraId="497CF954">
            <w:pPr>
              <w:spacing w:before="120" w:line="223" w:lineRule="auto"/>
              <w:jc w:val="center"/>
              <w:outlineLvl w:val="1"/>
              <w:rPr>
                <w:rFonts w:ascii="宋体" w:hAnsi="宋体" w:eastAsia="宋体" w:cs="宋体"/>
                <w:spacing w:val="-5"/>
                <w:sz w:val="24"/>
                <w:szCs w:val="24"/>
                <w:highlight w:val="none"/>
              </w:rPr>
            </w:pPr>
          </w:p>
        </w:tc>
        <w:tc>
          <w:tcPr>
            <w:tcW w:w="620" w:type="dxa"/>
            <w:vAlign w:val="center"/>
          </w:tcPr>
          <w:p w14:paraId="4C272AE0">
            <w:pPr>
              <w:spacing w:before="120" w:line="223" w:lineRule="auto"/>
              <w:jc w:val="center"/>
              <w:outlineLvl w:val="1"/>
              <w:rPr>
                <w:rFonts w:hint="eastAsia" w:ascii="宋体" w:hAnsi="宋体" w:eastAsia="宋体" w:cs="宋体"/>
                <w:spacing w:val="-5"/>
                <w:sz w:val="24"/>
                <w:szCs w:val="24"/>
                <w:highlight w:val="none"/>
                <w:lang w:val="en-US" w:eastAsia="zh-CN"/>
              </w:rPr>
            </w:pPr>
          </w:p>
        </w:tc>
      </w:tr>
      <w:tr w14:paraId="504D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5A0C2EB8">
            <w:pPr>
              <w:spacing w:before="120" w:line="223" w:lineRule="auto"/>
              <w:jc w:val="center"/>
              <w:outlineLvl w:val="1"/>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p>
        </w:tc>
        <w:tc>
          <w:tcPr>
            <w:tcW w:w="1258" w:type="dxa"/>
            <w:vAlign w:val="center"/>
          </w:tcPr>
          <w:p w14:paraId="472C151E">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592" w:type="dxa"/>
            <w:vAlign w:val="center"/>
          </w:tcPr>
          <w:p w14:paraId="02FC0C55">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617" w:type="dxa"/>
            <w:vAlign w:val="center"/>
          </w:tcPr>
          <w:p w14:paraId="66114C3B">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605" w:type="dxa"/>
            <w:vAlign w:val="center"/>
          </w:tcPr>
          <w:p w14:paraId="593A95FE">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087" w:type="dxa"/>
            <w:vAlign w:val="center"/>
          </w:tcPr>
          <w:p w14:paraId="15FFF4B1">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3512" w:type="dxa"/>
            <w:vAlign w:val="center"/>
          </w:tcPr>
          <w:p w14:paraId="53E35835">
            <w:pPr>
              <w:spacing w:before="120" w:line="223" w:lineRule="auto"/>
              <w:jc w:val="center"/>
              <w:outlineLvl w:val="1"/>
              <w:rPr>
                <w:rFonts w:ascii="宋体" w:hAnsi="宋体" w:eastAsia="宋体" w:cs="宋体"/>
                <w:spacing w:val="-5"/>
                <w:sz w:val="24"/>
                <w:szCs w:val="24"/>
                <w:highlight w:val="none"/>
              </w:rPr>
            </w:pPr>
          </w:p>
        </w:tc>
        <w:tc>
          <w:tcPr>
            <w:tcW w:w="620" w:type="dxa"/>
            <w:vAlign w:val="center"/>
          </w:tcPr>
          <w:p w14:paraId="590DDB5B">
            <w:pPr>
              <w:spacing w:before="120" w:line="223" w:lineRule="auto"/>
              <w:jc w:val="center"/>
              <w:outlineLvl w:val="1"/>
              <w:rPr>
                <w:rFonts w:hint="eastAsia" w:ascii="宋体" w:hAnsi="宋体" w:eastAsia="宋体" w:cs="宋体"/>
                <w:spacing w:val="-5"/>
                <w:sz w:val="24"/>
                <w:szCs w:val="24"/>
                <w:highlight w:val="none"/>
                <w:lang w:val="en-US" w:eastAsia="zh-CN"/>
              </w:rPr>
            </w:pPr>
          </w:p>
        </w:tc>
      </w:tr>
      <w:tr w14:paraId="5A4D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68F4DDED">
            <w:pPr>
              <w:spacing w:before="120" w:line="223" w:lineRule="auto"/>
              <w:jc w:val="center"/>
              <w:outlineLvl w:val="1"/>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4</w:t>
            </w:r>
          </w:p>
        </w:tc>
        <w:tc>
          <w:tcPr>
            <w:tcW w:w="1258" w:type="dxa"/>
            <w:vAlign w:val="center"/>
          </w:tcPr>
          <w:p w14:paraId="61112B35">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592" w:type="dxa"/>
            <w:vAlign w:val="center"/>
          </w:tcPr>
          <w:p w14:paraId="0489F47F">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617" w:type="dxa"/>
            <w:vAlign w:val="center"/>
          </w:tcPr>
          <w:p w14:paraId="7584572A">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605" w:type="dxa"/>
            <w:vAlign w:val="center"/>
          </w:tcPr>
          <w:p w14:paraId="48277063">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087" w:type="dxa"/>
            <w:vAlign w:val="center"/>
          </w:tcPr>
          <w:p w14:paraId="1F76627D">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3512" w:type="dxa"/>
            <w:vAlign w:val="center"/>
          </w:tcPr>
          <w:p w14:paraId="43CAC890">
            <w:pPr>
              <w:spacing w:before="120" w:line="223" w:lineRule="auto"/>
              <w:jc w:val="center"/>
              <w:outlineLvl w:val="1"/>
              <w:rPr>
                <w:rFonts w:ascii="宋体" w:hAnsi="宋体" w:eastAsia="宋体" w:cs="宋体"/>
                <w:spacing w:val="-5"/>
                <w:sz w:val="24"/>
                <w:szCs w:val="24"/>
                <w:highlight w:val="none"/>
              </w:rPr>
            </w:pPr>
          </w:p>
        </w:tc>
        <w:tc>
          <w:tcPr>
            <w:tcW w:w="620" w:type="dxa"/>
            <w:vAlign w:val="center"/>
          </w:tcPr>
          <w:p w14:paraId="2C8B4954">
            <w:pPr>
              <w:spacing w:before="120" w:line="223" w:lineRule="auto"/>
              <w:jc w:val="center"/>
              <w:outlineLvl w:val="1"/>
              <w:rPr>
                <w:rFonts w:hint="eastAsia" w:ascii="宋体" w:hAnsi="宋体" w:eastAsia="宋体" w:cs="宋体"/>
                <w:spacing w:val="-5"/>
                <w:sz w:val="24"/>
                <w:szCs w:val="24"/>
                <w:highlight w:val="none"/>
                <w:lang w:val="en-US" w:eastAsia="zh-CN"/>
              </w:rPr>
            </w:pPr>
          </w:p>
        </w:tc>
      </w:tr>
      <w:tr w14:paraId="3F17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2C3CD4DC">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258" w:type="dxa"/>
            <w:vAlign w:val="center"/>
          </w:tcPr>
          <w:p w14:paraId="2828D85D">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592" w:type="dxa"/>
            <w:vAlign w:val="center"/>
          </w:tcPr>
          <w:p w14:paraId="2A934529">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617" w:type="dxa"/>
            <w:vAlign w:val="center"/>
          </w:tcPr>
          <w:p w14:paraId="11A2527A">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605" w:type="dxa"/>
            <w:vAlign w:val="center"/>
          </w:tcPr>
          <w:p w14:paraId="0445D1A8">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087" w:type="dxa"/>
            <w:vAlign w:val="center"/>
          </w:tcPr>
          <w:p w14:paraId="46BB0D51">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3512" w:type="dxa"/>
            <w:vAlign w:val="center"/>
          </w:tcPr>
          <w:p w14:paraId="3B5ABB7B">
            <w:pPr>
              <w:spacing w:before="120" w:line="223" w:lineRule="auto"/>
              <w:jc w:val="center"/>
              <w:outlineLvl w:val="1"/>
              <w:rPr>
                <w:rFonts w:ascii="宋体" w:hAnsi="宋体" w:eastAsia="宋体" w:cs="宋体"/>
                <w:spacing w:val="-5"/>
                <w:sz w:val="24"/>
                <w:szCs w:val="24"/>
                <w:highlight w:val="none"/>
              </w:rPr>
            </w:pPr>
          </w:p>
        </w:tc>
        <w:tc>
          <w:tcPr>
            <w:tcW w:w="620" w:type="dxa"/>
            <w:vAlign w:val="center"/>
          </w:tcPr>
          <w:p w14:paraId="171EA5DB">
            <w:pPr>
              <w:spacing w:before="120" w:line="223" w:lineRule="auto"/>
              <w:jc w:val="center"/>
              <w:outlineLvl w:val="1"/>
              <w:rPr>
                <w:rFonts w:hint="eastAsia" w:ascii="宋体" w:hAnsi="宋体" w:eastAsia="宋体" w:cs="宋体"/>
                <w:spacing w:val="-5"/>
                <w:sz w:val="24"/>
                <w:szCs w:val="24"/>
                <w:highlight w:val="none"/>
                <w:lang w:val="en-US" w:eastAsia="zh-CN"/>
              </w:rPr>
            </w:pPr>
          </w:p>
        </w:tc>
      </w:tr>
      <w:tr w14:paraId="671E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3783A50B">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258" w:type="dxa"/>
            <w:vAlign w:val="center"/>
          </w:tcPr>
          <w:p w14:paraId="335138EC">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592" w:type="dxa"/>
            <w:vAlign w:val="center"/>
          </w:tcPr>
          <w:p w14:paraId="14FA1718">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617" w:type="dxa"/>
            <w:vAlign w:val="center"/>
          </w:tcPr>
          <w:p w14:paraId="56A6360E">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605" w:type="dxa"/>
            <w:vAlign w:val="center"/>
          </w:tcPr>
          <w:p w14:paraId="21600D49">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087" w:type="dxa"/>
            <w:vAlign w:val="center"/>
          </w:tcPr>
          <w:p w14:paraId="46DC3D40">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3512" w:type="dxa"/>
            <w:vAlign w:val="center"/>
          </w:tcPr>
          <w:p w14:paraId="5F2F970C">
            <w:pPr>
              <w:spacing w:before="120" w:line="223" w:lineRule="auto"/>
              <w:jc w:val="center"/>
              <w:outlineLvl w:val="1"/>
              <w:rPr>
                <w:rFonts w:ascii="宋体" w:hAnsi="宋体" w:eastAsia="宋体" w:cs="宋体"/>
                <w:spacing w:val="-5"/>
                <w:sz w:val="24"/>
                <w:szCs w:val="24"/>
                <w:highlight w:val="none"/>
              </w:rPr>
            </w:pPr>
          </w:p>
        </w:tc>
        <w:tc>
          <w:tcPr>
            <w:tcW w:w="620" w:type="dxa"/>
            <w:vAlign w:val="center"/>
          </w:tcPr>
          <w:p w14:paraId="382F627F">
            <w:pPr>
              <w:spacing w:before="120" w:line="223" w:lineRule="auto"/>
              <w:jc w:val="center"/>
              <w:outlineLvl w:val="1"/>
              <w:rPr>
                <w:rFonts w:hint="eastAsia" w:ascii="宋体" w:hAnsi="宋体" w:eastAsia="宋体" w:cs="宋体"/>
                <w:spacing w:val="-5"/>
                <w:sz w:val="24"/>
                <w:szCs w:val="24"/>
                <w:highlight w:val="none"/>
                <w:lang w:val="en-US" w:eastAsia="zh-CN"/>
              </w:rPr>
            </w:pPr>
          </w:p>
        </w:tc>
      </w:tr>
      <w:tr w14:paraId="6C1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42" w:type="dxa"/>
            <w:vAlign w:val="center"/>
          </w:tcPr>
          <w:p w14:paraId="5850D32B">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258" w:type="dxa"/>
            <w:vAlign w:val="center"/>
          </w:tcPr>
          <w:p w14:paraId="4DAED264">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592" w:type="dxa"/>
            <w:vAlign w:val="center"/>
          </w:tcPr>
          <w:p w14:paraId="18653AE6">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617" w:type="dxa"/>
            <w:vAlign w:val="center"/>
          </w:tcPr>
          <w:p w14:paraId="11A91B74">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605" w:type="dxa"/>
            <w:vAlign w:val="center"/>
          </w:tcPr>
          <w:p w14:paraId="300A3606">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1087" w:type="dxa"/>
            <w:vAlign w:val="center"/>
          </w:tcPr>
          <w:p w14:paraId="1EB4BBEE">
            <w:pPr>
              <w:spacing w:before="120" w:line="223" w:lineRule="auto"/>
              <w:jc w:val="center"/>
              <w:outlineLvl w:val="1"/>
              <w:rPr>
                <w:rFonts w:hint="eastAsia" w:ascii="宋体" w:hAnsi="宋体" w:eastAsia="宋体" w:cs="宋体"/>
                <w:spacing w:val="-5"/>
                <w:sz w:val="24"/>
                <w:szCs w:val="24"/>
                <w:highlight w:val="none"/>
                <w:lang w:val="en-US" w:eastAsia="zh-CN"/>
              </w:rPr>
            </w:pPr>
          </w:p>
        </w:tc>
        <w:tc>
          <w:tcPr>
            <w:tcW w:w="3512" w:type="dxa"/>
            <w:vAlign w:val="center"/>
          </w:tcPr>
          <w:p w14:paraId="00292879">
            <w:pPr>
              <w:spacing w:before="120" w:line="223" w:lineRule="auto"/>
              <w:jc w:val="center"/>
              <w:outlineLvl w:val="1"/>
              <w:rPr>
                <w:rFonts w:ascii="宋体" w:hAnsi="宋体" w:eastAsia="宋体" w:cs="宋体"/>
                <w:spacing w:val="-5"/>
                <w:sz w:val="24"/>
                <w:szCs w:val="24"/>
                <w:highlight w:val="none"/>
              </w:rPr>
            </w:pPr>
          </w:p>
        </w:tc>
        <w:tc>
          <w:tcPr>
            <w:tcW w:w="620" w:type="dxa"/>
            <w:vAlign w:val="center"/>
          </w:tcPr>
          <w:p w14:paraId="0B2BBE86">
            <w:pPr>
              <w:spacing w:before="120" w:line="223" w:lineRule="auto"/>
              <w:jc w:val="center"/>
              <w:outlineLvl w:val="1"/>
              <w:rPr>
                <w:rFonts w:hint="eastAsia" w:ascii="宋体" w:hAnsi="宋体" w:eastAsia="宋体" w:cs="宋体"/>
                <w:spacing w:val="-5"/>
                <w:sz w:val="24"/>
                <w:szCs w:val="24"/>
                <w:highlight w:val="none"/>
                <w:lang w:val="en-US" w:eastAsia="zh-CN"/>
              </w:rPr>
            </w:pPr>
          </w:p>
        </w:tc>
      </w:tr>
    </w:tbl>
    <w:p w14:paraId="4FAD4F80">
      <w:pPr>
        <w:pStyle w:val="4"/>
        <w:rPr>
          <w:rFonts w:hint="eastAsia" w:ascii="宋体" w:hAnsi="宋体" w:eastAsia="宋体"/>
          <w:bCs/>
          <w:color w:val="auto"/>
          <w:sz w:val="24"/>
          <w:highlight w:val="none"/>
        </w:rPr>
      </w:pPr>
      <w:r>
        <w:rPr>
          <w:rFonts w:ascii="宋体" w:hAnsi="宋体" w:eastAsia="宋体" w:cs="宋体"/>
          <w:spacing w:val="-11"/>
          <w:sz w:val="24"/>
          <w:szCs w:val="24"/>
          <w:highlight w:val="none"/>
        </w:rPr>
        <w:t>注：根据评分表的要求提交相应资料。未提供或提供材料不完整的</w:t>
      </w:r>
      <w:r>
        <w:rPr>
          <w:rFonts w:hint="eastAsia" w:cs="宋体"/>
          <w:spacing w:val="-11"/>
          <w:sz w:val="24"/>
          <w:szCs w:val="24"/>
          <w:highlight w:val="none"/>
          <w:lang w:val="en-US" w:eastAsia="zh-CN"/>
        </w:rPr>
        <w:t>证明材料</w:t>
      </w:r>
      <w:r>
        <w:rPr>
          <w:rFonts w:ascii="宋体" w:hAnsi="宋体" w:eastAsia="宋体" w:cs="宋体"/>
          <w:spacing w:val="-11"/>
          <w:sz w:val="24"/>
          <w:szCs w:val="24"/>
          <w:highlight w:val="none"/>
        </w:rPr>
        <w:t>，将不予承认。</w:t>
      </w:r>
    </w:p>
    <w:p w14:paraId="4F43BB4C">
      <w:pPr>
        <w:rPr>
          <w:rFonts w:hint="eastAsia"/>
          <w:bCs/>
          <w:color w:val="auto"/>
          <w:sz w:val="24"/>
          <w:highlight w:val="none"/>
        </w:rPr>
      </w:pPr>
      <w:r>
        <w:rPr>
          <w:rFonts w:hint="eastAsia"/>
          <w:bCs/>
          <w:color w:val="auto"/>
          <w:sz w:val="24"/>
          <w:highlight w:val="none"/>
        </w:rPr>
        <w:br w:type="page"/>
      </w:r>
    </w:p>
    <w:p w14:paraId="4647B44B">
      <w:pPr>
        <w:pStyle w:val="4"/>
        <w:rPr>
          <w:rFonts w:hint="eastAsia" w:ascii="宋体" w:hAnsi="宋体" w:eastAsia="宋体"/>
          <w:bCs/>
          <w:color w:val="auto"/>
          <w:sz w:val="24"/>
          <w:highlight w:val="none"/>
        </w:rPr>
      </w:pPr>
      <w:r>
        <w:rPr>
          <w:rFonts w:hint="eastAsia"/>
          <w:bCs/>
          <w:color w:val="auto"/>
          <w:sz w:val="24"/>
          <w:highlight w:val="none"/>
        </w:rPr>
        <w:t>附件</w:t>
      </w:r>
      <w:r>
        <w:rPr>
          <w:rFonts w:hint="eastAsia"/>
          <w:bCs/>
          <w:color w:val="auto"/>
          <w:sz w:val="24"/>
          <w:highlight w:val="none"/>
          <w:lang w:val="en-US" w:eastAsia="zh-CN"/>
        </w:rPr>
        <w:t>10</w:t>
      </w:r>
    </w:p>
    <w:p w14:paraId="7CE52EEE">
      <w:pPr>
        <w:pStyle w:val="4"/>
        <w:ind w:firstLine="3424" w:firstLineChars="1421"/>
        <w:rPr>
          <w:rFonts w:hint="eastAsia" w:ascii="宋体" w:hAnsi="宋体" w:eastAsia="宋体"/>
          <w:bCs/>
          <w:color w:val="auto"/>
          <w:sz w:val="24"/>
          <w:highlight w:val="none"/>
        </w:rPr>
      </w:pPr>
      <w:r>
        <w:rPr>
          <w:rFonts w:hint="eastAsia" w:ascii="宋体" w:hAnsi="宋体" w:eastAsia="宋体"/>
          <w:bCs/>
          <w:color w:val="auto"/>
          <w:sz w:val="24"/>
          <w:highlight w:val="none"/>
        </w:rPr>
        <w:t>实质性响应条款一览表</w:t>
      </w:r>
    </w:p>
    <w:p w14:paraId="60A43554">
      <w:pPr>
        <w:spacing w:before="140" w:line="360" w:lineRule="auto"/>
        <w:rPr>
          <w:rFonts w:ascii="宋体" w:hAnsi="宋体" w:eastAsia="宋体" w:cs="宋体"/>
          <w:sz w:val="24"/>
          <w:szCs w:val="24"/>
          <w:highlight w:val="none"/>
        </w:rPr>
      </w:pPr>
      <w:r>
        <w:rPr>
          <w:rFonts w:ascii="宋体" w:hAnsi="宋体" w:eastAsia="宋体" w:cs="宋体"/>
          <w:spacing w:val="7"/>
          <w:sz w:val="24"/>
          <w:szCs w:val="24"/>
          <w:highlight w:val="none"/>
        </w:rPr>
        <w:t>项目名称：</w:t>
      </w:r>
      <w:r>
        <w:rPr>
          <w:rFonts w:hint="default" w:ascii="宋体" w:hAnsi="宋体" w:eastAsia="宋体" w:cs="宋体"/>
          <w:spacing w:val="7"/>
          <w:sz w:val="24"/>
          <w:szCs w:val="24"/>
          <w:highlight w:val="none"/>
        </w:rPr>
        <w:t>2025“Head In The Clouds”（云思妙想）音乐艺术节——大湾区站（南沙）项目临时安保服务外包项目</w:t>
      </w:r>
    </w:p>
    <w:tbl>
      <w:tblPr>
        <w:tblStyle w:val="33"/>
        <w:tblW w:w="50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3126"/>
        <w:gridCol w:w="2880"/>
        <w:gridCol w:w="1389"/>
      </w:tblGrid>
      <w:tr w14:paraId="753B8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584" w:type="pct"/>
            <w:vAlign w:val="center"/>
          </w:tcPr>
          <w:p w14:paraId="516FD910">
            <w:pPr>
              <w:spacing w:before="144" w:line="219" w:lineRule="auto"/>
              <w:jc w:val="center"/>
              <w:rPr>
                <w:rFonts w:hint="eastAsia" w:ascii="宋体" w:hAnsi="宋体" w:eastAsia="宋体" w:cs="宋体"/>
                <w:spacing w:val="1"/>
                <w:sz w:val="24"/>
                <w:szCs w:val="24"/>
                <w:highlight w:val="none"/>
                <w:lang w:val="en-US" w:eastAsia="zh-CN"/>
              </w:rPr>
            </w:pPr>
            <w:r>
              <w:rPr>
                <w:rFonts w:hint="eastAsia" w:ascii="宋体" w:hAnsi="宋体" w:cs="宋体"/>
                <w:spacing w:val="1"/>
                <w:sz w:val="24"/>
                <w:szCs w:val="24"/>
                <w:highlight w:val="none"/>
                <w:lang w:val="en-US" w:eastAsia="zh-CN"/>
              </w:rPr>
              <w:t>序号</w:t>
            </w:r>
          </w:p>
        </w:tc>
        <w:tc>
          <w:tcPr>
            <w:tcW w:w="1866" w:type="pct"/>
            <w:vAlign w:val="center"/>
          </w:tcPr>
          <w:p w14:paraId="55CB8A05">
            <w:pPr>
              <w:spacing w:before="144" w:line="219"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实质性响应条款</w:t>
            </w:r>
          </w:p>
        </w:tc>
        <w:tc>
          <w:tcPr>
            <w:tcW w:w="1719" w:type="pct"/>
            <w:vAlign w:val="center"/>
          </w:tcPr>
          <w:p w14:paraId="68FD8CEC">
            <w:pPr>
              <w:spacing w:before="145"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投标人响应情况</w:t>
            </w:r>
          </w:p>
        </w:tc>
        <w:tc>
          <w:tcPr>
            <w:tcW w:w="829" w:type="pct"/>
            <w:vAlign w:val="center"/>
          </w:tcPr>
          <w:p w14:paraId="4170FB6C">
            <w:pPr>
              <w:spacing w:before="134" w:line="219"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差异</w:t>
            </w:r>
          </w:p>
        </w:tc>
      </w:tr>
      <w:tr w14:paraId="1257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84" w:type="pct"/>
            <w:vAlign w:val="center"/>
          </w:tcPr>
          <w:p w14:paraId="68646375">
            <w:pPr>
              <w:pStyle w:val="34"/>
              <w:jc w:val="center"/>
              <w:rPr>
                <w:rFonts w:hint="eastAsia" w:eastAsia="仿宋"/>
                <w:sz w:val="24"/>
                <w:szCs w:val="24"/>
                <w:highlight w:val="none"/>
                <w:lang w:val="en-US" w:eastAsia="zh-CN"/>
              </w:rPr>
            </w:pPr>
            <w:r>
              <w:rPr>
                <w:rFonts w:hint="eastAsia"/>
                <w:sz w:val="24"/>
                <w:szCs w:val="24"/>
                <w:highlight w:val="none"/>
                <w:lang w:val="en-US" w:eastAsia="zh-CN"/>
              </w:rPr>
              <w:t>1</w:t>
            </w:r>
          </w:p>
        </w:tc>
        <w:tc>
          <w:tcPr>
            <w:tcW w:w="1866" w:type="pct"/>
            <w:vAlign w:val="center"/>
          </w:tcPr>
          <w:p w14:paraId="3AEAA318">
            <w:pPr>
              <w:pStyle w:val="34"/>
              <w:jc w:val="center"/>
              <w:rPr>
                <w:sz w:val="24"/>
                <w:szCs w:val="24"/>
                <w:highlight w:val="none"/>
              </w:rPr>
            </w:pPr>
          </w:p>
        </w:tc>
        <w:tc>
          <w:tcPr>
            <w:tcW w:w="1719" w:type="pct"/>
            <w:vAlign w:val="center"/>
          </w:tcPr>
          <w:p w14:paraId="71898423">
            <w:pPr>
              <w:pStyle w:val="34"/>
              <w:jc w:val="center"/>
              <w:rPr>
                <w:sz w:val="24"/>
                <w:szCs w:val="24"/>
                <w:highlight w:val="none"/>
              </w:rPr>
            </w:pPr>
          </w:p>
        </w:tc>
        <w:tc>
          <w:tcPr>
            <w:tcW w:w="829" w:type="pct"/>
            <w:vAlign w:val="center"/>
          </w:tcPr>
          <w:p w14:paraId="4EB9724C">
            <w:pPr>
              <w:pStyle w:val="34"/>
              <w:jc w:val="center"/>
              <w:rPr>
                <w:sz w:val="24"/>
                <w:szCs w:val="24"/>
                <w:highlight w:val="none"/>
              </w:rPr>
            </w:pPr>
          </w:p>
        </w:tc>
      </w:tr>
      <w:tr w14:paraId="44D5E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84" w:type="pct"/>
            <w:vAlign w:val="center"/>
          </w:tcPr>
          <w:p w14:paraId="60E65438">
            <w:pPr>
              <w:pStyle w:val="34"/>
              <w:jc w:val="center"/>
              <w:rPr>
                <w:rFonts w:hint="eastAsia" w:eastAsia="仿宋"/>
                <w:sz w:val="24"/>
                <w:szCs w:val="24"/>
                <w:highlight w:val="none"/>
                <w:lang w:val="en-US" w:eastAsia="zh-CN"/>
              </w:rPr>
            </w:pPr>
            <w:r>
              <w:rPr>
                <w:rFonts w:hint="eastAsia"/>
                <w:sz w:val="24"/>
                <w:szCs w:val="24"/>
                <w:highlight w:val="none"/>
                <w:lang w:val="en-US" w:eastAsia="zh-CN"/>
              </w:rPr>
              <w:t>2</w:t>
            </w:r>
          </w:p>
        </w:tc>
        <w:tc>
          <w:tcPr>
            <w:tcW w:w="1866" w:type="pct"/>
            <w:vAlign w:val="center"/>
          </w:tcPr>
          <w:p w14:paraId="70C3A6A9">
            <w:pPr>
              <w:pStyle w:val="34"/>
              <w:jc w:val="center"/>
              <w:rPr>
                <w:sz w:val="24"/>
                <w:szCs w:val="24"/>
                <w:highlight w:val="none"/>
              </w:rPr>
            </w:pPr>
          </w:p>
        </w:tc>
        <w:tc>
          <w:tcPr>
            <w:tcW w:w="1719" w:type="pct"/>
            <w:vAlign w:val="center"/>
          </w:tcPr>
          <w:p w14:paraId="2E799BB7">
            <w:pPr>
              <w:pStyle w:val="34"/>
              <w:jc w:val="center"/>
              <w:rPr>
                <w:sz w:val="24"/>
                <w:szCs w:val="24"/>
                <w:highlight w:val="none"/>
              </w:rPr>
            </w:pPr>
          </w:p>
        </w:tc>
        <w:tc>
          <w:tcPr>
            <w:tcW w:w="829" w:type="pct"/>
            <w:vAlign w:val="center"/>
          </w:tcPr>
          <w:p w14:paraId="7CEDA061">
            <w:pPr>
              <w:pStyle w:val="34"/>
              <w:jc w:val="center"/>
              <w:rPr>
                <w:sz w:val="24"/>
                <w:szCs w:val="24"/>
                <w:highlight w:val="none"/>
              </w:rPr>
            </w:pPr>
          </w:p>
        </w:tc>
      </w:tr>
      <w:tr w14:paraId="2D57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3" w:hRule="atLeast"/>
        </w:trPr>
        <w:tc>
          <w:tcPr>
            <w:tcW w:w="584" w:type="pct"/>
            <w:vAlign w:val="center"/>
          </w:tcPr>
          <w:p w14:paraId="0FFE6521">
            <w:pPr>
              <w:pStyle w:val="34"/>
              <w:jc w:val="center"/>
              <w:rPr>
                <w:sz w:val="24"/>
                <w:szCs w:val="24"/>
                <w:highlight w:val="none"/>
              </w:rPr>
            </w:pPr>
          </w:p>
        </w:tc>
        <w:tc>
          <w:tcPr>
            <w:tcW w:w="1866" w:type="pct"/>
            <w:vAlign w:val="center"/>
          </w:tcPr>
          <w:p w14:paraId="1D24802E">
            <w:pPr>
              <w:pStyle w:val="34"/>
              <w:jc w:val="center"/>
              <w:rPr>
                <w:sz w:val="24"/>
                <w:szCs w:val="24"/>
                <w:highlight w:val="none"/>
              </w:rPr>
            </w:pPr>
          </w:p>
        </w:tc>
        <w:tc>
          <w:tcPr>
            <w:tcW w:w="1719" w:type="pct"/>
            <w:vAlign w:val="center"/>
          </w:tcPr>
          <w:p w14:paraId="538CB395">
            <w:pPr>
              <w:pStyle w:val="34"/>
              <w:jc w:val="center"/>
              <w:rPr>
                <w:sz w:val="24"/>
                <w:szCs w:val="24"/>
                <w:highlight w:val="none"/>
              </w:rPr>
            </w:pPr>
          </w:p>
        </w:tc>
        <w:tc>
          <w:tcPr>
            <w:tcW w:w="829" w:type="pct"/>
            <w:vAlign w:val="center"/>
          </w:tcPr>
          <w:p w14:paraId="48ED9D95">
            <w:pPr>
              <w:pStyle w:val="34"/>
              <w:jc w:val="center"/>
              <w:rPr>
                <w:sz w:val="24"/>
                <w:szCs w:val="24"/>
                <w:highlight w:val="none"/>
              </w:rPr>
            </w:pPr>
          </w:p>
        </w:tc>
      </w:tr>
    </w:tbl>
    <w:p w14:paraId="516387C3">
      <w:pPr>
        <w:tabs>
          <w:tab w:val="left" w:pos="6090"/>
          <w:tab w:val="left" w:pos="8200"/>
          <w:tab w:val="left" w:pos="8400"/>
        </w:tabs>
        <w:spacing w:before="186" w:line="371" w:lineRule="auto"/>
        <w:ind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说 明 ：</w:t>
      </w:r>
    </w:p>
    <w:p w14:paraId="0A730825">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1.本表所列条款必须一一予以响应(留空视同响应),“实质性响应条款” 一栏应填写具体的响应内容。(留空视同响应)</w:t>
      </w:r>
    </w:p>
    <w:p w14:paraId="5240DD3E">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2.“投标人响应情况”中有差异的要具体说明；填写响应、完全响应或留空均视同响应。</w:t>
      </w:r>
    </w:p>
    <w:p w14:paraId="198D6D3C">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 xml:space="preserve">3.“差异”有差异的要具体说明，如无差异可填写“无差异”或留空。 </w:t>
      </w:r>
    </w:p>
    <w:p w14:paraId="2FAC43E6">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4.请投标人认真填写本表内容，如填写错误将可能导致投标无效。</w:t>
      </w:r>
    </w:p>
    <w:p w14:paraId="676CBBCC">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p>
    <w:p w14:paraId="5AF95373">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p>
    <w:p w14:paraId="79BD00E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投标人全称（盖公章）：</w:t>
      </w:r>
    </w:p>
    <w:p w14:paraId="2A0FD6AB">
      <w:pPr>
        <w:spacing w:line="360" w:lineRule="auto"/>
        <w:rPr>
          <w:rFonts w:hint="eastAsia" w:ascii="宋体" w:hAnsi="宋体"/>
          <w:color w:val="auto"/>
          <w:sz w:val="24"/>
          <w:szCs w:val="24"/>
          <w:highlight w:val="none"/>
        </w:rPr>
      </w:pPr>
    </w:p>
    <w:p w14:paraId="72210FB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日    期：     年   月   日</w:t>
      </w:r>
    </w:p>
    <w:p w14:paraId="335DC52B">
      <w:pPr>
        <w:pStyle w:val="4"/>
        <w:rPr>
          <w:rFonts w:hint="eastAsia"/>
          <w:bCs/>
          <w:color w:val="auto"/>
          <w:sz w:val="24"/>
          <w:szCs w:val="24"/>
          <w:highlight w:val="none"/>
          <w:lang w:val="en-US" w:eastAsia="zh-CN"/>
        </w:rPr>
      </w:pPr>
      <w:r>
        <w:rPr>
          <w:rFonts w:hint="eastAsia"/>
          <w:bCs/>
          <w:color w:val="auto"/>
          <w:sz w:val="24"/>
          <w:szCs w:val="24"/>
          <w:highlight w:val="none"/>
        </w:rPr>
        <w:t>附件</w:t>
      </w:r>
      <w:r>
        <w:rPr>
          <w:rFonts w:hint="eastAsia"/>
          <w:bCs/>
          <w:color w:val="auto"/>
          <w:sz w:val="24"/>
          <w:szCs w:val="24"/>
          <w:highlight w:val="none"/>
          <w:lang w:val="en-US" w:eastAsia="zh-CN"/>
        </w:rPr>
        <w:t>11</w:t>
      </w:r>
    </w:p>
    <w:p w14:paraId="60AE70EC">
      <w:pPr>
        <w:pStyle w:val="4"/>
        <w:ind w:firstLine="3424" w:firstLineChars="1421"/>
        <w:rPr>
          <w:rFonts w:hint="default" w:ascii="宋体" w:hAnsi="宋体" w:eastAsia="宋体"/>
          <w:bCs/>
          <w:color w:val="auto"/>
          <w:sz w:val="24"/>
          <w:szCs w:val="24"/>
          <w:highlight w:val="none"/>
          <w:lang w:val="en-US"/>
        </w:rPr>
      </w:pPr>
      <w:r>
        <w:rPr>
          <w:rFonts w:hint="eastAsia" w:ascii="宋体" w:hAnsi="宋体" w:eastAsia="宋体"/>
          <w:bCs/>
          <w:color w:val="auto"/>
          <w:sz w:val="24"/>
          <w:szCs w:val="24"/>
          <w:highlight w:val="none"/>
        </w:rPr>
        <w:t>重要技术参数响应一览表</w:t>
      </w:r>
    </w:p>
    <w:p w14:paraId="7BC43E19">
      <w:pPr>
        <w:spacing w:line="360" w:lineRule="auto"/>
        <w:rPr>
          <w:rFonts w:ascii="宋体" w:hAnsi="宋体" w:eastAsia="宋体" w:cs="宋体"/>
          <w:spacing w:val="7"/>
          <w:sz w:val="24"/>
          <w:szCs w:val="24"/>
          <w:highlight w:val="none"/>
        </w:rPr>
      </w:pPr>
    </w:p>
    <w:p w14:paraId="503AC4CB">
      <w:pPr>
        <w:spacing w:line="360" w:lineRule="auto"/>
        <w:rPr>
          <w:rFonts w:hint="eastAsia"/>
          <w:b/>
          <w:bCs/>
          <w:color w:val="auto"/>
          <w:sz w:val="24"/>
          <w:szCs w:val="24"/>
          <w:highlight w:val="none"/>
        </w:rPr>
      </w:pPr>
      <w:r>
        <w:rPr>
          <w:rFonts w:ascii="宋体" w:hAnsi="宋体" w:eastAsia="宋体" w:cs="宋体"/>
          <w:spacing w:val="7"/>
          <w:sz w:val="24"/>
          <w:szCs w:val="24"/>
          <w:highlight w:val="none"/>
        </w:rPr>
        <w:t>项目名称：</w:t>
      </w:r>
      <w:r>
        <w:rPr>
          <w:rFonts w:hint="default" w:ascii="宋体" w:hAnsi="宋体" w:eastAsia="宋体" w:cs="宋体"/>
          <w:spacing w:val="7"/>
          <w:sz w:val="24"/>
          <w:szCs w:val="24"/>
          <w:highlight w:val="none"/>
        </w:rPr>
        <w:t>2025“Head In The Clouds”（云思妙想）音乐艺术节——大湾区站（南沙）项目临时安保服务外包项目</w:t>
      </w:r>
    </w:p>
    <w:tbl>
      <w:tblPr>
        <w:tblStyle w:val="33"/>
        <w:tblW w:w="8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2714"/>
        <w:gridCol w:w="3029"/>
        <w:gridCol w:w="1629"/>
      </w:tblGrid>
      <w:tr w14:paraId="34CB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08" w:type="dxa"/>
            <w:vAlign w:val="top"/>
          </w:tcPr>
          <w:p w14:paraId="415B7C7F">
            <w:pPr>
              <w:spacing w:before="131" w:line="360" w:lineRule="auto"/>
              <w:ind w:left="34"/>
              <w:jc w:val="center"/>
              <w:rPr>
                <w:rFonts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br w:type="page"/>
            </w:r>
            <w:r>
              <w:rPr>
                <w:rFonts w:ascii="宋体" w:hAnsi="宋体" w:eastAsia="宋体" w:cs="宋体"/>
                <w:b w:val="0"/>
                <w:bCs w:val="0"/>
                <w:spacing w:val="-4"/>
                <w:sz w:val="24"/>
                <w:szCs w:val="24"/>
                <w:highlight w:val="none"/>
              </w:rPr>
              <w:t>序号</w:t>
            </w:r>
          </w:p>
        </w:tc>
        <w:tc>
          <w:tcPr>
            <w:tcW w:w="2714" w:type="dxa"/>
            <w:vAlign w:val="top"/>
          </w:tcPr>
          <w:p w14:paraId="57D8AE81">
            <w:pPr>
              <w:spacing w:before="131" w:line="360" w:lineRule="auto"/>
              <w:ind w:left="34"/>
              <w:jc w:val="center"/>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重要技术参数响应条款</w:t>
            </w:r>
          </w:p>
        </w:tc>
        <w:tc>
          <w:tcPr>
            <w:tcW w:w="3029" w:type="dxa"/>
            <w:vAlign w:val="top"/>
          </w:tcPr>
          <w:p w14:paraId="4B9D5639">
            <w:pPr>
              <w:spacing w:before="131" w:line="360" w:lineRule="auto"/>
              <w:jc w:val="center"/>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投标人响应情况</w:t>
            </w:r>
          </w:p>
        </w:tc>
        <w:tc>
          <w:tcPr>
            <w:tcW w:w="1629" w:type="dxa"/>
            <w:vAlign w:val="top"/>
          </w:tcPr>
          <w:p w14:paraId="3575E0DC">
            <w:pPr>
              <w:spacing w:before="131" w:line="360" w:lineRule="auto"/>
              <w:jc w:val="center"/>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差异</w:t>
            </w:r>
          </w:p>
        </w:tc>
      </w:tr>
      <w:tr w14:paraId="322B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08" w:type="dxa"/>
            <w:vAlign w:val="top"/>
          </w:tcPr>
          <w:p w14:paraId="47019FA5">
            <w:pPr>
              <w:spacing w:before="131" w:line="360" w:lineRule="auto"/>
              <w:ind w:left="34"/>
              <w:jc w:val="center"/>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1.</w:t>
            </w:r>
          </w:p>
        </w:tc>
        <w:tc>
          <w:tcPr>
            <w:tcW w:w="2714" w:type="dxa"/>
            <w:vAlign w:val="top"/>
          </w:tcPr>
          <w:p w14:paraId="5475C4DD">
            <w:pPr>
              <w:spacing w:before="131" w:line="360" w:lineRule="auto"/>
              <w:ind w:left="34"/>
              <w:jc w:val="center"/>
              <w:rPr>
                <w:rFonts w:ascii="宋体" w:hAnsi="宋体" w:eastAsia="宋体" w:cs="宋体"/>
                <w:b w:val="0"/>
                <w:bCs w:val="0"/>
                <w:spacing w:val="-4"/>
                <w:sz w:val="24"/>
                <w:szCs w:val="24"/>
                <w:highlight w:val="none"/>
              </w:rPr>
            </w:pPr>
          </w:p>
        </w:tc>
        <w:tc>
          <w:tcPr>
            <w:tcW w:w="3029" w:type="dxa"/>
            <w:vAlign w:val="top"/>
          </w:tcPr>
          <w:p w14:paraId="35C7C0CB">
            <w:pPr>
              <w:pStyle w:val="34"/>
              <w:spacing w:line="360" w:lineRule="auto"/>
              <w:jc w:val="center"/>
              <w:rPr>
                <w:b w:val="0"/>
                <w:bCs w:val="0"/>
                <w:sz w:val="24"/>
                <w:szCs w:val="24"/>
                <w:highlight w:val="none"/>
              </w:rPr>
            </w:pPr>
          </w:p>
        </w:tc>
        <w:tc>
          <w:tcPr>
            <w:tcW w:w="1629" w:type="dxa"/>
            <w:vAlign w:val="top"/>
          </w:tcPr>
          <w:p w14:paraId="06878D97">
            <w:pPr>
              <w:pStyle w:val="34"/>
              <w:spacing w:line="360" w:lineRule="auto"/>
              <w:jc w:val="center"/>
              <w:rPr>
                <w:b w:val="0"/>
                <w:bCs w:val="0"/>
                <w:sz w:val="24"/>
                <w:szCs w:val="24"/>
                <w:highlight w:val="none"/>
              </w:rPr>
            </w:pPr>
          </w:p>
        </w:tc>
      </w:tr>
      <w:tr w14:paraId="26021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08" w:type="dxa"/>
            <w:vAlign w:val="top"/>
          </w:tcPr>
          <w:p w14:paraId="341795F7">
            <w:pPr>
              <w:spacing w:before="131" w:line="360" w:lineRule="auto"/>
              <w:ind w:left="34"/>
              <w:jc w:val="center"/>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2.</w:t>
            </w:r>
          </w:p>
        </w:tc>
        <w:tc>
          <w:tcPr>
            <w:tcW w:w="2714" w:type="dxa"/>
            <w:vAlign w:val="top"/>
          </w:tcPr>
          <w:p w14:paraId="790D5FAD">
            <w:pPr>
              <w:spacing w:before="131" w:line="360" w:lineRule="auto"/>
              <w:ind w:left="34"/>
              <w:jc w:val="center"/>
              <w:rPr>
                <w:rFonts w:ascii="宋体" w:hAnsi="宋体" w:eastAsia="宋体" w:cs="宋体"/>
                <w:b w:val="0"/>
                <w:bCs w:val="0"/>
                <w:spacing w:val="-4"/>
                <w:sz w:val="24"/>
                <w:szCs w:val="24"/>
                <w:highlight w:val="none"/>
              </w:rPr>
            </w:pPr>
          </w:p>
        </w:tc>
        <w:tc>
          <w:tcPr>
            <w:tcW w:w="3029" w:type="dxa"/>
            <w:vAlign w:val="top"/>
          </w:tcPr>
          <w:p w14:paraId="557B3DF5">
            <w:pPr>
              <w:pStyle w:val="34"/>
              <w:spacing w:line="360" w:lineRule="auto"/>
              <w:jc w:val="center"/>
              <w:rPr>
                <w:b w:val="0"/>
                <w:bCs w:val="0"/>
                <w:sz w:val="24"/>
                <w:szCs w:val="24"/>
                <w:highlight w:val="none"/>
              </w:rPr>
            </w:pPr>
          </w:p>
        </w:tc>
        <w:tc>
          <w:tcPr>
            <w:tcW w:w="1629" w:type="dxa"/>
            <w:vAlign w:val="top"/>
          </w:tcPr>
          <w:p w14:paraId="3904968E">
            <w:pPr>
              <w:pStyle w:val="34"/>
              <w:spacing w:line="360" w:lineRule="auto"/>
              <w:jc w:val="center"/>
              <w:rPr>
                <w:b w:val="0"/>
                <w:bCs w:val="0"/>
                <w:sz w:val="24"/>
                <w:szCs w:val="24"/>
                <w:highlight w:val="none"/>
              </w:rPr>
            </w:pPr>
          </w:p>
        </w:tc>
      </w:tr>
      <w:tr w14:paraId="66246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08" w:type="dxa"/>
            <w:vAlign w:val="top"/>
          </w:tcPr>
          <w:p w14:paraId="52EB655B">
            <w:pPr>
              <w:spacing w:before="145" w:line="360" w:lineRule="auto"/>
              <w:ind w:left="35"/>
              <w:jc w:val="center"/>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3.</w:t>
            </w:r>
          </w:p>
        </w:tc>
        <w:tc>
          <w:tcPr>
            <w:tcW w:w="2714" w:type="dxa"/>
            <w:vAlign w:val="top"/>
          </w:tcPr>
          <w:p w14:paraId="34191630">
            <w:pPr>
              <w:pStyle w:val="34"/>
              <w:spacing w:line="360" w:lineRule="auto"/>
              <w:jc w:val="center"/>
              <w:rPr>
                <w:b w:val="0"/>
                <w:bCs w:val="0"/>
                <w:sz w:val="24"/>
                <w:szCs w:val="24"/>
                <w:highlight w:val="none"/>
              </w:rPr>
            </w:pPr>
          </w:p>
        </w:tc>
        <w:tc>
          <w:tcPr>
            <w:tcW w:w="3029" w:type="dxa"/>
            <w:vAlign w:val="top"/>
          </w:tcPr>
          <w:p w14:paraId="3A5A2140">
            <w:pPr>
              <w:pStyle w:val="34"/>
              <w:spacing w:line="360" w:lineRule="auto"/>
              <w:jc w:val="center"/>
              <w:rPr>
                <w:b w:val="0"/>
                <w:bCs w:val="0"/>
                <w:sz w:val="24"/>
                <w:szCs w:val="24"/>
                <w:highlight w:val="none"/>
              </w:rPr>
            </w:pPr>
          </w:p>
        </w:tc>
        <w:tc>
          <w:tcPr>
            <w:tcW w:w="1629" w:type="dxa"/>
            <w:vAlign w:val="top"/>
          </w:tcPr>
          <w:p w14:paraId="28FE7CC3">
            <w:pPr>
              <w:pStyle w:val="34"/>
              <w:spacing w:line="360" w:lineRule="auto"/>
              <w:jc w:val="center"/>
              <w:rPr>
                <w:b w:val="0"/>
                <w:bCs w:val="0"/>
                <w:sz w:val="24"/>
                <w:szCs w:val="24"/>
                <w:highlight w:val="none"/>
              </w:rPr>
            </w:pPr>
          </w:p>
        </w:tc>
      </w:tr>
    </w:tbl>
    <w:p w14:paraId="3EA72C35">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说明：</w:t>
      </w:r>
    </w:p>
    <w:p w14:paraId="53B93365">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1.“重要技术参数响应条款”一栏应填写具体的响应内容。(留空视同响应)</w:t>
      </w:r>
    </w:p>
    <w:p w14:paraId="12ADA839">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2.“投标人响应情况”中有差异的要具体说明；填写响应、完全响应或留空均视同响应。</w:t>
      </w:r>
    </w:p>
    <w:p w14:paraId="603B1F38">
      <w:pPr>
        <w:tabs>
          <w:tab w:val="left" w:pos="6090"/>
          <w:tab w:val="left" w:pos="8200"/>
          <w:tab w:val="left" w:pos="8400"/>
        </w:tabs>
        <w:spacing w:before="186" w:line="371" w:lineRule="auto"/>
        <w:ind w:left="214" w:right="106" w:rightChars="0"/>
        <w:rPr>
          <w:rFonts w:ascii="宋体" w:hAnsi="宋体" w:eastAsia="宋体" w:cs="宋体"/>
          <w:spacing w:val="14"/>
          <w:sz w:val="24"/>
          <w:szCs w:val="24"/>
          <w:highlight w:val="none"/>
        </w:rPr>
      </w:pPr>
      <w:r>
        <w:rPr>
          <w:rFonts w:ascii="宋体" w:hAnsi="宋体" w:eastAsia="宋体" w:cs="宋体"/>
          <w:spacing w:val="14"/>
          <w:sz w:val="24"/>
          <w:szCs w:val="24"/>
          <w:highlight w:val="none"/>
        </w:rPr>
        <w:t>3.“差异”有差异的要具体说明，如无差异可填写“无差异”或留空。 4.请投标人认真填写本表内容。</w:t>
      </w:r>
    </w:p>
    <w:p w14:paraId="336C7881">
      <w:pPr>
        <w:rPr>
          <w:rFonts w:hint="eastAsia"/>
          <w:b/>
          <w:bCs/>
          <w:color w:val="auto"/>
          <w:sz w:val="24"/>
          <w:szCs w:val="24"/>
          <w:highlight w:val="none"/>
        </w:rPr>
      </w:pPr>
    </w:p>
    <w:p w14:paraId="16A5765C">
      <w:pPr>
        <w:rPr>
          <w:rFonts w:hint="eastAsia"/>
          <w:b/>
          <w:bCs/>
          <w:color w:val="auto"/>
          <w:sz w:val="24"/>
          <w:szCs w:val="24"/>
          <w:highlight w:val="none"/>
        </w:rPr>
      </w:pPr>
    </w:p>
    <w:p w14:paraId="6C6695E5">
      <w:pPr>
        <w:rPr>
          <w:rFonts w:hint="eastAsia"/>
          <w:b/>
          <w:bCs/>
          <w:color w:val="auto"/>
          <w:sz w:val="24"/>
          <w:szCs w:val="24"/>
          <w:highlight w:val="none"/>
        </w:rPr>
      </w:pPr>
    </w:p>
    <w:p w14:paraId="01BB393C">
      <w:pPr>
        <w:rPr>
          <w:rFonts w:hint="eastAsia"/>
          <w:b/>
          <w:bCs/>
          <w:color w:val="auto"/>
          <w:sz w:val="24"/>
          <w:szCs w:val="24"/>
          <w:highlight w:val="none"/>
        </w:rPr>
      </w:pPr>
    </w:p>
    <w:p w14:paraId="3C52790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投标人全称（盖公章）：</w:t>
      </w:r>
    </w:p>
    <w:p w14:paraId="2126EECA">
      <w:pPr>
        <w:spacing w:line="360" w:lineRule="auto"/>
        <w:rPr>
          <w:rFonts w:hint="eastAsia" w:ascii="宋体" w:hAnsi="宋体"/>
          <w:color w:val="auto"/>
          <w:sz w:val="24"/>
          <w:szCs w:val="24"/>
          <w:highlight w:val="none"/>
        </w:rPr>
      </w:pPr>
    </w:p>
    <w:p w14:paraId="75C375C1">
      <w:pPr>
        <w:spacing w:line="360" w:lineRule="auto"/>
        <w:rPr>
          <w:rFonts w:hint="eastAsia" w:ascii="宋体" w:hAnsi="宋体"/>
          <w:color w:val="auto"/>
          <w:sz w:val="24"/>
          <w:highlight w:val="none"/>
        </w:rPr>
      </w:pPr>
      <w:r>
        <w:rPr>
          <w:rFonts w:hint="eastAsia" w:ascii="宋体" w:hAnsi="宋体"/>
          <w:color w:val="auto"/>
          <w:sz w:val="24"/>
          <w:szCs w:val="24"/>
          <w:highlight w:val="none"/>
        </w:rPr>
        <w:t>日    期：     年   月   日</w:t>
      </w:r>
    </w:p>
    <w:p w14:paraId="74AB1E7D">
      <w:pPr>
        <w:rPr>
          <w:rFonts w:hint="eastAsia"/>
          <w:b/>
          <w:bCs/>
          <w:color w:val="auto"/>
          <w:sz w:val="44"/>
          <w:highlight w:val="none"/>
        </w:rPr>
      </w:pPr>
    </w:p>
    <w:p w14:paraId="6C776DD6">
      <w:pPr>
        <w:pStyle w:val="8"/>
        <w:rPr>
          <w:color w:val="auto"/>
          <w:highlight w:val="none"/>
        </w:rPr>
      </w:pPr>
    </w:p>
    <w:p w14:paraId="2E76A6E7">
      <w:pPr>
        <w:spacing w:line="240" w:lineRule="auto"/>
        <w:jc w:val="left"/>
        <w:outlineLvl w:val="9"/>
        <w:rPr>
          <w:rFonts w:hint="eastAsia"/>
          <w:b/>
          <w:bCs/>
          <w:color w:val="auto"/>
          <w:sz w:val="44"/>
          <w:highlight w:val="none"/>
        </w:rPr>
      </w:pPr>
      <w:bookmarkStart w:id="50" w:name="_Toc14490"/>
      <w:r>
        <w:rPr>
          <w:rFonts w:hint="eastAsia"/>
          <w:b/>
          <w:bCs/>
          <w:color w:val="auto"/>
          <w:sz w:val="44"/>
          <w:highlight w:val="none"/>
        </w:rPr>
        <w:br w:type="page"/>
      </w:r>
    </w:p>
    <w:p w14:paraId="65372EE6">
      <w:pPr>
        <w:spacing w:line="360" w:lineRule="auto"/>
        <w:jc w:val="center"/>
        <w:outlineLvl w:val="0"/>
        <w:rPr>
          <w:rFonts w:hint="eastAsia" w:ascii="宋体" w:hAnsi="宋体"/>
          <w:b/>
          <w:bCs/>
          <w:color w:val="auto"/>
          <w:sz w:val="84"/>
          <w:highlight w:val="none"/>
        </w:rPr>
      </w:pPr>
      <w:r>
        <w:rPr>
          <w:rFonts w:hint="eastAsia"/>
          <w:b/>
          <w:bCs/>
          <w:color w:val="auto"/>
          <w:sz w:val="44"/>
          <w:highlight w:val="none"/>
        </w:rPr>
        <w:t>第</w:t>
      </w:r>
      <w:r>
        <w:rPr>
          <w:rFonts w:hint="eastAsia"/>
          <w:b/>
          <w:bCs/>
          <w:color w:val="auto"/>
          <w:sz w:val="44"/>
          <w:highlight w:val="none"/>
          <w:lang w:val="en-US" w:eastAsia="zh-CN"/>
        </w:rPr>
        <w:t>四</w:t>
      </w:r>
      <w:r>
        <w:rPr>
          <w:rFonts w:hint="eastAsia"/>
          <w:b/>
          <w:bCs/>
          <w:color w:val="auto"/>
          <w:sz w:val="44"/>
          <w:highlight w:val="none"/>
        </w:rPr>
        <w:t>章 评标细则</w:t>
      </w:r>
      <w:bookmarkEnd w:id="50"/>
    </w:p>
    <w:p w14:paraId="717843DE">
      <w:pPr>
        <w:pStyle w:val="4"/>
        <w:adjustRightInd/>
        <w:spacing w:before="0" w:after="0" w:line="440" w:lineRule="exact"/>
        <w:rPr>
          <w:rFonts w:hint="eastAsia"/>
          <w:color w:val="auto"/>
          <w:sz w:val="24"/>
          <w:szCs w:val="24"/>
          <w:highlight w:val="none"/>
        </w:rPr>
      </w:pPr>
      <w:bookmarkStart w:id="51" w:name="_Toc109467926"/>
      <w:bookmarkStart w:id="52" w:name="_Toc61327422"/>
      <w:bookmarkStart w:id="53" w:name="_Toc148420064"/>
      <w:bookmarkStart w:id="54" w:name="_Toc107383641"/>
      <w:bookmarkStart w:id="55" w:name="_Toc148060900"/>
      <w:bookmarkStart w:id="56" w:name="_Toc107385313"/>
      <w:bookmarkStart w:id="57" w:name="_Toc131922497"/>
      <w:bookmarkStart w:id="58" w:name="_Toc107460006"/>
      <w:bookmarkStart w:id="59" w:name="_Toc131904924"/>
      <w:bookmarkStart w:id="60" w:name="_Toc138506086"/>
      <w:bookmarkStart w:id="61" w:name="_Toc138568666"/>
      <w:bookmarkStart w:id="62" w:name="_Toc169334810"/>
      <w:bookmarkStart w:id="63" w:name="_Toc150050896"/>
      <w:r>
        <w:rPr>
          <w:rFonts w:hint="eastAsia"/>
          <w:color w:val="auto"/>
          <w:sz w:val="24"/>
          <w:szCs w:val="24"/>
          <w:highlight w:val="none"/>
        </w:rPr>
        <w:t>一、说明</w:t>
      </w:r>
      <w:bookmarkEnd w:id="51"/>
      <w:bookmarkEnd w:id="52"/>
      <w:bookmarkEnd w:id="53"/>
      <w:bookmarkEnd w:id="54"/>
      <w:bookmarkEnd w:id="55"/>
      <w:bookmarkEnd w:id="56"/>
      <w:bookmarkEnd w:id="57"/>
      <w:bookmarkEnd w:id="58"/>
      <w:bookmarkEnd w:id="59"/>
      <w:bookmarkEnd w:id="60"/>
      <w:bookmarkEnd w:id="61"/>
      <w:bookmarkEnd w:id="62"/>
      <w:bookmarkEnd w:id="63"/>
    </w:p>
    <w:p w14:paraId="132C43AC">
      <w:pPr>
        <w:spacing w:line="440" w:lineRule="exact"/>
        <w:rPr>
          <w:rFonts w:hint="eastAsia" w:ascii="宋体" w:hAnsi="宋体"/>
          <w:b/>
          <w:bCs/>
          <w:color w:val="auto"/>
          <w:sz w:val="24"/>
          <w:szCs w:val="24"/>
          <w:highlight w:val="none"/>
        </w:rPr>
      </w:pPr>
      <w:bookmarkStart w:id="64" w:name="_Toc61327423"/>
      <w:r>
        <w:rPr>
          <w:rFonts w:hint="eastAsia" w:ascii="宋体" w:hAnsi="宋体"/>
          <w:b/>
          <w:bCs/>
          <w:color w:val="auto"/>
          <w:sz w:val="24"/>
          <w:szCs w:val="24"/>
          <w:highlight w:val="none"/>
        </w:rPr>
        <w:t>1.概述</w:t>
      </w:r>
      <w:bookmarkEnd w:id="64"/>
    </w:p>
    <w:p w14:paraId="31BF577C">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根据《中华人民共和国招标投标法》和国家及地方采购有关文件精神，在保证</w:t>
      </w:r>
      <w:r>
        <w:rPr>
          <w:rFonts w:hint="eastAsia" w:ascii="宋体" w:hAnsi="宋体"/>
          <w:color w:val="auto"/>
          <w:sz w:val="24"/>
          <w:szCs w:val="24"/>
          <w:highlight w:val="none"/>
          <w:u w:val="single"/>
          <w:lang w:eastAsia="zh-CN"/>
        </w:rPr>
        <w:t>《</w:t>
      </w:r>
      <w:r>
        <w:rPr>
          <w:rFonts w:hint="eastAsia" w:ascii="宋体" w:hAnsi="宋体"/>
          <w:color w:val="auto"/>
          <w:sz w:val="24"/>
          <w:highlight w:val="none"/>
          <w:u w:val="single"/>
          <w:lang w:eastAsia="zh-CN"/>
        </w:rPr>
        <w:t>2025“Head In The Clouds”（云思妙想）音乐艺术节——大湾区站（南沙）项目临时安保服务外包项目</w:t>
      </w:r>
      <w:r>
        <w:rPr>
          <w:rFonts w:hint="eastAsia" w:ascii="宋体" w:hAnsi="宋体"/>
          <w:color w:val="auto"/>
          <w:sz w:val="24"/>
          <w:highlight w:val="none"/>
          <w:u w:val="single"/>
          <w:lang w:val="en-US" w:eastAsia="zh-CN"/>
        </w:rPr>
        <w:t>》</w:t>
      </w:r>
      <w:r>
        <w:rPr>
          <w:rFonts w:hint="eastAsia" w:ascii="宋体" w:hAnsi="宋体"/>
          <w:color w:val="auto"/>
          <w:sz w:val="24"/>
          <w:szCs w:val="24"/>
          <w:highlight w:val="none"/>
        </w:rPr>
        <w:t>（以下简称项目）招标公开、公平、公正的基础上，结合项目的技术和商务需求，编制本评标文件。</w:t>
      </w:r>
    </w:p>
    <w:p w14:paraId="4F84369F">
      <w:pPr>
        <w:spacing w:line="440" w:lineRule="exact"/>
        <w:rPr>
          <w:rFonts w:hint="eastAsia" w:ascii="宋体" w:hAnsi="宋体"/>
          <w:b/>
          <w:bCs/>
          <w:color w:val="auto"/>
          <w:sz w:val="24"/>
          <w:szCs w:val="24"/>
          <w:highlight w:val="none"/>
        </w:rPr>
      </w:pPr>
      <w:bookmarkStart w:id="65" w:name="_Toc61327424"/>
      <w:r>
        <w:rPr>
          <w:rFonts w:hint="eastAsia" w:ascii="宋体" w:hAnsi="宋体"/>
          <w:b/>
          <w:bCs/>
          <w:color w:val="auto"/>
          <w:sz w:val="24"/>
          <w:szCs w:val="24"/>
          <w:highlight w:val="none"/>
        </w:rPr>
        <w:t>2.定义</w:t>
      </w:r>
      <w:bookmarkEnd w:id="65"/>
    </w:p>
    <w:p w14:paraId="0AEDAC04">
      <w:pPr>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招标人</w:t>
      </w:r>
      <w:r>
        <w:rPr>
          <w:rFonts w:hint="eastAsia" w:ascii="宋体" w:hAnsi="宋体"/>
          <w:color w:val="auto"/>
          <w:sz w:val="24"/>
          <w:szCs w:val="24"/>
          <w:highlight w:val="none"/>
        </w:rPr>
        <w:t>：系指</w:t>
      </w:r>
      <w:r>
        <w:rPr>
          <w:rFonts w:hint="eastAsia" w:ascii="宋体" w:hAnsi="宋体"/>
          <w:color w:val="auto"/>
          <w:sz w:val="24"/>
          <w:szCs w:val="24"/>
          <w:highlight w:val="none"/>
          <w:lang w:eastAsia="zh-CN"/>
        </w:rPr>
        <w:t>广州南沙文体投资有限公司</w:t>
      </w:r>
      <w:r>
        <w:rPr>
          <w:rFonts w:hint="eastAsia" w:ascii="宋体" w:hAnsi="宋体"/>
          <w:color w:val="auto"/>
          <w:sz w:val="24"/>
          <w:szCs w:val="24"/>
          <w:highlight w:val="none"/>
        </w:rPr>
        <w:t xml:space="preserve">。                             </w:t>
      </w:r>
    </w:p>
    <w:p w14:paraId="69012818">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业主/用户</w:t>
      </w:r>
      <w:r>
        <w:rPr>
          <w:rFonts w:hint="eastAsia" w:ascii="宋体" w:hAnsi="宋体"/>
          <w:color w:val="auto"/>
          <w:sz w:val="24"/>
          <w:szCs w:val="24"/>
          <w:highlight w:val="none"/>
        </w:rPr>
        <w:t>：系指本项目的最终使用单位。</w:t>
      </w:r>
    </w:p>
    <w:p w14:paraId="62106BCB">
      <w:pPr>
        <w:spacing w:line="440" w:lineRule="exact"/>
        <w:rPr>
          <w:rFonts w:hint="eastAsia" w:ascii="宋体" w:hAnsi="宋体"/>
          <w:b/>
          <w:bCs/>
          <w:color w:val="auto"/>
          <w:sz w:val="24"/>
          <w:szCs w:val="24"/>
          <w:highlight w:val="none"/>
        </w:rPr>
      </w:pPr>
      <w:bookmarkStart w:id="66" w:name="_Toc61327425"/>
      <w:r>
        <w:rPr>
          <w:rFonts w:hint="eastAsia" w:ascii="宋体" w:hAnsi="宋体"/>
          <w:b/>
          <w:bCs/>
          <w:color w:val="auto"/>
          <w:sz w:val="24"/>
          <w:szCs w:val="24"/>
          <w:highlight w:val="none"/>
        </w:rPr>
        <w:t>3.评标委员会组成</w:t>
      </w:r>
      <w:bookmarkEnd w:id="66"/>
    </w:p>
    <w:p w14:paraId="548C2460">
      <w:pPr>
        <w:pStyle w:val="9"/>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本次招标依法组建评标委员会。本次评标的评委会依法由5位评委组成。评委会负责全部的评审工作，任何人不得干预评委会的工作。</w:t>
      </w:r>
    </w:p>
    <w:p w14:paraId="41B6B8DA">
      <w:pPr>
        <w:pStyle w:val="4"/>
        <w:adjustRightInd/>
        <w:spacing w:before="0" w:after="0" w:line="440" w:lineRule="exact"/>
        <w:rPr>
          <w:rFonts w:hint="eastAsia"/>
          <w:color w:val="auto"/>
          <w:sz w:val="24"/>
          <w:szCs w:val="24"/>
          <w:highlight w:val="none"/>
        </w:rPr>
      </w:pPr>
      <w:bookmarkStart w:id="67" w:name="_Toc148060901"/>
      <w:bookmarkStart w:id="68" w:name="_Toc138568667"/>
      <w:bookmarkStart w:id="69" w:name="_Toc131904925"/>
      <w:bookmarkStart w:id="70" w:name="_Toc107460007"/>
      <w:bookmarkStart w:id="71" w:name="_Toc61327427"/>
      <w:bookmarkStart w:id="72" w:name="_Toc138506087"/>
      <w:bookmarkStart w:id="73" w:name="_Toc131922498"/>
      <w:bookmarkStart w:id="74" w:name="_Toc169334811"/>
      <w:bookmarkStart w:id="75" w:name="_Toc148420065"/>
      <w:bookmarkStart w:id="76" w:name="_Toc109467927"/>
      <w:bookmarkStart w:id="77" w:name="_Toc150050897"/>
      <w:bookmarkStart w:id="78" w:name="_Toc107383642"/>
      <w:bookmarkStart w:id="79" w:name="_Toc107385314"/>
      <w:r>
        <w:rPr>
          <w:rFonts w:hint="eastAsia"/>
          <w:color w:val="auto"/>
          <w:sz w:val="24"/>
          <w:szCs w:val="24"/>
          <w:highlight w:val="none"/>
        </w:rPr>
        <w:t>二、评标须知</w:t>
      </w:r>
      <w:bookmarkEnd w:id="67"/>
      <w:bookmarkEnd w:id="68"/>
      <w:bookmarkEnd w:id="69"/>
      <w:bookmarkEnd w:id="70"/>
      <w:bookmarkEnd w:id="71"/>
      <w:bookmarkEnd w:id="72"/>
      <w:bookmarkEnd w:id="73"/>
      <w:bookmarkEnd w:id="74"/>
      <w:bookmarkEnd w:id="75"/>
      <w:bookmarkEnd w:id="76"/>
      <w:bookmarkEnd w:id="77"/>
      <w:bookmarkEnd w:id="78"/>
      <w:bookmarkEnd w:id="79"/>
    </w:p>
    <w:p w14:paraId="3220D868">
      <w:pPr>
        <w:spacing w:line="440" w:lineRule="exact"/>
        <w:rPr>
          <w:rFonts w:hint="eastAsia" w:ascii="宋体" w:hAnsi="宋体"/>
          <w:b/>
          <w:bCs/>
          <w:color w:val="auto"/>
          <w:sz w:val="24"/>
          <w:szCs w:val="24"/>
          <w:highlight w:val="none"/>
        </w:rPr>
      </w:pPr>
      <w:bookmarkStart w:id="80" w:name="_Toc61327428"/>
      <w:r>
        <w:rPr>
          <w:rFonts w:hint="eastAsia" w:ascii="宋体" w:hAnsi="宋体"/>
          <w:b/>
          <w:bCs/>
          <w:color w:val="auto"/>
          <w:sz w:val="24"/>
          <w:szCs w:val="24"/>
          <w:highlight w:val="none"/>
        </w:rPr>
        <w:t>1.关于评标方案</w:t>
      </w:r>
      <w:bookmarkEnd w:id="80"/>
    </w:p>
    <w:p w14:paraId="6F786274">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14:paraId="7F18E80F">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14:paraId="52D95173">
      <w:pPr>
        <w:spacing w:line="440" w:lineRule="exact"/>
        <w:rPr>
          <w:rFonts w:hint="eastAsia" w:ascii="宋体" w:hAnsi="宋体"/>
          <w:b/>
          <w:bCs/>
          <w:color w:val="auto"/>
          <w:sz w:val="24"/>
          <w:szCs w:val="24"/>
          <w:highlight w:val="none"/>
        </w:rPr>
      </w:pPr>
      <w:bookmarkStart w:id="81" w:name="_Toc61327429"/>
      <w:r>
        <w:rPr>
          <w:rFonts w:hint="eastAsia" w:ascii="宋体" w:hAnsi="宋体"/>
          <w:b/>
          <w:bCs/>
          <w:color w:val="auto"/>
          <w:sz w:val="24"/>
          <w:szCs w:val="24"/>
          <w:highlight w:val="none"/>
        </w:rPr>
        <w:t>2.关于评标纪律</w:t>
      </w:r>
      <w:bookmarkEnd w:id="81"/>
    </w:p>
    <w:p w14:paraId="2F031BF5">
      <w:pPr>
        <w:spacing w:line="440" w:lineRule="exact"/>
        <w:ind w:left="588" w:hanging="588" w:hangingChars="245"/>
        <w:rPr>
          <w:rFonts w:hint="eastAsia" w:ascii="宋体" w:hAnsi="宋体"/>
          <w:color w:val="auto"/>
          <w:sz w:val="24"/>
          <w:szCs w:val="24"/>
          <w:highlight w:val="none"/>
        </w:rPr>
      </w:pPr>
      <w:r>
        <w:rPr>
          <w:rFonts w:hint="eastAsia" w:ascii="宋体" w:hAnsi="宋体"/>
          <w:color w:val="auto"/>
          <w:sz w:val="24"/>
          <w:szCs w:val="24"/>
          <w:highlight w:val="none"/>
        </w:rPr>
        <w:t>（1）评标委员会成员不得与任何投标人或者与招标结果有利害关系的人进行私下接触，不得收受投标人、中介人、其他利害关系人的财物或者其他好处；</w:t>
      </w:r>
    </w:p>
    <w:p w14:paraId="3F82EDF6">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14:paraId="01795AB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（3）评委之间不得相互串通进行评分；</w:t>
      </w:r>
    </w:p>
    <w:p w14:paraId="43BF23FD">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14:paraId="29D283C1">
      <w:pPr>
        <w:spacing w:line="440" w:lineRule="exact"/>
        <w:rPr>
          <w:rFonts w:hint="eastAsia" w:ascii="宋体" w:hAnsi="宋体"/>
          <w:b/>
          <w:bCs/>
          <w:color w:val="auto"/>
          <w:sz w:val="24"/>
          <w:szCs w:val="24"/>
          <w:highlight w:val="none"/>
        </w:rPr>
      </w:pPr>
      <w:bookmarkStart w:id="82" w:name="_Toc61327430"/>
      <w:r>
        <w:rPr>
          <w:rFonts w:hint="eastAsia" w:ascii="宋体" w:hAnsi="宋体"/>
          <w:b/>
          <w:bCs/>
          <w:color w:val="auto"/>
          <w:sz w:val="24"/>
          <w:szCs w:val="24"/>
          <w:highlight w:val="none"/>
        </w:rPr>
        <w:t>3.关于评标责任</w:t>
      </w:r>
      <w:bookmarkEnd w:id="82"/>
    </w:p>
    <w:p w14:paraId="07A781D8">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14:paraId="225A8A92">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14:paraId="19DB4000">
      <w:pPr>
        <w:spacing w:line="440" w:lineRule="exact"/>
        <w:rPr>
          <w:rFonts w:hint="eastAsia" w:ascii="宋体" w:hAnsi="宋体"/>
          <w:b/>
          <w:bCs/>
          <w:color w:val="auto"/>
          <w:sz w:val="24"/>
          <w:szCs w:val="24"/>
          <w:highlight w:val="none"/>
        </w:rPr>
      </w:pPr>
      <w:bookmarkStart w:id="83" w:name="_Toc61327431"/>
      <w:r>
        <w:rPr>
          <w:rFonts w:hint="eastAsia" w:ascii="宋体" w:hAnsi="宋体"/>
          <w:b/>
          <w:bCs/>
          <w:color w:val="auto"/>
          <w:sz w:val="24"/>
          <w:szCs w:val="24"/>
          <w:highlight w:val="none"/>
        </w:rPr>
        <w:t>4.关于回避</w:t>
      </w:r>
      <w:bookmarkEnd w:id="83"/>
    </w:p>
    <w:p w14:paraId="083000F4">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有下列情形之一的，不得担任评标委员会成员，如事先不知情的，应在招标人宣读投标人名单及评标纪律后主动提出回避：</w:t>
      </w:r>
    </w:p>
    <w:p w14:paraId="6800BB18">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（1）是投标人或者投标人主要负责人的近亲属；</w:t>
      </w:r>
    </w:p>
    <w:p w14:paraId="1EC9A2D9">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（2）项目主管部门或行政监督部门的人员；</w:t>
      </w:r>
    </w:p>
    <w:p w14:paraId="1334191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（3）与投标人有经济利益关系，可能影响对投标公正评审的；</w:t>
      </w:r>
    </w:p>
    <w:p w14:paraId="1EFE1086">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（4）曾因在招标、评标以及其他与招标投标有关活动中从事违法行为而受过行政处罚或刑事处罚的。</w:t>
      </w:r>
    </w:p>
    <w:p w14:paraId="16D6705E">
      <w:pPr>
        <w:spacing w:line="440" w:lineRule="exact"/>
        <w:rPr>
          <w:rFonts w:hint="eastAsia" w:ascii="宋体" w:hAnsi="宋体"/>
          <w:b/>
          <w:bCs/>
          <w:color w:val="auto"/>
          <w:sz w:val="24"/>
          <w:szCs w:val="24"/>
          <w:highlight w:val="none"/>
        </w:rPr>
      </w:pPr>
      <w:bookmarkStart w:id="84" w:name="_Toc61327432"/>
      <w:r>
        <w:rPr>
          <w:rFonts w:hint="eastAsia" w:ascii="宋体" w:hAnsi="宋体"/>
          <w:b/>
          <w:bCs/>
          <w:color w:val="auto"/>
          <w:sz w:val="24"/>
          <w:szCs w:val="24"/>
          <w:highlight w:val="none"/>
        </w:rPr>
        <w:t>5.关于保密</w:t>
      </w:r>
      <w:bookmarkEnd w:id="84"/>
    </w:p>
    <w:p w14:paraId="4505F796">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14:paraId="79658687">
      <w:pPr>
        <w:pStyle w:val="8"/>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b w:val="0"/>
          <w:color w:val="auto"/>
          <w:sz w:val="24"/>
          <w:szCs w:val="24"/>
          <w:highlight w:val="none"/>
        </w:rPr>
        <w:t>前款所称与评标活动有关的工作人员，是指评标委员会成员以外的因参与评标监督工作或者事务性工作而知悉有关评标情况的所有人员。</w:t>
      </w:r>
    </w:p>
    <w:p w14:paraId="7C597A6A">
      <w:pPr>
        <w:spacing w:line="440" w:lineRule="exact"/>
        <w:rPr>
          <w:rFonts w:hint="eastAsia" w:ascii="宋体" w:hAnsi="宋体"/>
          <w:b/>
          <w:bCs/>
          <w:color w:val="auto"/>
          <w:sz w:val="24"/>
          <w:szCs w:val="24"/>
          <w:highlight w:val="none"/>
        </w:rPr>
      </w:pPr>
      <w:bookmarkStart w:id="85" w:name="_Toc61327433"/>
      <w:r>
        <w:rPr>
          <w:rFonts w:hint="eastAsia" w:ascii="宋体" w:hAnsi="宋体"/>
          <w:b/>
          <w:bCs/>
          <w:color w:val="auto"/>
          <w:sz w:val="24"/>
          <w:szCs w:val="24"/>
          <w:highlight w:val="none"/>
        </w:rPr>
        <w:t>6.罚则</w:t>
      </w:r>
      <w:bookmarkEnd w:id="85"/>
    </w:p>
    <w:p w14:paraId="4C168100">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14:paraId="5EDAC8BB">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52EF0209">
      <w:pPr>
        <w:pStyle w:val="4"/>
        <w:adjustRightInd/>
        <w:spacing w:before="0" w:after="0" w:line="440" w:lineRule="exact"/>
        <w:rPr>
          <w:rFonts w:hint="eastAsia"/>
          <w:color w:val="auto"/>
          <w:sz w:val="24"/>
          <w:szCs w:val="24"/>
          <w:highlight w:val="none"/>
        </w:rPr>
      </w:pPr>
      <w:bookmarkStart w:id="86" w:name="_Toc148420066"/>
      <w:bookmarkStart w:id="87" w:name="_Toc138506088"/>
      <w:bookmarkStart w:id="88" w:name="_Toc107385315"/>
      <w:bookmarkStart w:id="89" w:name="_Toc131904926"/>
      <w:bookmarkStart w:id="90" w:name="_Toc107460008"/>
      <w:bookmarkStart w:id="91" w:name="_Toc61327434"/>
      <w:bookmarkStart w:id="92" w:name="_Toc138568668"/>
      <w:bookmarkStart w:id="93" w:name="_Toc148060902"/>
      <w:bookmarkStart w:id="94" w:name="_Toc107383643"/>
      <w:bookmarkStart w:id="95" w:name="_Toc169334812"/>
      <w:bookmarkStart w:id="96" w:name="_Toc131922499"/>
      <w:bookmarkStart w:id="97" w:name="_Toc150050898"/>
      <w:bookmarkStart w:id="98" w:name="_Toc109467928"/>
      <w:r>
        <w:rPr>
          <w:rFonts w:hint="eastAsia"/>
          <w:color w:val="auto"/>
          <w:sz w:val="24"/>
          <w:szCs w:val="24"/>
          <w:highlight w:val="none"/>
        </w:rPr>
        <w:t>三、评标原则</w:t>
      </w:r>
      <w:bookmarkEnd w:id="86"/>
      <w:bookmarkEnd w:id="87"/>
      <w:bookmarkEnd w:id="88"/>
      <w:bookmarkEnd w:id="89"/>
      <w:bookmarkEnd w:id="90"/>
      <w:bookmarkEnd w:id="91"/>
      <w:bookmarkEnd w:id="92"/>
      <w:bookmarkEnd w:id="93"/>
      <w:bookmarkEnd w:id="94"/>
      <w:bookmarkEnd w:id="95"/>
      <w:bookmarkEnd w:id="96"/>
      <w:bookmarkEnd w:id="97"/>
      <w:bookmarkEnd w:id="98"/>
    </w:p>
    <w:p w14:paraId="145A52DB">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14:paraId="3085CBCC">
      <w:pPr>
        <w:pStyle w:val="4"/>
        <w:adjustRightInd/>
        <w:spacing w:before="0" w:after="0" w:line="440" w:lineRule="exact"/>
        <w:rPr>
          <w:rFonts w:hint="eastAsia"/>
          <w:b w:val="0"/>
          <w:bCs/>
          <w:color w:val="auto"/>
          <w:sz w:val="24"/>
          <w:szCs w:val="24"/>
          <w:highlight w:val="none"/>
        </w:rPr>
      </w:pPr>
      <w:bookmarkStart w:id="99" w:name="_Toc108243613"/>
      <w:bookmarkStart w:id="100" w:name="_Toc148060903"/>
      <w:bookmarkStart w:id="101" w:name="_Toc125770205"/>
      <w:bookmarkStart w:id="102" w:name="_Toc102211721"/>
      <w:bookmarkStart w:id="103" w:name="_Toc148420067"/>
      <w:bookmarkStart w:id="104" w:name="_Toc169334813"/>
      <w:bookmarkStart w:id="105" w:name="_Toc138568669"/>
      <w:bookmarkStart w:id="106" w:name="_Toc131904927"/>
      <w:bookmarkStart w:id="107" w:name="_Toc124570684"/>
      <w:bookmarkStart w:id="108" w:name="_Toc150050899"/>
      <w:bookmarkStart w:id="109" w:name="_Toc35834931"/>
      <w:bookmarkStart w:id="110" w:name="_Toc124401379"/>
      <w:bookmarkStart w:id="111" w:name="_Toc67911939"/>
      <w:bookmarkStart w:id="112" w:name="_Toc28489525"/>
      <w:bookmarkStart w:id="113" w:name="_Toc34535377"/>
      <w:bookmarkStart w:id="114" w:name="_Toc138506089"/>
      <w:bookmarkStart w:id="115" w:name="_Toc104874462"/>
      <w:bookmarkStart w:id="116" w:name="_Toc68620009"/>
      <w:bookmarkStart w:id="117" w:name="_Toc95304220"/>
      <w:bookmarkStart w:id="118" w:name="_Toc104902926"/>
      <w:bookmarkStart w:id="119" w:name="_Toc101553658"/>
      <w:bookmarkStart w:id="120" w:name="_Toc66722109"/>
      <w:bookmarkStart w:id="121" w:name="_Toc131922500"/>
      <w:bookmarkStart w:id="122" w:name="_Toc101553553"/>
      <w:bookmarkStart w:id="123" w:name="_Toc95249604"/>
      <w:bookmarkStart w:id="124" w:name="_Toc108001797"/>
      <w:bookmarkStart w:id="125" w:name="_Toc124646431"/>
      <w:bookmarkStart w:id="126" w:name="_Toc113277289"/>
      <w:r>
        <w:rPr>
          <w:rFonts w:hint="eastAsia"/>
          <w:color w:val="auto"/>
          <w:sz w:val="24"/>
          <w:szCs w:val="24"/>
          <w:highlight w:val="none"/>
        </w:rPr>
        <w:t>四、评标方法及流程</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DDCA044">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本次招标的评标方法采用综合评审法。评标分三个阶段进行：投标文件符合性检查和投标文件详细评审。具体方法及流程如下：</w:t>
      </w:r>
    </w:p>
    <w:p w14:paraId="18F790FE">
      <w:pPr>
        <w:numPr>
          <w:ilvl w:val="0"/>
          <w:numId w:val="13"/>
        </w:num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投标文件资格性审查</w:t>
      </w:r>
    </w:p>
    <w:p w14:paraId="16CA329A">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color w:val="auto"/>
          <w:sz w:val="24"/>
          <w:szCs w:val="24"/>
          <w:highlight w:val="none"/>
        </w:rPr>
        <w:t>。</w:t>
      </w:r>
    </w:p>
    <w:p w14:paraId="164F4553">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（2）投标文件符合性检查</w:t>
      </w:r>
    </w:p>
    <w:p w14:paraId="3BC806CC">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1）各评委对各投标文件按照招标文件要求的响应情况进行符合性检查。符合性检查必须根据采购文件中对投标人的要求和投标文件中的响应进行。</w:t>
      </w:r>
    </w:p>
    <w:p w14:paraId="13859343">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51C7C8BB">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3）在评审中发现关键指标/服务要求等未能达到招标文件中的规定或有虚假情况时，评标委员会有权取消其评审资格。</w:t>
      </w:r>
    </w:p>
    <w:p w14:paraId="567A4AB6">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21C69A">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5）投标人只有完全通过符合性检查，才能进入下一阶段的详细评审，否则视为无效投标。（详见符合性检查表）</w:t>
      </w:r>
    </w:p>
    <w:p w14:paraId="4A0F0908">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（3）投标文件详细评审</w:t>
      </w:r>
    </w:p>
    <w:p w14:paraId="7B055D17">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14:paraId="1EC01F44">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当通过资格性审查或符合性检查的投标人少于三家时，否决所有投标文件，依法重新招标。</w:t>
      </w:r>
    </w:p>
    <w:p w14:paraId="797F4061">
      <w:pPr>
        <w:pStyle w:val="4"/>
        <w:adjustRightInd/>
        <w:spacing w:before="0" w:after="0" w:line="440" w:lineRule="exact"/>
        <w:rPr>
          <w:rFonts w:hint="eastAsia"/>
          <w:b w:val="0"/>
          <w:bCs/>
          <w:color w:val="auto"/>
          <w:sz w:val="24"/>
          <w:szCs w:val="24"/>
          <w:highlight w:val="none"/>
        </w:rPr>
      </w:pPr>
      <w:bookmarkStart w:id="127" w:name="_Toc67911940"/>
      <w:bookmarkStart w:id="128" w:name="_Toc108243614"/>
      <w:bookmarkStart w:id="129" w:name="_Toc101553554"/>
      <w:bookmarkStart w:id="130" w:name="_Toc101553659"/>
      <w:bookmarkStart w:id="131" w:name="_Toc95304221"/>
      <w:bookmarkStart w:id="132" w:name="_Toc104874463"/>
      <w:bookmarkStart w:id="133" w:name="_Toc131922501"/>
      <w:bookmarkStart w:id="134" w:name="_Toc125770206"/>
      <w:bookmarkStart w:id="135" w:name="_Toc35834932"/>
      <w:bookmarkStart w:id="136" w:name="_Toc104902927"/>
      <w:bookmarkStart w:id="137" w:name="_Toc148060904"/>
      <w:bookmarkStart w:id="138" w:name="_Toc95249605"/>
      <w:bookmarkStart w:id="139" w:name="_Toc138568670"/>
      <w:bookmarkStart w:id="140" w:name="_Toc34535378"/>
      <w:bookmarkStart w:id="141" w:name="_Toc68620010"/>
      <w:bookmarkStart w:id="142" w:name="_Toc124646432"/>
      <w:bookmarkStart w:id="143" w:name="_Toc102211722"/>
      <w:bookmarkStart w:id="144" w:name="_Toc124401380"/>
      <w:bookmarkStart w:id="145" w:name="_Toc28489528"/>
      <w:bookmarkStart w:id="146" w:name="_Toc28142596"/>
      <w:bookmarkStart w:id="147" w:name="_Toc138506090"/>
      <w:bookmarkStart w:id="148" w:name="_Toc66722110"/>
      <w:bookmarkStart w:id="149" w:name="_Toc113277290"/>
      <w:bookmarkStart w:id="150" w:name="_Toc169334814"/>
      <w:bookmarkStart w:id="151" w:name="_Toc131904928"/>
      <w:bookmarkStart w:id="152" w:name="_Toc150050900"/>
      <w:bookmarkStart w:id="153" w:name="_Toc124570685"/>
      <w:bookmarkStart w:id="154" w:name="_Toc148420068"/>
      <w:bookmarkStart w:id="155" w:name="_Toc108001798"/>
      <w:r>
        <w:rPr>
          <w:rFonts w:hint="eastAsia"/>
          <w:color w:val="auto"/>
          <w:sz w:val="24"/>
          <w:szCs w:val="24"/>
          <w:highlight w:val="none"/>
        </w:rPr>
        <w:t>五、评分标准和权重</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AD9C413">
      <w:pPr>
        <w:spacing w:line="440" w:lineRule="exact"/>
        <w:rPr>
          <w:rFonts w:hint="eastAsia" w:ascii="宋体" w:hAnsi="宋体"/>
          <w:b/>
          <w:color w:val="auto"/>
          <w:sz w:val="24"/>
          <w:szCs w:val="24"/>
          <w:highlight w:val="none"/>
        </w:rPr>
      </w:pPr>
      <w:bookmarkStart w:id="156" w:name="_Toc28489529"/>
      <w:bookmarkStart w:id="157" w:name="_Toc31424230"/>
      <w:bookmarkStart w:id="158" w:name="_Toc28142597"/>
      <w:bookmarkStart w:id="159" w:name="_Toc26163628"/>
      <w:r>
        <w:rPr>
          <w:rFonts w:hint="eastAsia" w:ascii="宋体" w:hAnsi="宋体"/>
          <w:b/>
          <w:color w:val="auto"/>
          <w:sz w:val="24"/>
          <w:szCs w:val="24"/>
          <w:highlight w:val="none"/>
        </w:rPr>
        <w:t>1.评分标准</w:t>
      </w:r>
      <w:bookmarkEnd w:id="156"/>
      <w:bookmarkEnd w:id="157"/>
      <w:bookmarkEnd w:id="158"/>
      <w:bookmarkEnd w:id="159"/>
    </w:p>
    <w:p w14:paraId="052AB913">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评委根据各通过资格性审查及符合性检查投标人的投标文件，并逐项列出投标文件的全部投标偏差。</w:t>
      </w:r>
    </w:p>
    <w:p w14:paraId="08B0B9F0">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14:paraId="62271A21">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评委对投标文件的技术及商务响应情况进行评分。评分采用量化方法。</w:t>
      </w:r>
    </w:p>
    <w:p w14:paraId="60BFD96F">
      <w:pPr>
        <w:spacing w:line="440" w:lineRule="exact"/>
        <w:ind w:firstLine="403" w:firstLineChars="168"/>
        <w:rPr>
          <w:rFonts w:hint="eastAsia" w:ascii="宋体" w:hAnsi="宋体"/>
          <w:bCs/>
          <w:color w:val="auto"/>
          <w:sz w:val="24"/>
          <w:szCs w:val="24"/>
          <w:highlight w:val="none"/>
        </w:rPr>
      </w:pPr>
      <w:r>
        <w:rPr>
          <w:rFonts w:hint="eastAsia" w:ascii="宋体" w:hAnsi="宋体"/>
          <w:bCs/>
          <w:color w:val="auto"/>
          <w:sz w:val="24"/>
          <w:szCs w:val="24"/>
          <w:highlight w:val="none"/>
        </w:rPr>
        <w:t>技术、商务、价格评分应分别考虑下列因素：</w:t>
      </w:r>
    </w:p>
    <w:p w14:paraId="5F07E8A5">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（1）技术评分（见技术评分标准）</w:t>
      </w:r>
    </w:p>
    <w:p w14:paraId="2855725E">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（2）商务评分（见商务评分标准）</w:t>
      </w:r>
    </w:p>
    <w:p w14:paraId="3A5A5748">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（3）价格的开启和评分（见</w:t>
      </w:r>
      <w:r>
        <w:rPr>
          <w:rFonts w:hint="eastAsia" w:ascii="宋体" w:hAnsi="宋体"/>
          <w:bCs/>
          <w:color w:val="auto"/>
          <w:sz w:val="24"/>
          <w:szCs w:val="24"/>
          <w:highlight w:val="none"/>
          <w:lang w:val="en-US" w:eastAsia="zh-CN"/>
        </w:rPr>
        <w:t>经济</w:t>
      </w:r>
      <w:r>
        <w:rPr>
          <w:rFonts w:hint="eastAsia" w:ascii="宋体" w:hAnsi="宋体"/>
          <w:bCs/>
          <w:color w:val="auto"/>
          <w:sz w:val="24"/>
          <w:szCs w:val="24"/>
          <w:highlight w:val="none"/>
        </w:rPr>
        <w:t>评分标准）</w:t>
      </w:r>
    </w:p>
    <w:p w14:paraId="1A4B7D71">
      <w:pPr>
        <w:spacing w:line="440" w:lineRule="exact"/>
        <w:rPr>
          <w:rFonts w:hint="eastAsia" w:ascii="宋体" w:hAnsi="宋体"/>
          <w:b/>
          <w:color w:val="auto"/>
          <w:sz w:val="24"/>
          <w:szCs w:val="24"/>
          <w:highlight w:val="none"/>
        </w:rPr>
      </w:pPr>
      <w:bookmarkStart w:id="160" w:name="_Toc28142598"/>
      <w:bookmarkStart w:id="161" w:name="_Toc26163629"/>
      <w:bookmarkStart w:id="162" w:name="_Toc28489530"/>
      <w:r>
        <w:rPr>
          <w:rFonts w:hint="eastAsia" w:ascii="宋体" w:hAnsi="宋体"/>
          <w:b/>
          <w:color w:val="auto"/>
          <w:sz w:val="24"/>
          <w:szCs w:val="24"/>
          <w:highlight w:val="none"/>
        </w:rPr>
        <w:t>2.权重分配</w:t>
      </w:r>
      <w:bookmarkEnd w:id="160"/>
      <w:bookmarkEnd w:id="161"/>
      <w:bookmarkEnd w:id="162"/>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CE7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DB0BCCC">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14:paraId="4A05F4E8">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14:paraId="692E1033">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商务部分</w:t>
            </w:r>
          </w:p>
        </w:tc>
        <w:tc>
          <w:tcPr>
            <w:tcW w:w="2131" w:type="dxa"/>
            <w:vAlign w:val="center"/>
          </w:tcPr>
          <w:p w14:paraId="512FA18F">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价格部分</w:t>
            </w:r>
          </w:p>
        </w:tc>
      </w:tr>
      <w:tr w14:paraId="7AF1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14:paraId="7C74030F">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14:paraId="24C5A361">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w:t>
            </w:r>
          </w:p>
        </w:tc>
        <w:tc>
          <w:tcPr>
            <w:tcW w:w="2131" w:type="dxa"/>
            <w:vAlign w:val="center"/>
          </w:tcPr>
          <w:p w14:paraId="1A2C4230">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14:paraId="2D7249CE">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r>
    </w:tbl>
    <w:p w14:paraId="19CD07F7">
      <w:pPr>
        <w:spacing w:line="440" w:lineRule="exact"/>
        <w:rPr>
          <w:rFonts w:hint="eastAsia" w:ascii="宋体" w:hAnsi="宋体"/>
          <w:b/>
          <w:color w:val="auto"/>
          <w:sz w:val="24"/>
          <w:szCs w:val="24"/>
          <w:highlight w:val="none"/>
        </w:rPr>
      </w:pPr>
      <w:bookmarkStart w:id="163" w:name="_Toc28489531"/>
      <w:bookmarkStart w:id="164" w:name="_Toc26163630"/>
      <w:bookmarkStart w:id="165" w:name="_Toc28142599"/>
      <w:r>
        <w:rPr>
          <w:rFonts w:hint="eastAsia" w:ascii="宋体" w:hAnsi="宋体"/>
          <w:b/>
          <w:color w:val="auto"/>
          <w:sz w:val="24"/>
          <w:szCs w:val="24"/>
          <w:highlight w:val="none"/>
        </w:rPr>
        <w:t>3.综合得分</w:t>
      </w:r>
      <w:bookmarkEnd w:id="163"/>
      <w:bookmarkEnd w:id="164"/>
      <w:bookmarkEnd w:id="165"/>
    </w:p>
    <w:p w14:paraId="6DB86993">
      <w:pPr>
        <w:spacing w:line="440" w:lineRule="exact"/>
        <w:ind w:left="540"/>
        <w:rPr>
          <w:rFonts w:hint="eastAsia" w:ascii="宋体" w:hAnsi="宋体"/>
          <w:bCs/>
          <w:color w:val="auto"/>
          <w:sz w:val="24"/>
          <w:szCs w:val="24"/>
          <w:highlight w:val="none"/>
        </w:rPr>
      </w:pPr>
      <w:r>
        <w:rPr>
          <w:rFonts w:hint="eastAsia" w:ascii="宋体" w:hAnsi="宋体"/>
          <w:color w:val="auto"/>
          <w:sz w:val="24"/>
          <w:szCs w:val="24"/>
          <w:highlight w:val="none"/>
        </w:rPr>
        <w:t>综合得分=技术部分得分+商务部分得分+价格部分得分</w:t>
      </w:r>
    </w:p>
    <w:p w14:paraId="719274B8">
      <w:pPr>
        <w:spacing w:line="440" w:lineRule="exact"/>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color w:val="auto"/>
          <w:sz w:val="24"/>
          <w:szCs w:val="24"/>
          <w:highlight w:val="none"/>
        </w:rPr>
        <w:t>。</w:t>
      </w:r>
    </w:p>
    <w:p w14:paraId="4C85EDD0">
      <w:pPr>
        <w:pStyle w:val="4"/>
        <w:adjustRightInd/>
        <w:spacing w:before="0" w:after="0" w:line="440" w:lineRule="exact"/>
        <w:rPr>
          <w:rFonts w:hint="eastAsia"/>
          <w:b w:val="0"/>
          <w:bCs/>
          <w:color w:val="auto"/>
          <w:sz w:val="24"/>
          <w:szCs w:val="24"/>
          <w:highlight w:val="none"/>
        </w:rPr>
      </w:pPr>
      <w:bookmarkStart w:id="166" w:name="_Toc169334815"/>
      <w:bookmarkStart w:id="167" w:name="_Toc101553660"/>
      <w:bookmarkStart w:id="168" w:name="_Toc95304222"/>
      <w:bookmarkStart w:id="169" w:name="_Toc131904929"/>
      <w:bookmarkStart w:id="170" w:name="_Toc28489532"/>
      <w:bookmarkStart w:id="171" w:name="_Toc108001799"/>
      <w:bookmarkStart w:id="172" w:name="_Toc95249606"/>
      <w:bookmarkStart w:id="173" w:name="_Toc138506091"/>
      <w:bookmarkStart w:id="174" w:name="_Toc68620011"/>
      <w:bookmarkStart w:id="175" w:name="_Toc150050901"/>
      <w:bookmarkStart w:id="176" w:name="_Toc104902928"/>
      <w:bookmarkStart w:id="177" w:name="_Toc67911941"/>
      <w:bookmarkStart w:id="178" w:name="_Toc124570686"/>
      <w:bookmarkStart w:id="179" w:name="_Toc148420069"/>
      <w:bookmarkStart w:id="180" w:name="_Toc101553555"/>
      <w:bookmarkStart w:id="181" w:name="_Toc102211723"/>
      <w:bookmarkStart w:id="182" w:name="_Toc113277291"/>
      <w:bookmarkStart w:id="183" w:name="_Toc108243615"/>
      <w:bookmarkStart w:id="184" w:name="_Toc125770207"/>
      <w:bookmarkStart w:id="185" w:name="_Toc124401381"/>
      <w:bookmarkStart w:id="186" w:name="_Toc66722111"/>
      <w:bookmarkStart w:id="187" w:name="_Toc138568671"/>
      <w:bookmarkStart w:id="188" w:name="_Toc131922502"/>
      <w:bookmarkStart w:id="189" w:name="_Toc124646433"/>
      <w:bookmarkStart w:id="190" w:name="_Toc28142600"/>
      <w:bookmarkStart w:id="191" w:name="_Toc148060905"/>
      <w:bookmarkStart w:id="192" w:name="_Toc104874464"/>
      <w:bookmarkStart w:id="193" w:name="_Toc35834933"/>
      <w:bookmarkStart w:id="194" w:name="_Toc34535379"/>
      <w:r>
        <w:rPr>
          <w:rFonts w:hint="eastAsia"/>
          <w:color w:val="auto"/>
          <w:sz w:val="24"/>
          <w:szCs w:val="24"/>
          <w:highlight w:val="none"/>
        </w:rPr>
        <w:t>六.定标和授标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C5CB98A">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第一中标候选人未能通过资格后审或放弃中标、或因不可抗力提出不能履行合同的，采购人可以确定排名次高的第二中标候选人为中标人。</w:t>
      </w:r>
    </w:p>
    <w:p w14:paraId="40FFE009">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14:paraId="498F7787">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最终澄清完成后，由采购人确认的结果发出中标通知书。中标人应按采购文件规定向采购人提交相应文件，并在规定时间内与采购人签订合同。</w:t>
      </w:r>
    </w:p>
    <w:p w14:paraId="2FB39FBC">
      <w:pPr>
        <w:pStyle w:val="4"/>
        <w:adjustRightInd/>
        <w:spacing w:before="0" w:after="0" w:line="440" w:lineRule="exact"/>
        <w:rPr>
          <w:rFonts w:hint="eastAsia"/>
          <w:bCs/>
          <w:color w:val="auto"/>
          <w:sz w:val="24"/>
          <w:szCs w:val="24"/>
          <w:highlight w:val="none"/>
        </w:rPr>
      </w:pPr>
      <w:bookmarkStart w:id="195" w:name="_Toc125770208"/>
      <w:bookmarkStart w:id="196" w:name="_Toc138506092"/>
      <w:bookmarkStart w:id="197" w:name="_Toc113277292"/>
      <w:bookmarkStart w:id="198" w:name="_Toc124646434"/>
      <w:bookmarkStart w:id="199" w:name="_Toc68620012"/>
      <w:bookmarkStart w:id="200" w:name="_Toc28489533"/>
      <w:bookmarkStart w:id="201" w:name="_Toc66722112"/>
      <w:bookmarkStart w:id="202" w:name="_Toc95304223"/>
      <w:bookmarkStart w:id="203" w:name="_Toc131922503"/>
      <w:bookmarkStart w:id="204" w:name="_Toc101553661"/>
      <w:bookmarkStart w:id="205" w:name="_Toc34535380"/>
      <w:bookmarkStart w:id="206" w:name="_Toc131904930"/>
      <w:bookmarkStart w:id="207" w:name="_Toc138568672"/>
      <w:bookmarkStart w:id="208" w:name="_Toc169334816"/>
      <w:bookmarkStart w:id="209" w:name="_Toc28142601"/>
      <w:bookmarkStart w:id="210" w:name="_Toc108243616"/>
      <w:bookmarkStart w:id="211" w:name="_Toc150050902"/>
      <w:bookmarkStart w:id="212" w:name="_Toc108001800"/>
      <w:bookmarkStart w:id="213" w:name="_Toc148060906"/>
      <w:bookmarkStart w:id="214" w:name="_Toc148420070"/>
      <w:bookmarkStart w:id="215" w:name="_Toc102211724"/>
      <w:bookmarkStart w:id="216" w:name="_Toc104902929"/>
      <w:bookmarkStart w:id="217" w:name="_Toc67911942"/>
      <w:bookmarkStart w:id="218" w:name="_Toc104874465"/>
      <w:bookmarkStart w:id="219" w:name="_Toc35834934"/>
      <w:bookmarkStart w:id="220" w:name="_Toc124570687"/>
      <w:bookmarkStart w:id="221" w:name="_Toc95249607"/>
      <w:bookmarkStart w:id="222" w:name="_Toc101553556"/>
      <w:bookmarkStart w:id="223" w:name="_Toc124401382"/>
      <w:r>
        <w:rPr>
          <w:rFonts w:hint="eastAsia"/>
          <w:color w:val="auto"/>
          <w:sz w:val="24"/>
          <w:szCs w:val="24"/>
          <w:highlight w:val="none"/>
        </w:rPr>
        <w:t>七.附件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62B1C87">
      <w:pPr>
        <w:spacing w:line="440" w:lineRule="exact"/>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本评标文件包括以下评标过程中所需文件附件：</w:t>
      </w:r>
    </w:p>
    <w:p w14:paraId="52814542">
      <w:pPr>
        <w:spacing w:line="440" w:lineRule="exact"/>
        <w:ind w:firstLine="480" w:firstLineChars="20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附件</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符合性审查表；2</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评分表;</w:t>
      </w:r>
    </w:p>
    <w:p w14:paraId="4D3E1DAA">
      <w:pPr>
        <w:spacing w:line="440" w:lineRule="exact"/>
        <w:ind w:firstLine="480" w:firstLineChars="200"/>
        <w:rPr>
          <w:rFonts w:hint="eastAsia" w:ascii="宋体" w:hAnsi="宋体"/>
          <w:bCs/>
          <w:color w:val="auto"/>
          <w:sz w:val="24"/>
          <w:szCs w:val="24"/>
          <w:highlight w:val="none"/>
        </w:rPr>
      </w:pPr>
    </w:p>
    <w:p w14:paraId="206ABAB0">
      <w:pPr>
        <w:spacing w:before="312" w:beforeLines="100" w:after="312" w:afterLines="100"/>
        <w:rPr>
          <w:rFonts w:hint="eastAsia" w:ascii="宋体" w:hAnsi="宋体"/>
          <w:b/>
          <w:color w:val="auto"/>
          <w:sz w:val="24"/>
          <w:highlight w:val="none"/>
        </w:rPr>
      </w:pPr>
      <w:r>
        <w:rPr>
          <w:rFonts w:ascii="宋体" w:hAnsi="宋体"/>
          <w:bCs/>
          <w:color w:val="auto"/>
          <w:sz w:val="24"/>
          <w:highlight w:val="none"/>
        </w:rPr>
        <w:br w:type="page"/>
      </w:r>
      <w:r>
        <w:rPr>
          <w:rFonts w:hint="eastAsia" w:ascii="宋体" w:hAnsi="宋体"/>
          <w:b/>
          <w:color w:val="auto"/>
          <w:sz w:val="24"/>
          <w:highlight w:val="none"/>
        </w:rPr>
        <w:t xml:space="preserve">附件1                                    </w:t>
      </w:r>
    </w:p>
    <w:p w14:paraId="0F7A94CC">
      <w:pPr>
        <w:spacing w:before="312" w:beforeLines="100" w:after="312" w:afterLines="100"/>
        <w:jc w:val="center"/>
        <w:rPr>
          <w:rFonts w:hint="eastAsia" w:ascii="宋体" w:hAnsi="宋体"/>
          <w:b/>
          <w:color w:val="auto"/>
          <w:sz w:val="24"/>
          <w:highlight w:val="none"/>
        </w:rPr>
      </w:pPr>
      <w:r>
        <w:rPr>
          <w:rFonts w:hint="eastAsia" w:ascii="宋体" w:hAnsi="宋体"/>
          <w:b/>
          <w:color w:val="auto"/>
          <w:sz w:val="24"/>
          <w:highlight w:val="none"/>
        </w:rPr>
        <w:t>符合性审查表</w:t>
      </w:r>
    </w:p>
    <w:tbl>
      <w:tblPr>
        <w:tblStyle w:val="16"/>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14:paraId="5F29C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14:paraId="441D5580">
            <w:pPr>
              <w:jc w:val="center"/>
              <w:rPr>
                <w:b/>
                <w:bCs/>
                <w:color w:val="auto"/>
                <w:szCs w:val="21"/>
                <w:highlight w:val="none"/>
              </w:rPr>
            </w:pPr>
            <w:r>
              <w:rPr>
                <w:rFonts w:hint="eastAsia"/>
                <w:b/>
                <w:bCs/>
                <w:color w:val="auto"/>
                <w:szCs w:val="21"/>
                <w:highlight w:val="none"/>
              </w:rPr>
              <w:t>序号</w:t>
            </w:r>
          </w:p>
        </w:tc>
        <w:tc>
          <w:tcPr>
            <w:tcW w:w="4200" w:type="dxa"/>
            <w:tcBorders>
              <w:tl2br w:val="single" w:color="auto" w:sz="4" w:space="0"/>
            </w:tcBorders>
          </w:tcPr>
          <w:p w14:paraId="449AC438">
            <w:pPr>
              <w:rPr>
                <w:b/>
                <w:bCs/>
                <w:color w:val="auto"/>
                <w:szCs w:val="21"/>
                <w:highlight w:val="none"/>
              </w:rPr>
            </w:pPr>
            <w:r>
              <w:rPr>
                <w:rFonts w:hint="eastAsia"/>
                <w:b/>
                <w:bCs/>
                <w:color w:val="auto"/>
                <w:szCs w:val="21"/>
                <w:highlight w:val="none"/>
              </w:rPr>
              <w:t xml:space="preserve">                 投标人名称</w:t>
            </w:r>
          </w:p>
          <w:p w14:paraId="7A6FFE2C">
            <w:pPr>
              <w:rPr>
                <w:b/>
                <w:bCs/>
                <w:color w:val="auto"/>
                <w:szCs w:val="21"/>
                <w:highlight w:val="none"/>
              </w:rPr>
            </w:pPr>
          </w:p>
          <w:p w14:paraId="3FAF8ABC">
            <w:pPr>
              <w:rPr>
                <w:b/>
                <w:bCs/>
                <w:color w:val="auto"/>
                <w:szCs w:val="21"/>
                <w:highlight w:val="none"/>
              </w:rPr>
            </w:pPr>
            <w:r>
              <w:rPr>
                <w:rFonts w:hint="eastAsia"/>
                <w:b/>
                <w:bCs/>
                <w:color w:val="auto"/>
                <w:szCs w:val="21"/>
                <w:highlight w:val="none"/>
              </w:rPr>
              <w:t>符合性审查内容</w:t>
            </w:r>
          </w:p>
        </w:tc>
        <w:tc>
          <w:tcPr>
            <w:tcW w:w="1279" w:type="dxa"/>
            <w:vAlign w:val="center"/>
          </w:tcPr>
          <w:p w14:paraId="32D0512F">
            <w:pPr>
              <w:jc w:val="center"/>
              <w:rPr>
                <w:b/>
                <w:bCs/>
                <w:color w:val="auto"/>
                <w:szCs w:val="21"/>
                <w:highlight w:val="none"/>
              </w:rPr>
            </w:pPr>
            <w:r>
              <w:rPr>
                <w:rFonts w:hint="eastAsia"/>
                <w:b/>
                <w:bCs/>
                <w:color w:val="auto"/>
                <w:szCs w:val="21"/>
                <w:highlight w:val="none"/>
              </w:rPr>
              <w:t>投标人1</w:t>
            </w:r>
          </w:p>
        </w:tc>
        <w:tc>
          <w:tcPr>
            <w:tcW w:w="1344" w:type="dxa"/>
            <w:vAlign w:val="center"/>
          </w:tcPr>
          <w:p w14:paraId="1D6F7D88">
            <w:pPr>
              <w:jc w:val="center"/>
              <w:rPr>
                <w:b/>
                <w:bCs/>
                <w:color w:val="auto"/>
                <w:szCs w:val="21"/>
                <w:highlight w:val="none"/>
              </w:rPr>
            </w:pPr>
            <w:r>
              <w:rPr>
                <w:rFonts w:hint="eastAsia"/>
                <w:b/>
                <w:bCs/>
                <w:color w:val="auto"/>
                <w:szCs w:val="21"/>
                <w:highlight w:val="none"/>
              </w:rPr>
              <w:t>投标人2</w:t>
            </w:r>
          </w:p>
        </w:tc>
        <w:tc>
          <w:tcPr>
            <w:tcW w:w="1525" w:type="dxa"/>
            <w:vAlign w:val="center"/>
          </w:tcPr>
          <w:p w14:paraId="6A2F1963">
            <w:pPr>
              <w:jc w:val="center"/>
              <w:rPr>
                <w:b/>
                <w:bCs/>
                <w:color w:val="auto"/>
                <w:szCs w:val="21"/>
                <w:highlight w:val="none"/>
              </w:rPr>
            </w:pPr>
            <w:r>
              <w:rPr>
                <w:rFonts w:hint="eastAsia"/>
                <w:b/>
                <w:bCs/>
                <w:color w:val="auto"/>
                <w:szCs w:val="21"/>
                <w:highlight w:val="none"/>
              </w:rPr>
              <w:t>投标人3</w:t>
            </w:r>
          </w:p>
        </w:tc>
      </w:tr>
      <w:tr w14:paraId="4C2F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14:paraId="7A890385">
            <w:pPr>
              <w:pStyle w:val="24"/>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00" w:type="dxa"/>
            <w:vAlign w:val="center"/>
          </w:tcPr>
          <w:p w14:paraId="1C88F497">
            <w:pPr>
              <w:adjustRightIn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投标文件密封性</w:t>
            </w:r>
            <w:r>
              <w:rPr>
                <w:rFonts w:hint="eastAsia" w:ascii="宋体" w:hAnsi="宋体" w:eastAsia="宋体" w:cs="Arial"/>
                <w:color w:val="auto"/>
                <w:szCs w:val="21"/>
                <w:highlight w:val="none"/>
                <w:lang w:val="en-US" w:eastAsia="zh-CN"/>
              </w:rPr>
              <w:t>完</w:t>
            </w:r>
            <w:r>
              <w:rPr>
                <w:rFonts w:hint="eastAsia" w:ascii="宋体" w:hAnsi="宋体" w:eastAsia="宋体" w:cs="Arial"/>
                <w:color w:val="auto"/>
                <w:szCs w:val="21"/>
                <w:highlight w:val="none"/>
              </w:rPr>
              <w:t>好</w:t>
            </w:r>
          </w:p>
        </w:tc>
        <w:tc>
          <w:tcPr>
            <w:tcW w:w="1279" w:type="dxa"/>
            <w:vAlign w:val="center"/>
          </w:tcPr>
          <w:p w14:paraId="01AC70C4">
            <w:pPr>
              <w:jc w:val="center"/>
              <w:rPr>
                <w:b/>
                <w:bCs/>
                <w:color w:val="auto"/>
                <w:szCs w:val="21"/>
                <w:highlight w:val="none"/>
              </w:rPr>
            </w:pPr>
          </w:p>
        </w:tc>
        <w:tc>
          <w:tcPr>
            <w:tcW w:w="1344" w:type="dxa"/>
            <w:vAlign w:val="center"/>
          </w:tcPr>
          <w:p w14:paraId="0A3C3BC0">
            <w:pPr>
              <w:jc w:val="center"/>
              <w:rPr>
                <w:b/>
                <w:bCs/>
                <w:color w:val="auto"/>
                <w:szCs w:val="21"/>
                <w:highlight w:val="none"/>
              </w:rPr>
            </w:pPr>
          </w:p>
        </w:tc>
        <w:tc>
          <w:tcPr>
            <w:tcW w:w="1525" w:type="dxa"/>
            <w:vAlign w:val="center"/>
          </w:tcPr>
          <w:p w14:paraId="26778277">
            <w:pPr>
              <w:jc w:val="center"/>
              <w:rPr>
                <w:b/>
                <w:bCs/>
                <w:color w:val="auto"/>
                <w:szCs w:val="21"/>
                <w:highlight w:val="none"/>
              </w:rPr>
            </w:pPr>
          </w:p>
        </w:tc>
      </w:tr>
      <w:tr w14:paraId="318D1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14:paraId="23AA0BF0">
            <w:pPr>
              <w:pStyle w:val="24"/>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00" w:type="dxa"/>
            <w:vAlign w:val="center"/>
          </w:tcPr>
          <w:p w14:paraId="4CF1C216">
            <w:pPr>
              <w:rPr>
                <w:rFonts w:hint="eastAsia" w:ascii="宋体" w:hAnsi="宋体" w:cs="宋体"/>
                <w:color w:val="auto"/>
                <w:szCs w:val="21"/>
                <w:highlight w:val="none"/>
              </w:rPr>
            </w:pPr>
            <w:r>
              <w:rPr>
                <w:rFonts w:hint="eastAsia" w:ascii="宋体" w:hAnsi="宋体"/>
                <w:color w:val="auto"/>
                <w:szCs w:val="21"/>
                <w:highlight w:val="none"/>
              </w:rPr>
              <w:t>按采购文件规定，有投标人盖章及其法定代表人（或法定代表人委托的投标授权代表）的签字或签章。</w:t>
            </w:r>
          </w:p>
        </w:tc>
        <w:tc>
          <w:tcPr>
            <w:tcW w:w="1279" w:type="dxa"/>
          </w:tcPr>
          <w:p w14:paraId="770E8255">
            <w:pPr>
              <w:rPr>
                <w:color w:val="auto"/>
                <w:szCs w:val="21"/>
                <w:highlight w:val="none"/>
              </w:rPr>
            </w:pPr>
          </w:p>
        </w:tc>
        <w:tc>
          <w:tcPr>
            <w:tcW w:w="1344" w:type="dxa"/>
          </w:tcPr>
          <w:p w14:paraId="1CC1D748">
            <w:pPr>
              <w:rPr>
                <w:color w:val="auto"/>
                <w:szCs w:val="21"/>
                <w:highlight w:val="none"/>
              </w:rPr>
            </w:pPr>
          </w:p>
        </w:tc>
        <w:tc>
          <w:tcPr>
            <w:tcW w:w="1525" w:type="dxa"/>
          </w:tcPr>
          <w:p w14:paraId="4C3A2E20">
            <w:pPr>
              <w:rPr>
                <w:color w:val="auto"/>
                <w:szCs w:val="21"/>
                <w:highlight w:val="none"/>
              </w:rPr>
            </w:pPr>
          </w:p>
        </w:tc>
      </w:tr>
      <w:tr w14:paraId="32DDC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14:paraId="6CD5DD76">
            <w:pPr>
              <w:pStyle w:val="24"/>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00" w:type="dxa"/>
            <w:vAlign w:val="center"/>
          </w:tcPr>
          <w:p w14:paraId="4AC83E8E">
            <w:pPr>
              <w:rPr>
                <w:rFonts w:hint="eastAsia" w:ascii="宋体" w:hAnsi="宋体"/>
                <w:color w:val="auto"/>
                <w:szCs w:val="21"/>
                <w:highlight w:val="none"/>
              </w:rPr>
            </w:pPr>
            <w:r>
              <w:rPr>
                <w:rFonts w:hint="eastAsia" w:ascii="宋体" w:hAnsi="宋体" w:cs="宋体"/>
                <w:color w:val="auto"/>
                <w:szCs w:val="21"/>
                <w:highlight w:val="none"/>
              </w:rPr>
              <w:t>投标函已提交并符合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文件要求，且投标有效期满足采购文件要求。</w:t>
            </w:r>
          </w:p>
        </w:tc>
        <w:tc>
          <w:tcPr>
            <w:tcW w:w="1279" w:type="dxa"/>
          </w:tcPr>
          <w:p w14:paraId="1BF7327C">
            <w:pPr>
              <w:rPr>
                <w:color w:val="auto"/>
                <w:szCs w:val="21"/>
                <w:highlight w:val="none"/>
              </w:rPr>
            </w:pPr>
          </w:p>
        </w:tc>
        <w:tc>
          <w:tcPr>
            <w:tcW w:w="1344" w:type="dxa"/>
          </w:tcPr>
          <w:p w14:paraId="249C6FE4">
            <w:pPr>
              <w:rPr>
                <w:color w:val="auto"/>
                <w:szCs w:val="21"/>
                <w:highlight w:val="none"/>
              </w:rPr>
            </w:pPr>
          </w:p>
        </w:tc>
        <w:tc>
          <w:tcPr>
            <w:tcW w:w="1525" w:type="dxa"/>
          </w:tcPr>
          <w:p w14:paraId="1C8D04EA">
            <w:pPr>
              <w:rPr>
                <w:color w:val="auto"/>
                <w:szCs w:val="21"/>
                <w:highlight w:val="none"/>
              </w:rPr>
            </w:pPr>
          </w:p>
        </w:tc>
      </w:tr>
      <w:tr w14:paraId="4A3F8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14:paraId="6F12AB12">
            <w:pPr>
              <w:pStyle w:val="24"/>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4</w:t>
            </w:r>
          </w:p>
        </w:tc>
        <w:tc>
          <w:tcPr>
            <w:tcW w:w="4200" w:type="dxa"/>
            <w:vAlign w:val="center"/>
          </w:tcPr>
          <w:p w14:paraId="008C9DA0">
            <w:pPr>
              <w:adjustRightInd w:val="0"/>
              <w:spacing w:line="264" w:lineRule="auto"/>
              <w:rPr>
                <w:rFonts w:hint="eastAsia" w:ascii="宋体" w:hAnsi="宋体"/>
                <w:bCs/>
                <w:color w:val="auto"/>
                <w:szCs w:val="21"/>
                <w:highlight w:val="none"/>
              </w:rPr>
            </w:pPr>
            <w:r>
              <w:rPr>
                <w:rFonts w:hint="eastAsia" w:ascii="宋体" w:hAnsi="宋体"/>
                <w:color w:val="auto"/>
                <w:szCs w:val="21"/>
                <w:highlight w:val="none"/>
              </w:rPr>
              <w:t>本项目不拆分，不接受联合体投标。</w:t>
            </w:r>
          </w:p>
        </w:tc>
        <w:tc>
          <w:tcPr>
            <w:tcW w:w="1279" w:type="dxa"/>
          </w:tcPr>
          <w:p w14:paraId="21D586C9">
            <w:pPr>
              <w:rPr>
                <w:color w:val="auto"/>
                <w:szCs w:val="21"/>
                <w:highlight w:val="none"/>
              </w:rPr>
            </w:pPr>
          </w:p>
        </w:tc>
        <w:tc>
          <w:tcPr>
            <w:tcW w:w="1344" w:type="dxa"/>
          </w:tcPr>
          <w:p w14:paraId="2448A817">
            <w:pPr>
              <w:rPr>
                <w:color w:val="auto"/>
                <w:szCs w:val="21"/>
                <w:highlight w:val="none"/>
              </w:rPr>
            </w:pPr>
          </w:p>
        </w:tc>
        <w:tc>
          <w:tcPr>
            <w:tcW w:w="1525" w:type="dxa"/>
          </w:tcPr>
          <w:p w14:paraId="55E33934">
            <w:pPr>
              <w:rPr>
                <w:color w:val="auto"/>
                <w:szCs w:val="21"/>
                <w:highlight w:val="none"/>
              </w:rPr>
            </w:pPr>
          </w:p>
        </w:tc>
      </w:tr>
      <w:tr w14:paraId="0D7D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14:paraId="2240C6E6">
            <w:pPr>
              <w:pStyle w:val="24"/>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4200" w:type="dxa"/>
            <w:vAlign w:val="center"/>
          </w:tcPr>
          <w:p w14:paraId="0E8FD82A">
            <w:pPr>
              <w:adjustRightInd w:val="0"/>
              <w:spacing w:line="264" w:lineRule="auto"/>
              <w:rPr>
                <w:color w:val="auto"/>
                <w:szCs w:val="21"/>
                <w:highlight w:val="none"/>
              </w:rPr>
            </w:pPr>
            <w:r>
              <w:rPr>
                <w:rFonts w:hint="eastAsia"/>
                <w:color w:val="auto"/>
                <w:szCs w:val="21"/>
                <w:highlight w:val="none"/>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14:paraId="248AEEE7">
            <w:pPr>
              <w:rPr>
                <w:color w:val="auto"/>
                <w:szCs w:val="21"/>
                <w:highlight w:val="none"/>
              </w:rPr>
            </w:pPr>
          </w:p>
        </w:tc>
        <w:tc>
          <w:tcPr>
            <w:tcW w:w="1344" w:type="dxa"/>
          </w:tcPr>
          <w:p w14:paraId="4847F5D5">
            <w:pPr>
              <w:rPr>
                <w:color w:val="auto"/>
                <w:szCs w:val="21"/>
                <w:highlight w:val="none"/>
              </w:rPr>
            </w:pPr>
          </w:p>
        </w:tc>
        <w:tc>
          <w:tcPr>
            <w:tcW w:w="1525" w:type="dxa"/>
          </w:tcPr>
          <w:p w14:paraId="7EB38393">
            <w:pPr>
              <w:rPr>
                <w:color w:val="auto"/>
                <w:szCs w:val="21"/>
                <w:highlight w:val="none"/>
              </w:rPr>
            </w:pPr>
          </w:p>
        </w:tc>
      </w:tr>
      <w:tr w14:paraId="256A5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14:paraId="54139DAE">
            <w:pPr>
              <w:pStyle w:val="24"/>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6</w:t>
            </w:r>
          </w:p>
        </w:tc>
        <w:tc>
          <w:tcPr>
            <w:tcW w:w="4200" w:type="dxa"/>
            <w:vAlign w:val="center"/>
          </w:tcPr>
          <w:p w14:paraId="322CA3A5">
            <w:pPr>
              <w:adjustRightInd w:val="0"/>
              <w:spacing w:line="264" w:lineRule="auto"/>
              <w:rPr>
                <w:color w:val="auto"/>
                <w:szCs w:val="21"/>
                <w:highlight w:val="none"/>
              </w:rPr>
            </w:pPr>
            <w:r>
              <w:rPr>
                <w:rFonts w:hint="eastAsia" w:ascii="宋体" w:hAnsi="宋体"/>
                <w:color w:val="auto"/>
                <w:szCs w:val="21"/>
                <w:highlight w:val="none"/>
              </w:rPr>
              <w:t>单位负责人为同一人或者存在直接控股、管理关系的不同供应商，不得同时参加本项采购投标。</w:t>
            </w:r>
          </w:p>
        </w:tc>
        <w:tc>
          <w:tcPr>
            <w:tcW w:w="1279" w:type="dxa"/>
          </w:tcPr>
          <w:p w14:paraId="5ABAF3C6">
            <w:pPr>
              <w:rPr>
                <w:color w:val="auto"/>
                <w:szCs w:val="21"/>
                <w:highlight w:val="none"/>
              </w:rPr>
            </w:pPr>
          </w:p>
        </w:tc>
        <w:tc>
          <w:tcPr>
            <w:tcW w:w="1344" w:type="dxa"/>
          </w:tcPr>
          <w:p w14:paraId="2BD0BD33">
            <w:pPr>
              <w:rPr>
                <w:color w:val="auto"/>
                <w:szCs w:val="21"/>
                <w:highlight w:val="none"/>
              </w:rPr>
            </w:pPr>
          </w:p>
        </w:tc>
        <w:tc>
          <w:tcPr>
            <w:tcW w:w="1525" w:type="dxa"/>
          </w:tcPr>
          <w:p w14:paraId="0D5A4336">
            <w:pPr>
              <w:rPr>
                <w:color w:val="auto"/>
                <w:szCs w:val="21"/>
                <w:highlight w:val="none"/>
              </w:rPr>
            </w:pPr>
          </w:p>
        </w:tc>
      </w:tr>
      <w:tr w14:paraId="34605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14:paraId="54699B2D">
            <w:pPr>
              <w:pStyle w:val="24"/>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4200" w:type="dxa"/>
            <w:vAlign w:val="center"/>
          </w:tcPr>
          <w:p w14:paraId="3CE3207E">
            <w:pPr>
              <w:rPr>
                <w:rFonts w:hint="eastAsia" w:eastAsia="宋体"/>
                <w:color w:val="auto"/>
                <w:szCs w:val="21"/>
                <w:highlight w:val="none"/>
                <w:lang w:val="en-US" w:eastAsia="zh-CN"/>
              </w:rPr>
            </w:pPr>
            <w:r>
              <w:rPr>
                <w:rFonts w:hint="eastAsia"/>
                <w:color w:val="auto"/>
                <w:szCs w:val="21"/>
                <w:highlight w:val="none"/>
              </w:rPr>
              <w:t>投标人具有符合投标有效期内的有效安保服务许可证，需提供加盖公章的复印件。</w:t>
            </w:r>
          </w:p>
        </w:tc>
        <w:tc>
          <w:tcPr>
            <w:tcW w:w="1279" w:type="dxa"/>
          </w:tcPr>
          <w:p w14:paraId="5629E3A1">
            <w:pPr>
              <w:rPr>
                <w:color w:val="auto"/>
                <w:szCs w:val="21"/>
                <w:highlight w:val="none"/>
              </w:rPr>
            </w:pPr>
          </w:p>
        </w:tc>
        <w:tc>
          <w:tcPr>
            <w:tcW w:w="1344" w:type="dxa"/>
          </w:tcPr>
          <w:p w14:paraId="7F5A5460">
            <w:pPr>
              <w:rPr>
                <w:color w:val="auto"/>
                <w:szCs w:val="21"/>
                <w:highlight w:val="none"/>
              </w:rPr>
            </w:pPr>
          </w:p>
        </w:tc>
        <w:tc>
          <w:tcPr>
            <w:tcW w:w="1525" w:type="dxa"/>
          </w:tcPr>
          <w:p w14:paraId="4AA92728">
            <w:pPr>
              <w:rPr>
                <w:color w:val="auto"/>
                <w:szCs w:val="21"/>
                <w:highlight w:val="none"/>
              </w:rPr>
            </w:pPr>
          </w:p>
        </w:tc>
      </w:tr>
      <w:tr w14:paraId="1E67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14:paraId="6487FA98">
            <w:pPr>
              <w:pStyle w:val="24"/>
              <w:adjustRightInd w:val="0"/>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rPr>
              <w:t>8</w:t>
            </w:r>
          </w:p>
        </w:tc>
        <w:tc>
          <w:tcPr>
            <w:tcW w:w="4200" w:type="dxa"/>
            <w:vAlign w:val="center"/>
          </w:tcPr>
          <w:p w14:paraId="7152132D">
            <w:pPr>
              <w:rPr>
                <w:color w:val="auto"/>
                <w:szCs w:val="21"/>
                <w:highlight w:val="none"/>
              </w:rPr>
            </w:pPr>
            <w:r>
              <w:rPr>
                <w:rFonts w:hint="eastAsia"/>
                <w:color w:val="auto"/>
                <w:szCs w:val="21"/>
                <w:highlight w:val="none"/>
              </w:rPr>
              <w:t>投标报价不超过本项目最高限价且符合招标文件规定。</w:t>
            </w:r>
          </w:p>
        </w:tc>
        <w:tc>
          <w:tcPr>
            <w:tcW w:w="1279" w:type="dxa"/>
          </w:tcPr>
          <w:p w14:paraId="718395B2">
            <w:pPr>
              <w:rPr>
                <w:color w:val="auto"/>
                <w:szCs w:val="21"/>
                <w:highlight w:val="none"/>
              </w:rPr>
            </w:pPr>
          </w:p>
        </w:tc>
        <w:tc>
          <w:tcPr>
            <w:tcW w:w="1344" w:type="dxa"/>
          </w:tcPr>
          <w:p w14:paraId="7825CB2F">
            <w:pPr>
              <w:rPr>
                <w:color w:val="auto"/>
                <w:szCs w:val="21"/>
                <w:highlight w:val="none"/>
              </w:rPr>
            </w:pPr>
          </w:p>
        </w:tc>
        <w:tc>
          <w:tcPr>
            <w:tcW w:w="1525" w:type="dxa"/>
          </w:tcPr>
          <w:p w14:paraId="04CE0150">
            <w:pPr>
              <w:rPr>
                <w:color w:val="auto"/>
                <w:szCs w:val="21"/>
                <w:highlight w:val="none"/>
              </w:rPr>
            </w:pPr>
          </w:p>
        </w:tc>
      </w:tr>
      <w:tr w14:paraId="371B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14:paraId="38504F51">
            <w:pPr>
              <w:jc w:val="center"/>
              <w:rPr>
                <w:color w:val="auto"/>
                <w:szCs w:val="21"/>
                <w:highlight w:val="none"/>
              </w:rPr>
            </w:pPr>
            <w:r>
              <w:rPr>
                <w:rFonts w:hint="eastAsia"/>
                <w:color w:val="auto"/>
                <w:szCs w:val="21"/>
                <w:highlight w:val="none"/>
              </w:rPr>
              <w:t>结论</w:t>
            </w:r>
          </w:p>
        </w:tc>
        <w:tc>
          <w:tcPr>
            <w:tcW w:w="4200" w:type="dxa"/>
            <w:vAlign w:val="center"/>
          </w:tcPr>
          <w:p w14:paraId="17294560">
            <w:pPr>
              <w:rPr>
                <w:color w:val="auto"/>
                <w:szCs w:val="21"/>
                <w:highlight w:val="none"/>
              </w:rPr>
            </w:pPr>
            <w:r>
              <w:rPr>
                <w:rFonts w:hint="eastAsia"/>
                <w:color w:val="auto"/>
                <w:szCs w:val="21"/>
                <w:highlight w:val="none"/>
              </w:rPr>
              <w:t>是否通过符合性审查，进入下一阶段</w:t>
            </w:r>
          </w:p>
        </w:tc>
        <w:tc>
          <w:tcPr>
            <w:tcW w:w="1279" w:type="dxa"/>
          </w:tcPr>
          <w:p w14:paraId="262421C4">
            <w:pPr>
              <w:rPr>
                <w:color w:val="auto"/>
                <w:szCs w:val="21"/>
                <w:highlight w:val="none"/>
              </w:rPr>
            </w:pPr>
          </w:p>
        </w:tc>
        <w:tc>
          <w:tcPr>
            <w:tcW w:w="1344" w:type="dxa"/>
          </w:tcPr>
          <w:p w14:paraId="54DAECFF">
            <w:pPr>
              <w:rPr>
                <w:color w:val="auto"/>
                <w:szCs w:val="21"/>
                <w:highlight w:val="none"/>
              </w:rPr>
            </w:pPr>
          </w:p>
        </w:tc>
        <w:tc>
          <w:tcPr>
            <w:tcW w:w="1525" w:type="dxa"/>
          </w:tcPr>
          <w:p w14:paraId="1EE84CCD">
            <w:pPr>
              <w:rPr>
                <w:color w:val="auto"/>
                <w:szCs w:val="21"/>
                <w:highlight w:val="none"/>
              </w:rPr>
            </w:pPr>
          </w:p>
        </w:tc>
      </w:tr>
    </w:tbl>
    <w:p w14:paraId="085812EC">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14:paraId="6674684E">
      <w:pPr>
        <w:tabs>
          <w:tab w:val="left" w:pos="720"/>
        </w:tabs>
        <w:snapToGrid w:val="0"/>
        <w:ind w:left="840" w:leftChars="300" w:hanging="210" w:hangingChars="1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”，结论为：“通过”方可进入下一阶段评审。</w:t>
      </w:r>
    </w:p>
    <w:p w14:paraId="3132B1AE">
      <w:pPr>
        <w:spacing w:before="312" w:beforeLines="100" w:after="312" w:afterLines="100"/>
        <w:rPr>
          <w:rFonts w:hint="eastAsia" w:ascii="宋体" w:hAnsi="宋体"/>
          <w:b/>
          <w:color w:val="auto"/>
          <w:szCs w:val="21"/>
          <w:highlight w:val="none"/>
        </w:rPr>
      </w:pPr>
      <w:r>
        <w:rPr>
          <w:rFonts w:hint="eastAsia" w:ascii="宋体" w:hAnsi="宋体"/>
          <w:b/>
          <w:color w:val="auto"/>
          <w:szCs w:val="21"/>
          <w:highlight w:val="none"/>
        </w:rPr>
        <w:t xml:space="preserve">评审人员签名：                                           </w:t>
      </w:r>
    </w:p>
    <w:p w14:paraId="642DCDF8">
      <w:pPr>
        <w:spacing w:before="312" w:beforeLines="100" w:after="312" w:afterLines="100"/>
        <w:ind w:firstLine="5060" w:firstLineChars="2400"/>
        <w:rPr>
          <w:rFonts w:hint="eastAsia" w:ascii="宋体" w:hAnsi="宋体"/>
          <w:b/>
          <w:color w:val="auto"/>
          <w:sz w:val="24"/>
          <w:highlight w:val="none"/>
        </w:rPr>
      </w:pPr>
      <w:r>
        <w:rPr>
          <w:rFonts w:hint="eastAsia" w:ascii="宋体" w:hAnsi="宋体"/>
          <w:b/>
          <w:color w:val="auto"/>
          <w:szCs w:val="21"/>
          <w:highlight w:val="none"/>
        </w:rPr>
        <w:t>日期：</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年</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p>
    <w:p w14:paraId="4038B771">
      <w:pPr>
        <w:rPr>
          <w:rFonts w:hint="eastAsia" w:ascii="宋体" w:hAnsi="宋体"/>
          <w:b/>
          <w:color w:val="auto"/>
          <w:sz w:val="24"/>
          <w:highlight w:val="none"/>
        </w:rPr>
      </w:pPr>
      <w:r>
        <w:rPr>
          <w:rFonts w:hint="eastAsia" w:ascii="宋体" w:hAnsi="宋体"/>
          <w:b/>
          <w:color w:val="auto"/>
          <w:sz w:val="24"/>
          <w:highlight w:val="none"/>
        </w:rPr>
        <w:br w:type="page"/>
      </w:r>
    </w:p>
    <w:p w14:paraId="63846C18">
      <w:pPr>
        <w:spacing w:before="312" w:beforeLines="100" w:after="312" w:afterLines="100"/>
        <w:rPr>
          <w:rFonts w:hint="eastAsia" w:ascii="宋体" w:hAnsi="宋体"/>
          <w:b/>
          <w:color w:val="auto"/>
          <w:sz w:val="24"/>
          <w:highlight w:val="none"/>
        </w:rPr>
      </w:pPr>
      <w:r>
        <w:rPr>
          <w:rFonts w:hint="eastAsia" w:ascii="宋体" w:hAnsi="宋体"/>
          <w:b/>
          <w:color w:val="auto"/>
          <w:sz w:val="24"/>
          <w:highlight w:val="none"/>
        </w:rPr>
        <w:t xml:space="preserve">附件2   评分表 </w:t>
      </w:r>
    </w:p>
    <w:tbl>
      <w:tblPr>
        <w:tblStyle w:val="33"/>
        <w:tblW w:w="9236"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6"/>
        <w:gridCol w:w="829"/>
        <w:gridCol w:w="699"/>
        <w:gridCol w:w="6672"/>
      </w:tblGrid>
      <w:tr w14:paraId="5649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1865" w:type="dxa"/>
            <w:gridSpan w:val="2"/>
            <w:vAlign w:val="top"/>
          </w:tcPr>
          <w:p w14:paraId="1847693B">
            <w:pPr>
              <w:spacing w:before="244" w:line="220" w:lineRule="auto"/>
              <w:ind w:left="444"/>
              <w:rPr>
                <w:rFonts w:ascii="宋体" w:hAnsi="宋体" w:eastAsia="宋体" w:cs="宋体"/>
                <w:sz w:val="21"/>
                <w:szCs w:val="21"/>
                <w:highlight w:val="none"/>
              </w:rPr>
            </w:pPr>
            <w:r>
              <w:rPr>
                <w:rFonts w:ascii="宋体" w:hAnsi="宋体" w:eastAsia="宋体" w:cs="宋体"/>
                <w:spacing w:val="-2"/>
                <w:sz w:val="21"/>
                <w:szCs w:val="21"/>
                <w:highlight w:val="none"/>
              </w:rPr>
              <w:t>评分指标</w:t>
            </w:r>
          </w:p>
        </w:tc>
        <w:tc>
          <w:tcPr>
            <w:tcW w:w="699" w:type="dxa"/>
            <w:vAlign w:val="top"/>
          </w:tcPr>
          <w:p w14:paraId="43AFAEAA">
            <w:pPr>
              <w:tabs>
                <w:tab w:val="left" w:pos="840"/>
              </w:tabs>
              <w:spacing w:before="68" w:line="235" w:lineRule="auto"/>
              <w:ind w:left="90" w:right="57"/>
              <w:jc w:val="center"/>
              <w:rPr>
                <w:rFonts w:ascii="宋体" w:hAnsi="宋体" w:eastAsia="宋体" w:cs="宋体"/>
                <w:sz w:val="21"/>
                <w:szCs w:val="21"/>
                <w:highlight w:val="none"/>
              </w:rPr>
            </w:pPr>
            <w:r>
              <w:rPr>
                <w:rFonts w:ascii="宋体" w:hAnsi="宋体" w:eastAsia="宋体" w:cs="宋体"/>
                <w:spacing w:val="2"/>
                <w:sz w:val="21"/>
                <w:szCs w:val="21"/>
                <w:highlight w:val="none"/>
              </w:rPr>
              <w:t>分项分值</w:t>
            </w:r>
          </w:p>
        </w:tc>
        <w:tc>
          <w:tcPr>
            <w:tcW w:w="6672" w:type="dxa"/>
            <w:vAlign w:val="top"/>
          </w:tcPr>
          <w:p w14:paraId="10A94C4D">
            <w:pPr>
              <w:spacing w:before="243" w:line="219" w:lineRule="auto"/>
              <w:ind w:left="2772"/>
              <w:rPr>
                <w:rFonts w:ascii="宋体" w:hAnsi="宋体" w:eastAsia="宋体" w:cs="宋体"/>
                <w:sz w:val="21"/>
                <w:szCs w:val="21"/>
                <w:highlight w:val="none"/>
              </w:rPr>
            </w:pPr>
            <w:r>
              <w:rPr>
                <w:rFonts w:ascii="宋体" w:hAnsi="宋体" w:eastAsia="宋体" w:cs="宋体"/>
                <w:spacing w:val="-7"/>
                <w:sz w:val="21"/>
                <w:szCs w:val="21"/>
                <w:highlight w:val="none"/>
              </w:rPr>
              <w:t>评 分 说</w:t>
            </w:r>
            <w:r>
              <w:rPr>
                <w:rFonts w:ascii="宋体" w:hAnsi="宋体" w:eastAsia="宋体" w:cs="宋体"/>
                <w:spacing w:val="16"/>
                <w:sz w:val="21"/>
                <w:szCs w:val="21"/>
                <w:highlight w:val="none"/>
              </w:rPr>
              <w:t xml:space="preserve"> </w:t>
            </w:r>
            <w:r>
              <w:rPr>
                <w:rFonts w:ascii="宋体" w:hAnsi="宋体" w:eastAsia="宋体" w:cs="宋体"/>
                <w:spacing w:val="-7"/>
                <w:sz w:val="21"/>
                <w:szCs w:val="21"/>
                <w:highlight w:val="none"/>
              </w:rPr>
              <w:t>明</w:t>
            </w:r>
          </w:p>
        </w:tc>
      </w:tr>
      <w:tr w14:paraId="4253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trPr>
        <w:tc>
          <w:tcPr>
            <w:tcW w:w="1865" w:type="dxa"/>
            <w:gridSpan w:val="2"/>
            <w:vAlign w:val="top"/>
          </w:tcPr>
          <w:p w14:paraId="6F148A32">
            <w:pPr>
              <w:pStyle w:val="34"/>
              <w:spacing w:line="407" w:lineRule="auto"/>
              <w:rPr>
                <w:highlight w:val="none"/>
              </w:rPr>
            </w:pPr>
          </w:p>
          <w:p w14:paraId="4A82DC2E">
            <w:pPr>
              <w:spacing w:before="68" w:line="218" w:lineRule="auto"/>
              <w:ind w:left="84"/>
              <w:jc w:val="center"/>
              <w:rPr>
                <w:rFonts w:ascii="宋体" w:hAnsi="宋体" w:eastAsia="宋体" w:cs="宋体"/>
                <w:sz w:val="21"/>
                <w:szCs w:val="21"/>
                <w:highlight w:val="none"/>
              </w:rPr>
            </w:pPr>
            <w:r>
              <w:rPr>
                <w:rFonts w:ascii="宋体" w:hAnsi="宋体" w:eastAsia="宋体" w:cs="宋体"/>
                <w:spacing w:val="-2"/>
                <w:sz w:val="21"/>
                <w:szCs w:val="21"/>
                <w:highlight w:val="none"/>
              </w:rPr>
              <w:t>价格部分</w:t>
            </w:r>
          </w:p>
        </w:tc>
        <w:tc>
          <w:tcPr>
            <w:tcW w:w="699" w:type="dxa"/>
            <w:vAlign w:val="top"/>
          </w:tcPr>
          <w:p w14:paraId="05B2C595">
            <w:pPr>
              <w:pStyle w:val="34"/>
              <w:spacing w:line="462" w:lineRule="auto"/>
              <w:rPr>
                <w:highlight w:val="none"/>
              </w:rPr>
            </w:pPr>
          </w:p>
          <w:p w14:paraId="5DF57A9B">
            <w:pPr>
              <w:spacing w:before="68" w:line="183" w:lineRule="auto"/>
              <w:ind w:left="231"/>
              <w:rPr>
                <w:rFonts w:ascii="宋体" w:hAnsi="宋体" w:eastAsia="宋体" w:cs="宋体"/>
                <w:sz w:val="21"/>
                <w:szCs w:val="21"/>
                <w:highlight w:val="none"/>
              </w:rPr>
            </w:pPr>
            <w:r>
              <w:rPr>
                <w:rFonts w:ascii="宋体" w:hAnsi="宋体" w:eastAsia="宋体" w:cs="宋体"/>
                <w:spacing w:val="-4"/>
                <w:sz w:val="21"/>
                <w:szCs w:val="21"/>
                <w:highlight w:val="none"/>
              </w:rPr>
              <w:t>30</w:t>
            </w:r>
          </w:p>
        </w:tc>
        <w:tc>
          <w:tcPr>
            <w:tcW w:w="6672" w:type="dxa"/>
            <w:vAlign w:val="top"/>
          </w:tcPr>
          <w:p w14:paraId="0FF1475C">
            <w:pPr>
              <w:spacing w:before="46" w:line="326" w:lineRule="auto"/>
              <w:ind w:left="2" w:right="20" w:firstLine="10"/>
              <w:jc w:val="both"/>
              <w:rPr>
                <w:rFonts w:ascii="宋体" w:hAnsi="宋体" w:eastAsia="宋体" w:cs="宋体"/>
                <w:sz w:val="21"/>
                <w:szCs w:val="21"/>
                <w:highlight w:val="none"/>
              </w:rPr>
            </w:pPr>
            <w:r>
              <w:rPr>
                <w:rFonts w:ascii="宋体" w:hAnsi="宋体" w:eastAsia="宋体" w:cs="宋体"/>
                <w:spacing w:val="-3"/>
                <w:sz w:val="21"/>
                <w:szCs w:val="21"/>
                <w:highlight w:val="none"/>
              </w:rPr>
              <w:t>即满足招标文件要求且投标价格最低的投标报价为评标基准价，其价格分</w:t>
            </w:r>
            <w:r>
              <w:rPr>
                <w:rFonts w:ascii="宋体" w:hAnsi="宋体" w:eastAsia="宋体" w:cs="宋体"/>
                <w:spacing w:val="3"/>
                <w:sz w:val="21"/>
                <w:szCs w:val="21"/>
                <w:highlight w:val="none"/>
              </w:rPr>
              <w:t xml:space="preserve"> </w:t>
            </w:r>
            <w:r>
              <w:rPr>
                <w:rFonts w:ascii="宋体" w:hAnsi="宋体" w:eastAsia="宋体" w:cs="宋体"/>
                <w:sz w:val="21"/>
                <w:szCs w:val="21"/>
                <w:highlight w:val="none"/>
              </w:rPr>
              <w:t>为满分。其他投标人的价格分统一按照下列公式计算：投标价格得分=基</w:t>
            </w:r>
            <w:r>
              <w:rPr>
                <w:rFonts w:ascii="宋体" w:hAnsi="宋体" w:eastAsia="宋体" w:cs="宋体"/>
                <w:spacing w:val="13"/>
                <w:sz w:val="21"/>
                <w:szCs w:val="21"/>
                <w:highlight w:val="none"/>
              </w:rPr>
              <w:t xml:space="preserve"> </w:t>
            </w:r>
            <w:r>
              <w:rPr>
                <w:rFonts w:ascii="宋体" w:hAnsi="宋体" w:eastAsia="宋体" w:cs="宋体"/>
                <w:spacing w:val="11"/>
                <w:sz w:val="21"/>
                <w:szCs w:val="21"/>
                <w:highlight w:val="none"/>
              </w:rPr>
              <w:t>准价/投标报价*30</w:t>
            </w:r>
          </w:p>
        </w:tc>
      </w:tr>
      <w:tr w14:paraId="0BDD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trPr>
        <w:tc>
          <w:tcPr>
            <w:tcW w:w="1036" w:type="dxa"/>
            <w:vMerge w:val="restart"/>
            <w:vAlign w:val="top"/>
          </w:tcPr>
          <w:p w14:paraId="18640D18">
            <w:pPr>
              <w:spacing w:before="68" w:line="220" w:lineRule="auto"/>
              <w:ind w:left="293" w:right="77" w:hanging="209"/>
              <w:rPr>
                <w:highlight w:val="none"/>
              </w:rPr>
            </w:pPr>
          </w:p>
          <w:p w14:paraId="6BEEC96D">
            <w:pPr>
              <w:spacing w:before="68" w:line="220" w:lineRule="auto"/>
              <w:ind w:left="293" w:right="77" w:hanging="209"/>
              <w:rPr>
                <w:highlight w:val="none"/>
              </w:rPr>
            </w:pPr>
          </w:p>
          <w:p w14:paraId="74AAC4D8">
            <w:pPr>
              <w:spacing w:before="68" w:line="220" w:lineRule="auto"/>
              <w:ind w:left="293" w:right="77" w:hanging="209"/>
              <w:rPr>
                <w:highlight w:val="none"/>
              </w:rPr>
            </w:pPr>
          </w:p>
          <w:p w14:paraId="4D5EEE7A">
            <w:pPr>
              <w:spacing w:before="68" w:line="220" w:lineRule="auto"/>
              <w:ind w:left="293" w:right="77" w:hanging="209"/>
              <w:rPr>
                <w:highlight w:val="none"/>
              </w:rPr>
            </w:pPr>
          </w:p>
          <w:p w14:paraId="30B4D2B7">
            <w:pPr>
              <w:spacing w:before="68" w:line="220" w:lineRule="auto"/>
              <w:ind w:left="293" w:right="77" w:hanging="209"/>
              <w:rPr>
                <w:highlight w:val="none"/>
              </w:rPr>
            </w:pPr>
          </w:p>
          <w:p w14:paraId="454B3A30">
            <w:pPr>
              <w:spacing w:before="68" w:line="220" w:lineRule="auto"/>
              <w:ind w:left="293" w:right="77" w:hanging="209"/>
              <w:rPr>
                <w:highlight w:val="none"/>
              </w:rPr>
            </w:pPr>
          </w:p>
          <w:p w14:paraId="425A1B0A">
            <w:pPr>
              <w:spacing w:before="68" w:line="220" w:lineRule="auto"/>
              <w:ind w:left="293" w:right="77" w:hanging="209"/>
              <w:rPr>
                <w:highlight w:val="none"/>
              </w:rPr>
            </w:pPr>
          </w:p>
          <w:p w14:paraId="3C533A42">
            <w:pPr>
              <w:spacing w:before="68" w:line="220" w:lineRule="auto"/>
              <w:ind w:left="293" w:right="77" w:hanging="209"/>
              <w:rPr>
                <w:highlight w:val="none"/>
              </w:rPr>
            </w:pPr>
          </w:p>
          <w:p w14:paraId="20BFB954">
            <w:pPr>
              <w:spacing w:before="68" w:line="220" w:lineRule="auto"/>
              <w:ind w:left="293" w:right="77" w:hanging="209"/>
              <w:rPr>
                <w:highlight w:val="none"/>
              </w:rPr>
            </w:pPr>
          </w:p>
          <w:p w14:paraId="074F1FE0">
            <w:pPr>
              <w:spacing w:before="68" w:line="220" w:lineRule="auto"/>
              <w:ind w:left="293" w:right="77" w:hanging="209"/>
              <w:rPr>
                <w:highlight w:val="none"/>
              </w:rPr>
            </w:pPr>
          </w:p>
          <w:p w14:paraId="72D12C47">
            <w:pPr>
              <w:spacing w:before="68" w:line="220" w:lineRule="auto"/>
              <w:ind w:left="293" w:right="77" w:hanging="209"/>
              <w:rPr>
                <w:highlight w:val="none"/>
              </w:rPr>
            </w:pPr>
          </w:p>
          <w:p w14:paraId="3B2E0C94">
            <w:pPr>
              <w:spacing w:before="68" w:line="220" w:lineRule="auto"/>
              <w:ind w:left="293" w:right="77" w:hanging="209"/>
              <w:rPr>
                <w:highlight w:val="none"/>
              </w:rPr>
            </w:pPr>
          </w:p>
          <w:p w14:paraId="55AEF831">
            <w:pPr>
              <w:spacing w:before="68" w:line="220" w:lineRule="auto"/>
              <w:ind w:left="293" w:right="77" w:hanging="209"/>
              <w:rPr>
                <w:highlight w:val="none"/>
              </w:rPr>
            </w:pPr>
          </w:p>
          <w:p w14:paraId="4DF935D4">
            <w:pPr>
              <w:spacing w:before="68" w:line="220" w:lineRule="auto"/>
              <w:ind w:left="293" w:right="77" w:hanging="209"/>
              <w:rPr>
                <w:highlight w:val="none"/>
              </w:rPr>
            </w:pPr>
          </w:p>
          <w:p w14:paraId="183E3930">
            <w:pPr>
              <w:spacing w:before="68" w:line="220" w:lineRule="auto"/>
              <w:ind w:left="293" w:right="77" w:hanging="209"/>
              <w:rPr>
                <w:highlight w:val="none"/>
              </w:rPr>
            </w:pPr>
          </w:p>
          <w:p w14:paraId="61AE4BF3">
            <w:pPr>
              <w:spacing w:before="68" w:line="220" w:lineRule="auto"/>
              <w:ind w:left="293" w:right="77" w:hanging="209"/>
              <w:rPr>
                <w:highlight w:val="none"/>
              </w:rPr>
            </w:pPr>
          </w:p>
          <w:p w14:paraId="3834638D">
            <w:pPr>
              <w:spacing w:before="68" w:line="220" w:lineRule="auto"/>
              <w:ind w:left="293" w:right="77" w:hanging="209"/>
              <w:rPr>
                <w:highlight w:val="none"/>
              </w:rPr>
            </w:pPr>
          </w:p>
          <w:p w14:paraId="4E436162">
            <w:pPr>
              <w:spacing w:before="68" w:line="220" w:lineRule="auto"/>
              <w:ind w:left="293" w:right="77" w:hanging="209"/>
              <w:rPr>
                <w:highlight w:val="none"/>
              </w:rPr>
            </w:pPr>
          </w:p>
          <w:p w14:paraId="0D4CFDA3">
            <w:pPr>
              <w:spacing w:before="68" w:line="220" w:lineRule="auto"/>
              <w:ind w:left="293" w:right="77" w:hanging="209"/>
              <w:rPr>
                <w:highlight w:val="none"/>
              </w:rPr>
            </w:pPr>
          </w:p>
          <w:p w14:paraId="1B7BF90B">
            <w:pPr>
              <w:spacing w:before="68" w:line="220" w:lineRule="auto"/>
              <w:ind w:left="293" w:right="77" w:hanging="209"/>
              <w:rPr>
                <w:highlight w:val="none"/>
              </w:rPr>
            </w:pPr>
          </w:p>
          <w:p w14:paraId="40766B47">
            <w:pPr>
              <w:spacing w:before="68" w:line="220" w:lineRule="auto"/>
              <w:ind w:left="293" w:right="77" w:hanging="209"/>
              <w:rPr>
                <w:highlight w:val="none"/>
              </w:rPr>
            </w:pPr>
          </w:p>
          <w:p w14:paraId="3F776CBE">
            <w:pPr>
              <w:spacing w:before="68" w:line="220" w:lineRule="auto"/>
              <w:ind w:left="293" w:right="77" w:hanging="209"/>
              <w:rPr>
                <w:highlight w:val="none"/>
              </w:rPr>
            </w:pPr>
          </w:p>
          <w:p w14:paraId="42C0A84B">
            <w:pPr>
              <w:spacing w:before="68" w:line="220" w:lineRule="auto"/>
              <w:ind w:left="293" w:right="77" w:hanging="209"/>
              <w:jc w:val="center"/>
              <w:rPr>
                <w:highlight w:val="none"/>
              </w:rPr>
            </w:pPr>
          </w:p>
          <w:p w14:paraId="53505DD9">
            <w:pPr>
              <w:spacing w:before="68" w:line="220" w:lineRule="auto"/>
              <w:ind w:left="13" w:right="-34" w:firstLine="71"/>
              <w:jc w:val="center"/>
              <w:rPr>
                <w:rFonts w:ascii="宋体" w:hAnsi="宋体" w:eastAsia="宋体" w:cs="宋体"/>
                <w:sz w:val="21"/>
                <w:szCs w:val="21"/>
                <w:highlight w:val="none"/>
              </w:rPr>
            </w:pPr>
            <w:r>
              <w:rPr>
                <w:rFonts w:ascii="宋体" w:hAnsi="宋体" w:eastAsia="宋体" w:cs="宋体"/>
                <w:spacing w:val="3"/>
                <w:sz w:val="21"/>
                <w:szCs w:val="21"/>
                <w:highlight w:val="none"/>
              </w:rPr>
              <w:t>商务部</w:t>
            </w:r>
            <w:r>
              <w:rPr>
                <w:rFonts w:ascii="宋体" w:hAnsi="宋体" w:eastAsia="宋体" w:cs="宋体"/>
                <w:sz w:val="21"/>
                <w:szCs w:val="21"/>
                <w:highlight w:val="none"/>
              </w:rPr>
              <w:t>分</w:t>
            </w:r>
            <w:r>
              <w:rPr>
                <w:rFonts w:ascii="宋体" w:hAnsi="宋体" w:eastAsia="宋体" w:cs="宋体"/>
                <w:spacing w:val="1"/>
                <w:sz w:val="21"/>
                <w:szCs w:val="21"/>
                <w:highlight w:val="none"/>
              </w:rPr>
              <w:t>(30分</w:t>
            </w:r>
            <w:r>
              <w:rPr>
                <w:rFonts w:ascii="宋体" w:hAnsi="宋体" w:eastAsia="宋体" w:cs="宋体"/>
                <w:sz w:val="21"/>
                <w:szCs w:val="21"/>
                <w:highlight w:val="none"/>
              </w:rPr>
              <w:t xml:space="preserve"> )</w:t>
            </w:r>
          </w:p>
        </w:tc>
        <w:tc>
          <w:tcPr>
            <w:tcW w:w="829" w:type="dxa"/>
            <w:vAlign w:val="top"/>
          </w:tcPr>
          <w:p w14:paraId="3BA120AB">
            <w:pPr>
              <w:tabs>
                <w:tab w:val="left" w:pos="840"/>
              </w:tabs>
              <w:spacing w:before="68" w:line="235" w:lineRule="auto"/>
              <w:ind w:left="90" w:right="57"/>
              <w:jc w:val="center"/>
              <w:rPr>
                <w:rFonts w:ascii="宋体" w:hAnsi="宋体" w:cs="宋体"/>
                <w:spacing w:val="2"/>
                <w:szCs w:val="21"/>
                <w:highlight w:val="none"/>
              </w:rPr>
            </w:pPr>
          </w:p>
          <w:p w14:paraId="6B1D44B8">
            <w:pPr>
              <w:tabs>
                <w:tab w:val="left" w:pos="840"/>
              </w:tabs>
              <w:spacing w:before="68" w:line="235" w:lineRule="auto"/>
              <w:ind w:left="90" w:right="57"/>
              <w:jc w:val="center"/>
              <w:rPr>
                <w:rFonts w:ascii="宋体" w:hAnsi="宋体" w:eastAsia="宋体" w:cs="宋体"/>
                <w:sz w:val="21"/>
                <w:szCs w:val="21"/>
                <w:highlight w:val="none"/>
              </w:rPr>
            </w:pPr>
            <w:r>
              <w:rPr>
                <w:rFonts w:ascii="宋体" w:hAnsi="宋体" w:eastAsia="宋体" w:cs="宋体"/>
                <w:spacing w:val="2"/>
                <w:sz w:val="21"/>
                <w:szCs w:val="21"/>
                <w:highlight w:val="none"/>
              </w:rPr>
              <w:t>安保服 务项目 经验</w:t>
            </w:r>
          </w:p>
        </w:tc>
        <w:tc>
          <w:tcPr>
            <w:tcW w:w="699" w:type="dxa"/>
            <w:vAlign w:val="top"/>
          </w:tcPr>
          <w:p w14:paraId="74BD0431">
            <w:pPr>
              <w:pStyle w:val="34"/>
              <w:spacing w:line="335" w:lineRule="auto"/>
              <w:rPr>
                <w:highlight w:val="none"/>
              </w:rPr>
            </w:pPr>
          </w:p>
          <w:p w14:paraId="019884E9">
            <w:pPr>
              <w:pStyle w:val="34"/>
              <w:spacing w:line="336" w:lineRule="auto"/>
              <w:rPr>
                <w:highlight w:val="none"/>
              </w:rPr>
            </w:pPr>
          </w:p>
          <w:p w14:paraId="36B4FE0C">
            <w:pPr>
              <w:spacing w:before="68" w:line="184" w:lineRule="auto"/>
              <w:ind w:left="231"/>
              <w:rPr>
                <w:rFonts w:ascii="宋体" w:hAnsi="宋体" w:eastAsia="宋体" w:cs="宋体"/>
                <w:sz w:val="21"/>
                <w:szCs w:val="21"/>
                <w:highlight w:val="none"/>
              </w:rPr>
            </w:pPr>
            <w:r>
              <w:rPr>
                <w:rFonts w:ascii="宋体" w:hAnsi="宋体" w:eastAsia="宋体" w:cs="宋体"/>
                <w:spacing w:val="-6"/>
                <w:sz w:val="21"/>
                <w:szCs w:val="21"/>
                <w:highlight w:val="none"/>
              </w:rPr>
              <w:t>12</w:t>
            </w:r>
          </w:p>
        </w:tc>
        <w:tc>
          <w:tcPr>
            <w:tcW w:w="6672" w:type="dxa"/>
            <w:vAlign w:val="top"/>
          </w:tcPr>
          <w:p w14:paraId="02202829">
            <w:pPr>
              <w:spacing w:before="49" w:line="219" w:lineRule="auto"/>
              <w:ind w:left="162"/>
              <w:rPr>
                <w:rFonts w:ascii="宋体" w:hAnsi="宋体" w:eastAsia="宋体" w:cs="宋体"/>
                <w:sz w:val="21"/>
                <w:szCs w:val="21"/>
                <w:highlight w:val="none"/>
              </w:rPr>
            </w:pPr>
            <w:r>
              <w:rPr>
                <w:rFonts w:ascii="宋体" w:hAnsi="宋体" w:eastAsia="宋体" w:cs="宋体"/>
                <w:sz w:val="21"/>
                <w:szCs w:val="21"/>
                <w:highlight w:val="none"/>
              </w:rPr>
              <w:t>2024年1月1日以来，投标人完成过为大型</w:t>
            </w:r>
            <w:r>
              <w:rPr>
                <w:rFonts w:ascii="宋体" w:hAnsi="宋体" w:eastAsia="宋体" w:cs="宋体"/>
                <w:spacing w:val="-1"/>
                <w:sz w:val="21"/>
                <w:szCs w:val="21"/>
                <w:highlight w:val="none"/>
              </w:rPr>
              <w:t>活动项目提供安保服务经验</w:t>
            </w:r>
          </w:p>
          <w:p w14:paraId="748C91FE">
            <w:pPr>
              <w:spacing w:before="150" w:line="328" w:lineRule="auto"/>
              <w:ind w:left="12" w:right="10" w:firstLine="74"/>
              <w:rPr>
                <w:rFonts w:ascii="宋体" w:hAnsi="宋体" w:eastAsia="宋体" w:cs="宋体"/>
                <w:sz w:val="21"/>
                <w:szCs w:val="21"/>
                <w:highlight w:val="none"/>
              </w:rPr>
            </w:pPr>
            <w:r>
              <w:rPr>
                <w:rFonts w:ascii="宋体" w:hAnsi="宋体" w:eastAsia="宋体" w:cs="宋体"/>
                <w:spacing w:val="-6"/>
                <w:sz w:val="21"/>
                <w:szCs w:val="21"/>
                <w:highlight w:val="none"/>
              </w:rPr>
              <w:t>【投标时需提供合同复印件加盖公章；关于大型活动项目的认定要求投标</w:t>
            </w:r>
            <w:r>
              <w:rPr>
                <w:rFonts w:ascii="宋体" w:hAnsi="宋体" w:eastAsia="宋体" w:cs="宋体"/>
                <w:spacing w:val="15"/>
                <w:sz w:val="21"/>
                <w:szCs w:val="21"/>
                <w:highlight w:val="none"/>
              </w:rPr>
              <w:t xml:space="preserve"> </w:t>
            </w:r>
            <w:r>
              <w:rPr>
                <w:rFonts w:ascii="宋体" w:hAnsi="宋体" w:eastAsia="宋体" w:cs="宋体"/>
                <w:spacing w:val="-3"/>
                <w:sz w:val="21"/>
                <w:szCs w:val="21"/>
                <w:highlight w:val="none"/>
              </w:rPr>
              <w:t>方需提供活动所在地公安部门出具的大型群众性活动安全许可决定书复印</w:t>
            </w:r>
            <w:r>
              <w:rPr>
                <w:rFonts w:ascii="宋体" w:hAnsi="宋体" w:eastAsia="宋体" w:cs="宋体"/>
                <w:spacing w:val="13"/>
                <w:sz w:val="21"/>
                <w:szCs w:val="21"/>
                <w:highlight w:val="none"/>
              </w:rPr>
              <w:t xml:space="preserve"> </w:t>
            </w:r>
            <w:r>
              <w:rPr>
                <w:rFonts w:ascii="宋体" w:hAnsi="宋体" w:eastAsia="宋体" w:cs="宋体"/>
                <w:spacing w:val="3"/>
                <w:sz w:val="21"/>
                <w:szCs w:val="21"/>
                <w:highlight w:val="none"/>
              </w:rPr>
              <w:t>件加盖公章，以上资料不齐全不得分】。每项得6分，最高得12分。</w:t>
            </w:r>
          </w:p>
        </w:tc>
      </w:tr>
      <w:tr w14:paraId="2951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8" w:hRule="atLeast"/>
        </w:trPr>
        <w:tc>
          <w:tcPr>
            <w:tcW w:w="1036" w:type="dxa"/>
            <w:vMerge w:val="continue"/>
            <w:tcBorders/>
            <w:vAlign w:val="top"/>
          </w:tcPr>
          <w:p w14:paraId="41BC7986">
            <w:pPr>
              <w:pStyle w:val="34"/>
              <w:rPr>
                <w:highlight w:val="none"/>
              </w:rPr>
            </w:pPr>
          </w:p>
        </w:tc>
        <w:tc>
          <w:tcPr>
            <w:tcW w:w="829" w:type="dxa"/>
            <w:vAlign w:val="top"/>
          </w:tcPr>
          <w:p w14:paraId="340ADBFC">
            <w:pPr>
              <w:tabs>
                <w:tab w:val="left" w:pos="840"/>
              </w:tabs>
              <w:spacing w:before="68" w:line="235" w:lineRule="auto"/>
              <w:ind w:left="90" w:right="57"/>
              <w:jc w:val="center"/>
              <w:rPr>
                <w:rFonts w:ascii="宋体" w:hAnsi="宋体" w:cs="宋体"/>
                <w:spacing w:val="2"/>
                <w:szCs w:val="21"/>
                <w:highlight w:val="none"/>
              </w:rPr>
            </w:pPr>
          </w:p>
          <w:p w14:paraId="12212845">
            <w:pPr>
              <w:tabs>
                <w:tab w:val="left" w:pos="840"/>
              </w:tabs>
              <w:spacing w:before="68" w:line="235" w:lineRule="auto"/>
              <w:ind w:left="90" w:right="57"/>
              <w:jc w:val="center"/>
              <w:rPr>
                <w:rFonts w:ascii="宋体" w:hAnsi="宋体" w:cs="宋体"/>
                <w:spacing w:val="2"/>
                <w:szCs w:val="21"/>
                <w:highlight w:val="none"/>
              </w:rPr>
            </w:pPr>
          </w:p>
          <w:p w14:paraId="2077E7BC">
            <w:pPr>
              <w:tabs>
                <w:tab w:val="left" w:pos="840"/>
              </w:tabs>
              <w:spacing w:before="68" w:line="235" w:lineRule="auto"/>
              <w:ind w:left="90" w:right="57"/>
              <w:jc w:val="center"/>
              <w:rPr>
                <w:rFonts w:ascii="宋体" w:hAnsi="宋体" w:cs="宋体"/>
                <w:spacing w:val="2"/>
                <w:szCs w:val="21"/>
                <w:highlight w:val="none"/>
              </w:rPr>
            </w:pPr>
          </w:p>
          <w:p w14:paraId="6AFC650E">
            <w:pPr>
              <w:tabs>
                <w:tab w:val="left" w:pos="840"/>
              </w:tabs>
              <w:spacing w:before="68" w:line="235" w:lineRule="auto"/>
              <w:ind w:left="90" w:right="57" w:firstLine="0"/>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认证体 系</w:t>
            </w:r>
          </w:p>
        </w:tc>
        <w:tc>
          <w:tcPr>
            <w:tcW w:w="699" w:type="dxa"/>
            <w:vAlign w:val="top"/>
          </w:tcPr>
          <w:p w14:paraId="6C6AB024">
            <w:pPr>
              <w:pStyle w:val="34"/>
              <w:spacing w:line="265" w:lineRule="auto"/>
              <w:rPr>
                <w:highlight w:val="none"/>
              </w:rPr>
            </w:pPr>
          </w:p>
          <w:p w14:paraId="32450469">
            <w:pPr>
              <w:pStyle w:val="34"/>
              <w:spacing w:line="265" w:lineRule="auto"/>
              <w:rPr>
                <w:highlight w:val="none"/>
              </w:rPr>
            </w:pPr>
          </w:p>
          <w:p w14:paraId="66334684">
            <w:pPr>
              <w:pStyle w:val="34"/>
              <w:spacing w:line="266" w:lineRule="auto"/>
              <w:rPr>
                <w:highlight w:val="none"/>
              </w:rPr>
            </w:pPr>
          </w:p>
          <w:p w14:paraId="13677FB5">
            <w:pPr>
              <w:pStyle w:val="34"/>
              <w:spacing w:line="266" w:lineRule="auto"/>
              <w:rPr>
                <w:highlight w:val="none"/>
              </w:rPr>
            </w:pPr>
          </w:p>
          <w:p w14:paraId="3D0A4B4F">
            <w:pPr>
              <w:spacing w:before="68" w:line="183" w:lineRule="auto"/>
              <w:ind w:left="281"/>
              <w:rPr>
                <w:rFonts w:ascii="宋体" w:hAnsi="宋体" w:eastAsia="宋体" w:cs="宋体"/>
                <w:sz w:val="21"/>
                <w:szCs w:val="21"/>
                <w:highlight w:val="none"/>
              </w:rPr>
            </w:pPr>
            <w:r>
              <w:rPr>
                <w:rFonts w:ascii="宋体" w:hAnsi="宋体" w:eastAsia="宋体" w:cs="宋体"/>
                <w:sz w:val="21"/>
                <w:szCs w:val="21"/>
                <w:highlight w:val="none"/>
              </w:rPr>
              <w:t>3</w:t>
            </w:r>
          </w:p>
        </w:tc>
        <w:tc>
          <w:tcPr>
            <w:tcW w:w="6672" w:type="dxa"/>
            <w:vAlign w:val="top"/>
          </w:tcPr>
          <w:p w14:paraId="17E6B389">
            <w:pPr>
              <w:spacing w:before="42" w:line="338" w:lineRule="auto"/>
              <w:ind w:left="2" w:right="17" w:firstLine="60"/>
              <w:jc w:val="both"/>
              <w:rPr>
                <w:rFonts w:ascii="宋体" w:hAnsi="宋体" w:eastAsia="宋体" w:cs="宋体"/>
                <w:sz w:val="21"/>
                <w:szCs w:val="21"/>
                <w:highlight w:val="none"/>
              </w:rPr>
            </w:pPr>
            <w:r>
              <w:rPr>
                <w:rFonts w:ascii="宋体" w:hAnsi="宋体" w:eastAsia="宋体" w:cs="宋体"/>
                <w:sz w:val="21"/>
                <w:szCs w:val="21"/>
                <w:highlight w:val="none"/>
              </w:rPr>
              <w:t>投标人具有下列有效期内的认证证书：1.质量管理体系认证证书；2.环</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境管理体系认证证书；3.职业健康安全管理体系认证证</w:t>
            </w:r>
            <w:r>
              <w:rPr>
                <w:rFonts w:ascii="宋体" w:hAnsi="宋体" w:eastAsia="宋体" w:cs="宋体"/>
                <w:sz w:val="21"/>
                <w:szCs w:val="21"/>
                <w:highlight w:val="none"/>
              </w:rPr>
              <w:t>书。每项证书得1 分，本小项最高得3分。备注：同时提供①上述有效期内的有效认证证书</w:t>
            </w:r>
            <w:r>
              <w:rPr>
                <w:rFonts w:ascii="宋体" w:hAnsi="宋体" w:eastAsia="宋体" w:cs="宋体"/>
                <w:spacing w:val="18"/>
                <w:sz w:val="21"/>
                <w:szCs w:val="21"/>
                <w:highlight w:val="none"/>
              </w:rPr>
              <w:t xml:space="preserve"> </w:t>
            </w:r>
            <w:r>
              <w:rPr>
                <w:rFonts w:ascii="宋体" w:hAnsi="宋体" w:eastAsia="宋体" w:cs="宋体"/>
                <w:sz w:val="21"/>
                <w:szCs w:val="21"/>
                <w:highlight w:val="none"/>
              </w:rPr>
              <w:t>扫描件和②(提供证书扫描件及在全国认证认可信息公共服务平台上对证</w:t>
            </w:r>
          </w:p>
          <w:p w14:paraId="7FE6A589">
            <w:pPr>
              <w:spacing w:before="39" w:line="320" w:lineRule="auto"/>
              <w:ind w:left="112" w:right="131"/>
              <w:rPr>
                <w:rFonts w:ascii="宋体" w:hAnsi="宋体" w:eastAsia="宋体" w:cs="宋体"/>
                <w:sz w:val="21"/>
                <w:szCs w:val="21"/>
                <w:highlight w:val="none"/>
              </w:rPr>
            </w:pPr>
            <w:r>
              <w:rPr>
                <w:rFonts w:ascii="宋体" w:hAnsi="宋体" w:eastAsia="宋体" w:cs="宋体"/>
                <w:sz w:val="21"/>
                <w:szCs w:val="21"/>
                <w:highlight w:val="none"/>
              </w:rPr>
              <w:t>书的查询结果截图为证明材料),否则为0分，公开信息中无法查询或与</w:t>
            </w:r>
            <w:r>
              <w:rPr>
                <w:rFonts w:ascii="宋体" w:hAnsi="宋体" w:eastAsia="宋体" w:cs="宋体"/>
                <w:spacing w:val="11"/>
                <w:sz w:val="21"/>
                <w:szCs w:val="21"/>
                <w:highlight w:val="none"/>
              </w:rPr>
              <w:t xml:space="preserve"> </w:t>
            </w:r>
            <w:r>
              <w:rPr>
                <w:rFonts w:ascii="宋体" w:hAnsi="宋体" w:eastAsia="宋体" w:cs="宋体"/>
                <w:sz w:val="21"/>
                <w:szCs w:val="21"/>
                <w:highlight w:val="none"/>
              </w:rPr>
              <w:t>公开信息不一致的，投标人必须提供发证机构</w:t>
            </w:r>
            <w:r>
              <w:rPr>
                <w:rFonts w:ascii="宋体" w:hAnsi="宋体" w:eastAsia="宋体" w:cs="宋体"/>
                <w:spacing w:val="-1"/>
                <w:sz w:val="21"/>
                <w:szCs w:val="21"/>
                <w:highlight w:val="none"/>
              </w:rPr>
              <w:t>出具的证明函。</w:t>
            </w:r>
          </w:p>
        </w:tc>
      </w:tr>
      <w:tr w14:paraId="06B6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6" w:type="dxa"/>
            <w:vMerge w:val="continue"/>
            <w:tcBorders/>
            <w:vAlign w:val="top"/>
          </w:tcPr>
          <w:p w14:paraId="1BEB3449">
            <w:pPr>
              <w:pStyle w:val="34"/>
              <w:rPr>
                <w:highlight w:val="none"/>
              </w:rPr>
            </w:pPr>
          </w:p>
        </w:tc>
        <w:tc>
          <w:tcPr>
            <w:tcW w:w="829" w:type="dxa"/>
            <w:vAlign w:val="top"/>
          </w:tcPr>
          <w:p w14:paraId="08AD52B9">
            <w:pPr>
              <w:tabs>
                <w:tab w:val="left" w:pos="840"/>
              </w:tabs>
              <w:spacing w:before="68" w:line="235" w:lineRule="auto"/>
              <w:ind w:left="90" w:right="57"/>
              <w:jc w:val="center"/>
              <w:rPr>
                <w:rFonts w:ascii="宋体" w:hAnsi="宋体" w:cs="宋体"/>
                <w:spacing w:val="2"/>
                <w:szCs w:val="21"/>
                <w:highlight w:val="none"/>
              </w:rPr>
            </w:pPr>
          </w:p>
          <w:p w14:paraId="6E3BAACD">
            <w:pPr>
              <w:tabs>
                <w:tab w:val="left" w:pos="840"/>
              </w:tabs>
              <w:spacing w:before="68" w:line="235" w:lineRule="auto"/>
              <w:ind w:left="90" w:right="57"/>
              <w:jc w:val="center"/>
              <w:rPr>
                <w:rFonts w:ascii="宋体" w:hAnsi="宋体" w:cs="宋体"/>
                <w:spacing w:val="2"/>
                <w:szCs w:val="21"/>
                <w:highlight w:val="none"/>
              </w:rPr>
            </w:pPr>
          </w:p>
          <w:p w14:paraId="4A2194FB">
            <w:pPr>
              <w:tabs>
                <w:tab w:val="left" w:pos="840"/>
              </w:tabs>
              <w:spacing w:before="68" w:line="235" w:lineRule="auto"/>
              <w:ind w:left="90" w:right="57"/>
              <w:jc w:val="center"/>
              <w:rPr>
                <w:rFonts w:ascii="宋体" w:hAnsi="宋体" w:cs="宋体"/>
                <w:spacing w:val="2"/>
                <w:szCs w:val="21"/>
                <w:highlight w:val="none"/>
              </w:rPr>
            </w:pPr>
          </w:p>
          <w:p w14:paraId="7852E134">
            <w:pPr>
              <w:tabs>
                <w:tab w:val="left" w:pos="840"/>
              </w:tabs>
              <w:spacing w:before="68" w:line="235" w:lineRule="auto"/>
              <w:ind w:left="90" w:right="57"/>
              <w:jc w:val="center"/>
              <w:rPr>
                <w:rFonts w:ascii="宋体" w:hAnsi="宋体" w:cs="宋体"/>
                <w:spacing w:val="2"/>
                <w:szCs w:val="21"/>
                <w:highlight w:val="none"/>
              </w:rPr>
            </w:pPr>
          </w:p>
          <w:p w14:paraId="249E4EAC">
            <w:pPr>
              <w:tabs>
                <w:tab w:val="left" w:pos="840"/>
              </w:tabs>
              <w:spacing w:before="68" w:line="235" w:lineRule="auto"/>
              <w:ind w:left="90" w:right="57"/>
              <w:jc w:val="center"/>
              <w:rPr>
                <w:rFonts w:ascii="宋体" w:hAnsi="宋体" w:cs="宋体"/>
                <w:spacing w:val="2"/>
                <w:szCs w:val="21"/>
                <w:highlight w:val="none"/>
              </w:rPr>
            </w:pPr>
          </w:p>
          <w:p w14:paraId="3F6E8508">
            <w:pPr>
              <w:tabs>
                <w:tab w:val="left" w:pos="840"/>
              </w:tabs>
              <w:spacing w:before="68" w:line="235" w:lineRule="auto"/>
              <w:ind w:left="90" w:right="57"/>
              <w:jc w:val="center"/>
              <w:rPr>
                <w:rFonts w:ascii="宋体" w:hAnsi="宋体" w:cs="宋体"/>
                <w:spacing w:val="2"/>
                <w:szCs w:val="21"/>
                <w:highlight w:val="none"/>
              </w:rPr>
            </w:pPr>
          </w:p>
          <w:p w14:paraId="209A5976">
            <w:pPr>
              <w:tabs>
                <w:tab w:val="left" w:pos="840"/>
              </w:tabs>
              <w:spacing w:before="68" w:line="235" w:lineRule="auto"/>
              <w:ind w:left="90" w:right="57"/>
              <w:jc w:val="center"/>
              <w:rPr>
                <w:rFonts w:ascii="宋体" w:hAnsi="宋体" w:cs="宋体"/>
                <w:spacing w:val="2"/>
                <w:szCs w:val="21"/>
                <w:highlight w:val="none"/>
              </w:rPr>
            </w:pPr>
          </w:p>
          <w:p w14:paraId="10156D9B">
            <w:pPr>
              <w:tabs>
                <w:tab w:val="left" w:pos="840"/>
              </w:tabs>
              <w:spacing w:before="68" w:line="235" w:lineRule="auto"/>
              <w:ind w:left="90" w:right="57"/>
              <w:jc w:val="center"/>
              <w:rPr>
                <w:rFonts w:ascii="宋体" w:hAnsi="宋体" w:cs="宋体"/>
                <w:spacing w:val="2"/>
                <w:szCs w:val="21"/>
                <w:highlight w:val="none"/>
              </w:rPr>
            </w:pPr>
          </w:p>
          <w:p w14:paraId="2EF4A147">
            <w:pPr>
              <w:tabs>
                <w:tab w:val="left" w:pos="840"/>
              </w:tabs>
              <w:spacing w:before="68" w:line="235" w:lineRule="auto"/>
              <w:ind w:left="90" w:right="57"/>
              <w:jc w:val="center"/>
              <w:rPr>
                <w:rFonts w:ascii="宋体" w:hAnsi="宋体" w:cs="宋体"/>
                <w:spacing w:val="2"/>
                <w:szCs w:val="21"/>
                <w:highlight w:val="none"/>
              </w:rPr>
            </w:pPr>
          </w:p>
          <w:p w14:paraId="3DE17D4D">
            <w:pPr>
              <w:tabs>
                <w:tab w:val="left" w:pos="840"/>
              </w:tabs>
              <w:spacing w:before="68" w:line="235" w:lineRule="auto"/>
              <w:ind w:left="90" w:right="57"/>
              <w:jc w:val="center"/>
              <w:rPr>
                <w:rFonts w:ascii="宋体" w:hAnsi="宋体" w:cs="宋体"/>
                <w:spacing w:val="2"/>
                <w:szCs w:val="21"/>
                <w:highlight w:val="none"/>
              </w:rPr>
            </w:pPr>
          </w:p>
          <w:p w14:paraId="437069A9">
            <w:pPr>
              <w:tabs>
                <w:tab w:val="left" w:pos="840"/>
              </w:tabs>
              <w:spacing w:before="68" w:line="235" w:lineRule="auto"/>
              <w:ind w:left="90" w:right="57"/>
              <w:jc w:val="center"/>
              <w:rPr>
                <w:rFonts w:ascii="宋体" w:hAnsi="宋体" w:cs="宋体"/>
                <w:spacing w:val="2"/>
                <w:szCs w:val="21"/>
                <w:highlight w:val="none"/>
              </w:rPr>
            </w:pPr>
          </w:p>
          <w:p w14:paraId="509A9523">
            <w:pPr>
              <w:tabs>
                <w:tab w:val="left" w:pos="840"/>
              </w:tabs>
              <w:spacing w:before="68" w:line="235" w:lineRule="auto"/>
              <w:ind w:left="90" w:right="57"/>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 xml:space="preserve">项目负 责人的 </w:t>
            </w:r>
            <w:r>
              <w:rPr>
                <w:rFonts w:ascii="宋体" w:hAnsi="宋体" w:eastAsia="宋体" w:cs="宋体"/>
                <w:spacing w:val="2"/>
                <w:w w:val="100"/>
                <w:sz w:val="21"/>
                <w:szCs w:val="21"/>
                <w:highlight w:val="none"/>
              </w:rPr>
              <w:t>资质</w:t>
            </w:r>
          </w:p>
        </w:tc>
        <w:tc>
          <w:tcPr>
            <w:tcW w:w="699" w:type="dxa"/>
            <w:vAlign w:val="top"/>
          </w:tcPr>
          <w:p w14:paraId="449C8C1E">
            <w:pPr>
              <w:pStyle w:val="34"/>
              <w:spacing w:line="250" w:lineRule="auto"/>
              <w:rPr>
                <w:highlight w:val="none"/>
              </w:rPr>
            </w:pPr>
          </w:p>
          <w:p w14:paraId="7A822E06">
            <w:pPr>
              <w:pStyle w:val="34"/>
              <w:spacing w:line="251" w:lineRule="auto"/>
              <w:rPr>
                <w:highlight w:val="none"/>
              </w:rPr>
            </w:pPr>
          </w:p>
          <w:p w14:paraId="567D70E5">
            <w:pPr>
              <w:pStyle w:val="34"/>
              <w:spacing w:line="251" w:lineRule="auto"/>
              <w:rPr>
                <w:highlight w:val="none"/>
              </w:rPr>
            </w:pPr>
          </w:p>
          <w:p w14:paraId="639E0BD8">
            <w:pPr>
              <w:pStyle w:val="34"/>
              <w:spacing w:line="251" w:lineRule="auto"/>
              <w:rPr>
                <w:highlight w:val="none"/>
              </w:rPr>
            </w:pPr>
          </w:p>
          <w:p w14:paraId="65F443C1">
            <w:pPr>
              <w:pStyle w:val="34"/>
              <w:spacing w:line="251" w:lineRule="auto"/>
              <w:rPr>
                <w:highlight w:val="none"/>
              </w:rPr>
            </w:pPr>
          </w:p>
          <w:p w14:paraId="484AB563">
            <w:pPr>
              <w:pStyle w:val="34"/>
              <w:spacing w:line="251" w:lineRule="auto"/>
              <w:rPr>
                <w:highlight w:val="none"/>
              </w:rPr>
            </w:pPr>
          </w:p>
          <w:p w14:paraId="0CFE177F">
            <w:pPr>
              <w:pStyle w:val="34"/>
              <w:spacing w:line="251" w:lineRule="auto"/>
              <w:rPr>
                <w:highlight w:val="none"/>
              </w:rPr>
            </w:pPr>
          </w:p>
          <w:p w14:paraId="460AFD23">
            <w:pPr>
              <w:pStyle w:val="34"/>
              <w:spacing w:line="251" w:lineRule="auto"/>
              <w:rPr>
                <w:highlight w:val="none"/>
              </w:rPr>
            </w:pPr>
          </w:p>
          <w:p w14:paraId="17685767">
            <w:pPr>
              <w:pStyle w:val="34"/>
              <w:spacing w:line="251" w:lineRule="auto"/>
              <w:rPr>
                <w:highlight w:val="none"/>
              </w:rPr>
            </w:pPr>
          </w:p>
          <w:p w14:paraId="718D0302">
            <w:pPr>
              <w:pStyle w:val="34"/>
              <w:spacing w:line="251" w:lineRule="auto"/>
              <w:rPr>
                <w:highlight w:val="none"/>
              </w:rPr>
            </w:pPr>
          </w:p>
          <w:p w14:paraId="7972A969">
            <w:pPr>
              <w:pStyle w:val="34"/>
              <w:spacing w:line="251" w:lineRule="auto"/>
              <w:rPr>
                <w:highlight w:val="none"/>
              </w:rPr>
            </w:pPr>
          </w:p>
          <w:p w14:paraId="0C65B570">
            <w:pPr>
              <w:pStyle w:val="34"/>
              <w:spacing w:line="251" w:lineRule="auto"/>
              <w:rPr>
                <w:highlight w:val="none"/>
              </w:rPr>
            </w:pPr>
          </w:p>
          <w:p w14:paraId="60C42A8F">
            <w:pPr>
              <w:spacing w:before="69" w:line="183" w:lineRule="auto"/>
              <w:ind w:left="281"/>
              <w:rPr>
                <w:rFonts w:ascii="宋体" w:hAnsi="宋体" w:eastAsia="宋体" w:cs="宋体"/>
                <w:sz w:val="21"/>
                <w:szCs w:val="21"/>
                <w:highlight w:val="none"/>
              </w:rPr>
            </w:pPr>
            <w:r>
              <w:rPr>
                <w:rFonts w:ascii="宋体" w:hAnsi="宋体" w:eastAsia="宋体" w:cs="宋体"/>
                <w:sz w:val="21"/>
                <w:szCs w:val="21"/>
                <w:highlight w:val="none"/>
              </w:rPr>
              <w:t>6</w:t>
            </w:r>
          </w:p>
        </w:tc>
        <w:tc>
          <w:tcPr>
            <w:tcW w:w="6672" w:type="dxa"/>
            <w:vAlign w:val="top"/>
          </w:tcPr>
          <w:p w14:paraId="24D07ADC">
            <w:pPr>
              <w:spacing w:before="43" w:line="219" w:lineRule="auto"/>
              <w:ind w:left="103"/>
              <w:rPr>
                <w:rFonts w:ascii="宋体" w:hAnsi="宋体" w:eastAsia="宋体" w:cs="宋体"/>
                <w:sz w:val="21"/>
                <w:szCs w:val="21"/>
                <w:highlight w:val="none"/>
              </w:rPr>
            </w:pPr>
            <w:r>
              <w:rPr>
                <w:rFonts w:ascii="宋体" w:hAnsi="宋体" w:eastAsia="宋体" w:cs="宋体"/>
                <w:spacing w:val="-1"/>
                <w:sz w:val="21"/>
                <w:szCs w:val="21"/>
                <w:highlight w:val="none"/>
              </w:rPr>
              <w:t>投标人拟投入本项目的项目负责人资质：</w:t>
            </w:r>
          </w:p>
          <w:p w14:paraId="6BF8DB99">
            <w:pPr>
              <w:spacing w:before="140" w:line="219" w:lineRule="auto"/>
              <w:ind w:left="212"/>
              <w:rPr>
                <w:rFonts w:ascii="宋体" w:hAnsi="宋体" w:eastAsia="宋体" w:cs="宋体"/>
                <w:sz w:val="21"/>
                <w:szCs w:val="21"/>
                <w:highlight w:val="none"/>
              </w:rPr>
            </w:pPr>
            <w:r>
              <w:rPr>
                <w:rFonts w:ascii="宋体" w:hAnsi="宋体" w:eastAsia="宋体" w:cs="宋体"/>
                <w:spacing w:val="1"/>
                <w:sz w:val="21"/>
                <w:szCs w:val="21"/>
                <w:highlight w:val="none"/>
              </w:rPr>
              <w:t>(1)具有本科或以上学历的，得1分；(提供学历证书扫描件)</w:t>
            </w:r>
          </w:p>
          <w:p w14:paraId="25C6E813">
            <w:pPr>
              <w:spacing w:before="141" w:line="287" w:lineRule="auto"/>
              <w:ind w:left="122" w:right="235" w:firstLine="90"/>
              <w:rPr>
                <w:rFonts w:ascii="宋体" w:hAnsi="宋体" w:eastAsia="宋体" w:cs="宋体"/>
                <w:sz w:val="21"/>
                <w:szCs w:val="21"/>
                <w:highlight w:val="none"/>
              </w:rPr>
            </w:pPr>
            <w:r>
              <w:rPr>
                <w:rFonts w:ascii="宋体" w:hAnsi="宋体" w:eastAsia="宋体" w:cs="宋体"/>
                <w:sz w:val="21"/>
                <w:szCs w:val="21"/>
                <w:highlight w:val="none"/>
              </w:rPr>
              <w:t>(2)具有保安员二级/技师(原保安师)或以上职业资格证书(技能等级</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证书),得1分；(提供证书扫描件)</w:t>
            </w:r>
          </w:p>
          <w:p w14:paraId="097BB341">
            <w:pPr>
              <w:spacing w:before="136" w:line="219" w:lineRule="auto"/>
              <w:ind w:left="212"/>
              <w:rPr>
                <w:rFonts w:ascii="宋体" w:hAnsi="宋体" w:eastAsia="宋体" w:cs="宋体"/>
                <w:sz w:val="21"/>
                <w:szCs w:val="21"/>
                <w:highlight w:val="none"/>
              </w:rPr>
            </w:pPr>
            <w:r>
              <w:rPr>
                <w:rFonts w:ascii="宋体" w:hAnsi="宋体" w:eastAsia="宋体" w:cs="宋体"/>
                <w:spacing w:val="1"/>
                <w:sz w:val="21"/>
                <w:szCs w:val="21"/>
                <w:highlight w:val="none"/>
              </w:rPr>
              <w:t>(3)持有红十字会颁发的救护员证，得2分(提供证件扫描件);</w:t>
            </w:r>
          </w:p>
          <w:p w14:paraId="67B2A85A">
            <w:pPr>
              <w:spacing w:before="170" w:line="317" w:lineRule="auto"/>
              <w:ind w:left="93" w:firstLine="119"/>
              <w:rPr>
                <w:rFonts w:ascii="宋体" w:hAnsi="宋体" w:eastAsia="宋体" w:cs="宋体"/>
                <w:sz w:val="21"/>
                <w:szCs w:val="21"/>
                <w:highlight w:val="none"/>
              </w:rPr>
            </w:pPr>
            <w:r>
              <w:rPr>
                <w:rFonts w:ascii="宋体" w:hAnsi="宋体" w:eastAsia="宋体" w:cs="宋体"/>
                <w:spacing w:val="-2"/>
                <w:sz w:val="21"/>
                <w:szCs w:val="21"/>
                <w:highlight w:val="none"/>
              </w:rPr>
              <w:t>(4)具有5年或以上安保服务管理工作经验</w:t>
            </w:r>
            <w:r>
              <w:rPr>
                <w:rFonts w:ascii="宋体" w:hAnsi="宋体" w:eastAsia="宋体" w:cs="宋体"/>
                <w:spacing w:val="-3"/>
                <w:sz w:val="21"/>
                <w:szCs w:val="21"/>
                <w:highlight w:val="none"/>
              </w:rPr>
              <w:t>的，以用户单位满意度评价中</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的负责人为准【不限于投标人同类业绩项目，可以累计不同单位同类项目</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rPr>
              <w:t>服务或管理经验，如果曾在不同单位提供同类项目服务或管理经验(需提</w:t>
            </w:r>
            <w:r>
              <w:rPr>
                <w:rFonts w:ascii="宋体" w:hAnsi="宋体" w:eastAsia="宋体" w:cs="宋体"/>
                <w:spacing w:val="18"/>
                <w:sz w:val="21"/>
                <w:szCs w:val="21"/>
                <w:highlight w:val="none"/>
              </w:rPr>
              <w:t xml:space="preserve"> </w:t>
            </w:r>
            <w:r>
              <w:rPr>
                <w:rFonts w:ascii="宋体" w:hAnsi="宋体" w:eastAsia="宋体" w:cs="宋体"/>
                <w:sz w:val="21"/>
                <w:szCs w:val="21"/>
                <w:highlight w:val="none"/>
              </w:rPr>
              <w:t xml:space="preserve">供当时管理项目的用户单位满意度评价和服务期间的社保证明)】,得2  </w:t>
            </w:r>
            <w:r>
              <w:rPr>
                <w:rFonts w:ascii="宋体" w:hAnsi="宋体" w:eastAsia="宋体" w:cs="宋体"/>
                <w:spacing w:val="-2"/>
                <w:sz w:val="21"/>
                <w:szCs w:val="21"/>
                <w:highlight w:val="none"/>
              </w:rPr>
              <w:t>分。</w:t>
            </w:r>
          </w:p>
          <w:p w14:paraId="3885C9A0">
            <w:pPr>
              <w:spacing w:before="165" w:line="334" w:lineRule="auto"/>
              <w:ind w:left="62" w:right="8" w:firstLine="469"/>
              <w:jc w:val="both"/>
              <w:rPr>
                <w:rFonts w:ascii="宋体" w:hAnsi="宋体" w:eastAsia="宋体" w:cs="宋体"/>
                <w:sz w:val="21"/>
                <w:szCs w:val="21"/>
                <w:highlight w:val="none"/>
              </w:rPr>
            </w:pPr>
            <w:r>
              <w:rPr>
                <w:rFonts w:ascii="宋体" w:hAnsi="宋体" w:eastAsia="宋体" w:cs="宋体"/>
                <w:spacing w:val="-3"/>
                <w:sz w:val="21"/>
                <w:szCs w:val="21"/>
                <w:highlight w:val="none"/>
              </w:rPr>
              <w:t>本项累计最高得6分。备注：须提供以上资质证明材料，职业资格证</w:t>
            </w:r>
            <w:r>
              <w:rPr>
                <w:rFonts w:ascii="宋体" w:hAnsi="宋体" w:eastAsia="宋体" w:cs="宋体"/>
                <w:spacing w:val="-4"/>
                <w:sz w:val="21"/>
                <w:szCs w:val="21"/>
                <w:highlight w:val="none"/>
              </w:rPr>
              <w:t>书须提供扫描件及提供技能人才评价证书全国联网的查询截图以及</w:t>
            </w:r>
            <w:r>
              <w:rPr>
                <w:rFonts w:ascii="宋体" w:hAnsi="宋体" w:eastAsia="宋体" w:cs="宋体"/>
                <w:spacing w:val="-5"/>
                <w:sz w:val="21"/>
                <w:szCs w:val="21"/>
                <w:highlight w:val="none"/>
              </w:rPr>
              <w:t>项目负责人在投标人服务的外部证明材料，如提供加盖政府有关部门印章的在本</w:t>
            </w:r>
            <w:r>
              <w:rPr>
                <w:rFonts w:ascii="宋体" w:hAnsi="宋体" w:eastAsia="宋体" w:cs="宋体"/>
                <w:spacing w:val="18"/>
                <w:sz w:val="21"/>
                <w:szCs w:val="21"/>
                <w:highlight w:val="none"/>
              </w:rPr>
              <w:t xml:space="preserve"> </w:t>
            </w:r>
            <w:r>
              <w:rPr>
                <w:rFonts w:ascii="宋体" w:hAnsi="宋体" w:eastAsia="宋体" w:cs="宋体"/>
                <w:spacing w:val="-5"/>
                <w:sz w:val="21"/>
                <w:szCs w:val="21"/>
                <w:highlight w:val="none"/>
              </w:rPr>
              <w:t>项目投标截止日之前六个月以内任意一个月的：投保单或社会保险参保人</w:t>
            </w:r>
            <w:r>
              <w:rPr>
                <w:rFonts w:ascii="宋体" w:hAnsi="宋体" w:eastAsia="宋体" w:cs="宋体"/>
                <w:spacing w:val="17"/>
                <w:sz w:val="21"/>
                <w:szCs w:val="21"/>
                <w:highlight w:val="none"/>
              </w:rPr>
              <w:t xml:space="preserve"> </w:t>
            </w:r>
            <w:r>
              <w:rPr>
                <w:rFonts w:ascii="宋体" w:hAnsi="宋体" w:eastAsia="宋体" w:cs="宋体"/>
                <w:sz w:val="21"/>
                <w:szCs w:val="21"/>
                <w:highlight w:val="none"/>
              </w:rPr>
              <w:t>员证明，或单位代缴个人所得税税单等),未提供证明材料或未按要求提</w:t>
            </w:r>
            <w:r>
              <w:rPr>
                <w:rFonts w:ascii="宋体" w:hAnsi="宋体" w:eastAsia="宋体" w:cs="宋体"/>
                <w:spacing w:val="8"/>
                <w:sz w:val="21"/>
                <w:szCs w:val="21"/>
                <w:highlight w:val="none"/>
              </w:rPr>
              <w:t xml:space="preserve"> </w:t>
            </w:r>
            <w:r>
              <w:rPr>
                <w:rFonts w:ascii="宋体" w:hAnsi="宋体" w:eastAsia="宋体" w:cs="宋体"/>
                <w:spacing w:val="7"/>
                <w:sz w:val="21"/>
                <w:szCs w:val="21"/>
                <w:highlight w:val="none"/>
              </w:rPr>
              <w:t>供的不得分。</w:t>
            </w:r>
          </w:p>
        </w:tc>
      </w:tr>
      <w:tr w14:paraId="49BF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8" w:hRule="atLeast"/>
        </w:trPr>
        <w:tc>
          <w:tcPr>
            <w:tcW w:w="1036" w:type="dxa"/>
            <w:vMerge w:val="continue"/>
            <w:tcBorders/>
            <w:vAlign w:val="top"/>
          </w:tcPr>
          <w:p w14:paraId="49CA547F">
            <w:pPr>
              <w:pStyle w:val="34"/>
              <w:rPr>
                <w:highlight w:val="none"/>
              </w:rPr>
            </w:pPr>
          </w:p>
        </w:tc>
        <w:tc>
          <w:tcPr>
            <w:tcW w:w="829" w:type="dxa"/>
            <w:vAlign w:val="top"/>
          </w:tcPr>
          <w:p w14:paraId="1A89B53A">
            <w:pPr>
              <w:pStyle w:val="34"/>
              <w:spacing w:line="257" w:lineRule="auto"/>
              <w:rPr>
                <w:highlight w:val="none"/>
              </w:rPr>
            </w:pPr>
          </w:p>
          <w:p w14:paraId="79D4209F">
            <w:pPr>
              <w:pStyle w:val="34"/>
              <w:spacing w:line="257" w:lineRule="auto"/>
              <w:rPr>
                <w:highlight w:val="none"/>
              </w:rPr>
            </w:pPr>
          </w:p>
          <w:p w14:paraId="7B61C4A4">
            <w:pPr>
              <w:pStyle w:val="34"/>
              <w:spacing w:line="257" w:lineRule="auto"/>
              <w:rPr>
                <w:highlight w:val="none"/>
              </w:rPr>
            </w:pPr>
          </w:p>
          <w:p w14:paraId="5160309A">
            <w:pPr>
              <w:pStyle w:val="34"/>
              <w:spacing w:line="257" w:lineRule="auto"/>
              <w:rPr>
                <w:highlight w:val="none"/>
              </w:rPr>
            </w:pPr>
          </w:p>
          <w:p w14:paraId="7A84C49A">
            <w:pPr>
              <w:pStyle w:val="34"/>
              <w:spacing w:line="257" w:lineRule="auto"/>
              <w:rPr>
                <w:highlight w:val="none"/>
              </w:rPr>
            </w:pPr>
          </w:p>
          <w:p w14:paraId="50BD3233">
            <w:pPr>
              <w:pStyle w:val="34"/>
              <w:spacing w:line="257" w:lineRule="auto"/>
              <w:rPr>
                <w:highlight w:val="none"/>
              </w:rPr>
            </w:pPr>
          </w:p>
          <w:p w14:paraId="4BC06A74">
            <w:pPr>
              <w:pStyle w:val="34"/>
              <w:spacing w:line="257" w:lineRule="auto"/>
              <w:rPr>
                <w:highlight w:val="none"/>
              </w:rPr>
            </w:pPr>
          </w:p>
          <w:p w14:paraId="0B647F50">
            <w:pPr>
              <w:pStyle w:val="34"/>
              <w:spacing w:line="257" w:lineRule="auto"/>
              <w:rPr>
                <w:highlight w:val="none"/>
              </w:rPr>
            </w:pPr>
          </w:p>
          <w:p w14:paraId="0BCA319B">
            <w:pPr>
              <w:pStyle w:val="34"/>
              <w:spacing w:line="257" w:lineRule="auto"/>
              <w:rPr>
                <w:highlight w:val="none"/>
              </w:rPr>
            </w:pPr>
          </w:p>
          <w:p w14:paraId="635478C0">
            <w:pPr>
              <w:pStyle w:val="34"/>
              <w:spacing w:line="258" w:lineRule="auto"/>
              <w:rPr>
                <w:highlight w:val="none"/>
              </w:rPr>
            </w:pPr>
          </w:p>
          <w:p w14:paraId="016FD0F4">
            <w:pPr>
              <w:spacing w:before="68" w:line="224" w:lineRule="auto"/>
              <w:ind w:left="81" w:right="64"/>
              <w:jc w:val="both"/>
              <w:rPr>
                <w:rFonts w:ascii="宋体" w:hAnsi="宋体" w:eastAsia="宋体" w:cs="宋体"/>
                <w:sz w:val="21"/>
                <w:szCs w:val="21"/>
                <w:highlight w:val="none"/>
              </w:rPr>
            </w:pPr>
            <w:r>
              <w:rPr>
                <w:rFonts w:ascii="宋体" w:hAnsi="宋体" w:eastAsia="宋体" w:cs="宋体"/>
                <w:spacing w:val="-3"/>
                <w:sz w:val="21"/>
                <w:szCs w:val="21"/>
                <w:highlight w:val="none"/>
              </w:rPr>
              <w:t>应急保</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障服务</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负责人</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的资质</w:t>
            </w:r>
          </w:p>
        </w:tc>
        <w:tc>
          <w:tcPr>
            <w:tcW w:w="699" w:type="dxa"/>
            <w:vAlign w:val="top"/>
          </w:tcPr>
          <w:p w14:paraId="290B2AE3">
            <w:pPr>
              <w:pStyle w:val="34"/>
              <w:spacing w:line="251" w:lineRule="auto"/>
              <w:rPr>
                <w:highlight w:val="none"/>
              </w:rPr>
            </w:pPr>
          </w:p>
          <w:p w14:paraId="3C9A1A34">
            <w:pPr>
              <w:pStyle w:val="34"/>
              <w:spacing w:line="251" w:lineRule="auto"/>
              <w:rPr>
                <w:highlight w:val="none"/>
              </w:rPr>
            </w:pPr>
          </w:p>
          <w:p w14:paraId="41BC08C1">
            <w:pPr>
              <w:pStyle w:val="34"/>
              <w:spacing w:line="251" w:lineRule="auto"/>
              <w:rPr>
                <w:highlight w:val="none"/>
              </w:rPr>
            </w:pPr>
          </w:p>
          <w:p w14:paraId="271D6784">
            <w:pPr>
              <w:pStyle w:val="34"/>
              <w:spacing w:line="251" w:lineRule="auto"/>
              <w:rPr>
                <w:highlight w:val="none"/>
              </w:rPr>
            </w:pPr>
          </w:p>
          <w:p w14:paraId="1F160F7F">
            <w:pPr>
              <w:pStyle w:val="34"/>
              <w:spacing w:line="251" w:lineRule="auto"/>
              <w:rPr>
                <w:highlight w:val="none"/>
              </w:rPr>
            </w:pPr>
          </w:p>
          <w:p w14:paraId="6279AB61">
            <w:pPr>
              <w:pStyle w:val="34"/>
              <w:spacing w:line="251" w:lineRule="auto"/>
              <w:rPr>
                <w:highlight w:val="none"/>
              </w:rPr>
            </w:pPr>
          </w:p>
          <w:p w14:paraId="4F4CDCCA">
            <w:pPr>
              <w:pStyle w:val="34"/>
              <w:spacing w:line="251" w:lineRule="auto"/>
              <w:rPr>
                <w:highlight w:val="none"/>
              </w:rPr>
            </w:pPr>
          </w:p>
          <w:p w14:paraId="08A5024C">
            <w:pPr>
              <w:pStyle w:val="34"/>
              <w:spacing w:line="251" w:lineRule="auto"/>
              <w:rPr>
                <w:highlight w:val="none"/>
              </w:rPr>
            </w:pPr>
          </w:p>
          <w:p w14:paraId="1C04E8D6">
            <w:pPr>
              <w:pStyle w:val="34"/>
              <w:spacing w:line="251" w:lineRule="auto"/>
              <w:rPr>
                <w:highlight w:val="none"/>
              </w:rPr>
            </w:pPr>
          </w:p>
          <w:p w14:paraId="2A73D970">
            <w:pPr>
              <w:pStyle w:val="34"/>
              <w:spacing w:line="251" w:lineRule="auto"/>
              <w:rPr>
                <w:highlight w:val="none"/>
              </w:rPr>
            </w:pPr>
          </w:p>
          <w:p w14:paraId="3015D244">
            <w:pPr>
              <w:pStyle w:val="34"/>
              <w:spacing w:line="251" w:lineRule="auto"/>
              <w:rPr>
                <w:highlight w:val="none"/>
              </w:rPr>
            </w:pPr>
          </w:p>
          <w:p w14:paraId="75E48EA1">
            <w:pPr>
              <w:pStyle w:val="34"/>
              <w:spacing w:line="251" w:lineRule="auto"/>
              <w:rPr>
                <w:highlight w:val="none"/>
              </w:rPr>
            </w:pPr>
          </w:p>
          <w:p w14:paraId="5FBAA2F8">
            <w:pPr>
              <w:spacing w:before="68" w:line="182" w:lineRule="auto"/>
              <w:ind w:left="282"/>
              <w:rPr>
                <w:rFonts w:ascii="宋体" w:hAnsi="宋体" w:eastAsia="宋体" w:cs="宋体"/>
                <w:sz w:val="21"/>
                <w:szCs w:val="21"/>
                <w:highlight w:val="none"/>
              </w:rPr>
            </w:pPr>
            <w:r>
              <w:rPr>
                <w:rFonts w:ascii="宋体" w:hAnsi="宋体" w:eastAsia="宋体" w:cs="宋体"/>
                <w:sz w:val="21"/>
                <w:szCs w:val="21"/>
                <w:highlight w:val="none"/>
              </w:rPr>
              <w:t>5</w:t>
            </w:r>
          </w:p>
        </w:tc>
        <w:tc>
          <w:tcPr>
            <w:tcW w:w="6672" w:type="dxa"/>
            <w:vAlign w:val="top"/>
          </w:tcPr>
          <w:p w14:paraId="237CB69B">
            <w:pPr>
              <w:spacing w:before="32" w:line="219" w:lineRule="auto"/>
              <w:ind w:left="92"/>
              <w:rPr>
                <w:rFonts w:ascii="宋体" w:hAnsi="宋体" w:eastAsia="宋体" w:cs="宋体"/>
                <w:sz w:val="21"/>
                <w:szCs w:val="21"/>
                <w:highlight w:val="none"/>
              </w:rPr>
            </w:pPr>
            <w:r>
              <w:rPr>
                <w:rFonts w:ascii="宋体" w:hAnsi="宋体" w:eastAsia="宋体" w:cs="宋体"/>
                <w:spacing w:val="-1"/>
                <w:sz w:val="21"/>
                <w:szCs w:val="21"/>
                <w:highlight w:val="none"/>
              </w:rPr>
              <w:t>投标人拟投入本项目的应急保障负责人资质：</w:t>
            </w:r>
          </w:p>
          <w:p w14:paraId="2E16CD6C">
            <w:pPr>
              <w:spacing w:before="150" w:line="219" w:lineRule="auto"/>
              <w:ind w:left="213"/>
              <w:rPr>
                <w:rFonts w:ascii="宋体" w:hAnsi="宋体" w:eastAsia="宋体" w:cs="宋体"/>
                <w:sz w:val="21"/>
                <w:szCs w:val="21"/>
                <w:highlight w:val="none"/>
              </w:rPr>
            </w:pPr>
            <w:r>
              <w:rPr>
                <w:rFonts w:ascii="宋体" w:hAnsi="宋体" w:eastAsia="宋体" w:cs="宋体"/>
                <w:spacing w:val="1"/>
                <w:sz w:val="21"/>
                <w:szCs w:val="21"/>
                <w:highlight w:val="none"/>
              </w:rPr>
              <w:t>(1)具有本科或以上学历的，得1分(提供学历证书扫描件)</w:t>
            </w:r>
          </w:p>
          <w:p w14:paraId="6D00D5F1">
            <w:pPr>
              <w:spacing w:before="139" w:line="286" w:lineRule="auto"/>
              <w:ind w:left="113" w:right="194" w:firstLine="110"/>
              <w:rPr>
                <w:rFonts w:ascii="宋体" w:hAnsi="宋体" w:eastAsia="宋体" w:cs="宋体"/>
                <w:sz w:val="21"/>
                <w:szCs w:val="21"/>
                <w:highlight w:val="none"/>
              </w:rPr>
            </w:pPr>
            <w:r>
              <w:rPr>
                <w:rFonts w:ascii="宋体" w:hAnsi="宋体" w:eastAsia="宋体" w:cs="宋体"/>
                <w:spacing w:val="2"/>
                <w:sz w:val="21"/>
                <w:szCs w:val="21"/>
                <w:highlight w:val="none"/>
              </w:rPr>
              <w:t>(2)具有五级/初级应急救援员或以上职业资格证书(</w:t>
            </w:r>
            <w:r>
              <w:rPr>
                <w:rFonts w:ascii="宋体" w:hAnsi="宋体" w:eastAsia="宋体" w:cs="宋体"/>
                <w:spacing w:val="1"/>
                <w:sz w:val="21"/>
                <w:szCs w:val="21"/>
                <w:highlight w:val="none"/>
              </w:rPr>
              <w:t>技能等级证书),</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得1分(提供证件扫描件);</w:t>
            </w:r>
          </w:p>
          <w:p w14:paraId="6F2BBEEE">
            <w:pPr>
              <w:spacing w:before="130" w:line="219" w:lineRule="auto"/>
              <w:ind w:left="213"/>
              <w:rPr>
                <w:rFonts w:ascii="宋体" w:hAnsi="宋体" w:eastAsia="宋体" w:cs="宋体"/>
                <w:sz w:val="21"/>
                <w:szCs w:val="21"/>
                <w:highlight w:val="none"/>
              </w:rPr>
            </w:pPr>
            <w:r>
              <w:rPr>
                <w:rFonts w:ascii="宋体" w:hAnsi="宋体" w:eastAsia="宋体" w:cs="宋体"/>
                <w:spacing w:val="1"/>
                <w:sz w:val="21"/>
                <w:szCs w:val="21"/>
                <w:highlight w:val="none"/>
              </w:rPr>
              <w:t>(3)持有红十字会颁发的救护员证，得2分(提供证件扫描件);</w:t>
            </w:r>
          </w:p>
          <w:p w14:paraId="3608C044">
            <w:pPr>
              <w:spacing w:before="149" w:line="319" w:lineRule="auto"/>
              <w:ind w:left="13" w:firstLine="209"/>
              <w:rPr>
                <w:rFonts w:ascii="宋体" w:hAnsi="宋体" w:eastAsia="宋体" w:cs="宋体"/>
                <w:sz w:val="21"/>
                <w:szCs w:val="21"/>
                <w:highlight w:val="none"/>
              </w:rPr>
            </w:pPr>
            <w:r>
              <w:rPr>
                <w:rFonts w:ascii="宋体" w:hAnsi="宋体" w:eastAsia="宋体" w:cs="宋体"/>
                <w:spacing w:val="-2"/>
                <w:sz w:val="21"/>
                <w:szCs w:val="21"/>
                <w:highlight w:val="none"/>
              </w:rPr>
              <w:t>(4)具有3年或以上安保服务管理工作经验</w:t>
            </w:r>
            <w:r>
              <w:rPr>
                <w:rFonts w:ascii="宋体" w:hAnsi="宋体" w:eastAsia="宋体" w:cs="宋体"/>
                <w:spacing w:val="-3"/>
                <w:sz w:val="21"/>
                <w:szCs w:val="21"/>
                <w:highlight w:val="none"/>
              </w:rPr>
              <w:t>的，以用户单位满意度评价中</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的负责人为准【不限于供应商同类业绩项目，可以累计不同单位同类项目</w:t>
            </w:r>
            <w:r>
              <w:rPr>
                <w:rFonts w:ascii="宋体" w:hAnsi="宋体" w:eastAsia="宋体" w:cs="宋体"/>
                <w:spacing w:val="1"/>
                <w:sz w:val="21"/>
                <w:szCs w:val="21"/>
                <w:highlight w:val="none"/>
              </w:rPr>
              <w:t xml:space="preserve"> </w:t>
            </w:r>
            <w:r>
              <w:rPr>
                <w:rFonts w:ascii="宋体" w:hAnsi="宋体" w:eastAsia="宋体" w:cs="宋体"/>
                <w:spacing w:val="-1"/>
                <w:sz w:val="21"/>
                <w:szCs w:val="21"/>
                <w:highlight w:val="none"/>
              </w:rPr>
              <w:t>服务或管理经验，如果曾在不同单位提供同类项目服务或管理经验(需提</w:t>
            </w:r>
            <w:r>
              <w:rPr>
                <w:rFonts w:ascii="宋体" w:hAnsi="宋体" w:eastAsia="宋体" w:cs="宋体"/>
                <w:spacing w:val="12"/>
                <w:sz w:val="21"/>
                <w:szCs w:val="21"/>
                <w:highlight w:val="none"/>
              </w:rPr>
              <w:t xml:space="preserve"> </w:t>
            </w:r>
            <w:r>
              <w:rPr>
                <w:rFonts w:ascii="宋体" w:hAnsi="宋体" w:eastAsia="宋体" w:cs="宋体"/>
                <w:spacing w:val="4"/>
                <w:sz w:val="21"/>
                <w:szCs w:val="21"/>
                <w:highlight w:val="none"/>
              </w:rPr>
              <w:t>供当时管理项目的用户单位满意度评价和服</w:t>
            </w:r>
            <w:r>
              <w:rPr>
                <w:rFonts w:ascii="宋体" w:hAnsi="宋体" w:eastAsia="宋体" w:cs="宋体"/>
                <w:spacing w:val="3"/>
                <w:sz w:val="21"/>
                <w:szCs w:val="21"/>
                <w:highlight w:val="none"/>
              </w:rPr>
              <w:t>务期间的社保证明)】,得1</w:t>
            </w:r>
            <w:r>
              <w:rPr>
                <w:rFonts w:ascii="宋体" w:hAnsi="宋体" w:eastAsia="宋体" w:cs="宋体"/>
                <w:sz w:val="21"/>
                <w:szCs w:val="21"/>
                <w:highlight w:val="none"/>
              </w:rPr>
              <w:t xml:space="preserve">  </w:t>
            </w:r>
            <w:r>
              <w:rPr>
                <w:rFonts w:ascii="宋体" w:hAnsi="宋体" w:eastAsia="宋体" w:cs="宋体"/>
                <w:spacing w:val="32"/>
                <w:sz w:val="21"/>
                <w:szCs w:val="21"/>
                <w:highlight w:val="none"/>
              </w:rPr>
              <w:t>分。</w:t>
            </w:r>
          </w:p>
          <w:p w14:paraId="39BA6492">
            <w:pPr>
              <w:spacing w:before="156" w:line="338" w:lineRule="auto"/>
              <w:ind w:left="63" w:right="13" w:firstLine="259"/>
              <w:jc w:val="both"/>
              <w:rPr>
                <w:rFonts w:ascii="宋体" w:hAnsi="宋体" w:eastAsia="宋体" w:cs="宋体"/>
                <w:sz w:val="21"/>
                <w:szCs w:val="21"/>
                <w:highlight w:val="none"/>
              </w:rPr>
            </w:pPr>
            <w:r>
              <w:rPr>
                <w:rFonts w:ascii="宋体" w:hAnsi="宋体" w:eastAsia="宋体" w:cs="宋体"/>
                <w:spacing w:val="-2"/>
                <w:sz w:val="21"/>
                <w:szCs w:val="21"/>
                <w:highlight w:val="none"/>
              </w:rPr>
              <w:t>本项累计最高得5分。备注：须提供以上资质</w:t>
            </w:r>
            <w:r>
              <w:rPr>
                <w:rFonts w:ascii="宋体" w:hAnsi="宋体" w:eastAsia="宋体" w:cs="宋体"/>
                <w:spacing w:val="-3"/>
                <w:sz w:val="21"/>
                <w:szCs w:val="21"/>
                <w:highlight w:val="none"/>
              </w:rPr>
              <w:t>证明材料，职业资格证书</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须提供扫描件及提供技能人才评价证书全国联网的查询截图以</w:t>
            </w:r>
            <w:r>
              <w:rPr>
                <w:rFonts w:ascii="宋体" w:hAnsi="宋体" w:eastAsia="宋体" w:cs="宋体"/>
                <w:spacing w:val="-5"/>
                <w:sz w:val="21"/>
                <w:szCs w:val="21"/>
                <w:highlight w:val="none"/>
              </w:rPr>
              <w:t>及应急保障</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服务负责人在投标人服务的外部证明材料，如提供加盖政府有关部门印章</w:t>
            </w:r>
            <w:r>
              <w:rPr>
                <w:rFonts w:ascii="宋体" w:hAnsi="宋体" w:eastAsia="宋体" w:cs="宋体"/>
                <w:spacing w:val="2"/>
                <w:sz w:val="21"/>
                <w:szCs w:val="21"/>
                <w:highlight w:val="none"/>
              </w:rPr>
              <w:t xml:space="preserve"> </w:t>
            </w:r>
            <w:r>
              <w:rPr>
                <w:rFonts w:ascii="宋体" w:hAnsi="宋体" w:eastAsia="宋体" w:cs="宋体"/>
                <w:spacing w:val="-4"/>
                <w:sz w:val="21"/>
                <w:szCs w:val="21"/>
                <w:highlight w:val="none"/>
              </w:rPr>
              <w:t>的在本项目投标截止日之前六个月以内任意一个月的：投保单</w:t>
            </w:r>
            <w:r>
              <w:rPr>
                <w:rFonts w:ascii="宋体" w:hAnsi="宋体" w:eastAsia="宋体" w:cs="宋体"/>
                <w:spacing w:val="-5"/>
                <w:sz w:val="21"/>
                <w:szCs w:val="21"/>
                <w:highlight w:val="none"/>
              </w:rPr>
              <w:t>或社会保险</w:t>
            </w:r>
            <w:r>
              <w:rPr>
                <w:rFonts w:ascii="宋体" w:hAnsi="宋体" w:eastAsia="宋体" w:cs="宋体"/>
                <w:sz w:val="21"/>
                <w:szCs w:val="21"/>
                <w:highlight w:val="none"/>
              </w:rPr>
              <w:t xml:space="preserve"> 参保人员证明，或单位代缴个人所得税税单等),未提供证明材料或未按</w:t>
            </w:r>
            <w:r>
              <w:rPr>
                <w:rFonts w:ascii="宋体" w:hAnsi="宋体" w:eastAsia="宋体" w:cs="宋体"/>
                <w:spacing w:val="10"/>
                <w:sz w:val="21"/>
                <w:szCs w:val="21"/>
                <w:highlight w:val="none"/>
              </w:rPr>
              <w:t xml:space="preserve"> </w:t>
            </w:r>
            <w:r>
              <w:rPr>
                <w:rFonts w:ascii="宋体" w:hAnsi="宋体" w:eastAsia="宋体" w:cs="宋体"/>
                <w:spacing w:val="3"/>
                <w:sz w:val="21"/>
                <w:szCs w:val="21"/>
                <w:highlight w:val="none"/>
              </w:rPr>
              <w:t>要求提供的不得分。</w:t>
            </w:r>
          </w:p>
        </w:tc>
      </w:tr>
      <w:tr w14:paraId="0598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1" w:hRule="atLeast"/>
        </w:trPr>
        <w:tc>
          <w:tcPr>
            <w:tcW w:w="1036" w:type="dxa"/>
            <w:vMerge w:val="continue"/>
            <w:tcBorders/>
            <w:vAlign w:val="top"/>
          </w:tcPr>
          <w:p w14:paraId="2C482AE8">
            <w:pPr>
              <w:pStyle w:val="34"/>
              <w:rPr>
                <w:highlight w:val="none"/>
              </w:rPr>
            </w:pPr>
          </w:p>
        </w:tc>
        <w:tc>
          <w:tcPr>
            <w:tcW w:w="829" w:type="dxa"/>
            <w:vAlign w:val="top"/>
          </w:tcPr>
          <w:p w14:paraId="1DE60CE0">
            <w:pPr>
              <w:tabs>
                <w:tab w:val="left" w:pos="201"/>
              </w:tabs>
              <w:spacing w:before="229" w:line="228" w:lineRule="auto"/>
              <w:ind w:left="81" w:right="64"/>
              <w:jc w:val="right"/>
              <w:rPr>
                <w:rFonts w:ascii="宋体" w:hAnsi="宋体" w:eastAsia="宋体" w:cs="宋体"/>
                <w:sz w:val="21"/>
                <w:szCs w:val="21"/>
                <w:highlight w:val="none"/>
              </w:rPr>
            </w:pPr>
            <w:r>
              <w:rPr>
                <w:rFonts w:ascii="宋体" w:hAnsi="宋体" w:eastAsia="宋体" w:cs="宋体"/>
                <w:spacing w:val="6"/>
                <w:sz w:val="21"/>
                <w:szCs w:val="21"/>
                <w:highlight w:val="none"/>
              </w:rPr>
              <w:t>服务团</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队资质</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ab/>
            </w:r>
            <w:r>
              <w:rPr>
                <w:rFonts w:ascii="宋体" w:hAnsi="宋体" w:eastAsia="宋体" w:cs="宋体"/>
                <w:spacing w:val="1"/>
                <w:sz w:val="21"/>
                <w:szCs w:val="21"/>
                <w:highlight w:val="none"/>
              </w:rPr>
              <w:t>(不含</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项目负</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责人和</w:t>
            </w:r>
            <w:r>
              <w:rPr>
                <w:rFonts w:ascii="宋体" w:hAnsi="宋体" w:eastAsia="宋体" w:cs="宋体"/>
                <w:spacing w:val="1"/>
                <w:sz w:val="21"/>
                <w:szCs w:val="21"/>
                <w:highlight w:val="none"/>
              </w:rPr>
              <w:t xml:space="preserve"> </w:t>
            </w:r>
            <w:r>
              <w:rPr>
                <w:rFonts w:ascii="宋体" w:hAnsi="宋体" w:eastAsia="宋体" w:cs="宋体"/>
                <w:spacing w:val="-3"/>
                <w:sz w:val="21"/>
                <w:szCs w:val="21"/>
                <w:highlight w:val="none"/>
              </w:rPr>
              <w:t>应急保</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障服务</w:t>
            </w:r>
          </w:p>
          <w:p w14:paraId="0D5FBF2E">
            <w:pPr>
              <w:spacing w:before="19" w:line="223" w:lineRule="auto"/>
              <w:ind w:left="230" w:right="184" w:hanging="49"/>
              <w:rPr>
                <w:rFonts w:ascii="宋体" w:hAnsi="宋体" w:eastAsia="宋体" w:cs="宋体"/>
                <w:sz w:val="21"/>
                <w:szCs w:val="21"/>
                <w:highlight w:val="none"/>
              </w:rPr>
            </w:pPr>
            <w:r>
              <w:rPr>
                <w:rFonts w:ascii="宋体" w:hAnsi="宋体" w:eastAsia="宋体" w:cs="宋体"/>
                <w:spacing w:val="6"/>
                <w:sz w:val="21"/>
                <w:szCs w:val="21"/>
                <w:highlight w:val="none"/>
              </w:rPr>
              <w:t>负责</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人</w:t>
            </w:r>
            <w:r>
              <w:rPr>
                <w:rFonts w:ascii="宋体" w:hAnsi="宋体" w:eastAsia="宋体" w:cs="宋体"/>
                <w:spacing w:val="-36"/>
                <w:sz w:val="21"/>
                <w:szCs w:val="21"/>
                <w:highlight w:val="none"/>
              </w:rPr>
              <w:t xml:space="preserve"> </w:t>
            </w:r>
            <w:r>
              <w:rPr>
                <w:rFonts w:ascii="宋体" w:hAnsi="宋体" w:eastAsia="宋体" w:cs="宋体"/>
                <w:spacing w:val="-5"/>
                <w:sz w:val="21"/>
                <w:szCs w:val="21"/>
                <w:highlight w:val="none"/>
              </w:rPr>
              <w:t>)</w:t>
            </w:r>
          </w:p>
        </w:tc>
        <w:tc>
          <w:tcPr>
            <w:tcW w:w="699" w:type="dxa"/>
            <w:vAlign w:val="top"/>
          </w:tcPr>
          <w:p w14:paraId="3CE1870E">
            <w:pPr>
              <w:pStyle w:val="34"/>
              <w:spacing w:line="250" w:lineRule="auto"/>
              <w:rPr>
                <w:highlight w:val="none"/>
              </w:rPr>
            </w:pPr>
          </w:p>
          <w:p w14:paraId="0F99CDD9">
            <w:pPr>
              <w:pStyle w:val="34"/>
              <w:spacing w:line="250" w:lineRule="auto"/>
              <w:rPr>
                <w:highlight w:val="none"/>
              </w:rPr>
            </w:pPr>
          </w:p>
          <w:p w14:paraId="334417AC">
            <w:pPr>
              <w:pStyle w:val="34"/>
              <w:spacing w:line="251" w:lineRule="auto"/>
              <w:rPr>
                <w:highlight w:val="none"/>
              </w:rPr>
            </w:pPr>
          </w:p>
          <w:p w14:paraId="52956A14">
            <w:pPr>
              <w:pStyle w:val="34"/>
              <w:spacing w:line="251" w:lineRule="auto"/>
              <w:rPr>
                <w:highlight w:val="none"/>
              </w:rPr>
            </w:pPr>
          </w:p>
          <w:p w14:paraId="04330C65">
            <w:pPr>
              <w:pStyle w:val="34"/>
              <w:spacing w:line="251" w:lineRule="auto"/>
              <w:rPr>
                <w:highlight w:val="none"/>
              </w:rPr>
            </w:pPr>
          </w:p>
          <w:p w14:paraId="45B69BF9">
            <w:pPr>
              <w:spacing w:before="69" w:line="183" w:lineRule="auto"/>
              <w:ind w:left="282"/>
              <w:rPr>
                <w:rFonts w:ascii="宋体" w:hAnsi="宋体" w:eastAsia="宋体" w:cs="宋体"/>
                <w:sz w:val="21"/>
                <w:szCs w:val="21"/>
                <w:highlight w:val="none"/>
              </w:rPr>
            </w:pPr>
            <w:r>
              <w:rPr>
                <w:rFonts w:ascii="宋体" w:hAnsi="宋体" w:eastAsia="宋体" w:cs="宋体"/>
                <w:sz w:val="21"/>
                <w:szCs w:val="21"/>
                <w:highlight w:val="none"/>
              </w:rPr>
              <w:t>4</w:t>
            </w:r>
          </w:p>
        </w:tc>
        <w:tc>
          <w:tcPr>
            <w:tcW w:w="6672" w:type="dxa"/>
            <w:vAlign w:val="top"/>
          </w:tcPr>
          <w:p w14:paraId="711387E3">
            <w:pPr>
              <w:spacing w:before="34" w:line="326" w:lineRule="auto"/>
              <w:ind w:left="113" w:right="141"/>
              <w:rPr>
                <w:rFonts w:ascii="宋体" w:hAnsi="宋体" w:eastAsia="宋体" w:cs="宋体"/>
                <w:sz w:val="21"/>
                <w:szCs w:val="21"/>
                <w:highlight w:val="none"/>
              </w:rPr>
            </w:pPr>
            <w:r>
              <w:rPr>
                <w:rFonts w:ascii="宋体" w:hAnsi="宋体" w:eastAsia="宋体" w:cs="宋体"/>
                <w:sz w:val="21"/>
                <w:szCs w:val="21"/>
                <w:highlight w:val="none"/>
              </w:rPr>
              <w:t>投入本项目服务团队中，具有保安员二级/技师(原保安师)或以上职业</w:t>
            </w:r>
            <w:r>
              <w:rPr>
                <w:rFonts w:ascii="宋体" w:hAnsi="宋体" w:eastAsia="宋体" w:cs="宋体"/>
                <w:spacing w:val="11"/>
                <w:sz w:val="21"/>
                <w:szCs w:val="21"/>
                <w:highlight w:val="none"/>
              </w:rPr>
              <w:t xml:space="preserve"> </w:t>
            </w:r>
            <w:r>
              <w:rPr>
                <w:rFonts w:ascii="宋体" w:hAnsi="宋体" w:eastAsia="宋体" w:cs="宋体"/>
                <w:sz w:val="21"/>
                <w:szCs w:val="21"/>
                <w:highlight w:val="none"/>
              </w:rPr>
              <w:t>资格证书(技能等级证书),每人得1分，本项目最高4分。</w:t>
            </w:r>
          </w:p>
          <w:p w14:paraId="63928BDD">
            <w:pPr>
              <w:spacing w:before="37" w:line="337" w:lineRule="auto"/>
              <w:ind w:left="13" w:right="20" w:firstLine="499"/>
              <w:jc w:val="both"/>
              <w:rPr>
                <w:rFonts w:ascii="宋体" w:hAnsi="宋体" w:eastAsia="宋体" w:cs="宋体"/>
                <w:sz w:val="21"/>
                <w:szCs w:val="21"/>
                <w:highlight w:val="none"/>
              </w:rPr>
            </w:pPr>
            <w:r>
              <w:rPr>
                <w:rFonts w:ascii="宋体" w:hAnsi="宋体" w:eastAsia="宋体" w:cs="宋体"/>
                <w:spacing w:val="-2"/>
                <w:sz w:val="21"/>
                <w:szCs w:val="21"/>
                <w:highlight w:val="none"/>
              </w:rPr>
              <w:t>备注：须提供以上资质证明材料(职业资格证书须提供扫描件及提供</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技能人才评价证书全国联网的查询截图)及以上</w:t>
            </w:r>
            <w:r>
              <w:rPr>
                <w:rFonts w:ascii="宋体" w:hAnsi="宋体" w:eastAsia="宋体" w:cs="宋体"/>
                <w:spacing w:val="-1"/>
                <w:sz w:val="21"/>
                <w:szCs w:val="21"/>
                <w:highlight w:val="none"/>
              </w:rPr>
              <w:t>人员在投标人服务的外部</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证明材料扫描件，如投标截止日之前六个月以内任意月份的代缴个税税单</w:t>
            </w:r>
            <w:r>
              <w:rPr>
                <w:rFonts w:ascii="宋体" w:hAnsi="宋体" w:eastAsia="宋体" w:cs="宋体"/>
                <w:spacing w:val="13"/>
                <w:sz w:val="21"/>
                <w:szCs w:val="21"/>
                <w:highlight w:val="none"/>
              </w:rPr>
              <w:t xml:space="preserve"> </w:t>
            </w:r>
            <w:r>
              <w:rPr>
                <w:rFonts w:ascii="宋体" w:hAnsi="宋体" w:eastAsia="宋体" w:cs="宋体"/>
                <w:spacing w:val="-3"/>
                <w:sz w:val="21"/>
                <w:szCs w:val="21"/>
                <w:highlight w:val="none"/>
              </w:rPr>
              <w:t>或参加社会保险的《投保单》或《社会保险参保人员证明》扫描件。无提</w:t>
            </w:r>
            <w:r>
              <w:rPr>
                <w:rFonts w:ascii="宋体" w:hAnsi="宋体" w:eastAsia="宋体" w:cs="宋体"/>
                <w:spacing w:val="13"/>
                <w:sz w:val="21"/>
                <w:szCs w:val="21"/>
                <w:highlight w:val="none"/>
              </w:rPr>
              <w:t xml:space="preserve"> </w:t>
            </w:r>
            <w:r>
              <w:rPr>
                <w:rFonts w:ascii="宋体" w:hAnsi="宋体" w:eastAsia="宋体" w:cs="宋体"/>
                <w:spacing w:val="14"/>
                <w:sz w:val="21"/>
                <w:szCs w:val="21"/>
                <w:highlight w:val="none"/>
              </w:rPr>
              <w:t>供的不得分。</w:t>
            </w:r>
          </w:p>
        </w:tc>
      </w:tr>
      <w:tr w14:paraId="0755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0" w:hRule="atLeast"/>
        </w:trPr>
        <w:tc>
          <w:tcPr>
            <w:tcW w:w="1036" w:type="dxa"/>
            <w:vMerge w:val="restart"/>
            <w:vAlign w:val="top"/>
          </w:tcPr>
          <w:p w14:paraId="41697574">
            <w:pPr>
              <w:spacing w:before="69" w:line="229" w:lineRule="auto"/>
              <w:ind w:left="304" w:right="97" w:hanging="209"/>
              <w:rPr>
                <w:highlight w:val="none"/>
              </w:rPr>
            </w:pPr>
          </w:p>
          <w:p w14:paraId="7E7B9A41">
            <w:pPr>
              <w:spacing w:before="69" w:line="229" w:lineRule="auto"/>
              <w:ind w:left="304" w:right="97" w:hanging="209"/>
              <w:rPr>
                <w:highlight w:val="none"/>
              </w:rPr>
            </w:pPr>
          </w:p>
          <w:p w14:paraId="036B3813">
            <w:pPr>
              <w:spacing w:before="69" w:line="229" w:lineRule="auto"/>
              <w:ind w:left="304" w:right="97" w:hanging="209"/>
              <w:rPr>
                <w:highlight w:val="none"/>
              </w:rPr>
            </w:pPr>
          </w:p>
          <w:p w14:paraId="5384BF33">
            <w:pPr>
              <w:spacing w:before="69" w:line="229" w:lineRule="auto"/>
              <w:ind w:left="304" w:right="97" w:hanging="209"/>
              <w:rPr>
                <w:highlight w:val="none"/>
              </w:rPr>
            </w:pPr>
          </w:p>
          <w:p w14:paraId="15B50832">
            <w:pPr>
              <w:spacing w:before="69" w:line="229" w:lineRule="auto"/>
              <w:ind w:left="304" w:right="97" w:hanging="209"/>
              <w:rPr>
                <w:highlight w:val="none"/>
              </w:rPr>
            </w:pPr>
          </w:p>
          <w:p w14:paraId="7F1A1D0A">
            <w:pPr>
              <w:spacing w:before="69" w:line="229" w:lineRule="auto"/>
              <w:ind w:left="304" w:right="97" w:hanging="209"/>
              <w:rPr>
                <w:highlight w:val="none"/>
              </w:rPr>
            </w:pPr>
          </w:p>
          <w:p w14:paraId="75CABF92">
            <w:pPr>
              <w:spacing w:before="69" w:line="229" w:lineRule="auto"/>
              <w:ind w:left="304" w:right="97" w:hanging="209"/>
              <w:rPr>
                <w:highlight w:val="none"/>
              </w:rPr>
            </w:pPr>
          </w:p>
          <w:p w14:paraId="6E35BD99">
            <w:pPr>
              <w:spacing w:before="69" w:line="229" w:lineRule="auto"/>
              <w:ind w:left="304" w:right="97" w:hanging="209"/>
              <w:rPr>
                <w:highlight w:val="none"/>
              </w:rPr>
            </w:pPr>
          </w:p>
          <w:p w14:paraId="30E9BFDB">
            <w:pPr>
              <w:spacing w:before="69" w:line="229" w:lineRule="auto"/>
              <w:ind w:left="304" w:right="97" w:hanging="209"/>
              <w:rPr>
                <w:highlight w:val="none"/>
              </w:rPr>
            </w:pPr>
          </w:p>
          <w:p w14:paraId="709D9560">
            <w:pPr>
              <w:spacing w:before="69" w:line="229" w:lineRule="auto"/>
              <w:ind w:left="304" w:right="97" w:hanging="209"/>
              <w:rPr>
                <w:highlight w:val="none"/>
              </w:rPr>
            </w:pPr>
          </w:p>
          <w:p w14:paraId="606FCD68">
            <w:pPr>
              <w:spacing w:before="69" w:line="229" w:lineRule="auto"/>
              <w:ind w:left="304" w:right="97" w:hanging="209"/>
              <w:rPr>
                <w:highlight w:val="none"/>
              </w:rPr>
            </w:pPr>
          </w:p>
          <w:p w14:paraId="6DAAD566">
            <w:pPr>
              <w:spacing w:before="69" w:line="229" w:lineRule="auto"/>
              <w:ind w:left="304" w:right="97" w:hanging="209"/>
              <w:rPr>
                <w:highlight w:val="none"/>
              </w:rPr>
            </w:pPr>
          </w:p>
          <w:p w14:paraId="38E8F37D">
            <w:pPr>
              <w:spacing w:before="69" w:line="229" w:lineRule="auto"/>
              <w:ind w:left="304" w:right="97" w:hanging="209"/>
              <w:rPr>
                <w:highlight w:val="none"/>
              </w:rPr>
            </w:pPr>
          </w:p>
          <w:p w14:paraId="33A376AF">
            <w:pPr>
              <w:spacing w:before="69" w:line="229" w:lineRule="auto"/>
              <w:ind w:left="304" w:right="97" w:hanging="209"/>
              <w:rPr>
                <w:highlight w:val="none"/>
              </w:rPr>
            </w:pPr>
          </w:p>
          <w:p w14:paraId="0B1F79CC">
            <w:pPr>
              <w:spacing w:before="69" w:line="229" w:lineRule="auto"/>
              <w:ind w:left="304" w:right="97" w:hanging="209"/>
              <w:rPr>
                <w:highlight w:val="none"/>
              </w:rPr>
            </w:pPr>
          </w:p>
          <w:p w14:paraId="32A7F94C">
            <w:pPr>
              <w:spacing w:before="69" w:line="229" w:lineRule="auto"/>
              <w:ind w:left="304" w:right="97" w:hanging="209"/>
              <w:rPr>
                <w:highlight w:val="none"/>
              </w:rPr>
            </w:pPr>
          </w:p>
          <w:p w14:paraId="72D24830">
            <w:pPr>
              <w:spacing w:before="69" w:line="229" w:lineRule="auto"/>
              <w:ind w:left="304" w:right="97" w:hanging="209"/>
              <w:rPr>
                <w:highlight w:val="none"/>
              </w:rPr>
            </w:pPr>
          </w:p>
          <w:p w14:paraId="01AD0C1C">
            <w:pPr>
              <w:spacing w:before="69" w:line="229" w:lineRule="auto"/>
              <w:ind w:left="304" w:right="97" w:hanging="209"/>
              <w:rPr>
                <w:highlight w:val="none"/>
              </w:rPr>
            </w:pPr>
          </w:p>
          <w:p w14:paraId="0F5250CA">
            <w:pPr>
              <w:spacing w:before="69" w:line="229" w:lineRule="auto"/>
              <w:ind w:left="304" w:right="97" w:hanging="209"/>
              <w:rPr>
                <w:highlight w:val="none"/>
              </w:rPr>
            </w:pPr>
          </w:p>
          <w:p w14:paraId="106265EB">
            <w:pPr>
              <w:spacing w:before="69" w:line="229" w:lineRule="auto"/>
              <w:ind w:left="304" w:right="97" w:hanging="209"/>
              <w:rPr>
                <w:highlight w:val="none"/>
              </w:rPr>
            </w:pPr>
          </w:p>
          <w:p w14:paraId="496D00D8">
            <w:pPr>
              <w:spacing w:before="69" w:line="229" w:lineRule="auto"/>
              <w:ind w:left="304" w:right="97" w:hanging="209"/>
              <w:jc w:val="center"/>
              <w:rPr>
                <w:highlight w:val="none"/>
              </w:rPr>
            </w:pPr>
          </w:p>
          <w:p w14:paraId="62B6F43F">
            <w:pPr>
              <w:spacing w:before="69" w:line="229" w:lineRule="auto"/>
              <w:ind w:left="0" w:right="97" w:firstLine="0"/>
              <w:jc w:val="center"/>
              <w:rPr>
                <w:rFonts w:ascii="宋体" w:hAnsi="宋体" w:eastAsia="宋体" w:cs="宋体"/>
                <w:sz w:val="21"/>
                <w:szCs w:val="21"/>
                <w:highlight w:val="none"/>
              </w:rPr>
            </w:pPr>
            <w:r>
              <w:rPr>
                <w:rFonts w:ascii="宋体" w:hAnsi="宋体" w:eastAsia="宋体" w:cs="宋体"/>
                <w:spacing w:val="3"/>
                <w:sz w:val="21"/>
                <w:szCs w:val="21"/>
                <w:highlight w:val="none"/>
              </w:rPr>
              <w:t>技术部</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分</w:t>
            </w:r>
            <w:r>
              <w:rPr>
                <w:rFonts w:ascii="宋体" w:hAnsi="宋体" w:eastAsia="宋体" w:cs="宋体"/>
                <w:spacing w:val="3"/>
                <w:sz w:val="21"/>
                <w:szCs w:val="21"/>
                <w:highlight w:val="none"/>
              </w:rPr>
              <w:t>(40分</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w:t>
            </w:r>
          </w:p>
        </w:tc>
        <w:tc>
          <w:tcPr>
            <w:tcW w:w="829" w:type="dxa"/>
            <w:vAlign w:val="top"/>
          </w:tcPr>
          <w:p w14:paraId="4599FAE1">
            <w:pPr>
              <w:pStyle w:val="34"/>
              <w:spacing w:line="262" w:lineRule="auto"/>
              <w:rPr>
                <w:highlight w:val="none"/>
              </w:rPr>
            </w:pPr>
          </w:p>
          <w:p w14:paraId="158EECDF">
            <w:pPr>
              <w:pStyle w:val="34"/>
              <w:spacing w:line="262" w:lineRule="auto"/>
              <w:rPr>
                <w:highlight w:val="none"/>
              </w:rPr>
            </w:pPr>
          </w:p>
          <w:p w14:paraId="3581AA99">
            <w:pPr>
              <w:pStyle w:val="34"/>
              <w:spacing w:line="262" w:lineRule="auto"/>
              <w:rPr>
                <w:highlight w:val="none"/>
              </w:rPr>
            </w:pPr>
          </w:p>
          <w:p w14:paraId="08669817">
            <w:pPr>
              <w:pStyle w:val="34"/>
              <w:spacing w:line="262" w:lineRule="auto"/>
              <w:rPr>
                <w:highlight w:val="none"/>
              </w:rPr>
            </w:pPr>
          </w:p>
          <w:p w14:paraId="2F813B24">
            <w:pPr>
              <w:pStyle w:val="34"/>
              <w:spacing w:line="262" w:lineRule="auto"/>
              <w:rPr>
                <w:highlight w:val="none"/>
              </w:rPr>
            </w:pPr>
          </w:p>
          <w:p w14:paraId="753706E4">
            <w:pPr>
              <w:pStyle w:val="34"/>
              <w:spacing w:line="262" w:lineRule="auto"/>
              <w:rPr>
                <w:highlight w:val="none"/>
              </w:rPr>
            </w:pPr>
          </w:p>
          <w:p w14:paraId="6F578AD2">
            <w:pPr>
              <w:pStyle w:val="34"/>
              <w:spacing w:line="263" w:lineRule="auto"/>
              <w:rPr>
                <w:highlight w:val="none"/>
              </w:rPr>
            </w:pPr>
          </w:p>
          <w:p w14:paraId="19917F99">
            <w:pPr>
              <w:pStyle w:val="34"/>
              <w:spacing w:line="263" w:lineRule="auto"/>
              <w:rPr>
                <w:highlight w:val="none"/>
              </w:rPr>
            </w:pPr>
          </w:p>
          <w:p w14:paraId="53D89518">
            <w:pPr>
              <w:pStyle w:val="34"/>
              <w:spacing w:line="263" w:lineRule="auto"/>
              <w:rPr>
                <w:highlight w:val="none"/>
              </w:rPr>
            </w:pPr>
          </w:p>
          <w:p w14:paraId="1C6F3651">
            <w:pPr>
              <w:spacing w:before="68" w:line="220" w:lineRule="auto"/>
              <w:ind w:left="91"/>
              <w:rPr>
                <w:rFonts w:ascii="宋体" w:hAnsi="宋体" w:eastAsia="宋体" w:cs="宋体"/>
                <w:sz w:val="21"/>
                <w:szCs w:val="21"/>
                <w:highlight w:val="none"/>
              </w:rPr>
            </w:pPr>
            <w:r>
              <w:rPr>
                <w:rFonts w:ascii="宋体" w:hAnsi="宋体" w:eastAsia="宋体" w:cs="宋体"/>
                <w:spacing w:val="3"/>
                <w:sz w:val="21"/>
                <w:szCs w:val="21"/>
                <w:highlight w:val="none"/>
              </w:rPr>
              <w:t>项目整</w:t>
            </w:r>
          </w:p>
          <w:p w14:paraId="47F760D6">
            <w:pPr>
              <w:spacing w:before="139" w:line="219" w:lineRule="auto"/>
              <w:ind w:left="91"/>
              <w:rPr>
                <w:rFonts w:ascii="宋体" w:hAnsi="宋体" w:eastAsia="宋体" w:cs="宋体"/>
                <w:sz w:val="21"/>
                <w:szCs w:val="21"/>
                <w:highlight w:val="none"/>
              </w:rPr>
            </w:pPr>
            <w:r>
              <w:rPr>
                <w:rFonts w:ascii="宋体" w:hAnsi="宋体" w:eastAsia="宋体" w:cs="宋体"/>
                <w:spacing w:val="-2"/>
                <w:sz w:val="21"/>
                <w:szCs w:val="21"/>
                <w:highlight w:val="none"/>
              </w:rPr>
              <w:t>体服务</w:t>
            </w:r>
          </w:p>
          <w:p w14:paraId="22EF87A3">
            <w:pPr>
              <w:spacing w:before="141" w:line="220" w:lineRule="auto"/>
              <w:ind w:left="200"/>
              <w:rPr>
                <w:rFonts w:ascii="宋体" w:hAnsi="宋体" w:eastAsia="宋体" w:cs="宋体"/>
                <w:sz w:val="21"/>
                <w:szCs w:val="21"/>
                <w:highlight w:val="none"/>
              </w:rPr>
            </w:pPr>
            <w:r>
              <w:rPr>
                <w:rFonts w:ascii="宋体" w:hAnsi="宋体" w:eastAsia="宋体" w:cs="宋体"/>
                <w:spacing w:val="-3"/>
                <w:sz w:val="21"/>
                <w:szCs w:val="21"/>
                <w:highlight w:val="none"/>
              </w:rPr>
              <w:t>方案</w:t>
            </w:r>
          </w:p>
        </w:tc>
        <w:tc>
          <w:tcPr>
            <w:tcW w:w="699" w:type="dxa"/>
            <w:vAlign w:val="top"/>
          </w:tcPr>
          <w:p w14:paraId="6F41584C">
            <w:pPr>
              <w:pStyle w:val="34"/>
              <w:spacing w:line="257" w:lineRule="auto"/>
              <w:rPr>
                <w:highlight w:val="none"/>
              </w:rPr>
            </w:pPr>
          </w:p>
          <w:p w14:paraId="18C138B2">
            <w:pPr>
              <w:pStyle w:val="34"/>
              <w:spacing w:line="257" w:lineRule="auto"/>
              <w:rPr>
                <w:highlight w:val="none"/>
              </w:rPr>
            </w:pPr>
          </w:p>
          <w:p w14:paraId="699B5779">
            <w:pPr>
              <w:pStyle w:val="34"/>
              <w:spacing w:line="257" w:lineRule="auto"/>
              <w:rPr>
                <w:highlight w:val="none"/>
              </w:rPr>
            </w:pPr>
          </w:p>
          <w:p w14:paraId="626A580C">
            <w:pPr>
              <w:pStyle w:val="34"/>
              <w:spacing w:line="257" w:lineRule="auto"/>
              <w:rPr>
                <w:highlight w:val="none"/>
              </w:rPr>
            </w:pPr>
          </w:p>
          <w:p w14:paraId="61F95394">
            <w:pPr>
              <w:pStyle w:val="34"/>
              <w:spacing w:line="257" w:lineRule="auto"/>
              <w:rPr>
                <w:highlight w:val="none"/>
              </w:rPr>
            </w:pPr>
          </w:p>
          <w:p w14:paraId="194F0B54">
            <w:pPr>
              <w:pStyle w:val="34"/>
              <w:spacing w:line="257" w:lineRule="auto"/>
              <w:rPr>
                <w:highlight w:val="none"/>
              </w:rPr>
            </w:pPr>
          </w:p>
          <w:p w14:paraId="6C0E2AAD">
            <w:pPr>
              <w:pStyle w:val="34"/>
              <w:spacing w:line="257" w:lineRule="auto"/>
              <w:rPr>
                <w:highlight w:val="none"/>
              </w:rPr>
            </w:pPr>
          </w:p>
          <w:p w14:paraId="6D2D8FF5">
            <w:pPr>
              <w:pStyle w:val="34"/>
              <w:spacing w:line="258" w:lineRule="auto"/>
              <w:rPr>
                <w:highlight w:val="none"/>
              </w:rPr>
            </w:pPr>
          </w:p>
          <w:p w14:paraId="0C426F37">
            <w:pPr>
              <w:pStyle w:val="34"/>
              <w:spacing w:line="258" w:lineRule="auto"/>
              <w:rPr>
                <w:highlight w:val="none"/>
              </w:rPr>
            </w:pPr>
          </w:p>
          <w:p w14:paraId="375C6959">
            <w:pPr>
              <w:pStyle w:val="34"/>
              <w:spacing w:line="258" w:lineRule="auto"/>
              <w:rPr>
                <w:highlight w:val="none"/>
              </w:rPr>
            </w:pPr>
          </w:p>
          <w:p w14:paraId="207A01B6">
            <w:pPr>
              <w:pStyle w:val="34"/>
              <w:spacing w:line="258" w:lineRule="auto"/>
              <w:rPr>
                <w:highlight w:val="none"/>
              </w:rPr>
            </w:pPr>
          </w:p>
          <w:p w14:paraId="41038F75">
            <w:pPr>
              <w:spacing w:before="68" w:line="184" w:lineRule="auto"/>
              <w:ind w:left="191"/>
              <w:rPr>
                <w:rFonts w:ascii="宋体" w:hAnsi="宋体" w:eastAsia="宋体" w:cs="宋体"/>
                <w:sz w:val="21"/>
                <w:szCs w:val="21"/>
                <w:highlight w:val="none"/>
              </w:rPr>
            </w:pPr>
            <w:r>
              <w:rPr>
                <w:rFonts w:ascii="宋体" w:hAnsi="宋体" w:eastAsia="宋体" w:cs="宋体"/>
                <w:spacing w:val="-6"/>
                <w:sz w:val="21"/>
                <w:szCs w:val="21"/>
                <w:highlight w:val="none"/>
              </w:rPr>
              <w:t>10</w:t>
            </w:r>
          </w:p>
        </w:tc>
        <w:tc>
          <w:tcPr>
            <w:tcW w:w="6672" w:type="dxa"/>
            <w:vAlign w:val="top"/>
          </w:tcPr>
          <w:p w14:paraId="5F672F0F">
            <w:pPr>
              <w:spacing w:before="53" w:line="330" w:lineRule="auto"/>
              <w:ind w:left="0" w:right="10" w:firstLine="0"/>
              <w:rPr>
                <w:rFonts w:ascii="宋体" w:hAnsi="宋体" w:eastAsia="宋体" w:cs="宋体"/>
                <w:sz w:val="21"/>
                <w:szCs w:val="21"/>
                <w:highlight w:val="none"/>
              </w:rPr>
            </w:pPr>
            <w:r>
              <w:rPr>
                <w:rFonts w:ascii="宋体" w:hAnsi="宋体" w:eastAsia="宋体" w:cs="宋体"/>
                <w:spacing w:val="-1"/>
                <w:sz w:val="21"/>
                <w:szCs w:val="21"/>
                <w:highlight w:val="none"/>
              </w:rPr>
              <w:t>根据投标人针对本项目的总体服务方案(包括但不限</w:t>
            </w:r>
            <w:r>
              <w:rPr>
                <w:rFonts w:ascii="宋体" w:hAnsi="宋体" w:eastAsia="宋体" w:cs="宋体"/>
                <w:spacing w:val="-2"/>
                <w:sz w:val="21"/>
                <w:szCs w:val="21"/>
                <w:highlight w:val="none"/>
              </w:rPr>
              <w:t>于执行计划、管理</w:t>
            </w:r>
            <w:r>
              <w:rPr>
                <w:rFonts w:ascii="宋体" w:hAnsi="宋体" w:eastAsia="宋体" w:cs="宋体"/>
                <w:sz w:val="21"/>
                <w:szCs w:val="21"/>
                <w:highlight w:val="none"/>
              </w:rPr>
              <w:t>模式、总体服务流程等内容)进行评审：</w:t>
            </w:r>
          </w:p>
          <w:p w14:paraId="3BAA257E">
            <w:pPr>
              <w:spacing w:before="48" w:line="219" w:lineRule="auto"/>
              <w:ind w:left="62"/>
              <w:rPr>
                <w:rFonts w:ascii="宋体" w:hAnsi="宋体" w:eastAsia="宋体" w:cs="宋体"/>
                <w:sz w:val="21"/>
                <w:szCs w:val="21"/>
                <w:highlight w:val="none"/>
              </w:rPr>
            </w:pPr>
            <w:r>
              <w:rPr>
                <w:rFonts w:ascii="宋体" w:hAnsi="宋体" w:eastAsia="宋体" w:cs="宋体"/>
                <w:sz w:val="21"/>
                <w:szCs w:val="21"/>
                <w:highlight w:val="none"/>
              </w:rPr>
              <w:t>(1)服务方案内容贴合采购人需求，执行计划、管理模式能够充分考虑到</w:t>
            </w:r>
          </w:p>
          <w:p w14:paraId="600E7F7C">
            <w:pPr>
              <w:spacing w:before="141" w:line="339" w:lineRule="auto"/>
              <w:ind w:left="62" w:right="7" w:firstLine="70"/>
              <w:rPr>
                <w:rFonts w:ascii="宋体" w:hAnsi="宋体" w:eastAsia="宋体" w:cs="宋体"/>
                <w:sz w:val="21"/>
                <w:szCs w:val="21"/>
                <w:highlight w:val="none"/>
              </w:rPr>
            </w:pPr>
            <w:r>
              <w:rPr>
                <w:rFonts w:ascii="宋体" w:hAnsi="宋体" w:eastAsia="宋体" w:cs="宋体"/>
                <w:spacing w:val="-5"/>
                <w:sz w:val="21"/>
                <w:szCs w:val="21"/>
                <w:highlight w:val="none"/>
              </w:rPr>
              <w:t>本项目实际的操作情况，重点难点分析内容优异，总体服务流</w:t>
            </w:r>
            <w:r>
              <w:rPr>
                <w:rFonts w:ascii="宋体" w:hAnsi="宋体" w:eastAsia="宋体" w:cs="宋体"/>
                <w:spacing w:val="-6"/>
                <w:sz w:val="21"/>
                <w:szCs w:val="21"/>
                <w:highlight w:val="none"/>
              </w:rPr>
              <w:t>程清晰，内容</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详尽有针对性，能有效保障项目实施：10</w:t>
            </w:r>
            <w:r>
              <w:rPr>
                <w:rFonts w:ascii="宋体" w:hAnsi="宋体" w:eastAsia="宋体" w:cs="宋体"/>
                <w:spacing w:val="4"/>
                <w:sz w:val="21"/>
                <w:szCs w:val="21"/>
                <w:highlight w:val="none"/>
              </w:rPr>
              <w:t>分；</w:t>
            </w:r>
          </w:p>
          <w:p w14:paraId="050CD367">
            <w:pPr>
              <w:spacing w:before="18" w:line="219" w:lineRule="auto"/>
              <w:ind w:left="62"/>
              <w:rPr>
                <w:rFonts w:ascii="宋体" w:hAnsi="宋体" w:eastAsia="宋体" w:cs="宋体"/>
                <w:sz w:val="21"/>
                <w:szCs w:val="21"/>
                <w:highlight w:val="none"/>
              </w:rPr>
            </w:pPr>
            <w:r>
              <w:rPr>
                <w:rFonts w:ascii="宋体" w:hAnsi="宋体" w:eastAsia="宋体" w:cs="宋体"/>
                <w:sz w:val="21"/>
                <w:szCs w:val="21"/>
                <w:highlight w:val="none"/>
              </w:rPr>
              <w:t>(2)服务方案内容相对贴合采购人需求，执行计划、管理模式能够考虑到</w:t>
            </w:r>
          </w:p>
          <w:p w14:paraId="78ADACAC">
            <w:pPr>
              <w:spacing w:before="151" w:line="330" w:lineRule="auto"/>
              <w:ind w:left="62" w:firstLine="59"/>
              <w:rPr>
                <w:rFonts w:ascii="宋体" w:hAnsi="宋体" w:eastAsia="宋体" w:cs="宋体"/>
                <w:sz w:val="21"/>
                <w:szCs w:val="21"/>
                <w:highlight w:val="none"/>
              </w:rPr>
            </w:pPr>
            <w:r>
              <w:rPr>
                <w:rFonts w:ascii="宋体" w:hAnsi="宋体" w:eastAsia="宋体" w:cs="宋体"/>
                <w:spacing w:val="-5"/>
                <w:sz w:val="21"/>
                <w:szCs w:val="21"/>
                <w:highlight w:val="none"/>
              </w:rPr>
              <w:t>本项目实际的操作情况，重点难点分析内容较好，总体服务流程较清晰，内</w:t>
            </w:r>
            <w:r>
              <w:rPr>
                <w:rFonts w:ascii="宋体" w:hAnsi="宋体" w:eastAsia="宋体" w:cs="宋体"/>
                <w:spacing w:val="12"/>
                <w:sz w:val="21"/>
                <w:szCs w:val="21"/>
                <w:highlight w:val="none"/>
              </w:rPr>
              <w:t xml:space="preserve"> </w:t>
            </w:r>
            <w:r>
              <w:rPr>
                <w:rFonts w:ascii="宋体" w:hAnsi="宋体" w:eastAsia="宋体" w:cs="宋体"/>
                <w:spacing w:val="4"/>
                <w:sz w:val="21"/>
                <w:szCs w:val="21"/>
                <w:highlight w:val="none"/>
              </w:rPr>
              <w:t>容详尽部分有针对性，能有效保障项目实施：7分；</w:t>
            </w:r>
          </w:p>
          <w:p w14:paraId="6518DC9D">
            <w:pPr>
              <w:spacing w:before="28" w:line="219" w:lineRule="auto"/>
              <w:ind w:left="62"/>
              <w:rPr>
                <w:rFonts w:ascii="宋体" w:hAnsi="宋体" w:eastAsia="宋体" w:cs="宋体"/>
                <w:sz w:val="21"/>
                <w:szCs w:val="21"/>
                <w:highlight w:val="none"/>
              </w:rPr>
            </w:pPr>
            <w:r>
              <w:rPr>
                <w:rFonts w:ascii="宋体" w:hAnsi="宋体" w:eastAsia="宋体" w:cs="宋体"/>
                <w:sz w:val="21"/>
                <w:szCs w:val="21"/>
                <w:highlight w:val="none"/>
              </w:rPr>
              <w:t>(3)服务方案内容不太贴合采购人需求，执行计划、管理模式对本项目实</w:t>
            </w:r>
          </w:p>
          <w:p w14:paraId="67053A76">
            <w:pPr>
              <w:spacing w:before="151" w:line="339" w:lineRule="auto"/>
              <w:ind w:left="62"/>
              <w:rPr>
                <w:rFonts w:ascii="宋体" w:hAnsi="宋体" w:eastAsia="宋体" w:cs="宋体"/>
                <w:sz w:val="21"/>
                <w:szCs w:val="21"/>
                <w:highlight w:val="none"/>
              </w:rPr>
            </w:pPr>
            <w:r>
              <w:rPr>
                <w:rFonts w:ascii="宋体" w:hAnsi="宋体" w:eastAsia="宋体" w:cs="宋体"/>
                <w:spacing w:val="-3"/>
                <w:sz w:val="21"/>
                <w:szCs w:val="21"/>
                <w:highlight w:val="none"/>
              </w:rPr>
              <w:t>际的操作情况考虑不全，重点难点分析内容一般，总体服务流程不够清晰，</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内容部分有针对性，部分能有效保障项目实施：4分；</w:t>
            </w:r>
          </w:p>
          <w:p w14:paraId="577AFCDE">
            <w:pPr>
              <w:spacing w:before="19" w:line="219" w:lineRule="auto"/>
              <w:ind w:left="62"/>
              <w:rPr>
                <w:rFonts w:ascii="宋体" w:hAnsi="宋体" w:eastAsia="宋体" w:cs="宋体"/>
                <w:sz w:val="21"/>
                <w:szCs w:val="21"/>
                <w:highlight w:val="none"/>
              </w:rPr>
            </w:pPr>
            <w:r>
              <w:rPr>
                <w:rFonts w:ascii="宋体" w:hAnsi="宋体" w:eastAsia="宋体" w:cs="宋体"/>
                <w:sz w:val="21"/>
                <w:szCs w:val="21"/>
                <w:highlight w:val="none"/>
              </w:rPr>
              <w:t>(4)服务方案内容不贴合采购人需求，执行计划、管理模式未能考虑到本</w:t>
            </w:r>
          </w:p>
          <w:p w14:paraId="1B21785B">
            <w:pPr>
              <w:spacing w:before="141" w:line="347" w:lineRule="auto"/>
              <w:ind w:left="62" w:right="9" w:firstLine="60"/>
              <w:rPr>
                <w:rFonts w:ascii="宋体" w:hAnsi="宋体" w:eastAsia="宋体" w:cs="宋体"/>
                <w:sz w:val="21"/>
                <w:szCs w:val="21"/>
                <w:highlight w:val="none"/>
              </w:rPr>
            </w:pPr>
            <w:r>
              <w:rPr>
                <w:rFonts w:ascii="宋体" w:hAnsi="宋体" w:eastAsia="宋体" w:cs="宋体"/>
                <w:spacing w:val="-5"/>
                <w:sz w:val="21"/>
                <w:szCs w:val="21"/>
                <w:highlight w:val="none"/>
              </w:rPr>
              <w:t>项目实际的操作情况，重点难点分析内容差，总体服务流程不清晰，内容无</w:t>
            </w:r>
            <w:r>
              <w:rPr>
                <w:rFonts w:ascii="宋体" w:hAnsi="宋体" w:eastAsia="宋体" w:cs="宋体"/>
                <w:spacing w:val="2"/>
                <w:sz w:val="21"/>
                <w:szCs w:val="21"/>
                <w:highlight w:val="none"/>
              </w:rPr>
              <w:t xml:space="preserve"> </w:t>
            </w:r>
            <w:r>
              <w:rPr>
                <w:rFonts w:ascii="宋体" w:hAnsi="宋体" w:eastAsia="宋体" w:cs="宋体"/>
                <w:spacing w:val="5"/>
                <w:sz w:val="21"/>
                <w:szCs w:val="21"/>
                <w:highlight w:val="none"/>
              </w:rPr>
              <w:t>有针对性，无法有效保障项目实施：1分；</w:t>
            </w:r>
          </w:p>
          <w:p w14:paraId="132FF297">
            <w:pPr>
              <w:spacing w:before="1" w:line="218" w:lineRule="auto"/>
              <w:ind w:left="62"/>
              <w:rPr>
                <w:rFonts w:ascii="宋体" w:hAnsi="宋体" w:eastAsia="宋体" w:cs="宋体"/>
                <w:sz w:val="21"/>
                <w:szCs w:val="21"/>
                <w:highlight w:val="none"/>
              </w:rPr>
            </w:pPr>
            <w:r>
              <w:rPr>
                <w:rFonts w:ascii="宋体" w:hAnsi="宋体" w:eastAsia="宋体" w:cs="宋体"/>
                <w:spacing w:val="-1"/>
                <w:sz w:val="21"/>
                <w:szCs w:val="21"/>
                <w:highlight w:val="none"/>
              </w:rPr>
              <w:t>(5)无提供或其他情况不得分。</w:t>
            </w:r>
          </w:p>
        </w:tc>
      </w:tr>
      <w:tr w14:paraId="0B04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trPr>
        <w:tc>
          <w:tcPr>
            <w:tcW w:w="1036" w:type="dxa"/>
            <w:vMerge w:val="continue"/>
            <w:tcBorders/>
            <w:vAlign w:val="top"/>
          </w:tcPr>
          <w:p w14:paraId="689AAD1D">
            <w:pPr>
              <w:pStyle w:val="34"/>
              <w:rPr>
                <w:highlight w:val="none"/>
              </w:rPr>
            </w:pPr>
          </w:p>
        </w:tc>
        <w:tc>
          <w:tcPr>
            <w:tcW w:w="829" w:type="dxa"/>
            <w:vAlign w:val="top"/>
          </w:tcPr>
          <w:p w14:paraId="213835E7">
            <w:pPr>
              <w:spacing w:before="93" w:line="219" w:lineRule="auto"/>
              <w:ind w:left="91"/>
              <w:rPr>
                <w:rFonts w:ascii="宋体" w:hAnsi="宋体" w:eastAsia="宋体" w:cs="宋体"/>
                <w:sz w:val="21"/>
                <w:szCs w:val="21"/>
                <w:highlight w:val="none"/>
              </w:rPr>
            </w:pPr>
            <w:r>
              <w:rPr>
                <w:rFonts w:ascii="宋体" w:hAnsi="宋体" w:eastAsia="宋体" w:cs="宋体"/>
                <w:spacing w:val="7"/>
                <w:sz w:val="21"/>
                <w:szCs w:val="21"/>
                <w:highlight w:val="none"/>
              </w:rPr>
              <w:t>服务质</w:t>
            </w:r>
          </w:p>
          <w:p w14:paraId="0CB0AEFF">
            <w:pPr>
              <w:spacing w:before="111" w:line="220" w:lineRule="auto"/>
              <w:ind w:left="91"/>
              <w:rPr>
                <w:rFonts w:ascii="宋体" w:hAnsi="宋体" w:eastAsia="宋体" w:cs="宋体"/>
                <w:sz w:val="21"/>
                <w:szCs w:val="21"/>
                <w:highlight w:val="none"/>
              </w:rPr>
            </w:pPr>
            <w:r>
              <w:rPr>
                <w:rFonts w:ascii="宋体" w:hAnsi="宋体" w:eastAsia="宋体" w:cs="宋体"/>
                <w:spacing w:val="-2"/>
                <w:sz w:val="21"/>
                <w:szCs w:val="21"/>
                <w:highlight w:val="none"/>
              </w:rPr>
              <w:t>量及保</w:t>
            </w:r>
          </w:p>
          <w:p w14:paraId="7B59620E">
            <w:pPr>
              <w:spacing w:before="149" w:line="219" w:lineRule="auto"/>
              <w:ind w:left="91"/>
              <w:rPr>
                <w:rFonts w:ascii="宋体" w:hAnsi="宋体" w:eastAsia="宋体" w:cs="宋体"/>
                <w:sz w:val="21"/>
                <w:szCs w:val="21"/>
                <w:highlight w:val="none"/>
              </w:rPr>
            </w:pPr>
            <w:r>
              <w:rPr>
                <w:rFonts w:ascii="宋体" w:hAnsi="宋体" w:eastAsia="宋体" w:cs="宋体"/>
                <w:spacing w:val="3"/>
                <w:sz w:val="21"/>
                <w:szCs w:val="21"/>
                <w:highlight w:val="none"/>
              </w:rPr>
              <w:t>障措施</w:t>
            </w:r>
          </w:p>
          <w:p w14:paraId="6C56DAA7">
            <w:pPr>
              <w:spacing w:before="173" w:line="184" w:lineRule="auto"/>
              <w:ind w:left="351"/>
              <w:rPr>
                <w:rFonts w:ascii="宋体" w:hAnsi="宋体" w:eastAsia="宋体" w:cs="宋体"/>
                <w:sz w:val="21"/>
                <w:szCs w:val="21"/>
                <w:highlight w:val="none"/>
              </w:rPr>
            </w:pPr>
            <w:r>
              <w:rPr>
                <w:rFonts w:ascii="宋体" w:hAnsi="宋体" w:eastAsia="宋体" w:cs="宋体"/>
                <w:sz w:val="21"/>
                <w:szCs w:val="21"/>
                <w:highlight w:val="none"/>
              </w:rPr>
              <w:t>1</w:t>
            </w:r>
          </w:p>
        </w:tc>
        <w:tc>
          <w:tcPr>
            <w:tcW w:w="699" w:type="dxa"/>
            <w:vAlign w:val="top"/>
          </w:tcPr>
          <w:p w14:paraId="06BBD2E5">
            <w:pPr>
              <w:pStyle w:val="34"/>
              <w:spacing w:line="337" w:lineRule="auto"/>
              <w:rPr>
                <w:highlight w:val="none"/>
              </w:rPr>
            </w:pPr>
          </w:p>
          <w:p w14:paraId="0671D6B9">
            <w:pPr>
              <w:pStyle w:val="34"/>
              <w:spacing w:line="338" w:lineRule="auto"/>
              <w:rPr>
                <w:highlight w:val="none"/>
              </w:rPr>
            </w:pPr>
          </w:p>
          <w:p w14:paraId="42B2084A">
            <w:pPr>
              <w:spacing w:before="68" w:line="183" w:lineRule="auto"/>
              <w:ind w:left="242"/>
              <w:rPr>
                <w:rFonts w:ascii="宋体" w:hAnsi="宋体" w:eastAsia="宋体" w:cs="宋体"/>
                <w:sz w:val="21"/>
                <w:szCs w:val="21"/>
                <w:highlight w:val="none"/>
              </w:rPr>
            </w:pPr>
            <w:r>
              <w:rPr>
                <w:rFonts w:ascii="宋体" w:hAnsi="宋体" w:eastAsia="宋体" w:cs="宋体"/>
                <w:sz w:val="21"/>
                <w:szCs w:val="21"/>
                <w:highlight w:val="none"/>
              </w:rPr>
              <w:t>2</w:t>
            </w:r>
          </w:p>
        </w:tc>
        <w:tc>
          <w:tcPr>
            <w:tcW w:w="6672" w:type="dxa"/>
            <w:vAlign w:val="top"/>
          </w:tcPr>
          <w:p w14:paraId="7314623F">
            <w:pPr>
              <w:spacing w:before="263" w:line="334" w:lineRule="auto"/>
              <w:ind w:left="62" w:right="9" w:firstLine="10"/>
              <w:jc w:val="both"/>
              <w:rPr>
                <w:rFonts w:ascii="宋体" w:hAnsi="宋体" w:eastAsia="宋体" w:cs="宋体"/>
                <w:sz w:val="21"/>
                <w:szCs w:val="21"/>
                <w:highlight w:val="none"/>
              </w:rPr>
            </w:pPr>
            <w:r>
              <w:rPr>
                <w:rFonts w:ascii="宋体" w:hAnsi="宋体" w:eastAsia="宋体" w:cs="宋体"/>
                <w:spacing w:val="-3"/>
                <w:sz w:val="21"/>
                <w:szCs w:val="21"/>
                <w:highlight w:val="none"/>
              </w:rPr>
              <w:t>根据投标人提供的服务质量及保障措施进行</w:t>
            </w:r>
            <w:r>
              <w:rPr>
                <w:rFonts w:ascii="宋体" w:hAnsi="宋体" w:eastAsia="宋体" w:cs="宋体"/>
                <w:spacing w:val="-4"/>
                <w:sz w:val="21"/>
                <w:szCs w:val="21"/>
                <w:highlight w:val="none"/>
              </w:rPr>
              <w:t>评审：投标人所提供的服务质量</w:t>
            </w:r>
            <w:r>
              <w:rPr>
                <w:rFonts w:ascii="宋体" w:hAnsi="宋体" w:eastAsia="宋体" w:cs="宋体"/>
                <w:spacing w:val="1"/>
                <w:sz w:val="21"/>
                <w:szCs w:val="21"/>
                <w:highlight w:val="none"/>
              </w:rPr>
              <w:t>及保障措施包含服务质量保障体系、服务质量</w:t>
            </w:r>
            <w:r>
              <w:rPr>
                <w:rFonts w:ascii="宋体" w:hAnsi="宋体" w:eastAsia="宋体" w:cs="宋体"/>
                <w:sz w:val="21"/>
                <w:szCs w:val="21"/>
                <w:highlight w:val="none"/>
              </w:rPr>
              <w:t xml:space="preserve">保障措施的，每满足1项得1  </w:t>
            </w:r>
            <w:r>
              <w:rPr>
                <w:rFonts w:ascii="宋体" w:hAnsi="宋体" w:eastAsia="宋体" w:cs="宋体"/>
                <w:spacing w:val="-1"/>
                <w:sz w:val="21"/>
                <w:szCs w:val="21"/>
                <w:highlight w:val="none"/>
              </w:rPr>
              <w:t>分，最高得2分。</w:t>
            </w:r>
          </w:p>
        </w:tc>
      </w:tr>
      <w:tr w14:paraId="24B9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9" w:hRule="atLeast"/>
        </w:trPr>
        <w:tc>
          <w:tcPr>
            <w:tcW w:w="1036" w:type="dxa"/>
            <w:vMerge w:val="continue"/>
            <w:tcBorders/>
            <w:vAlign w:val="top"/>
          </w:tcPr>
          <w:p w14:paraId="50749592">
            <w:pPr>
              <w:pStyle w:val="34"/>
              <w:rPr>
                <w:highlight w:val="none"/>
              </w:rPr>
            </w:pPr>
          </w:p>
        </w:tc>
        <w:tc>
          <w:tcPr>
            <w:tcW w:w="829" w:type="dxa"/>
            <w:vAlign w:val="top"/>
          </w:tcPr>
          <w:p w14:paraId="2ACD943D">
            <w:pPr>
              <w:spacing w:before="55" w:line="219" w:lineRule="auto"/>
              <w:ind w:left="91"/>
              <w:rPr>
                <w:rFonts w:ascii="宋体" w:hAnsi="宋体" w:eastAsia="宋体" w:cs="宋体"/>
                <w:sz w:val="21"/>
                <w:szCs w:val="21"/>
                <w:highlight w:val="none"/>
              </w:rPr>
            </w:pPr>
            <w:r>
              <w:rPr>
                <w:rFonts w:ascii="宋体" w:hAnsi="宋体" w:eastAsia="宋体" w:cs="宋体"/>
                <w:spacing w:val="7"/>
                <w:sz w:val="21"/>
                <w:szCs w:val="21"/>
                <w:highlight w:val="none"/>
              </w:rPr>
              <w:t>服务质</w:t>
            </w:r>
          </w:p>
          <w:p w14:paraId="046FE4F5">
            <w:pPr>
              <w:spacing w:before="121" w:line="220" w:lineRule="auto"/>
              <w:ind w:left="91"/>
              <w:rPr>
                <w:rFonts w:ascii="宋体" w:hAnsi="宋体" w:eastAsia="宋体" w:cs="宋体"/>
                <w:sz w:val="21"/>
                <w:szCs w:val="21"/>
                <w:highlight w:val="none"/>
              </w:rPr>
            </w:pPr>
            <w:r>
              <w:rPr>
                <w:rFonts w:ascii="宋体" w:hAnsi="宋体" w:eastAsia="宋体" w:cs="宋体"/>
                <w:spacing w:val="-2"/>
                <w:sz w:val="21"/>
                <w:szCs w:val="21"/>
                <w:highlight w:val="none"/>
              </w:rPr>
              <w:t>量及保</w:t>
            </w:r>
          </w:p>
          <w:p w14:paraId="5D98617A">
            <w:pPr>
              <w:spacing w:before="139" w:line="219" w:lineRule="auto"/>
              <w:ind w:left="91"/>
              <w:rPr>
                <w:rFonts w:ascii="宋体" w:hAnsi="宋体" w:eastAsia="宋体" w:cs="宋体"/>
                <w:sz w:val="21"/>
                <w:szCs w:val="21"/>
                <w:highlight w:val="none"/>
              </w:rPr>
            </w:pPr>
            <w:r>
              <w:rPr>
                <w:rFonts w:ascii="宋体" w:hAnsi="宋体" w:eastAsia="宋体" w:cs="宋体"/>
                <w:spacing w:val="3"/>
                <w:sz w:val="21"/>
                <w:szCs w:val="21"/>
                <w:highlight w:val="none"/>
              </w:rPr>
              <w:t>障措施</w:t>
            </w:r>
          </w:p>
          <w:p w14:paraId="04932B3C">
            <w:pPr>
              <w:spacing w:before="184" w:line="183" w:lineRule="auto"/>
              <w:ind w:left="351"/>
              <w:rPr>
                <w:rFonts w:ascii="宋体" w:hAnsi="宋体" w:eastAsia="宋体" w:cs="宋体"/>
                <w:sz w:val="21"/>
                <w:szCs w:val="21"/>
                <w:highlight w:val="none"/>
              </w:rPr>
            </w:pPr>
            <w:r>
              <w:rPr>
                <w:rFonts w:ascii="宋体" w:hAnsi="宋体" w:eastAsia="宋体" w:cs="宋体"/>
                <w:sz w:val="21"/>
                <w:szCs w:val="21"/>
                <w:highlight w:val="none"/>
              </w:rPr>
              <w:t>2</w:t>
            </w:r>
          </w:p>
        </w:tc>
        <w:tc>
          <w:tcPr>
            <w:tcW w:w="699" w:type="dxa"/>
            <w:vAlign w:val="top"/>
          </w:tcPr>
          <w:p w14:paraId="19F18CB5">
            <w:pPr>
              <w:pStyle w:val="34"/>
              <w:spacing w:line="323" w:lineRule="auto"/>
              <w:rPr>
                <w:highlight w:val="none"/>
              </w:rPr>
            </w:pPr>
          </w:p>
          <w:p w14:paraId="1A067296">
            <w:pPr>
              <w:pStyle w:val="34"/>
              <w:spacing w:line="323" w:lineRule="auto"/>
              <w:rPr>
                <w:highlight w:val="none"/>
              </w:rPr>
            </w:pPr>
          </w:p>
          <w:p w14:paraId="01449D5A">
            <w:pPr>
              <w:spacing w:before="68" w:line="184" w:lineRule="auto"/>
              <w:ind w:left="191"/>
              <w:rPr>
                <w:rFonts w:ascii="宋体" w:hAnsi="宋体" w:eastAsia="宋体" w:cs="宋体"/>
                <w:sz w:val="21"/>
                <w:szCs w:val="21"/>
                <w:highlight w:val="none"/>
              </w:rPr>
            </w:pPr>
            <w:r>
              <w:rPr>
                <w:rFonts w:ascii="宋体" w:hAnsi="宋体" w:eastAsia="宋体" w:cs="宋体"/>
                <w:spacing w:val="-6"/>
                <w:sz w:val="21"/>
                <w:szCs w:val="21"/>
                <w:highlight w:val="none"/>
              </w:rPr>
              <w:t>10</w:t>
            </w:r>
          </w:p>
        </w:tc>
        <w:tc>
          <w:tcPr>
            <w:tcW w:w="6672" w:type="dxa"/>
            <w:vAlign w:val="top"/>
          </w:tcPr>
          <w:p w14:paraId="354EA6D9">
            <w:pPr>
              <w:spacing w:before="226" w:line="329" w:lineRule="auto"/>
              <w:ind w:left="62" w:right="9"/>
              <w:jc w:val="both"/>
              <w:rPr>
                <w:rFonts w:ascii="宋体" w:hAnsi="宋体" w:eastAsia="宋体" w:cs="宋体"/>
                <w:sz w:val="21"/>
                <w:szCs w:val="21"/>
                <w:highlight w:val="none"/>
              </w:rPr>
            </w:pPr>
            <w:r>
              <w:rPr>
                <w:rFonts w:ascii="宋体" w:hAnsi="宋体" w:eastAsia="宋体" w:cs="宋体"/>
                <w:spacing w:val="-6"/>
                <w:sz w:val="21"/>
                <w:szCs w:val="21"/>
                <w:highlight w:val="none"/>
              </w:rPr>
              <w:t>根据“服务质量及保障措施1”所提供的服务质量及保障措施内容</w:t>
            </w:r>
            <w:r>
              <w:rPr>
                <w:rFonts w:ascii="宋体" w:hAnsi="宋体" w:eastAsia="宋体" w:cs="宋体"/>
                <w:spacing w:val="-7"/>
                <w:sz w:val="21"/>
                <w:szCs w:val="21"/>
                <w:highlight w:val="none"/>
              </w:rPr>
              <w:t>：服务质量</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及保障措施方案完全满足或优于采购需求得10分；服务质量及保障措施部分</w:t>
            </w:r>
            <w:r>
              <w:rPr>
                <w:rFonts w:ascii="宋体" w:hAnsi="宋体" w:eastAsia="宋体" w:cs="宋体"/>
                <w:sz w:val="21"/>
                <w:szCs w:val="21"/>
                <w:highlight w:val="none"/>
              </w:rPr>
              <w:t xml:space="preserve"> 满足采购需求的，得5分；不能满足需求或其他情况的，得0分。</w:t>
            </w:r>
          </w:p>
        </w:tc>
      </w:tr>
      <w:tr w14:paraId="3235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trPr>
        <w:tc>
          <w:tcPr>
            <w:tcW w:w="1036" w:type="dxa"/>
            <w:vMerge w:val="continue"/>
            <w:tcBorders/>
            <w:vAlign w:val="top"/>
          </w:tcPr>
          <w:p w14:paraId="2645CE81">
            <w:pPr>
              <w:pStyle w:val="34"/>
              <w:rPr>
                <w:highlight w:val="none"/>
              </w:rPr>
            </w:pPr>
          </w:p>
        </w:tc>
        <w:tc>
          <w:tcPr>
            <w:tcW w:w="829" w:type="dxa"/>
            <w:vAlign w:val="top"/>
          </w:tcPr>
          <w:p w14:paraId="68FC46B0">
            <w:pPr>
              <w:spacing w:before="38" w:line="228" w:lineRule="auto"/>
              <w:ind w:left="91" w:right="93"/>
              <w:jc w:val="both"/>
              <w:rPr>
                <w:rFonts w:ascii="宋体" w:hAnsi="宋体" w:eastAsia="宋体" w:cs="宋体"/>
                <w:sz w:val="21"/>
                <w:szCs w:val="21"/>
                <w:highlight w:val="none"/>
              </w:rPr>
            </w:pPr>
            <w:r>
              <w:rPr>
                <w:rFonts w:ascii="宋体" w:hAnsi="宋体" w:eastAsia="宋体" w:cs="宋体"/>
                <w:spacing w:val="3"/>
                <w:sz w:val="21"/>
                <w:szCs w:val="21"/>
                <w:highlight w:val="none"/>
              </w:rPr>
              <w:t>突发事</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件应急</w:t>
            </w:r>
            <w:r>
              <w:rPr>
                <w:rFonts w:ascii="宋体" w:hAnsi="宋体" w:eastAsia="宋体" w:cs="宋体"/>
                <w:spacing w:val="1"/>
                <w:sz w:val="21"/>
                <w:szCs w:val="21"/>
                <w:highlight w:val="none"/>
              </w:rPr>
              <w:t xml:space="preserve"> </w:t>
            </w:r>
            <w:r>
              <w:rPr>
                <w:rFonts w:ascii="宋体" w:hAnsi="宋体" w:eastAsia="宋体" w:cs="宋体"/>
                <w:spacing w:val="3"/>
                <w:sz w:val="21"/>
                <w:szCs w:val="21"/>
                <w:highlight w:val="none"/>
              </w:rPr>
              <w:t>响应能</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力1</w:t>
            </w:r>
          </w:p>
        </w:tc>
        <w:tc>
          <w:tcPr>
            <w:tcW w:w="699" w:type="dxa"/>
            <w:vAlign w:val="top"/>
          </w:tcPr>
          <w:p w14:paraId="6529826F">
            <w:pPr>
              <w:pStyle w:val="34"/>
              <w:spacing w:line="264" w:lineRule="auto"/>
              <w:rPr>
                <w:highlight w:val="none"/>
              </w:rPr>
            </w:pPr>
          </w:p>
          <w:p w14:paraId="05AEAC5E">
            <w:pPr>
              <w:pStyle w:val="34"/>
              <w:spacing w:line="265" w:lineRule="auto"/>
              <w:rPr>
                <w:highlight w:val="none"/>
              </w:rPr>
            </w:pPr>
          </w:p>
          <w:p w14:paraId="1FDE9578">
            <w:pPr>
              <w:spacing w:before="68" w:line="183" w:lineRule="auto"/>
              <w:ind w:left="242"/>
              <w:rPr>
                <w:rFonts w:ascii="宋体" w:hAnsi="宋体" w:eastAsia="宋体" w:cs="宋体"/>
                <w:sz w:val="21"/>
                <w:szCs w:val="21"/>
                <w:highlight w:val="none"/>
              </w:rPr>
            </w:pPr>
            <w:r>
              <w:rPr>
                <w:rFonts w:ascii="宋体" w:hAnsi="宋体" w:eastAsia="宋体" w:cs="宋体"/>
                <w:sz w:val="21"/>
                <w:szCs w:val="21"/>
                <w:highlight w:val="none"/>
              </w:rPr>
              <w:t>2</w:t>
            </w:r>
          </w:p>
        </w:tc>
        <w:tc>
          <w:tcPr>
            <w:tcW w:w="6672" w:type="dxa"/>
            <w:vAlign w:val="top"/>
          </w:tcPr>
          <w:p w14:paraId="7429D8C2">
            <w:pPr>
              <w:spacing w:before="54" w:line="341" w:lineRule="auto"/>
              <w:ind w:left="62" w:right="7"/>
              <w:rPr>
                <w:rFonts w:ascii="宋体" w:hAnsi="宋体" w:eastAsia="宋体" w:cs="宋体"/>
                <w:sz w:val="21"/>
                <w:szCs w:val="21"/>
                <w:highlight w:val="none"/>
              </w:rPr>
            </w:pPr>
            <w:r>
              <w:rPr>
                <w:rFonts w:ascii="宋体" w:hAnsi="宋体" w:eastAsia="宋体" w:cs="宋体"/>
                <w:sz w:val="21"/>
                <w:szCs w:val="21"/>
                <w:highlight w:val="none"/>
              </w:rPr>
              <w:t>根据投标人提供的突发事件应急响应方案进行评审</w:t>
            </w:r>
            <w:r>
              <w:rPr>
                <w:rFonts w:ascii="宋体" w:hAnsi="宋体" w:eastAsia="宋体" w:cs="宋体"/>
                <w:spacing w:val="-1"/>
                <w:sz w:val="21"/>
                <w:szCs w:val="21"/>
                <w:highlight w:val="none"/>
              </w:rPr>
              <w:t>：投标人所提供的突发</w:t>
            </w:r>
            <w:r>
              <w:rPr>
                <w:rFonts w:ascii="宋体" w:hAnsi="宋体" w:eastAsia="宋体" w:cs="宋体"/>
                <w:spacing w:val="-3"/>
                <w:sz w:val="21"/>
                <w:szCs w:val="21"/>
                <w:highlight w:val="none"/>
              </w:rPr>
              <w:t>事件应急响应方案包含应对火灾、治安、反恐、生产安全突发事件处理</w:t>
            </w:r>
            <w:r>
              <w:rPr>
                <w:rFonts w:ascii="宋体" w:hAnsi="宋体" w:eastAsia="宋体" w:cs="宋体"/>
                <w:spacing w:val="-4"/>
                <w:sz w:val="21"/>
                <w:szCs w:val="21"/>
                <w:highlight w:val="none"/>
              </w:rPr>
              <w:t>预案</w:t>
            </w:r>
            <w:r>
              <w:rPr>
                <w:rFonts w:ascii="宋体" w:hAnsi="宋体" w:eastAsia="宋体" w:cs="宋体"/>
                <w:sz w:val="21"/>
                <w:szCs w:val="21"/>
                <w:highlight w:val="none"/>
              </w:rPr>
              <w:t xml:space="preserve"> ,公共安全等各类突发事件的处理预案的，每满足1项得1分，最高得2分。</w:t>
            </w:r>
          </w:p>
        </w:tc>
      </w:tr>
      <w:tr w14:paraId="02E3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6" w:type="dxa"/>
            <w:vMerge w:val="continue"/>
            <w:tcBorders/>
            <w:vAlign w:val="top"/>
          </w:tcPr>
          <w:p w14:paraId="3992F9F2">
            <w:pPr>
              <w:pStyle w:val="34"/>
              <w:rPr>
                <w:highlight w:val="none"/>
              </w:rPr>
            </w:pPr>
          </w:p>
        </w:tc>
        <w:tc>
          <w:tcPr>
            <w:tcW w:w="829" w:type="dxa"/>
            <w:vAlign w:val="top"/>
          </w:tcPr>
          <w:p w14:paraId="3A917359">
            <w:pPr>
              <w:spacing w:before="36" w:line="233" w:lineRule="auto"/>
              <w:ind w:left="91" w:right="93"/>
              <w:jc w:val="both"/>
              <w:rPr>
                <w:rFonts w:ascii="宋体" w:hAnsi="宋体" w:eastAsia="宋体" w:cs="宋体"/>
                <w:sz w:val="21"/>
                <w:szCs w:val="21"/>
                <w:highlight w:val="none"/>
              </w:rPr>
            </w:pPr>
            <w:r>
              <w:rPr>
                <w:rFonts w:ascii="宋体" w:hAnsi="宋体" w:eastAsia="宋体" w:cs="宋体"/>
                <w:spacing w:val="3"/>
                <w:sz w:val="21"/>
                <w:szCs w:val="21"/>
                <w:highlight w:val="none"/>
              </w:rPr>
              <w:t>突发事</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件应急</w:t>
            </w:r>
            <w:r>
              <w:rPr>
                <w:rFonts w:ascii="宋体" w:hAnsi="宋体" w:eastAsia="宋体" w:cs="宋体"/>
                <w:spacing w:val="1"/>
                <w:sz w:val="21"/>
                <w:szCs w:val="21"/>
                <w:highlight w:val="none"/>
              </w:rPr>
              <w:t xml:space="preserve"> </w:t>
            </w:r>
            <w:r>
              <w:rPr>
                <w:rFonts w:ascii="宋体" w:hAnsi="宋体" w:eastAsia="宋体" w:cs="宋体"/>
                <w:spacing w:val="3"/>
                <w:sz w:val="21"/>
                <w:szCs w:val="21"/>
                <w:highlight w:val="none"/>
              </w:rPr>
              <w:t>响应能</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力2</w:t>
            </w:r>
          </w:p>
        </w:tc>
        <w:tc>
          <w:tcPr>
            <w:tcW w:w="699" w:type="dxa"/>
            <w:vAlign w:val="top"/>
          </w:tcPr>
          <w:p w14:paraId="15842E47">
            <w:pPr>
              <w:pStyle w:val="34"/>
              <w:spacing w:line="339" w:lineRule="auto"/>
              <w:rPr>
                <w:highlight w:val="none"/>
              </w:rPr>
            </w:pPr>
          </w:p>
          <w:p w14:paraId="59BBB32C">
            <w:pPr>
              <w:pStyle w:val="34"/>
              <w:spacing w:line="339" w:lineRule="auto"/>
              <w:rPr>
                <w:highlight w:val="none"/>
              </w:rPr>
            </w:pPr>
          </w:p>
          <w:p w14:paraId="05F28FA9">
            <w:pPr>
              <w:spacing w:before="68" w:line="184" w:lineRule="auto"/>
              <w:ind w:left="191"/>
              <w:rPr>
                <w:rFonts w:ascii="宋体" w:hAnsi="宋体" w:eastAsia="宋体" w:cs="宋体"/>
                <w:sz w:val="21"/>
                <w:szCs w:val="21"/>
                <w:highlight w:val="none"/>
              </w:rPr>
            </w:pPr>
            <w:r>
              <w:rPr>
                <w:rFonts w:ascii="宋体" w:hAnsi="宋体" w:eastAsia="宋体" w:cs="宋体"/>
                <w:spacing w:val="-6"/>
                <w:sz w:val="21"/>
                <w:szCs w:val="21"/>
                <w:highlight w:val="none"/>
              </w:rPr>
              <w:t>10</w:t>
            </w:r>
          </w:p>
        </w:tc>
        <w:tc>
          <w:tcPr>
            <w:tcW w:w="6672" w:type="dxa"/>
            <w:vAlign w:val="top"/>
          </w:tcPr>
          <w:p w14:paraId="38005C35">
            <w:pPr>
              <w:spacing w:before="57" w:line="333" w:lineRule="auto"/>
              <w:ind w:left="62" w:right="9"/>
              <w:jc w:val="both"/>
              <w:rPr>
                <w:rFonts w:ascii="宋体" w:hAnsi="宋体" w:eastAsia="宋体" w:cs="宋体"/>
                <w:sz w:val="21"/>
                <w:szCs w:val="21"/>
                <w:highlight w:val="none"/>
              </w:rPr>
            </w:pPr>
            <w:r>
              <w:rPr>
                <w:rFonts w:ascii="宋体" w:hAnsi="宋体" w:eastAsia="宋体" w:cs="宋体"/>
                <w:spacing w:val="-6"/>
                <w:sz w:val="21"/>
                <w:szCs w:val="21"/>
                <w:highlight w:val="none"/>
              </w:rPr>
              <w:t>根据“突发事件应急响应能力1”所提供的突发事件应急响应能力</w:t>
            </w:r>
            <w:r>
              <w:rPr>
                <w:rFonts w:ascii="宋体" w:hAnsi="宋体" w:eastAsia="宋体" w:cs="宋体"/>
                <w:spacing w:val="-7"/>
                <w:sz w:val="21"/>
                <w:szCs w:val="21"/>
                <w:highlight w:val="none"/>
              </w:rPr>
              <w:t>情况进行评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 xml:space="preserve">审：突发事件应急方案完全满足或优于采购需求的，得10分；突发事件应 </w:t>
            </w:r>
            <w:r>
              <w:rPr>
                <w:rFonts w:ascii="宋体" w:hAnsi="宋体" w:eastAsia="宋体" w:cs="宋体"/>
                <w:sz w:val="21"/>
                <w:szCs w:val="21"/>
                <w:highlight w:val="none"/>
              </w:rPr>
              <w:t>急方案部分满足采购需求，得5分；突发事件应急方案难以实行或其他情况</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的，不满足采购需求的，得0分。</w:t>
            </w:r>
          </w:p>
        </w:tc>
      </w:tr>
      <w:tr w14:paraId="1BAD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6" w:hRule="atLeast"/>
        </w:trPr>
        <w:tc>
          <w:tcPr>
            <w:tcW w:w="1036" w:type="dxa"/>
            <w:vMerge w:val="continue"/>
            <w:tcBorders/>
            <w:vAlign w:val="top"/>
          </w:tcPr>
          <w:p w14:paraId="22E55956">
            <w:pPr>
              <w:pStyle w:val="34"/>
              <w:rPr>
                <w:highlight w:val="none"/>
              </w:rPr>
            </w:pPr>
          </w:p>
        </w:tc>
        <w:tc>
          <w:tcPr>
            <w:tcW w:w="829" w:type="dxa"/>
            <w:vAlign w:val="top"/>
          </w:tcPr>
          <w:p w14:paraId="5F712048">
            <w:pPr>
              <w:pStyle w:val="34"/>
              <w:spacing w:line="241" w:lineRule="auto"/>
              <w:rPr>
                <w:rFonts w:ascii="宋体" w:hAnsi="宋体" w:eastAsia="宋体" w:cs="宋体"/>
                <w:sz w:val="21"/>
                <w:szCs w:val="21"/>
                <w:highlight w:val="none"/>
                <w:lang w:eastAsia="zh-CN"/>
              </w:rPr>
            </w:pPr>
          </w:p>
          <w:p w14:paraId="7761010D">
            <w:pPr>
              <w:pStyle w:val="34"/>
              <w:spacing w:line="241" w:lineRule="auto"/>
              <w:rPr>
                <w:rFonts w:ascii="宋体" w:hAnsi="宋体" w:eastAsia="宋体" w:cs="宋体"/>
                <w:sz w:val="21"/>
                <w:szCs w:val="21"/>
                <w:highlight w:val="none"/>
                <w:lang w:eastAsia="zh-CN"/>
              </w:rPr>
            </w:pPr>
          </w:p>
          <w:p w14:paraId="4AC33A28">
            <w:pPr>
              <w:pStyle w:val="34"/>
              <w:spacing w:line="241" w:lineRule="auto"/>
              <w:rPr>
                <w:rFonts w:ascii="宋体" w:hAnsi="宋体" w:eastAsia="宋体" w:cs="宋体"/>
                <w:sz w:val="21"/>
                <w:szCs w:val="21"/>
                <w:highlight w:val="none"/>
                <w:lang w:eastAsia="zh-CN"/>
              </w:rPr>
            </w:pPr>
          </w:p>
          <w:p w14:paraId="0AABBEE8">
            <w:pPr>
              <w:pStyle w:val="34"/>
              <w:spacing w:line="241" w:lineRule="auto"/>
              <w:rPr>
                <w:rFonts w:ascii="宋体" w:hAnsi="宋体" w:eastAsia="宋体" w:cs="宋体"/>
                <w:sz w:val="21"/>
                <w:szCs w:val="21"/>
                <w:highlight w:val="none"/>
                <w:lang w:eastAsia="zh-CN"/>
              </w:rPr>
            </w:pPr>
          </w:p>
          <w:p w14:paraId="0C7E6FBE">
            <w:pPr>
              <w:pStyle w:val="34"/>
              <w:spacing w:line="241" w:lineRule="auto"/>
              <w:rPr>
                <w:rFonts w:ascii="宋体" w:hAnsi="宋体" w:eastAsia="宋体" w:cs="宋体"/>
                <w:sz w:val="21"/>
                <w:szCs w:val="21"/>
                <w:highlight w:val="none"/>
                <w:lang w:eastAsia="zh-CN"/>
              </w:rPr>
            </w:pPr>
          </w:p>
          <w:p w14:paraId="394C8531">
            <w:pPr>
              <w:pStyle w:val="34"/>
              <w:spacing w:line="242" w:lineRule="auto"/>
              <w:rPr>
                <w:rFonts w:ascii="宋体" w:hAnsi="宋体" w:eastAsia="宋体" w:cs="宋体"/>
                <w:sz w:val="21"/>
                <w:szCs w:val="21"/>
                <w:highlight w:val="none"/>
                <w:lang w:eastAsia="zh-CN"/>
              </w:rPr>
            </w:pPr>
          </w:p>
          <w:p w14:paraId="41757F62">
            <w:pPr>
              <w:pStyle w:val="34"/>
              <w:spacing w:line="242" w:lineRule="auto"/>
              <w:rPr>
                <w:rFonts w:ascii="宋体" w:hAnsi="宋体" w:eastAsia="宋体" w:cs="宋体"/>
                <w:sz w:val="21"/>
                <w:szCs w:val="21"/>
                <w:highlight w:val="none"/>
                <w:lang w:eastAsia="zh-CN"/>
              </w:rPr>
            </w:pPr>
          </w:p>
          <w:p w14:paraId="0629E072">
            <w:pPr>
              <w:pStyle w:val="34"/>
              <w:spacing w:line="242" w:lineRule="auto"/>
              <w:rPr>
                <w:rFonts w:ascii="宋体" w:hAnsi="宋体" w:eastAsia="宋体" w:cs="宋体"/>
                <w:sz w:val="21"/>
                <w:szCs w:val="21"/>
                <w:highlight w:val="none"/>
                <w:lang w:eastAsia="zh-CN"/>
              </w:rPr>
            </w:pPr>
          </w:p>
          <w:p w14:paraId="41749BF2">
            <w:pPr>
              <w:spacing w:before="72" w:line="221" w:lineRule="auto"/>
              <w:ind w:left="80"/>
              <w:rPr>
                <w:rFonts w:ascii="宋体" w:hAnsi="宋体" w:eastAsia="宋体" w:cs="宋体"/>
                <w:sz w:val="21"/>
                <w:szCs w:val="21"/>
                <w:highlight w:val="none"/>
              </w:rPr>
            </w:pPr>
            <w:r>
              <w:rPr>
                <w:rFonts w:ascii="宋体" w:hAnsi="宋体" w:eastAsia="宋体" w:cs="宋体"/>
                <w:spacing w:val="0"/>
                <w:sz w:val="21"/>
                <w:szCs w:val="21"/>
                <w:highlight w:val="none"/>
              </w:rPr>
              <w:t>具备应</w:t>
            </w:r>
          </w:p>
          <w:p w14:paraId="62FB30AF">
            <w:pPr>
              <w:spacing w:before="128" w:line="221" w:lineRule="auto"/>
              <w:ind w:left="80"/>
              <w:rPr>
                <w:rFonts w:ascii="宋体" w:hAnsi="宋体" w:eastAsia="宋体" w:cs="宋体"/>
                <w:sz w:val="21"/>
                <w:szCs w:val="21"/>
                <w:highlight w:val="none"/>
              </w:rPr>
            </w:pPr>
            <w:r>
              <w:rPr>
                <w:rFonts w:ascii="宋体" w:hAnsi="宋体" w:eastAsia="宋体" w:cs="宋体"/>
                <w:spacing w:val="0"/>
                <w:sz w:val="21"/>
                <w:szCs w:val="21"/>
                <w:highlight w:val="none"/>
              </w:rPr>
              <w:t>急响应</w:t>
            </w:r>
          </w:p>
          <w:p w14:paraId="7FFE5F63">
            <w:pPr>
              <w:spacing w:before="123" w:line="219" w:lineRule="auto"/>
              <w:ind w:left="80"/>
              <w:rPr>
                <w:rFonts w:ascii="宋体" w:hAnsi="宋体" w:eastAsia="宋体" w:cs="宋体"/>
                <w:sz w:val="21"/>
                <w:szCs w:val="21"/>
                <w:highlight w:val="none"/>
              </w:rPr>
            </w:pPr>
            <w:r>
              <w:rPr>
                <w:rFonts w:ascii="宋体" w:hAnsi="宋体" w:eastAsia="宋体" w:cs="宋体"/>
                <w:spacing w:val="0"/>
                <w:sz w:val="21"/>
                <w:szCs w:val="21"/>
                <w:highlight w:val="none"/>
              </w:rPr>
              <w:t>后备力</w:t>
            </w:r>
          </w:p>
          <w:p w14:paraId="65BA651C">
            <w:pPr>
              <w:spacing w:before="152" w:line="222" w:lineRule="auto"/>
              <w:ind w:left="80"/>
              <w:rPr>
                <w:rFonts w:ascii="宋体" w:hAnsi="宋体" w:eastAsia="宋体" w:cs="宋体"/>
                <w:sz w:val="21"/>
                <w:szCs w:val="21"/>
                <w:highlight w:val="none"/>
              </w:rPr>
            </w:pPr>
            <w:r>
              <w:rPr>
                <w:rFonts w:ascii="宋体" w:hAnsi="宋体" w:eastAsia="宋体" w:cs="宋体"/>
                <w:spacing w:val="0"/>
                <w:sz w:val="21"/>
                <w:szCs w:val="21"/>
                <w:highlight w:val="none"/>
              </w:rPr>
              <w:t>量和响</w:t>
            </w:r>
          </w:p>
          <w:p w14:paraId="7D08BBF8">
            <w:pPr>
              <w:spacing w:before="134" w:line="221" w:lineRule="auto"/>
              <w:ind w:left="80"/>
              <w:rPr>
                <w:rFonts w:ascii="宋体" w:hAnsi="宋体" w:eastAsia="宋体" w:cs="宋体"/>
                <w:sz w:val="21"/>
                <w:szCs w:val="21"/>
                <w:highlight w:val="none"/>
              </w:rPr>
            </w:pPr>
            <w:r>
              <w:rPr>
                <w:rFonts w:ascii="宋体" w:hAnsi="宋体" w:eastAsia="宋体" w:cs="宋体"/>
                <w:spacing w:val="0"/>
                <w:sz w:val="21"/>
                <w:szCs w:val="21"/>
                <w:highlight w:val="none"/>
              </w:rPr>
              <w:t>应时间</w:t>
            </w:r>
          </w:p>
          <w:p w14:paraId="2D331F42">
            <w:pPr>
              <w:spacing w:before="104" w:line="219" w:lineRule="auto"/>
              <w:ind w:left="190"/>
              <w:rPr>
                <w:rFonts w:ascii="宋体" w:hAnsi="宋体" w:eastAsia="宋体" w:cs="宋体"/>
                <w:sz w:val="21"/>
                <w:szCs w:val="21"/>
                <w:highlight w:val="none"/>
              </w:rPr>
            </w:pPr>
            <w:r>
              <w:rPr>
                <w:rFonts w:ascii="宋体" w:hAnsi="宋体" w:eastAsia="宋体" w:cs="宋体"/>
                <w:spacing w:val="0"/>
                <w:sz w:val="21"/>
                <w:szCs w:val="21"/>
                <w:highlight w:val="none"/>
              </w:rPr>
              <w:t>承诺</w:t>
            </w:r>
          </w:p>
        </w:tc>
        <w:tc>
          <w:tcPr>
            <w:tcW w:w="699" w:type="dxa"/>
            <w:vAlign w:val="top"/>
          </w:tcPr>
          <w:p w14:paraId="2A757F4B">
            <w:pPr>
              <w:pStyle w:val="34"/>
              <w:spacing w:line="251" w:lineRule="auto"/>
              <w:rPr>
                <w:rFonts w:ascii="宋体" w:hAnsi="宋体" w:eastAsia="宋体" w:cs="宋体"/>
                <w:sz w:val="21"/>
                <w:szCs w:val="21"/>
                <w:highlight w:val="none"/>
                <w:lang w:eastAsia="zh-CN"/>
              </w:rPr>
            </w:pPr>
          </w:p>
          <w:p w14:paraId="53A7968A">
            <w:pPr>
              <w:pStyle w:val="34"/>
              <w:spacing w:line="251" w:lineRule="auto"/>
              <w:rPr>
                <w:rFonts w:ascii="宋体" w:hAnsi="宋体" w:eastAsia="宋体" w:cs="宋体"/>
                <w:sz w:val="21"/>
                <w:szCs w:val="21"/>
                <w:highlight w:val="none"/>
                <w:lang w:eastAsia="zh-CN"/>
              </w:rPr>
            </w:pPr>
          </w:p>
          <w:p w14:paraId="64204E93">
            <w:pPr>
              <w:pStyle w:val="34"/>
              <w:spacing w:line="251" w:lineRule="auto"/>
              <w:rPr>
                <w:rFonts w:ascii="宋体" w:hAnsi="宋体" w:eastAsia="宋体" w:cs="宋体"/>
                <w:sz w:val="21"/>
                <w:szCs w:val="21"/>
                <w:highlight w:val="none"/>
                <w:lang w:eastAsia="zh-CN"/>
              </w:rPr>
            </w:pPr>
          </w:p>
          <w:p w14:paraId="72521F16">
            <w:pPr>
              <w:pStyle w:val="34"/>
              <w:spacing w:line="251" w:lineRule="auto"/>
              <w:rPr>
                <w:rFonts w:ascii="宋体" w:hAnsi="宋体" w:eastAsia="宋体" w:cs="宋体"/>
                <w:sz w:val="21"/>
                <w:szCs w:val="21"/>
                <w:highlight w:val="none"/>
                <w:lang w:eastAsia="zh-CN"/>
              </w:rPr>
            </w:pPr>
          </w:p>
          <w:p w14:paraId="608D21F2">
            <w:pPr>
              <w:pStyle w:val="34"/>
              <w:spacing w:line="252" w:lineRule="auto"/>
              <w:rPr>
                <w:rFonts w:ascii="宋体" w:hAnsi="宋体" w:eastAsia="宋体" w:cs="宋体"/>
                <w:sz w:val="21"/>
                <w:szCs w:val="21"/>
                <w:highlight w:val="none"/>
                <w:lang w:eastAsia="zh-CN"/>
              </w:rPr>
            </w:pPr>
          </w:p>
          <w:p w14:paraId="24D5864C">
            <w:pPr>
              <w:pStyle w:val="34"/>
              <w:spacing w:line="252" w:lineRule="auto"/>
              <w:rPr>
                <w:rFonts w:ascii="宋体" w:hAnsi="宋体" w:eastAsia="宋体" w:cs="宋体"/>
                <w:sz w:val="21"/>
                <w:szCs w:val="21"/>
                <w:highlight w:val="none"/>
                <w:lang w:eastAsia="zh-CN"/>
              </w:rPr>
            </w:pPr>
          </w:p>
          <w:p w14:paraId="3700DAF7">
            <w:pPr>
              <w:pStyle w:val="34"/>
              <w:spacing w:line="252" w:lineRule="auto"/>
              <w:rPr>
                <w:rFonts w:ascii="宋体" w:hAnsi="宋体" w:eastAsia="宋体" w:cs="宋体"/>
                <w:sz w:val="21"/>
                <w:szCs w:val="21"/>
                <w:highlight w:val="none"/>
                <w:lang w:eastAsia="zh-CN"/>
              </w:rPr>
            </w:pPr>
          </w:p>
          <w:p w14:paraId="0DB693BB">
            <w:pPr>
              <w:pStyle w:val="34"/>
              <w:spacing w:line="252" w:lineRule="auto"/>
              <w:rPr>
                <w:rFonts w:ascii="宋体" w:hAnsi="宋体" w:eastAsia="宋体" w:cs="宋体"/>
                <w:sz w:val="21"/>
                <w:szCs w:val="21"/>
                <w:highlight w:val="none"/>
                <w:lang w:eastAsia="zh-CN"/>
              </w:rPr>
            </w:pPr>
          </w:p>
          <w:p w14:paraId="5229A392">
            <w:pPr>
              <w:pStyle w:val="34"/>
              <w:spacing w:line="252" w:lineRule="auto"/>
              <w:rPr>
                <w:rFonts w:ascii="宋体" w:hAnsi="宋体" w:eastAsia="宋体" w:cs="宋体"/>
                <w:sz w:val="21"/>
                <w:szCs w:val="21"/>
                <w:highlight w:val="none"/>
                <w:lang w:eastAsia="zh-CN"/>
              </w:rPr>
            </w:pPr>
          </w:p>
          <w:p w14:paraId="2E8D65CF">
            <w:pPr>
              <w:pStyle w:val="34"/>
              <w:spacing w:line="252" w:lineRule="auto"/>
              <w:rPr>
                <w:rFonts w:ascii="宋体" w:hAnsi="宋体" w:eastAsia="宋体" w:cs="宋体"/>
                <w:sz w:val="21"/>
                <w:szCs w:val="21"/>
                <w:highlight w:val="none"/>
                <w:lang w:eastAsia="zh-CN"/>
              </w:rPr>
            </w:pPr>
          </w:p>
          <w:p w14:paraId="4611EA44">
            <w:pPr>
              <w:pStyle w:val="34"/>
              <w:spacing w:line="252" w:lineRule="auto"/>
              <w:rPr>
                <w:rFonts w:ascii="宋体" w:hAnsi="宋体" w:eastAsia="宋体" w:cs="宋体"/>
                <w:sz w:val="21"/>
                <w:szCs w:val="21"/>
                <w:highlight w:val="none"/>
                <w:lang w:eastAsia="zh-CN"/>
              </w:rPr>
            </w:pPr>
          </w:p>
          <w:p w14:paraId="3C48AA47">
            <w:pPr>
              <w:pStyle w:val="34"/>
              <w:spacing w:line="252" w:lineRule="auto"/>
              <w:rPr>
                <w:rFonts w:ascii="宋体" w:hAnsi="宋体" w:eastAsia="宋体" w:cs="宋体"/>
                <w:sz w:val="21"/>
                <w:szCs w:val="21"/>
                <w:highlight w:val="none"/>
                <w:lang w:eastAsia="zh-CN"/>
              </w:rPr>
            </w:pPr>
          </w:p>
          <w:p w14:paraId="49FB8BDE">
            <w:pPr>
              <w:spacing w:before="72" w:line="183" w:lineRule="auto"/>
              <w:ind w:left="242"/>
              <w:rPr>
                <w:rFonts w:ascii="宋体" w:hAnsi="宋体" w:eastAsia="宋体" w:cs="宋体"/>
                <w:sz w:val="21"/>
                <w:szCs w:val="21"/>
                <w:highlight w:val="none"/>
              </w:rPr>
            </w:pPr>
            <w:r>
              <w:rPr>
                <w:rFonts w:ascii="宋体" w:hAnsi="宋体" w:eastAsia="宋体" w:cs="宋体"/>
                <w:sz w:val="21"/>
                <w:szCs w:val="21"/>
                <w:highlight w:val="none"/>
              </w:rPr>
              <w:t>6</w:t>
            </w:r>
          </w:p>
        </w:tc>
        <w:tc>
          <w:tcPr>
            <w:tcW w:w="6672" w:type="dxa"/>
            <w:vAlign w:val="top"/>
          </w:tcPr>
          <w:p w14:paraId="041D5FF0">
            <w:pPr>
              <w:spacing w:before="57" w:line="333" w:lineRule="auto"/>
              <w:ind w:left="62" w:right="9"/>
              <w:rPr>
                <w:rFonts w:ascii="宋体" w:hAnsi="宋体" w:eastAsia="宋体" w:cs="宋体"/>
                <w:spacing w:val="-1"/>
                <w:sz w:val="21"/>
                <w:szCs w:val="21"/>
                <w:highlight w:val="none"/>
              </w:rPr>
            </w:pPr>
            <w:r>
              <w:rPr>
                <w:rFonts w:ascii="宋体" w:hAnsi="宋体" w:eastAsia="宋体" w:cs="宋体"/>
                <w:spacing w:val="-1"/>
                <w:sz w:val="21"/>
                <w:szCs w:val="21"/>
                <w:highlight w:val="none"/>
              </w:rPr>
              <w:t>1、发生突发事件时，具备后备安保应急力量调集能力，投标人承诺以 下内容：(1)承诺发生突发事件时，应急力量在300人次(含)以上，合同签订后5天内提供保安人员名单(包括花名册、社保证明等)的得3分；(2)承诺发生突发事件时，应急力量在250人次(含)以上、300人次(不含)以下，合同签订后5天内提供保安人员名单(包括花名册、社保证明等) 的得2分；(3)承诺发生突发事件时，应急力量在150人次(含)以上、250人次(不含)以下，合同签订后15天内提供保安人员名单(包括花名册、社保证明等)的得1分；(4)未提供或其他情况不得分。(提供承诺函,格式自拟)</w:t>
            </w:r>
          </w:p>
          <w:p w14:paraId="5592F200">
            <w:pPr>
              <w:spacing w:before="57" w:line="333" w:lineRule="auto"/>
              <w:ind w:left="62" w:right="9"/>
              <w:rPr>
                <w:rFonts w:ascii="宋体" w:hAnsi="宋体" w:eastAsia="宋体" w:cs="宋体"/>
                <w:spacing w:val="-1"/>
                <w:sz w:val="21"/>
                <w:szCs w:val="21"/>
                <w:highlight w:val="none"/>
              </w:rPr>
            </w:pPr>
            <w:r>
              <w:rPr>
                <w:rFonts w:ascii="宋体" w:hAnsi="宋体" w:eastAsia="宋体" w:cs="宋体"/>
                <w:spacing w:val="-1"/>
                <w:sz w:val="21"/>
                <w:szCs w:val="21"/>
                <w:highlight w:val="none"/>
              </w:rPr>
              <w:t>2、对应急响应时的响应时间提供书面承诺书：(1)承诺发生突发事件时， 应急力量在30分钟以内(含)到达采购人指定地点的，得3分；(2)承诺</w:t>
            </w:r>
          </w:p>
          <w:p w14:paraId="68595A21">
            <w:pPr>
              <w:spacing w:before="57" w:line="333" w:lineRule="auto"/>
              <w:ind w:left="62" w:right="9"/>
              <w:rPr>
                <w:rFonts w:ascii="宋体" w:hAnsi="宋体" w:eastAsia="宋体" w:cs="宋体"/>
                <w:spacing w:val="-1"/>
                <w:sz w:val="21"/>
                <w:szCs w:val="21"/>
                <w:highlight w:val="none"/>
              </w:rPr>
            </w:pPr>
            <w:r>
              <w:rPr>
                <w:rFonts w:ascii="宋体" w:hAnsi="宋体" w:eastAsia="宋体" w:cs="宋体"/>
                <w:spacing w:val="-1"/>
                <w:sz w:val="21"/>
                <w:szCs w:val="21"/>
                <w:highlight w:val="none"/>
              </w:rPr>
              <w:t>发生突发事件时，应急力量在45分钟以内(含)、30分钟(不含)以上到</w:t>
            </w:r>
          </w:p>
          <w:p w14:paraId="311B3310">
            <w:pPr>
              <w:spacing w:before="57" w:line="333" w:lineRule="auto"/>
              <w:ind w:left="62" w:right="9"/>
              <w:rPr>
                <w:rFonts w:ascii="宋体" w:hAnsi="宋体" w:eastAsia="宋体" w:cs="宋体"/>
                <w:spacing w:val="-1"/>
                <w:sz w:val="21"/>
                <w:szCs w:val="21"/>
                <w:highlight w:val="none"/>
              </w:rPr>
            </w:pPr>
            <w:r>
              <w:rPr>
                <w:rFonts w:ascii="宋体" w:hAnsi="宋体" w:eastAsia="宋体" w:cs="宋体"/>
                <w:spacing w:val="-1"/>
                <w:sz w:val="21"/>
                <w:szCs w:val="21"/>
                <w:highlight w:val="none"/>
              </w:rPr>
              <w:t>达采购人指定地点的，得2分；(3)承诺发生突发事件时，应急力量在60 分钟以内(含)、45分钟(不含)以上到达采购人指定地点的，得1分；</w:t>
            </w:r>
          </w:p>
          <w:p w14:paraId="1763371B">
            <w:pPr>
              <w:spacing w:before="57" w:line="333" w:lineRule="auto"/>
              <w:ind w:left="62" w:right="9" w:firstLine="0"/>
              <w:rPr>
                <w:rFonts w:ascii="宋体" w:hAnsi="宋体" w:eastAsia="宋体" w:cs="宋体"/>
                <w:sz w:val="22"/>
                <w:szCs w:val="22"/>
                <w:highlight w:val="none"/>
              </w:rPr>
            </w:pPr>
            <w:r>
              <w:rPr>
                <w:rFonts w:ascii="宋体" w:hAnsi="宋体" w:eastAsia="宋体" w:cs="宋体"/>
                <w:spacing w:val="-1"/>
                <w:sz w:val="21"/>
                <w:szCs w:val="21"/>
                <w:highlight w:val="none"/>
              </w:rPr>
              <w:t>(4)未提供或其他情况不得分。(提供承诺函，格式自拟)注：同一事项 重复承诺的按分值低的算分。</w:t>
            </w:r>
          </w:p>
        </w:tc>
      </w:tr>
      <w:tr w14:paraId="4486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865" w:type="dxa"/>
            <w:gridSpan w:val="2"/>
            <w:vAlign w:val="top"/>
          </w:tcPr>
          <w:p w14:paraId="46CBA655">
            <w:pPr>
              <w:spacing w:before="134" w:line="221" w:lineRule="auto"/>
              <w:ind w:left="80"/>
              <w:rPr>
                <w:rFonts w:ascii="宋体" w:hAnsi="宋体" w:eastAsia="宋体" w:cs="宋体"/>
                <w:sz w:val="21"/>
                <w:szCs w:val="21"/>
                <w:highlight w:val="none"/>
              </w:rPr>
            </w:pPr>
            <w:r>
              <w:rPr>
                <w:rFonts w:ascii="宋体" w:hAnsi="宋体" w:eastAsia="宋体" w:cs="宋体"/>
                <w:spacing w:val="0"/>
                <w:sz w:val="21"/>
                <w:szCs w:val="21"/>
                <w:highlight w:val="none"/>
              </w:rPr>
              <w:t>合计</w:t>
            </w:r>
          </w:p>
        </w:tc>
        <w:tc>
          <w:tcPr>
            <w:tcW w:w="699" w:type="dxa"/>
            <w:vAlign w:val="top"/>
          </w:tcPr>
          <w:p w14:paraId="4DC41819">
            <w:pPr>
              <w:spacing w:before="134" w:line="221" w:lineRule="auto"/>
              <w:ind w:left="80"/>
              <w:jc w:val="center"/>
              <w:rPr>
                <w:rFonts w:ascii="宋体" w:hAnsi="宋体" w:eastAsia="宋体" w:cs="宋体"/>
                <w:sz w:val="21"/>
                <w:szCs w:val="21"/>
                <w:highlight w:val="none"/>
              </w:rPr>
            </w:pPr>
            <w:r>
              <w:rPr>
                <w:rFonts w:ascii="宋体" w:hAnsi="宋体" w:eastAsia="宋体" w:cs="宋体"/>
                <w:spacing w:val="0"/>
                <w:sz w:val="21"/>
                <w:szCs w:val="21"/>
                <w:highlight w:val="none"/>
              </w:rPr>
              <w:t>100</w:t>
            </w:r>
          </w:p>
        </w:tc>
        <w:tc>
          <w:tcPr>
            <w:tcW w:w="6672" w:type="dxa"/>
            <w:vAlign w:val="top"/>
          </w:tcPr>
          <w:p w14:paraId="43A57AF7">
            <w:pPr>
              <w:spacing w:before="134" w:line="221" w:lineRule="auto"/>
              <w:ind w:left="80"/>
              <w:rPr>
                <w:rFonts w:ascii="宋体" w:hAnsi="宋体" w:cs="宋体"/>
                <w:szCs w:val="21"/>
                <w:highlight w:val="none"/>
              </w:rPr>
            </w:pPr>
          </w:p>
        </w:tc>
      </w:tr>
    </w:tbl>
    <w:p w14:paraId="22E11EB5">
      <w:pPr>
        <w:spacing w:before="312" w:beforeLines="100" w:after="312" w:afterLine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备注：1、</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文件要求提交的与评价指标体系相关的各类有效资料，供应商如未按要求提交的，该项评分为零分；</w:t>
      </w:r>
    </w:p>
    <w:p w14:paraId="64BBF87E">
      <w:pPr>
        <w:spacing w:before="312" w:beforeLines="100" w:after="312" w:afterLines="100"/>
        <w:ind w:firstLine="630" w:firstLineChars="300"/>
        <w:jc w:val="left"/>
        <w:rPr>
          <w:rFonts w:hint="eastAsia" w:ascii="宋体" w:hAnsi="宋体"/>
          <w:b/>
          <w:color w:val="auto"/>
          <w:szCs w:val="21"/>
          <w:highlight w:val="none"/>
        </w:rPr>
      </w:pPr>
      <w:r>
        <w:rPr>
          <w:rFonts w:hint="eastAsia" w:ascii="宋体" w:hAnsi="宋体" w:cs="宋体"/>
          <w:color w:val="auto"/>
          <w:szCs w:val="21"/>
          <w:highlight w:val="none"/>
          <w:lang w:val="zh-CN"/>
        </w:rPr>
        <w:t>2、将每个评委的评分汇总，各评委评分的算术平均值，即为该投标人的最终技术得分。（四舍五入后，小数点后保留两位有效数）。</w:t>
      </w:r>
    </w:p>
    <w:p w14:paraId="280DA632">
      <w:pPr>
        <w:pStyle w:val="3"/>
        <w:rPr>
          <w:color w:val="auto"/>
          <w:highlight w:val="none"/>
        </w:rPr>
      </w:pPr>
      <w:r>
        <w:rPr>
          <w:rFonts w:hint="eastAsia" w:ascii="宋体" w:hAnsi="宋体"/>
          <w:color w:val="auto"/>
          <w:sz w:val="21"/>
          <w:szCs w:val="21"/>
          <w:highlight w:val="none"/>
        </w:rPr>
        <w:t>评审人员签名：                                   日期：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EEAAF57">
      <w:pPr>
        <w:jc w:val="left"/>
        <w:rPr>
          <w:b/>
          <w:color w:val="auto"/>
          <w:sz w:val="44"/>
          <w:szCs w:val="44"/>
          <w:highlight w:val="none"/>
        </w:rPr>
        <w:sectPr>
          <w:footerReference r:id="rId4" w:type="default"/>
          <w:pgSz w:w="11906" w:h="16838"/>
          <w:pgMar w:top="1440" w:right="1800" w:bottom="1440" w:left="1800" w:header="794" w:footer="850" w:gutter="0"/>
          <w:pgNumType w:fmt="decimal"/>
          <w:cols w:space="425" w:num="1"/>
          <w:docGrid w:type="lines" w:linePitch="312" w:charSpace="0"/>
        </w:sectPr>
      </w:pPr>
    </w:p>
    <w:p w14:paraId="6C62A581">
      <w:pPr>
        <w:jc w:val="center"/>
        <w:rPr>
          <w:color w:val="auto"/>
          <w:sz w:val="44"/>
          <w:szCs w:val="44"/>
          <w:highlight w:val="none"/>
        </w:rPr>
      </w:pPr>
      <w:r>
        <w:rPr>
          <w:b/>
          <w:color w:val="auto"/>
          <w:sz w:val="44"/>
          <w:szCs w:val="44"/>
          <w:highlight w:val="none"/>
        </w:rPr>
        <w:t>第</w:t>
      </w:r>
      <w:r>
        <w:rPr>
          <w:rFonts w:hint="eastAsia"/>
          <w:b/>
          <w:color w:val="auto"/>
          <w:sz w:val="44"/>
          <w:szCs w:val="44"/>
          <w:highlight w:val="none"/>
          <w:lang w:val="en-US" w:eastAsia="zh-CN"/>
        </w:rPr>
        <w:t>五</w:t>
      </w:r>
      <w:r>
        <w:rPr>
          <w:b/>
          <w:color w:val="auto"/>
          <w:sz w:val="44"/>
          <w:szCs w:val="44"/>
          <w:highlight w:val="none"/>
        </w:rPr>
        <w:t>章</w:t>
      </w:r>
      <w:r>
        <w:rPr>
          <w:rFonts w:hint="eastAsia"/>
          <w:b/>
          <w:color w:val="auto"/>
          <w:sz w:val="44"/>
          <w:szCs w:val="44"/>
          <w:highlight w:val="none"/>
        </w:rPr>
        <w:t xml:space="preserve"> </w:t>
      </w:r>
      <w:r>
        <w:rPr>
          <w:b/>
          <w:color w:val="auto"/>
          <w:sz w:val="44"/>
          <w:szCs w:val="44"/>
          <w:highlight w:val="none"/>
        </w:rPr>
        <w:t>合同文本</w:t>
      </w:r>
    </w:p>
    <w:p w14:paraId="73724893">
      <w:pPr>
        <w:rPr>
          <w:color w:val="auto"/>
          <w:highlight w:val="none"/>
        </w:rPr>
      </w:pPr>
    </w:p>
    <w:p w14:paraId="13C0252D">
      <w:pPr>
        <w:jc w:val="center"/>
        <w:rPr>
          <w:color w:val="auto"/>
          <w:szCs w:val="21"/>
          <w:highlight w:val="none"/>
        </w:rPr>
      </w:pPr>
      <w:r>
        <w:rPr>
          <w:rFonts w:hint="eastAsia"/>
          <w:b/>
          <w:color w:val="auto"/>
          <w:szCs w:val="21"/>
          <w:highlight w:val="none"/>
        </w:rPr>
        <w:t>（仅为范本，以实际签订为准）</w:t>
      </w:r>
      <w:r>
        <w:rPr>
          <w:b/>
          <w:color w:val="auto"/>
          <w:szCs w:val="21"/>
          <w:highlight w:val="none"/>
        </w:rPr>
        <w:t xml:space="preserve"> </w:t>
      </w:r>
    </w:p>
    <w:p w14:paraId="2F45B742">
      <w:pPr>
        <w:jc w:val="center"/>
        <w:rPr>
          <w:color w:val="auto"/>
          <w:highlight w:val="none"/>
        </w:rPr>
      </w:pPr>
      <w:r>
        <w:rPr>
          <w:b/>
          <w:color w:val="auto"/>
          <w:sz w:val="48"/>
          <w:highlight w:val="none"/>
        </w:rPr>
        <w:t xml:space="preserve"> </w:t>
      </w:r>
    </w:p>
    <w:p w14:paraId="536804E5">
      <w:pPr>
        <w:jc w:val="center"/>
        <w:rPr>
          <w:color w:val="auto"/>
          <w:highlight w:val="none"/>
        </w:rPr>
      </w:pPr>
      <w:r>
        <w:rPr>
          <w:b/>
          <w:color w:val="auto"/>
          <w:sz w:val="48"/>
          <w:highlight w:val="none"/>
        </w:rPr>
        <w:t xml:space="preserve"> </w:t>
      </w:r>
    </w:p>
    <w:p w14:paraId="044C4620">
      <w:pPr>
        <w:rPr>
          <w:color w:val="auto"/>
          <w:highlight w:val="none"/>
        </w:rPr>
      </w:pPr>
      <w:r>
        <w:rPr>
          <w:b/>
          <w:color w:val="auto"/>
          <w:sz w:val="48"/>
          <w:highlight w:val="none"/>
        </w:rPr>
        <w:t xml:space="preserve"> </w:t>
      </w:r>
    </w:p>
    <w:p w14:paraId="028C0D6E">
      <w:pPr>
        <w:pStyle w:val="8"/>
        <w:spacing w:line="275" w:lineRule="auto"/>
        <w:jc w:val="center"/>
        <w:rPr>
          <w:rFonts w:hint="eastAsia" w:asciiTheme="minorEastAsia" w:hAnsiTheme="minorEastAsia" w:eastAsiaTheme="minorEastAsia" w:cstheme="minorEastAsia"/>
          <w:b w:val="0"/>
          <w:bCs/>
          <w:spacing w:val="0"/>
          <w:sz w:val="44"/>
          <w:szCs w:val="44"/>
          <w:lang w:val="en-US" w:eastAsia="zh-CN"/>
          <w14:textOutline w14:w="5793"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spacing w:val="0"/>
          <w:sz w:val="44"/>
          <w:szCs w:val="44"/>
          <w:lang w:val="en-US" w:eastAsia="zh-CN"/>
          <w14:textOutline w14:w="5793" w14:cap="flat" w14:cmpd="sng">
            <w14:solidFill>
              <w14:srgbClr w14:val="000000"/>
            </w14:solidFill>
            <w14:prstDash w14:val="solid"/>
            <w14:miter w14:val="0"/>
          </w14:textOutline>
        </w:rPr>
        <w:t>2025“Head In The Clouds”（云思妙想）</w:t>
      </w:r>
    </w:p>
    <w:p w14:paraId="1A13F7EB">
      <w:pPr>
        <w:pStyle w:val="8"/>
        <w:spacing w:line="275" w:lineRule="auto"/>
        <w:jc w:val="center"/>
        <w:rPr>
          <w:rFonts w:hint="eastAsia" w:asciiTheme="minorEastAsia" w:hAnsiTheme="minorEastAsia" w:eastAsiaTheme="minorEastAsia" w:cstheme="minorEastAsia"/>
          <w:b w:val="0"/>
          <w:bCs/>
          <w:spacing w:val="0"/>
          <w:sz w:val="44"/>
          <w:szCs w:val="44"/>
          <w:lang w:val="en-US" w:eastAsia="zh-CN"/>
          <w14:textOutline w14:w="5793"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spacing w:val="0"/>
          <w:sz w:val="44"/>
          <w:szCs w:val="44"/>
          <w:lang w:val="en-US" w:eastAsia="zh-CN"/>
          <w14:textOutline w14:w="5793" w14:cap="flat" w14:cmpd="sng">
            <w14:solidFill>
              <w14:srgbClr w14:val="000000"/>
            </w14:solidFill>
            <w14:prstDash w14:val="solid"/>
            <w14:miter w14:val="0"/>
          </w14:textOutline>
        </w:rPr>
        <w:t>音乐艺术节-大湾区站（南沙）项目</w:t>
      </w:r>
    </w:p>
    <w:p w14:paraId="5A58DF95">
      <w:pPr>
        <w:pStyle w:val="8"/>
        <w:spacing w:line="275" w:lineRule="auto"/>
        <w:jc w:val="center"/>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val="0"/>
          <w:bCs/>
          <w:spacing w:val="30"/>
          <w:sz w:val="44"/>
          <w:szCs w:val="44"/>
          <w:lang w:val="en-US" w:eastAsia="zh-CN"/>
          <w14:textOutline w14:w="5793" w14:cap="flat" w14:cmpd="sng">
            <w14:solidFill>
              <w14:srgbClr w14:val="000000"/>
            </w14:solidFill>
            <w14:prstDash w14:val="solid"/>
            <w14:miter w14:val="0"/>
          </w14:textOutline>
        </w:rPr>
        <w:t>安全服务协议书</w:t>
      </w:r>
    </w:p>
    <w:p w14:paraId="5A085559">
      <w:pPr>
        <w:pStyle w:val="8"/>
        <w:spacing w:line="275" w:lineRule="auto"/>
        <w:rPr>
          <w:rFonts w:hint="eastAsia" w:asciiTheme="minorEastAsia" w:hAnsiTheme="minorEastAsia" w:eastAsiaTheme="minorEastAsia" w:cstheme="minorEastAsia"/>
        </w:rPr>
      </w:pPr>
    </w:p>
    <w:p w14:paraId="1798DA2F">
      <w:pPr>
        <w:pStyle w:val="8"/>
        <w:spacing w:line="275" w:lineRule="auto"/>
        <w:rPr>
          <w:rFonts w:hint="eastAsia" w:asciiTheme="minorEastAsia" w:hAnsiTheme="minorEastAsia" w:eastAsiaTheme="minorEastAsia" w:cstheme="minorEastAsia"/>
        </w:rPr>
      </w:pPr>
    </w:p>
    <w:p w14:paraId="2E155921">
      <w:pPr>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甲方：</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2"/>
          <w:sz w:val="24"/>
          <w:szCs w:val="24"/>
          <w:lang w:eastAsia="zh-CN"/>
          <w14:textOutline w14:w="4358" w14:cap="flat" w14:cmpd="sng">
            <w14:solidFill>
              <w14:srgbClr w14:val="000000"/>
            </w14:solidFill>
            <w14:prstDash w14:val="solid"/>
            <w14:miter w14:val="0"/>
          </w14:textOutline>
        </w:rPr>
        <w:t>广州南沙文体投资有限公司</w:t>
      </w:r>
    </w:p>
    <w:p w14:paraId="4D4D5B09">
      <w:pPr>
        <w:pStyle w:val="8"/>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rPr>
      </w:pPr>
    </w:p>
    <w:p w14:paraId="5C697F9D">
      <w:pPr>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乙方：</w:t>
      </w:r>
    </w:p>
    <w:p w14:paraId="62A1D337">
      <w:pPr>
        <w:keepNext w:val="0"/>
        <w:keepLines w:val="0"/>
        <w:pageBreakBefore w:val="0"/>
        <w:widowControl w:val="0"/>
        <w:kinsoku/>
        <w:overflowPunct/>
        <w:topLinePunct w:val="0"/>
        <w:autoSpaceDE/>
        <w:autoSpaceDN/>
        <w:bidi w:val="0"/>
        <w:adjustRightInd/>
        <w:spacing w:line="440" w:lineRule="exact"/>
        <w:ind w:left="0" w:leftChars="0" w:firstLine="472" w:firstLineChars="200"/>
        <w:textAlignment w:val="auto"/>
        <w:outlineLvl w:val="9"/>
        <w:rPr>
          <w:rFonts w:hint="eastAsia" w:asciiTheme="minorEastAsia" w:hAnsiTheme="minorEastAsia" w:eastAsiaTheme="minorEastAsia" w:cstheme="minorEastAsia"/>
          <w:spacing w:val="-2"/>
          <w:sz w:val="24"/>
          <w:szCs w:val="24"/>
        </w:rPr>
      </w:pPr>
      <w:bookmarkStart w:id="224" w:name="_Toc4690"/>
    </w:p>
    <w:p w14:paraId="2E7915FC">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甲方于202</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lang w:val="en-US" w:eastAsia="zh-CN"/>
        </w:rPr>
        <w:t>21</w:t>
      </w:r>
      <w:r>
        <w:rPr>
          <w:rFonts w:hint="eastAsia" w:asciiTheme="minorEastAsia" w:hAnsiTheme="minorEastAsia" w:eastAsiaTheme="minorEastAsia" w:cstheme="minorEastAsia"/>
          <w:spacing w:val="-2"/>
          <w:sz w:val="24"/>
          <w:szCs w:val="24"/>
        </w:rPr>
        <w:t>日</w:t>
      </w:r>
      <w:r>
        <w:rPr>
          <w:rFonts w:hint="eastAsia" w:asciiTheme="minorEastAsia" w:hAnsiTheme="minorEastAsia" w:eastAsiaTheme="minorEastAsia" w:cstheme="minorEastAsia"/>
          <w:spacing w:val="-2"/>
          <w:sz w:val="24"/>
          <w:szCs w:val="24"/>
          <w:lang w:val="en-US" w:eastAsia="zh-CN"/>
        </w:rPr>
        <w:t>至</w:t>
      </w:r>
      <w:r>
        <w:rPr>
          <w:rFonts w:hint="eastAsia" w:asciiTheme="minorEastAsia" w:hAnsiTheme="minorEastAsia" w:eastAsiaTheme="minorEastAsia" w:cstheme="minorEastAsia"/>
          <w:spacing w:val="-2"/>
          <w:sz w:val="24"/>
          <w:szCs w:val="24"/>
        </w:rPr>
        <w:t>202</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日在广州南沙音乐秀场（广州市南沙区环市大道南，近南沙活力乐园）举办“</w:t>
      </w:r>
      <w:r>
        <w:rPr>
          <w:rFonts w:hint="eastAsia" w:asciiTheme="minorEastAsia" w:hAnsiTheme="minorEastAsia" w:eastAsiaTheme="minorEastAsia" w:cstheme="minorEastAsia"/>
          <w:spacing w:val="-2"/>
          <w:sz w:val="24"/>
          <w:szCs w:val="24"/>
          <w:lang w:val="en-US" w:eastAsia="zh-CN"/>
        </w:rPr>
        <w:t>2025“Head In The Clouds”（云思妙想）音乐艺术节-大湾区站（南沙）</w:t>
      </w:r>
      <w:r>
        <w:rPr>
          <w:rFonts w:hint="eastAsia" w:asciiTheme="minorEastAsia" w:hAnsiTheme="minorEastAsia" w:eastAsiaTheme="minorEastAsia" w:cstheme="minorEastAsia"/>
          <w:spacing w:val="-2"/>
          <w:sz w:val="24"/>
          <w:szCs w:val="24"/>
        </w:rPr>
        <w:t>”活动，为了保障现场的治安秩序，需要临时雇请乙方的保安员进行安全保卫工作，经双方协商，签订以下协议，保证共同遵照执行。</w:t>
      </w:r>
    </w:p>
    <w:p w14:paraId="3505DBD6">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t>第一条</w:t>
      </w:r>
      <w:r>
        <w:rPr>
          <w:rFonts w:hint="eastAsia" w:asciiTheme="minorEastAsia" w:hAnsiTheme="minorEastAsia" w:eastAsiaTheme="minorEastAsia" w:cstheme="minorEastAsia"/>
          <w:spacing w:val="-1"/>
          <w:sz w:val="24"/>
          <w:szCs w:val="24"/>
        </w:rPr>
        <w:t xml:space="preserve"> </w:t>
      </w:r>
      <w:bookmarkEnd w:id="224"/>
      <w:r>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t>工作任务和范围</w:t>
      </w:r>
    </w:p>
    <w:p w14:paraId="394D0069">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乙方负责参与协助甲方活动现场的维稳、安全保卫工作。根据本协议约定和现场实际，采取定点与机动巡逻的护卫手段，维护甲方举办活动场地、物资的守护、人员流动的安全有序，预防各种纠纷及突发性事故，防止护卫目标受到不法侵害，保障活动始终安全有序进行。</w:t>
      </w:r>
    </w:p>
    <w:p w14:paraId="68862163">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z w:val="24"/>
          <w:szCs w:val="24"/>
          <w:lang w:eastAsia="zh-CN"/>
        </w:rPr>
      </w:pPr>
      <w:bookmarkStart w:id="225" w:name="_Toc32223"/>
      <w:r>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t>第二条</w:t>
      </w:r>
      <w:bookmarkEnd w:id="225"/>
      <w:r>
        <w:rPr>
          <w:rFonts w:hint="eastAsia" w:asciiTheme="minorEastAsia" w:hAnsiTheme="minorEastAsia" w:eastAsiaTheme="minorEastAsia" w:cstheme="minorEastAsia"/>
          <w:spacing w:val="-1"/>
          <w:sz w:val="24"/>
          <w:szCs w:val="24"/>
          <w:lang w:val="en-US" w:eastAsia="zh-CN"/>
          <w14:textOutline w14:w="4358" w14:cap="flat" w14:cmpd="sng">
            <w14:solidFill>
              <w14:srgbClr w14:val="000000"/>
            </w14:solidFill>
            <w14:prstDash w14:val="solid"/>
            <w14:miter w14:val="0"/>
          </w14:textOutline>
        </w:rPr>
        <w:t xml:space="preserve"> 执勤时间和收费标准</w:t>
      </w:r>
    </w:p>
    <w:p w14:paraId="7080101E">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bookmarkStart w:id="226" w:name="_Toc3942"/>
      <w:r>
        <w:rPr>
          <w:rFonts w:hint="eastAsia" w:asciiTheme="minorEastAsia" w:hAnsiTheme="minorEastAsia" w:eastAsiaTheme="minorEastAsia" w:cstheme="minorEastAsia"/>
          <w:spacing w:val="-2"/>
          <w:sz w:val="24"/>
          <w:szCs w:val="24"/>
        </w:rPr>
        <w:t>1、服务时间：2025年4月21日-2025年5月4日（以公安部门实际审定执勤时间为准）</w:t>
      </w:r>
    </w:p>
    <w:p w14:paraId="072D6CEB">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2、本合同项目单价详见附件1，所约定的单价为含税单价，最终结算金额=已约定的服务单价*实际发生的数量（以公安要求为准），税率为</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%。最终结算金额以双方书面确认的结算单为准，但不应高于</w:t>
      </w:r>
      <w:r>
        <w:rPr>
          <w:rFonts w:hint="eastAsia" w:asciiTheme="minorEastAsia" w:hAnsiTheme="minorEastAsia" w:eastAsiaTheme="minorEastAsia" w:cstheme="minorEastAsia"/>
          <w:spacing w:val="-2"/>
          <w:sz w:val="24"/>
          <w:szCs w:val="24"/>
          <w:lang w:val="en-US" w:eastAsia="zh-CN"/>
        </w:rPr>
        <w:t>1750000</w:t>
      </w:r>
      <w:r>
        <w:rPr>
          <w:rFonts w:hint="eastAsia" w:asciiTheme="minorEastAsia" w:hAnsiTheme="minorEastAsia" w:eastAsiaTheme="minorEastAsia" w:cstheme="minorEastAsia"/>
          <w:spacing w:val="-2"/>
          <w:sz w:val="24"/>
          <w:szCs w:val="24"/>
        </w:rPr>
        <w:t>元（保安员数量也不高于此合同限价除以单价的人员数量）。上述金额已包含需求项下的所有因完成服务而产生的人工、餐食、饮水、税费等所有费用，如有新增项，则另行签订补充协议。保卫任务结束后，乙方向甲方提供验收报告、安保服务结算单并开具相应金额的增值税专用发票，甲方在收到发票后的15个工作日内，据实结算保安服务费给乙方。</w:t>
      </w:r>
    </w:p>
    <w:p w14:paraId="05461227">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3、甲方付款前，乙方需提供验收报告、安保服务结算单和合法有效等额的发票。若乙方未能按时提供有效材料，甲方有权不予付款，且不承担逾期付款责任及任何违约责任。</w:t>
      </w:r>
    </w:p>
    <w:p w14:paraId="15B9555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flat" w14:cmpd="sng">
            <w14:solidFill>
              <w14:srgbClr w14:val="000000"/>
            </w14:solidFill>
            <w14:prstDash w14:val="solid"/>
            <w14:miter w14:val="0"/>
          </w14:textOutline>
        </w:rPr>
        <w:t>第三条</w:t>
      </w:r>
      <w:r>
        <w:rPr>
          <w:rFonts w:hint="eastAsia" w:asciiTheme="minorEastAsia" w:hAnsiTheme="minorEastAsia" w:eastAsiaTheme="minorEastAsia" w:cstheme="minorEastAsia"/>
          <w:sz w:val="24"/>
          <w:szCs w:val="24"/>
        </w:rPr>
        <w:t xml:space="preserve"> </w:t>
      </w:r>
      <w:bookmarkEnd w:id="226"/>
      <w:r>
        <w:rPr>
          <w:rFonts w:hint="eastAsia" w:asciiTheme="minorEastAsia" w:hAnsiTheme="minorEastAsia" w:eastAsiaTheme="minorEastAsia" w:cstheme="minorEastAsia"/>
          <w:sz w:val="24"/>
          <w:szCs w:val="24"/>
          <w14:textOutline w14:w="4358" w14:cap="flat" w14:cmpd="sng">
            <w14:solidFill>
              <w14:srgbClr w14:val="000000"/>
            </w14:solidFill>
            <w14:prstDash w14:val="solid"/>
            <w14:miter w14:val="0"/>
          </w14:textOutline>
        </w:rPr>
        <w:t>甲乙双方权利与义务</w:t>
      </w:r>
    </w:p>
    <w:p w14:paraId="2785B5AA">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bookmarkStart w:id="227" w:name="_Toc28653"/>
      <w:r>
        <w:rPr>
          <w:rFonts w:hint="eastAsia" w:asciiTheme="minorEastAsia" w:hAnsiTheme="minorEastAsia" w:eastAsiaTheme="minorEastAsia" w:cstheme="minorEastAsia"/>
          <w:spacing w:val="-2"/>
          <w:sz w:val="24"/>
          <w:szCs w:val="24"/>
        </w:rPr>
        <w:t>1、乙方执勤人员的工作用餐与饮用水由乙方负责。</w:t>
      </w:r>
    </w:p>
    <w:p w14:paraId="6D9E86AE">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2、甲方负责根据实际情况与乙方协商确定安保方案。</w:t>
      </w:r>
    </w:p>
    <w:p w14:paraId="16F9B90C">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3、乙方保安人员的工资、装备及人身意外保险等由乙方负责，与甲方无关。乙方应当自行结清保安人员的工作报酬，若因此产生争议，由乙方承担一切责任，与甲方无关。</w:t>
      </w:r>
    </w:p>
    <w:p w14:paraId="076F7CCD">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4、根据现场保卫需要，双方可以协商调整现场的保安力量，但必须经甲方现场负责人同意调整方案后方可具体实施。</w:t>
      </w:r>
    </w:p>
    <w:p w14:paraId="24B52DE4">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5、乙方所派出的保安员在派驻之前必须经过正式医院体检，确保保安员没有不适宜保安工作的任何疾病。乙方人员在履行本合同期间的人身安全问题与甲方无关。</w:t>
      </w:r>
    </w:p>
    <w:p w14:paraId="29FA7F18">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6、乙方应为保安员投保人身意外险。如乙方保安员在工作期间遭受意外伤害，由乙方负责向保险公司索赔，甲方不承担任何赔偿义务。甲方在举证等程序上可以给予配合。</w:t>
      </w:r>
    </w:p>
    <w:p w14:paraId="6227D62D">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7、乙方保安员在合同约定的时间和范围内为甲方服务而造成的他人或自身人身伤害或财产损失的，除因甲方指令乙方保安员实施的情况外，均由乙方负责，甲方不承担任何责任。</w:t>
      </w:r>
    </w:p>
    <w:p w14:paraId="03F0538C">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8、甲方有权对乙方的安保工作进行监督、指导，对不符合协议约定或现场实际需求的行为有权给予纠正。</w:t>
      </w:r>
    </w:p>
    <w:p w14:paraId="05D2B07C">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9、乙方安保员需在服务期间内佩戴含有所属安保单位/组别、所属组别组长姓名及联系电话、安保员姓名等必要的标识牌，如甲方在乙方安保员执勤过程中发现不妥行为，甲方将首先对该名人员进行提示，提示无果后将联系其组长，如联系组长后不妥行为仍无改善，将根据该行为所造成的不良后果于本合同结算时对服务费进行相应扣除。</w:t>
      </w:r>
    </w:p>
    <w:p w14:paraId="7C3B9A7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flat" w14:cmpd="sng">
            <w14:solidFill>
              <w14:srgbClr w14:val="000000"/>
            </w14:solidFill>
            <w14:prstDash w14:val="solid"/>
            <w14:miter w14:val="0"/>
          </w14:textOutline>
        </w:rPr>
        <w:t>第四条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4358" w14:cap="flat" w14:cmpd="sng">
            <w14:solidFill>
              <w14:srgbClr w14:val="000000"/>
            </w14:solidFill>
            <w14:prstDash w14:val="solid"/>
            <w14:miter w14:val="0"/>
          </w14:textOutline>
        </w:rPr>
        <w:t>组成本合同的有关文件</w:t>
      </w:r>
      <w:bookmarkEnd w:id="227"/>
    </w:p>
    <w:p w14:paraId="7F5B4994">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招标文件和有关附件是本合同不可分割的组成部分，与本合同具有同等法律效力，包括</w:t>
      </w:r>
    </w:p>
    <w:p w14:paraId="7EEF3193">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但不限于：</w:t>
      </w:r>
    </w:p>
    <w:p w14:paraId="318B69A8">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（1）乙方提供的投标文件和报价表；</w:t>
      </w:r>
    </w:p>
    <w:p w14:paraId="4B096A7A">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（2）承诺/服务承诺；</w:t>
      </w:r>
    </w:p>
    <w:p w14:paraId="1940724A">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中标通知书</w:t>
      </w:r>
      <w:r>
        <w:rPr>
          <w:rFonts w:hint="eastAsia" w:asciiTheme="minorEastAsia" w:hAnsiTheme="minorEastAsia" w:eastAsiaTheme="minorEastAsia" w:cstheme="minorEastAsia"/>
          <w:spacing w:val="-2"/>
          <w:sz w:val="24"/>
          <w:szCs w:val="24"/>
        </w:rPr>
        <w:t>；</w:t>
      </w:r>
    </w:p>
    <w:p w14:paraId="1F12F606">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（4）甲乙双方商定的其他文件等。</w:t>
      </w:r>
    </w:p>
    <w:p w14:paraId="70763F18">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pPr>
      <w:bookmarkStart w:id="228" w:name="_Toc29153"/>
      <w:r>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t>第五条</w:t>
      </w:r>
      <w:r>
        <w:rPr>
          <w:rFonts w:hint="eastAsia" w:asciiTheme="minorEastAsia" w:hAnsiTheme="minorEastAsia" w:eastAsiaTheme="minorEastAsia" w:cstheme="minorEastAsia"/>
          <w:spacing w:val="-1"/>
          <w:sz w:val="24"/>
          <w:szCs w:val="24"/>
          <w:lang w:val="en-US" w:eastAsia="zh-CN"/>
          <w14:textOutline w14:w="4358" w14:cap="flat" w14:cmpd="sng">
            <w14:solidFill>
              <w14:srgbClr w14:val="000000"/>
            </w14:solidFill>
            <w14:prstDash w14:val="solid"/>
            <w14:miter w14:val="0"/>
          </w14:textOutline>
        </w:rPr>
        <w:t xml:space="preserve"> </w:t>
      </w:r>
      <w:bookmarkEnd w:id="228"/>
      <w:r>
        <w:rPr>
          <w:rFonts w:hint="eastAsia" w:asciiTheme="minorEastAsia" w:hAnsiTheme="minorEastAsia" w:eastAsiaTheme="minorEastAsia" w:cstheme="minorEastAsia"/>
          <w:spacing w:val="-1"/>
          <w:sz w:val="24"/>
          <w:szCs w:val="24"/>
        </w:rPr>
        <w:t>本协议自甲乙双方签订之日起生效。在合同期内任何一方不得擅自改变或取消本协议。如有特殊情况，必须经双方协商后，方可共同更改协议内容。</w:t>
      </w:r>
    </w:p>
    <w:p w14:paraId="1C265159">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pPr>
      <w:bookmarkStart w:id="229" w:name="_Toc30623"/>
      <w:r>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t>第六条</w:t>
      </w:r>
      <w:bookmarkEnd w:id="229"/>
      <w:r>
        <w:rPr>
          <w:rFonts w:hint="eastAsia" w:asciiTheme="minorEastAsia" w:hAnsiTheme="minorEastAsia" w:eastAsiaTheme="minorEastAsia" w:cstheme="minorEastAsia"/>
          <w:spacing w:val="-1"/>
          <w:sz w:val="24"/>
          <w:szCs w:val="24"/>
          <w:lang w:val="en-US" w:eastAsia="zh-CN"/>
          <w14:textOutline w14:w="4358"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24"/>
          <w:szCs w:val="24"/>
        </w:rPr>
        <w:t>甲、乙任何一方单方面提前终止本协议时，应书面向对方说明原因。</w:t>
      </w:r>
    </w:p>
    <w:p w14:paraId="0028C12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Fonts w:hint="eastAsia" w:asciiTheme="minorEastAsia" w:hAnsiTheme="minorEastAsia" w:eastAsiaTheme="minorEastAsia" w:cstheme="minorEastAsia"/>
          <w:sz w:val="24"/>
          <w:szCs w:val="24"/>
          <w:lang w:val="en-US" w:eastAsia="zh-CN"/>
        </w:rPr>
      </w:pPr>
      <w:bookmarkStart w:id="230" w:name="_Toc7301"/>
      <w:r>
        <w:rPr>
          <w:rFonts w:hint="eastAsia" w:asciiTheme="minorEastAsia" w:hAnsiTheme="minorEastAsia" w:eastAsiaTheme="minorEastAsia" w:cstheme="minorEastAsia"/>
          <w:sz w:val="24"/>
          <w:szCs w:val="24"/>
          <w14:textOutline w14:w="4358"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24"/>
          <w:szCs w:val="24"/>
          <w:lang w:val="en-US" w:eastAsia="zh-CN"/>
          <w14:textOutline w14:w="4358" w14:cap="flat" w14:cmpd="sng">
            <w14:solidFill>
              <w14:srgbClr w14:val="000000"/>
            </w14:solidFill>
            <w14:prstDash w14:val="solid"/>
            <w14:miter w14:val="0"/>
          </w14:textOutline>
        </w:rPr>
        <w:t>七</w:t>
      </w:r>
      <w:r>
        <w:rPr>
          <w:rFonts w:hint="eastAsia" w:asciiTheme="minorEastAsia" w:hAnsiTheme="minorEastAsia" w:eastAsiaTheme="minorEastAsia" w:cstheme="minorEastAsia"/>
          <w:sz w:val="24"/>
          <w:szCs w:val="24"/>
          <w14:textOutline w14:w="4358" w14:cap="flat" w14:cmpd="sng">
            <w14:solidFill>
              <w14:srgbClr w14:val="000000"/>
            </w14:solidFill>
            <w14:prstDash w14:val="solid"/>
            <w14:miter w14:val="0"/>
          </w14:textOutline>
        </w:rPr>
        <w:t>条</w:t>
      </w:r>
      <w:r>
        <w:rPr>
          <w:rFonts w:hint="eastAsia" w:asciiTheme="minorEastAsia" w:hAnsiTheme="minorEastAsia" w:eastAsiaTheme="minorEastAsia" w:cstheme="minorEastAsia"/>
          <w:sz w:val="24"/>
          <w:szCs w:val="24"/>
          <w:lang w:val="en-US" w:eastAsia="zh-CN"/>
          <w14:textOutline w14:w="4358" w14:cap="flat" w14:cmpd="sng">
            <w14:solidFill>
              <w14:srgbClr w14:val="000000"/>
            </w14:solidFill>
            <w14:prstDash w14:val="solid"/>
            <w14:miter w14:val="0"/>
          </w14:textOutline>
        </w:rPr>
        <w:t xml:space="preserve"> </w:t>
      </w:r>
      <w:bookmarkEnd w:id="230"/>
      <w:r>
        <w:rPr>
          <w:rFonts w:hint="eastAsia" w:asciiTheme="minorEastAsia" w:hAnsiTheme="minorEastAsia" w:eastAsiaTheme="minorEastAsia" w:cstheme="minorEastAsia"/>
          <w:sz w:val="24"/>
          <w:szCs w:val="24"/>
          <w:lang w:val="en-US" w:eastAsia="zh-CN"/>
          <w14:textOutline w14:w="4358" w14:cap="flat" w14:cmpd="sng">
            <w14:solidFill>
              <w14:srgbClr w14:val="000000"/>
            </w14:solidFill>
            <w14:prstDash w14:val="solid"/>
            <w14:miter w14:val="0"/>
          </w14:textOutline>
        </w:rPr>
        <w:t>合同款项的支付</w:t>
      </w:r>
    </w:p>
    <w:p w14:paraId="0DE9E638">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bookmarkStart w:id="231" w:name="_Toc3020"/>
      <w:r>
        <w:rPr>
          <w:rFonts w:hint="eastAsia" w:asciiTheme="minorEastAsia" w:hAnsiTheme="minorEastAsia" w:eastAsiaTheme="minorEastAsia" w:cstheme="minorEastAsia"/>
          <w:spacing w:val="-1"/>
          <w:sz w:val="24"/>
          <w:szCs w:val="24"/>
        </w:rPr>
        <w:t>甲方采用以银行转账的方式支付保安服务费，甲乙双方的账户信息如下：</w:t>
      </w:r>
    </w:p>
    <w:p w14:paraId="19E1C485">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1.甲方开票信息：</w:t>
      </w:r>
    </w:p>
    <w:p w14:paraId="6D3C1EAF">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公司名称：广州南沙文体投资有限公司</w:t>
      </w:r>
    </w:p>
    <w:p w14:paraId="70633AED">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税号：91440101MA9W1FKL83</w:t>
      </w:r>
    </w:p>
    <w:p w14:paraId="353E0268">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2.乙方收款信息：</w:t>
      </w:r>
    </w:p>
    <w:p w14:paraId="1AF7417A">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公司名称：</w:t>
      </w:r>
    </w:p>
    <w:p w14:paraId="5DD6A6A9">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开户银行：</w:t>
      </w:r>
    </w:p>
    <w:p w14:paraId="5AE5ABF8">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账    号：</w:t>
      </w:r>
    </w:p>
    <w:p w14:paraId="0A3DD754">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t>第九条</w:t>
      </w:r>
      <w:r>
        <w:rPr>
          <w:rFonts w:hint="eastAsia" w:asciiTheme="minorEastAsia" w:hAnsiTheme="minorEastAsia" w:eastAsiaTheme="minorEastAsia" w:cstheme="minorEastAsia"/>
          <w:spacing w:val="-1"/>
          <w:sz w:val="24"/>
          <w:szCs w:val="24"/>
          <w:lang w:val="en-US" w:eastAsia="zh-CN"/>
          <w14:textOutline w14:w="4358" w14:cap="flat" w14:cmpd="sng">
            <w14:solidFill>
              <w14:srgbClr w14:val="000000"/>
            </w14:solidFill>
            <w14:prstDash w14:val="solid"/>
            <w14:miter w14:val="0"/>
          </w14:textOutline>
        </w:rPr>
        <w:t xml:space="preserve"> </w:t>
      </w:r>
      <w:bookmarkEnd w:id="231"/>
      <w:r>
        <w:rPr>
          <w:rFonts w:hint="eastAsia" w:asciiTheme="minorEastAsia" w:hAnsiTheme="minorEastAsia" w:eastAsiaTheme="minorEastAsia" w:cstheme="minorEastAsia"/>
          <w:spacing w:val="-1"/>
          <w:sz w:val="24"/>
          <w:szCs w:val="24"/>
        </w:rPr>
        <w:t>任何签约方逾期履行本合同义务的，每逾期一日，违约方应当向守约方支付本合同金额的0.2‰作为违约金；逾期至5日的，守约方有权单方解除本合同。</w:t>
      </w:r>
    </w:p>
    <w:p w14:paraId="20081A9D">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outlineLvl w:val="1"/>
        <w:rPr>
          <w:rFonts w:hint="eastAsia" w:asciiTheme="minorEastAsia" w:hAnsiTheme="minorEastAsia" w:eastAsiaTheme="minorEastAsia" w:cstheme="minorEastAsia"/>
          <w:sz w:val="24"/>
          <w:szCs w:val="24"/>
        </w:rPr>
      </w:pPr>
      <w:bookmarkStart w:id="232" w:name="_Toc10324"/>
      <w:r>
        <w:rPr>
          <w:rFonts w:hint="eastAsia" w:asciiTheme="minorEastAsia" w:hAnsiTheme="minorEastAsia" w:eastAsiaTheme="minorEastAsia" w:cstheme="minorEastAsia"/>
          <w:spacing w:val="-1"/>
          <w:sz w:val="24"/>
          <w:szCs w:val="24"/>
          <w14:textOutline w14:w="4358" w14:cap="flat" w14:cmpd="sng">
            <w14:solidFill>
              <w14:srgbClr w14:val="000000"/>
            </w14:solidFill>
            <w14:prstDash w14:val="solid"/>
            <w14:miter w14:val="0"/>
          </w14:textOutline>
        </w:rPr>
        <w:t>第十条</w:t>
      </w:r>
      <w:r>
        <w:rPr>
          <w:rFonts w:hint="eastAsia" w:asciiTheme="minorEastAsia" w:hAnsiTheme="minorEastAsia" w:eastAsiaTheme="minorEastAsia" w:cstheme="minorEastAsia"/>
          <w:spacing w:val="-1"/>
          <w:sz w:val="24"/>
          <w:szCs w:val="24"/>
          <w:lang w:val="en-US" w:eastAsia="zh-CN"/>
          <w14:textOutline w14:w="4358" w14:cap="flat" w14:cmpd="sng">
            <w14:solidFill>
              <w14:srgbClr w14:val="000000"/>
            </w14:solidFill>
            <w14:prstDash w14:val="solid"/>
            <w14:miter w14:val="0"/>
          </w14:textOutline>
        </w:rPr>
        <w:t xml:space="preserve"> </w:t>
      </w:r>
      <w:bookmarkEnd w:id="232"/>
      <w:r>
        <w:rPr>
          <w:rFonts w:hint="eastAsia" w:asciiTheme="minorEastAsia" w:hAnsiTheme="minorEastAsia" w:eastAsiaTheme="minorEastAsia" w:cstheme="minorEastAsia"/>
          <w:spacing w:val="-1"/>
          <w:sz w:val="24"/>
          <w:szCs w:val="24"/>
        </w:rPr>
        <w:t>甲乙双方之间对本协议项目下的争议及未尽事宜应通过友好协商解决。协商不成，任何一方均有权向广州市南沙区人民法院提起诉讼。败诉方应当承担胜诉方由此产生的所有合理费用，包括但不限于诉讼费、财产保全费、评估费、鉴定费、公告费、公证费、执行费、拍卖费、律师费、交通费等。</w:t>
      </w:r>
    </w:p>
    <w:p w14:paraId="40512663">
      <w:pPr>
        <w:wordWrap/>
        <w:ind w:firstLine="480" w:firstLineChars="200"/>
        <w:outlineLvl w:val="1"/>
        <w:rPr>
          <w:rFonts w:hint="eastAsia" w:asciiTheme="minorEastAsia" w:hAnsiTheme="minorEastAsia" w:eastAsiaTheme="minorEastAsia" w:cstheme="minorEastAsia"/>
          <w:spacing w:val="-1"/>
          <w:sz w:val="24"/>
          <w:szCs w:val="24"/>
        </w:rPr>
      </w:pPr>
      <w:bookmarkStart w:id="233" w:name="_Toc10794"/>
      <w:r>
        <w:rPr>
          <w:rFonts w:hint="eastAsia" w:asciiTheme="minorEastAsia" w:hAnsiTheme="minorEastAsia" w:eastAsiaTheme="minorEastAsia" w:cstheme="minorEastAsia"/>
          <w:sz w:val="24"/>
          <w:szCs w:val="24"/>
          <w14:textOutline w14:w="4358" w14:cap="flat" w14:cmpd="sng">
            <w14:solidFill>
              <w14:srgbClr w14:val="000000"/>
            </w14:solidFill>
            <w14:prstDash w14:val="solid"/>
            <w14:miter w14:val="0"/>
          </w14:textOutline>
        </w:rPr>
        <w:t>第十一条</w:t>
      </w:r>
      <w:r>
        <w:rPr>
          <w:rFonts w:hint="eastAsia" w:asciiTheme="minorEastAsia" w:hAnsiTheme="minorEastAsia" w:eastAsiaTheme="minorEastAsia" w:cstheme="minorEastAsia"/>
          <w:sz w:val="24"/>
          <w:szCs w:val="24"/>
          <w:lang w:val="en-US" w:eastAsia="zh-CN"/>
          <w14:textOutline w14:w="4358" w14:cap="flat" w14:cmpd="sng">
            <w14:solidFill>
              <w14:srgbClr w14:val="000000"/>
            </w14:solidFill>
            <w14:prstDash w14:val="solid"/>
            <w14:miter w14:val="0"/>
          </w14:textOutline>
        </w:rPr>
        <w:t xml:space="preserve"> </w:t>
      </w:r>
      <w:bookmarkEnd w:id="233"/>
      <w:r>
        <w:rPr>
          <w:rFonts w:hint="eastAsia" w:asciiTheme="minorEastAsia" w:hAnsiTheme="minorEastAsia" w:eastAsiaTheme="minorEastAsia" w:cstheme="minorEastAsia"/>
          <w:spacing w:val="-1"/>
          <w:sz w:val="24"/>
          <w:szCs w:val="24"/>
        </w:rPr>
        <w:t>本协议一式陆份，甲乙双方各执叁份，期满且甲方向乙方交付全部保安服务费后本协议随即终止。</w:t>
      </w:r>
    </w:p>
    <w:p w14:paraId="6D39D26F">
      <w:pPr>
        <w:wordWrap/>
        <w:ind w:firstLine="476" w:firstLineChars="200"/>
        <w:outlineLvl w:val="1"/>
        <w:rPr>
          <w:rFonts w:hint="eastAsia" w:asciiTheme="minorEastAsia" w:hAnsiTheme="minorEastAsia" w:eastAsiaTheme="minorEastAsia" w:cstheme="minorEastAsia"/>
          <w:spacing w:val="-1"/>
          <w:sz w:val="24"/>
          <w:szCs w:val="24"/>
          <w:lang w:val="en-US" w:eastAsia="zh-CN"/>
        </w:rPr>
      </w:pPr>
    </w:p>
    <w:p w14:paraId="2C7D9B71">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（以下无正文）</w:t>
      </w:r>
    </w:p>
    <w:p w14:paraId="52FA700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spacing w:val="-1"/>
          <w:sz w:val="24"/>
          <w:szCs w:val="24"/>
          <w:lang w:val="en-US" w:eastAsia="zh-CN"/>
        </w:rPr>
      </w:pPr>
    </w:p>
    <w:p w14:paraId="608434F3">
      <w:pPr>
        <w:keepNext w:val="0"/>
        <w:keepLines w:val="0"/>
        <w:pageBreakBefore w:val="0"/>
        <w:widowControl w:val="0"/>
        <w:kinsoku/>
        <w:wordWrap/>
        <w:overflowPunct/>
        <w:topLinePunct w:val="0"/>
        <w:autoSpaceDE/>
        <w:autoSpaceDN/>
        <w:bidi w:val="0"/>
        <w:adjustRightInd/>
        <w:snapToGrid/>
        <w:spacing w:line="440" w:lineRule="exact"/>
        <w:ind w:left="946" w:leftChars="224" w:hanging="476" w:hangingChars="200"/>
        <w:textAlignment w:val="auto"/>
        <w:outlineLvl w:val="1"/>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附件：1.2025“Head In The Clouds”（云思妙想）音乐艺术节—大湾区站（南沙）项目安保服务报价单</w:t>
      </w:r>
    </w:p>
    <w:p w14:paraId="422A12CD">
      <w:pPr>
        <w:keepNext w:val="0"/>
        <w:keepLines w:val="0"/>
        <w:pageBreakBefore w:val="0"/>
        <w:widowControl w:val="0"/>
        <w:kinsoku/>
        <w:wordWrap/>
        <w:overflowPunct/>
        <w:topLinePunct w:val="0"/>
        <w:autoSpaceDE/>
        <w:autoSpaceDN/>
        <w:bidi w:val="0"/>
        <w:adjustRightInd/>
        <w:snapToGrid/>
        <w:spacing w:line="440" w:lineRule="exact"/>
        <w:ind w:left="0" w:leftChars="0" w:firstLine="1190" w:firstLineChars="500"/>
        <w:textAlignment w:val="auto"/>
        <w:outlineLvl w:val="1"/>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2.保密协议</w:t>
      </w:r>
    </w:p>
    <w:p w14:paraId="2265A398">
      <w:pPr>
        <w:keepNext w:val="0"/>
        <w:keepLines w:val="0"/>
        <w:pageBreakBefore w:val="0"/>
        <w:widowControl w:val="0"/>
        <w:kinsoku/>
        <w:wordWrap/>
        <w:overflowPunct/>
        <w:topLinePunct w:val="0"/>
        <w:autoSpaceDE/>
        <w:autoSpaceDN/>
        <w:bidi w:val="0"/>
        <w:adjustRightInd/>
        <w:snapToGrid/>
        <w:spacing w:line="440" w:lineRule="exact"/>
        <w:ind w:left="0" w:leftChars="0" w:firstLine="1190" w:firstLineChars="500"/>
        <w:textAlignment w:val="auto"/>
        <w:outlineLvl w:val="1"/>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3.廉洁责任合同</w:t>
      </w:r>
    </w:p>
    <w:p w14:paraId="6DC84F21">
      <w:pPr>
        <w:pStyle w:val="15"/>
        <w:keepNext w:val="0"/>
        <w:keepLines w:val="0"/>
        <w:pageBreakBefore w:val="0"/>
        <w:widowControl w:val="0"/>
        <w:kinsoku/>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371C3A7F">
      <w:pPr>
        <w:pStyle w:val="15"/>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lang w:val="en-US" w:eastAsia="zh-CN"/>
        </w:rPr>
      </w:pPr>
    </w:p>
    <w:p w14:paraId="17244CEF">
      <w:pPr>
        <w:pStyle w:val="15"/>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lang w:val="en-US" w:eastAsia="zh-CN"/>
        </w:rPr>
      </w:pPr>
    </w:p>
    <w:p w14:paraId="4501CA99">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甲方（盖章）：                    乙方（盖章）：</w:t>
      </w:r>
    </w:p>
    <w:p w14:paraId="2C47A18A">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广州南沙文体投资有限公司          </w:t>
      </w:r>
    </w:p>
    <w:p w14:paraId="7BF89F91">
      <w:pPr>
        <w:pStyle w:val="15"/>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lang w:val="en-US" w:eastAsia="zh-CN"/>
        </w:rPr>
      </w:pPr>
    </w:p>
    <w:p w14:paraId="661B576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甲方代表人：                      乙方代表人：</w:t>
      </w:r>
    </w:p>
    <w:p w14:paraId="3188D409">
      <w:pPr>
        <w:pStyle w:val="15"/>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rPr>
      </w:pPr>
    </w:p>
    <w:p w14:paraId="1D7432A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南沙区南沙金融大厦16楼</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 xml:space="preserve"> </w:t>
      </w:r>
    </w:p>
    <w:p w14:paraId="2134A97C">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联系电话：020-66393577            联系电话：</w:t>
      </w:r>
    </w:p>
    <w:p w14:paraId="56D3F166">
      <w:pPr>
        <w:pStyle w:val="15"/>
        <w:keepNext w:val="0"/>
        <w:keepLines w:val="0"/>
        <w:pageBreakBefore w:val="0"/>
        <w:widowControl w:val="0"/>
        <w:kinsoku/>
        <w:overflowPunct/>
        <w:topLinePunct w:val="0"/>
        <w:autoSpaceDE/>
        <w:autoSpaceDN/>
        <w:bidi w:val="0"/>
        <w:adjustRightInd/>
        <w:spacing w:line="440" w:lineRule="exact"/>
        <w:ind w:left="0" w:leftChars="0"/>
        <w:textAlignment w:val="auto"/>
        <w:rPr>
          <w:rFonts w:hint="eastAsia" w:asciiTheme="minorEastAsia" w:hAnsiTheme="minorEastAsia" w:eastAsiaTheme="minorEastAsia" w:cstheme="minorEastAsia"/>
          <w:sz w:val="24"/>
          <w:szCs w:val="24"/>
        </w:rPr>
      </w:pPr>
    </w:p>
    <w:p w14:paraId="65288C52">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签订日期： </w:t>
      </w:r>
      <w:r>
        <w:rPr>
          <w:rFonts w:hint="eastAsia" w:asciiTheme="minorEastAsia" w:hAnsiTheme="minorEastAsia" w:eastAsiaTheme="minorEastAsia" w:cstheme="minorEastAsia"/>
          <w:color w:val="auto"/>
          <w:sz w:val="24"/>
          <w:szCs w:val="24"/>
          <w:highlight w:val="none"/>
          <w:lang w:val="en-US" w:eastAsia="zh-CN"/>
        </w:rPr>
        <w:t xml:space="preserve">     </w:t>
      </w:r>
    </w:p>
    <w:p w14:paraId="5AA1BB70">
      <w:pPr>
        <w:pStyle w:val="8"/>
        <w:spacing w:line="14" w:lineRule="auto"/>
        <w:rPr>
          <w:rFonts w:hint="eastAsia" w:asciiTheme="minorEastAsia" w:hAnsiTheme="minorEastAsia" w:eastAsiaTheme="minorEastAsia" w:cstheme="minorEastAsia"/>
          <w:sz w:val="2"/>
          <w:szCs w:val="2"/>
        </w:rPr>
      </w:pPr>
    </w:p>
    <w:p w14:paraId="417FD391">
      <w:pPr>
        <w:spacing w:line="14" w:lineRule="auto"/>
        <w:rPr>
          <w:rFonts w:hint="eastAsia" w:asciiTheme="minorEastAsia" w:hAnsiTheme="minorEastAsia" w:eastAsiaTheme="minorEastAsia" w:cstheme="minorEastAsia"/>
        </w:rPr>
      </w:pPr>
    </w:p>
    <w:p w14:paraId="32D16824">
      <w:pPr>
        <w:spacing w:line="14" w:lineRule="auto"/>
        <w:rPr>
          <w:rFonts w:hint="eastAsia" w:asciiTheme="minorEastAsia" w:hAnsiTheme="minorEastAsia" w:eastAsiaTheme="minorEastAsia" w:cstheme="minorEastAsia"/>
        </w:rPr>
      </w:pPr>
    </w:p>
    <w:p w14:paraId="12F04B7E">
      <w:pPr>
        <w:spacing w:line="14" w:lineRule="auto"/>
        <w:rPr>
          <w:rFonts w:hint="eastAsia" w:asciiTheme="minorEastAsia" w:hAnsiTheme="minorEastAsia" w:eastAsiaTheme="minorEastAsia" w:cstheme="minorEastAsia"/>
        </w:rPr>
      </w:pPr>
    </w:p>
    <w:p w14:paraId="1DCE3010">
      <w:pPr>
        <w:spacing w:line="14" w:lineRule="auto"/>
        <w:rPr>
          <w:rFonts w:hint="eastAsia" w:asciiTheme="minorEastAsia" w:hAnsiTheme="minorEastAsia" w:eastAsiaTheme="minorEastAsia" w:cstheme="minorEastAsia"/>
        </w:rPr>
      </w:pPr>
    </w:p>
    <w:p w14:paraId="0937777A">
      <w:pPr>
        <w:spacing w:line="14" w:lineRule="auto"/>
        <w:rPr>
          <w:rFonts w:hint="eastAsia" w:asciiTheme="minorEastAsia" w:hAnsiTheme="minorEastAsia" w:eastAsiaTheme="minorEastAsia" w:cstheme="minorEastAsia"/>
        </w:rPr>
      </w:pPr>
    </w:p>
    <w:p w14:paraId="0929AA00">
      <w:pPr>
        <w:spacing w:line="14" w:lineRule="auto"/>
        <w:rPr>
          <w:rFonts w:hint="eastAsia" w:asciiTheme="minorEastAsia" w:hAnsiTheme="minorEastAsia" w:eastAsiaTheme="minorEastAsia" w:cstheme="minorEastAsia"/>
        </w:rPr>
      </w:pPr>
    </w:p>
    <w:p w14:paraId="25A64A8A">
      <w:pPr>
        <w:spacing w:line="14" w:lineRule="auto"/>
        <w:rPr>
          <w:rFonts w:hint="eastAsia" w:asciiTheme="minorEastAsia" w:hAnsiTheme="minorEastAsia" w:eastAsiaTheme="minorEastAsia" w:cstheme="minorEastAsia"/>
        </w:rPr>
      </w:pPr>
    </w:p>
    <w:p w14:paraId="6B9768E3">
      <w:pPr>
        <w:spacing w:line="14" w:lineRule="auto"/>
        <w:rPr>
          <w:rFonts w:hint="eastAsia" w:asciiTheme="minorEastAsia" w:hAnsiTheme="minorEastAsia" w:eastAsiaTheme="minorEastAsia" w:cstheme="minorEastAsia"/>
        </w:rPr>
      </w:pPr>
    </w:p>
    <w:p w14:paraId="4C12E079">
      <w:pPr>
        <w:spacing w:line="14" w:lineRule="auto"/>
        <w:rPr>
          <w:rFonts w:hint="eastAsia" w:asciiTheme="minorEastAsia" w:hAnsiTheme="minorEastAsia" w:eastAsiaTheme="minorEastAsia" w:cstheme="minorEastAsia"/>
        </w:rPr>
      </w:pPr>
    </w:p>
    <w:p w14:paraId="74F7F00B">
      <w:pPr>
        <w:spacing w:line="14" w:lineRule="auto"/>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附件1</w:t>
      </w:r>
    </w:p>
    <w:p w14:paraId="08CDE55F">
      <w:pPr>
        <w:pStyle w:val="8"/>
        <w:spacing w:line="280" w:lineRule="auto"/>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pPr>
    </w:p>
    <w:p w14:paraId="67F776C4">
      <w:pPr>
        <w:spacing w:line="480" w:lineRule="exact"/>
        <w:ind w:firstLine="640"/>
        <w:textAlignment w:val="baseline"/>
        <w:rPr>
          <w:rFonts w:hint="eastAsia" w:asciiTheme="minorEastAsia" w:hAnsiTheme="minorEastAsia" w:eastAsiaTheme="minorEastAsia" w:cstheme="minorEastAsia"/>
          <w:sz w:val="32"/>
          <w:szCs w:val="32"/>
        </w:rPr>
      </w:pPr>
    </w:p>
    <w:tbl>
      <w:tblPr>
        <w:tblStyle w:val="16"/>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896"/>
        <w:gridCol w:w="3096"/>
        <w:gridCol w:w="2512"/>
      </w:tblGrid>
      <w:tr w14:paraId="5ED5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0"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C3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44"/>
                <w:szCs w:val="44"/>
                <w:u w:val="none"/>
                <w:lang w:val="en-US" w:eastAsia="zh-CN" w:bidi="ar"/>
              </w:rPr>
            </w:pPr>
            <w:r>
              <w:rPr>
                <w:rFonts w:hint="eastAsia" w:asciiTheme="minorEastAsia" w:hAnsiTheme="minorEastAsia" w:eastAsiaTheme="minorEastAsia" w:cstheme="minorEastAsia"/>
                <w:i w:val="0"/>
                <w:iCs w:val="0"/>
                <w:color w:val="000000"/>
                <w:kern w:val="0"/>
                <w:sz w:val="44"/>
                <w:szCs w:val="44"/>
                <w:u w:val="none"/>
                <w:lang w:val="en-US" w:eastAsia="zh-CN" w:bidi="ar"/>
              </w:rPr>
              <w:t>2025“Head In The Clouds”（云思妙想）音乐艺术节—大湾区站（南沙）项目</w:t>
            </w:r>
          </w:p>
          <w:p w14:paraId="6164C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44"/>
                <w:szCs w:val="44"/>
                <w:u w:val="none"/>
                <w:lang w:val="en-US" w:eastAsia="zh-CN" w:bidi="ar"/>
              </w:rPr>
              <w:t>安保服务报价单</w:t>
            </w:r>
          </w:p>
        </w:tc>
      </w:tr>
      <w:tr w14:paraId="0CD0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C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1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A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含税单价（元/人次/小时）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2A23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F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0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安保员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D109">
            <w:pPr>
              <w:jc w:val="center"/>
              <w:rPr>
                <w:rFonts w:hint="eastAsia" w:asciiTheme="minorEastAsia" w:hAnsiTheme="minorEastAsia" w:eastAsiaTheme="minorEastAsia" w:cstheme="minorEastAsia"/>
                <w:i w:val="0"/>
                <w:iCs w:val="0"/>
                <w:color w:val="000000"/>
                <w:sz w:val="24"/>
                <w:szCs w:val="24"/>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17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提供2025“Head In The Clouds”（云思妙想）音乐艺术节—大湾区站（南沙）项目4月21日-5月4日安保服务，需免费提供X光机8套、安检门13个，相关人员需完全配合工作。</w:t>
            </w:r>
          </w:p>
        </w:tc>
      </w:tr>
      <w:tr w14:paraId="5ABD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8200" w:type="dxa"/>
            <w:gridSpan w:val="4"/>
            <w:tcBorders>
              <w:top w:val="nil"/>
              <w:left w:val="nil"/>
              <w:bottom w:val="nil"/>
              <w:right w:val="nil"/>
            </w:tcBorders>
            <w:shd w:val="clear" w:color="auto" w:fill="auto"/>
            <w:vAlign w:val="center"/>
          </w:tcPr>
          <w:p w14:paraId="5472B2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备注：上述单价为含税单价，最终结算金额=已约定的服务单价*实际发生的数量（以公安要求为准），以双方书面确认的结算单为准，</w:t>
            </w:r>
            <w:r>
              <w:rPr>
                <w:rFonts w:hint="eastAsia" w:asciiTheme="minorEastAsia" w:hAnsiTheme="minorEastAsia" w:eastAsiaTheme="minorEastAsia" w:cstheme="minorEastAsia"/>
                <w:color w:val="000000"/>
                <w:kern w:val="0"/>
                <w:sz w:val="24"/>
                <w:szCs w:val="24"/>
                <w:u w:val="none"/>
                <w:lang w:bidi="ar"/>
              </w:rPr>
              <w:t>但最终结算金额不应高于175万元</w:t>
            </w:r>
            <w:r>
              <w:rPr>
                <w:rFonts w:hint="eastAsia" w:asciiTheme="minorEastAsia" w:hAnsiTheme="minorEastAsia" w:eastAsiaTheme="minorEastAsia" w:cstheme="minorEastAsia"/>
                <w:i w:val="0"/>
                <w:iCs w:val="0"/>
                <w:color w:val="000000"/>
                <w:kern w:val="0"/>
                <w:sz w:val="24"/>
                <w:szCs w:val="24"/>
                <w:u w:val="none"/>
                <w:lang w:val="en-US" w:eastAsia="zh-CN" w:bidi="ar"/>
              </w:rPr>
              <w:t>。上述金额已包含需求项下的所有因完成服务而产生的人工、餐食、饮水、税费等所有费用，如有新增项，则另行签订补充协议。</w:t>
            </w:r>
          </w:p>
        </w:tc>
      </w:tr>
    </w:tbl>
    <w:p w14:paraId="10D1CED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2B8B76A4">
      <w:pPr>
        <w:pStyle w:val="8"/>
        <w:spacing w:line="280" w:lineRule="auto"/>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附件2</w:t>
      </w:r>
    </w:p>
    <w:p w14:paraId="2C8ABB8F">
      <w:pPr>
        <w:spacing w:line="480" w:lineRule="exact"/>
        <w:textAlignment w:val="baseline"/>
        <w:rPr>
          <w:rFonts w:hint="eastAsia" w:asciiTheme="minorEastAsia" w:hAnsiTheme="minorEastAsia" w:eastAsiaTheme="minorEastAsia" w:cstheme="minorEastAsia"/>
          <w:sz w:val="24"/>
        </w:rPr>
      </w:pPr>
    </w:p>
    <w:p w14:paraId="5D6AA6D3">
      <w:pPr>
        <w:pStyle w:val="15"/>
        <w:keepNext w:val="0"/>
        <w:keepLines w:val="0"/>
        <w:pageBreakBefore w:val="0"/>
        <w:kinsoku/>
        <w:overflowPunct/>
        <w:topLinePunct w:val="0"/>
        <w:bidi w:val="0"/>
        <w:snapToGrid/>
        <w:spacing w:line="440" w:lineRule="exact"/>
        <w:ind w:left="0" w:leftChars="0" w:firstLine="0" w:firstLineChars="0"/>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保密协议</w:t>
      </w:r>
    </w:p>
    <w:p w14:paraId="44D21290">
      <w:pPr>
        <w:pStyle w:val="15"/>
        <w:keepNext w:val="0"/>
        <w:keepLines w:val="0"/>
        <w:pageBreakBefore w:val="0"/>
        <w:kinsoku/>
        <w:overflowPunct/>
        <w:topLinePunct w:val="0"/>
        <w:bidi w:val="0"/>
        <w:snapToGrid/>
        <w:spacing w:line="440" w:lineRule="exact"/>
        <w:ind w:left="0" w:leftChars="0" w:firstLine="880" w:firstLineChars="200"/>
        <w:jc w:val="both"/>
        <w:textAlignment w:val="auto"/>
        <w:rPr>
          <w:rFonts w:hint="eastAsia" w:asciiTheme="minorEastAsia" w:hAnsiTheme="minorEastAsia" w:eastAsiaTheme="minorEastAsia" w:cstheme="minorEastAsia"/>
          <w:b w:val="0"/>
          <w:bCs/>
          <w:sz w:val="44"/>
          <w:szCs w:val="44"/>
          <w:lang w:val="en-US" w:eastAsia="zh-CN"/>
        </w:rPr>
      </w:pPr>
    </w:p>
    <w:p w14:paraId="3210040C">
      <w:pPr>
        <w:keepNext w:val="0"/>
        <w:keepLines w:val="0"/>
        <w:pageBreakBefore w:val="0"/>
        <w:kinsoku/>
        <w:overflowPunct/>
        <w:topLinePunct w:val="0"/>
        <w:bidi w:val="0"/>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【甲方】：广州南沙文体投资有限公司</w:t>
      </w:r>
    </w:p>
    <w:p w14:paraId="3C4ACC42">
      <w:pPr>
        <w:keepNext w:val="0"/>
        <w:keepLines w:val="0"/>
        <w:pageBreakBefore w:val="0"/>
        <w:kinsoku/>
        <w:overflowPunct/>
        <w:topLinePunct w:val="0"/>
        <w:bidi w:val="0"/>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【乙方】：</w:t>
      </w:r>
    </w:p>
    <w:p w14:paraId="43F581C9">
      <w:pPr>
        <w:keepNext w:val="0"/>
        <w:keepLines w:val="0"/>
        <w:pageBreakBefore w:val="0"/>
        <w:kinsoku/>
        <w:overflowPunct/>
        <w:topLinePunct w:val="0"/>
        <w:bidi w:val="0"/>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140079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鉴于甲乙双方因工作或业务合作需要，可能接触到对方的商业秘密、技术信息、客户资料等敏感信息，为了保护双方的合法权益，根据国家有关法律法规，经双方平等协商，特签订本保密协议。</w:t>
      </w:r>
    </w:p>
    <w:p w14:paraId="5F7A385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046BBE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【第一条】 定义</w:t>
      </w:r>
    </w:p>
    <w:p w14:paraId="3B05F2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“保密信息”：指任何未公开的、由甲方或乙方拥有或控制的、并以任何形式披露给对方的信息，包括但不限于技术资料、业务计划、客户名单、财务数据、市场分析、研究开发成果等。</w:t>
      </w:r>
    </w:p>
    <w:p w14:paraId="27666EF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【第二条】 保密义务</w:t>
      </w:r>
    </w:p>
    <w:p w14:paraId="262183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乙方承诺，对于在本协议有效期内从甲方获取的所有保密信息，将采取合理措施予以保密，不向任何第三方披露，除非事先获得甲方书面同意。</w:t>
      </w:r>
    </w:p>
    <w:p w14:paraId="5B223DF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乙方仅可在为实现本协议目的所必需的范围内使用甲方的保密信息，不得用于其他任何目的。</w:t>
      </w:r>
    </w:p>
    <w:p w14:paraId="633238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活动信息保密</w:t>
      </w:r>
    </w:p>
    <w:p w14:paraId="4703A5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未经甲方事先书面同意，乙方不得以任何形式公开或私下宣传活动相关信息，包括但不限于活动内容、时间、地点、参与人员、预期目标、活动成果等，无论是通过媒体、网络、社交平台还是口头形式。</w:t>
      </w:r>
    </w:p>
    <w:p w14:paraId="589DABF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乙方在参与甲方组织或与甲方相关的任何活动期间，应严格遵守甲方关于活动信息保密的要求，不得擅自记录、拍摄或收集与活动相关的资料，除非获得甲方的明确授权。</w:t>
      </w:r>
    </w:p>
    <w:p w14:paraId="580437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合作宣传</w:t>
      </w:r>
    </w:p>
    <w:p w14:paraId="0710B55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若甲方同意乙方参与宣传活动，双方应事先明确宣传的内容、范围、方式及时间等细节，并由甲方提供或批准所有宣传材料，确保宣传内容的准确性和合规性。</w:t>
      </w:r>
    </w:p>
    <w:p w14:paraId="05C9AB0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乙方在宣传活动中的任何公开陈述，必须事先得到甲方的审核和批准，以维护甲方品牌形象和活动效果。</w:t>
      </w:r>
    </w:p>
    <w:p w14:paraId="1D1C39E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【第三条】 保密信息的例外</w:t>
      </w:r>
    </w:p>
    <w:p w14:paraId="1F9E14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保密信息不包括以下信息：</w:t>
      </w:r>
    </w:p>
    <w:p w14:paraId="5FEC7F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 在披露时已为公众所知的信息；</w:t>
      </w:r>
    </w:p>
    <w:p w14:paraId="2B25E9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 通过合法途径从第三方获取，且该第三方对该信息无保密义务的信息；</w:t>
      </w:r>
    </w:p>
    <w:p w14:paraId="5C438E7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 在未使用甲方保密信息的情况下，乙方独立开发的信息；</w:t>
      </w:r>
    </w:p>
    <w:p w14:paraId="50ADED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 根据法律、法规或法院命令必须披露的信息，但乙方应在法律允许的范围内，事先通知甲方。</w:t>
      </w:r>
    </w:p>
    <w:p w14:paraId="0DE62B4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【第四条】 协议期限与终止</w:t>
      </w:r>
    </w:p>
    <w:p w14:paraId="0B884BB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本协议自双方签字或盖章之日起生效</w:t>
      </w:r>
      <w:r>
        <w:rPr>
          <w:rFonts w:hint="eastAsia" w:asciiTheme="minorEastAsia" w:hAnsiTheme="minorEastAsia" w:eastAsiaTheme="minorEastAsia" w:cstheme="minorEastAsia"/>
          <w:color w:val="auto"/>
          <w:sz w:val="24"/>
          <w:szCs w:val="24"/>
          <w:highlight w:val="none"/>
          <w:lang w:val="en-US" w:eastAsia="zh-CN"/>
        </w:rPr>
        <w:t>至合同款项付清且双方无异议之日终止</w:t>
      </w:r>
      <w:r>
        <w:rPr>
          <w:rFonts w:hint="eastAsia" w:asciiTheme="minorEastAsia" w:hAnsiTheme="minorEastAsia" w:eastAsiaTheme="minorEastAsia" w:cstheme="minorEastAsia"/>
          <w:color w:val="auto"/>
          <w:sz w:val="24"/>
          <w:szCs w:val="24"/>
          <w:highlight w:val="none"/>
        </w:rPr>
        <w:t>。</w:t>
      </w:r>
    </w:p>
    <w:p w14:paraId="4021B1A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本协议终止后，乙方应立即停止使用甲方的保密信息，并应甲方要求归还或销毁所有包含保密信息的材料。</w:t>
      </w:r>
    </w:p>
    <w:p w14:paraId="1615802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【第五条】 违约责任</w:t>
      </w:r>
    </w:p>
    <w:p w14:paraId="6C42ED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若乙方违反本协议的保密义务，应赔偿甲方因此遭受的全部损失，包括但不限于直接经济损失、诉讼费用、律师费用等。</w:t>
      </w:r>
    </w:p>
    <w:p w14:paraId="688EB8D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甲方保留追究乙方违约责任的法律权利。</w:t>
      </w:r>
    </w:p>
    <w:p w14:paraId="2032A2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若乙方违反本协议的保密义务，甲方有权要求乙方立即停止宣传活动，消除影响，并承担由此给甲方造成的全部经济损失和名誉损害。</w:t>
      </w:r>
    </w:p>
    <w:p w14:paraId="530703E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甲方保留追究乙方违约责任的权利，包括但不限于要求乙方支付违约金、赔偿损失、公开道歉等法律措施。</w:t>
      </w:r>
    </w:p>
    <w:p w14:paraId="2D6B9ED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【第六条】 适用法律与争议解决</w:t>
      </w:r>
    </w:p>
    <w:p w14:paraId="65C9C5F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本协议的解释、效力及争议的解决，均应适用中华人民共和国法律。</w:t>
      </w:r>
    </w:p>
    <w:p w14:paraId="3324CE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因本协议引起的或与本协议有关的任何争议，双方应首先通过友好协商解决；协商不成的，任何一方可将争议提交甲方所在地的人民法院诉讼解决。</w:t>
      </w:r>
    </w:p>
    <w:p w14:paraId="34B8D3C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【第七条】 其他</w:t>
      </w:r>
    </w:p>
    <w:p w14:paraId="085982F0">
      <w:pPr>
        <w:pStyle w:val="15"/>
        <w:keepNext w:val="0"/>
        <w:keepLines w:val="0"/>
        <w:pageBreakBefore w:val="0"/>
        <w:widowControl/>
        <w:kinsoku/>
        <w:wordWrap w:val="0"/>
        <w:overflowPunct/>
        <w:topLinePunct w:val="0"/>
        <w:autoSpaceDE w:val="0"/>
        <w:autoSpaceDN w:val="0"/>
        <w:bidi w:val="0"/>
        <w:adjustRightInd w:val="0"/>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本协议未尽事宜，由双方另行协商确定。</w:t>
      </w:r>
    </w:p>
    <w:p w14:paraId="7BFE7F9E">
      <w:pPr>
        <w:pStyle w:val="15"/>
        <w:keepNext w:val="0"/>
        <w:keepLines w:val="0"/>
        <w:pageBreakBefore w:val="0"/>
        <w:kinsoku/>
        <w:overflowPunct/>
        <w:topLinePunct w:val="0"/>
        <w:bidi w:val="0"/>
        <w:snapToGrid/>
        <w:spacing w:beforeAutospacing="0" w:afterAutospacing="0" w:line="440" w:lineRule="exact"/>
        <w:ind w:left="0" w:leftChars="0"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43128D04">
      <w:pPr>
        <w:pStyle w:val="15"/>
        <w:keepNext w:val="0"/>
        <w:keepLines w:val="0"/>
        <w:pageBreakBefore w:val="0"/>
        <w:kinsoku/>
        <w:overflowPunct/>
        <w:topLinePunct w:val="0"/>
        <w:bidi w:val="0"/>
        <w:snapToGrid/>
        <w:spacing w:beforeAutospacing="0" w:afterAutospacing="0" w:line="440" w:lineRule="exact"/>
        <w:ind w:left="0" w:leftChars="0"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036101EF">
      <w:pPr>
        <w:pStyle w:val="15"/>
        <w:keepNext w:val="0"/>
        <w:keepLines w:val="0"/>
        <w:pageBreakBefore w:val="0"/>
        <w:kinsoku/>
        <w:overflowPunct/>
        <w:topLinePunct w:val="0"/>
        <w:bidi w:val="0"/>
        <w:snapToGrid/>
        <w:spacing w:beforeAutospacing="0" w:afterAutospacing="0" w:line="440" w:lineRule="exact"/>
        <w:ind w:left="0" w:leftChars="0"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3B42A3FB">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textAlignment w:val="auto"/>
        <w:outlineLvl w:val="1"/>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（以下无正文）</w:t>
      </w:r>
    </w:p>
    <w:p w14:paraId="4D827B80">
      <w:pPr>
        <w:keepNext w:val="0"/>
        <w:keepLines w:val="0"/>
        <w:pageBreakBefore w:val="0"/>
        <w:kinsoku/>
        <w:overflowPunct/>
        <w:topLinePunct w:val="0"/>
        <w:bidi w:val="0"/>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4369B13D">
      <w:pPr>
        <w:keepNext w:val="0"/>
        <w:keepLines w:val="0"/>
        <w:pageBreakBefore w:val="0"/>
        <w:kinsoku/>
        <w:overflowPunct/>
        <w:topLinePunct w:val="0"/>
        <w:bidi w:val="0"/>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4BEE13AD">
      <w:pPr>
        <w:keepNext w:val="0"/>
        <w:keepLines w:val="0"/>
        <w:pageBreakBefore w:val="0"/>
        <w:kinsoku/>
        <w:overflowPunct/>
        <w:topLinePunct w:val="0"/>
        <w:bidi w:val="0"/>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66975AF6">
      <w:pPr>
        <w:keepNext w:val="0"/>
        <w:keepLines w:val="0"/>
        <w:pageBreakBefore w:val="0"/>
        <w:kinsoku/>
        <w:overflowPunct/>
        <w:topLinePunct w:val="0"/>
        <w:bidi w:val="0"/>
        <w:snapToGrid/>
        <w:spacing w:beforeAutospacing="0" w:afterAutospacing="0"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【甲方】：广州南沙文体投资有限公司</w:t>
      </w:r>
    </w:p>
    <w:p w14:paraId="0CD7507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【签字/盖章】：</w:t>
      </w:r>
    </w:p>
    <w:p w14:paraId="7A0B7CC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3540BDA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p>
    <w:p w14:paraId="6269BFB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【签字/盖章】：</w:t>
      </w:r>
    </w:p>
    <w:p w14:paraId="4FE55D6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61DEFB3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val="en-US" w:eastAsia="zh-CN"/>
        </w:rPr>
        <w:br w:type="page"/>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附件3</w:t>
      </w:r>
    </w:p>
    <w:p w14:paraId="33DA887B">
      <w:pPr>
        <w:keepNext w:val="0"/>
        <w:keepLines w:val="0"/>
        <w:pageBreakBefore w:val="0"/>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廉洁责任合同</w:t>
      </w:r>
    </w:p>
    <w:p w14:paraId="4385E2E4">
      <w:pPr>
        <w:pStyle w:val="14"/>
        <w:keepNext w:val="0"/>
        <w:keepLines w:val="0"/>
        <w:pageBreakBefore w:val="0"/>
        <w:widowControl/>
        <w:suppressLineNumbers w:val="0"/>
        <w:overflowPunct/>
        <w:topLinePunct w:val="0"/>
        <w:bidi w:val="0"/>
        <w:spacing w:beforeAutospacing="0" w:afterAutospacing="0" w:line="360" w:lineRule="auto"/>
        <w:ind w:left="0" w:leftChars="0" w:firstLine="480" w:firstLineChars="200"/>
        <w:jc w:val="both"/>
        <w:rPr>
          <w:rFonts w:hint="eastAsia" w:asciiTheme="minorEastAsia" w:hAnsiTheme="minorEastAsia" w:eastAsiaTheme="minorEastAsia" w:cstheme="minorEastAsia"/>
          <w:color w:val="auto"/>
          <w:sz w:val="24"/>
          <w:szCs w:val="24"/>
          <w:highlight w:val="none"/>
        </w:rPr>
      </w:pPr>
    </w:p>
    <w:p w14:paraId="2E6EE540">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【甲方】：广州南沙文体投资有限公司</w:t>
      </w:r>
    </w:p>
    <w:p w14:paraId="7048DA58">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【乙方】：</w:t>
      </w:r>
    </w:p>
    <w:p w14:paraId="573B345C">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4DA8E7D7">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致力于构建廉洁、透明、公正的企业文化，乙方作为甲方的员工或合作单位，应严格遵守国家法律法规和甲方的规章制度，共同维护良好的职业操守和商业道德，现就廉洁从业事项，经双方平等协商，签订本廉洁责任合同。</w:t>
      </w:r>
    </w:p>
    <w:p w14:paraId="3A2662F0">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【第一条】 廉洁承诺 </w:t>
      </w:r>
    </w:p>
    <w:p w14:paraId="456F14AE">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乙方承诺在履行职务或与甲方合作期间，严格遵守国家法律法规、甲方的廉洁从业规定，不从事任何损害甲方利益、破坏公平竞争秩序的行为，包括但不限于：</w:t>
      </w:r>
    </w:p>
    <w:p w14:paraId="0A10E17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不接受或索要任何与职务或合作无关的财物、宴请、旅游等任何形式的利益输送。</w:t>
      </w:r>
    </w:p>
    <w:p w14:paraId="2A18BB3E">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不利用职务或合作关系为个人或他人谋取不正当利益。</w:t>
      </w:r>
    </w:p>
    <w:p w14:paraId="07E1BB6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不参与任何形式的商业贿赂、回扣、非法集资、赌博等违法违纪活动。</w:t>
      </w:r>
    </w:p>
    <w:p w14:paraId="7D8A65D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不泄露甲方的商业秘密、客户信息等敏感信息。</w:t>
      </w:r>
    </w:p>
    <w:p w14:paraId="40603A5C">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【第二条】 监督与检查 </w:t>
      </w:r>
    </w:p>
    <w:p w14:paraId="41D5024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甲方有权对乙方的廉洁从业情况进行监督和检查，乙方应积极配合，提供必要的信息和资料。</w:t>
      </w:r>
    </w:p>
    <w:p w14:paraId="5E0DA859">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【第三条】 违约责任</w:t>
      </w:r>
    </w:p>
    <w:p w14:paraId="41AD631A">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若乙方违反本合同的廉洁承诺，甲方有权根据情节严重程度，采取警告、罚款、解除合同、终止合作、追究法律责任等措施。</w:t>
      </w:r>
    </w:p>
    <w:p w14:paraId="327E5EF8">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对于乙方的违约行为，甲方将保留追究其民事、行政乃至刑事责任的权利。</w:t>
      </w:r>
    </w:p>
    <w:p w14:paraId="74F432DD">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【第四条】 合同的变更与解除</w:t>
      </w:r>
    </w:p>
    <w:p w14:paraId="62950CF2">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本合同的变更、解除须经双方协商一致，以书面形式确认。</w:t>
      </w:r>
    </w:p>
    <w:p w14:paraId="1098066A">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若国家法律法规、甲方的规章制度发生变化，甲方有权对本合同进行相应调整，乙方应予配合。</w:t>
      </w:r>
    </w:p>
    <w:p w14:paraId="5F0EDEF8">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【第五条】 争议解决 </w:t>
      </w:r>
    </w:p>
    <w:p w14:paraId="5DBAC25C">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因本合同引起的或与本合同有关的任何争议，双方应通过友好协商解决；协商不成的，可提交甲方所在地的人民法院诉讼解决。</w:t>
      </w:r>
    </w:p>
    <w:p w14:paraId="2F376DB1">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【第六条】 合同生效 </w:t>
      </w:r>
    </w:p>
    <w:p w14:paraId="0194DB16">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本合同自双方签字或盖章之日起生效，有效期至乙方在甲方的职务或合作关系终止之日止</w:t>
      </w:r>
      <w:r>
        <w:rPr>
          <w:rFonts w:hint="eastAsia" w:asciiTheme="minorEastAsia" w:hAnsiTheme="minorEastAsia" w:eastAsiaTheme="minorEastAsia" w:cstheme="minorEastAsia"/>
          <w:color w:val="auto"/>
          <w:sz w:val="24"/>
          <w:szCs w:val="24"/>
          <w:highlight w:val="none"/>
          <w:lang w:eastAsia="zh-CN"/>
        </w:rPr>
        <w:t>。</w:t>
      </w:r>
    </w:p>
    <w:p w14:paraId="7F9571A0">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46690FC7">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5EAA7A1D">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29CE83CE">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签字/盖章</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          </w:t>
      </w:r>
    </w:p>
    <w:p w14:paraId="7662BA5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4E2037D6">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签字/盖章</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         </w:t>
      </w:r>
    </w:p>
    <w:p w14:paraId="2E8D032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0D09B22E">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【日期】</w:t>
      </w:r>
      <w:r>
        <w:rPr>
          <w:rFonts w:hint="eastAsia" w:ascii="仿宋" w:hAnsi="仿宋" w:eastAsia="仿宋" w:cs="仿宋"/>
          <w:color w:val="auto"/>
          <w:sz w:val="24"/>
          <w:szCs w:val="24"/>
          <w:highlight w:val="none"/>
        </w:rPr>
        <w:t>：</w:t>
      </w:r>
    </w:p>
    <w:p w14:paraId="11770080">
      <w:pPr>
        <w:pStyle w:val="15"/>
        <w:ind w:left="0" w:leftChars="0" w:firstLine="0" w:firstLineChars="0"/>
        <w:rPr>
          <w:rFonts w:hint="eastAsia"/>
        </w:rPr>
      </w:pPr>
    </w:p>
    <w:p w14:paraId="738F13E2">
      <w:pPr>
        <w:spacing w:line="480" w:lineRule="exact"/>
        <w:ind w:firstLine="640"/>
        <w:textAlignment w:val="baseline"/>
        <w:rPr>
          <w:rFonts w:hint="eastAsia" w:ascii="仿宋" w:hAnsi="仿宋" w:eastAsia="仿宋" w:cs="仿宋"/>
          <w:sz w:val="24"/>
        </w:rPr>
      </w:pPr>
    </w:p>
    <w:p w14:paraId="6BEDF8E6">
      <w:pPr>
        <w:tabs>
          <w:tab w:val="left" w:pos="2776"/>
        </w:tabs>
        <w:spacing w:line="20" w:lineRule="exact"/>
        <w:jc w:val="left"/>
        <w:rPr>
          <w:color w:val="auto"/>
          <w:highlight w:val="none"/>
          <w:lang w:val="en-US" w:eastAsia="zh-CN"/>
        </w:rPr>
      </w:pPr>
    </w:p>
    <w:sectPr>
      <w:headerReference r:id="rId5" w:type="default"/>
      <w:footerReference r:id="rId6" w:type="default"/>
      <w:pgSz w:w="11906" w:h="16838"/>
      <w:pgMar w:top="1440" w:right="1800" w:bottom="1440" w:left="1800" w:header="794"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2A869E-C082-49C5-BB83-D137C7BA5DF8}"/>
  </w:font>
  <w:font w:name="黑体">
    <w:panose1 w:val="02010609060101010101"/>
    <w:charset w:val="86"/>
    <w:family w:val="auto"/>
    <w:pitch w:val="default"/>
    <w:sig w:usb0="800002BF" w:usb1="38CF7CFA" w:usb2="00000016" w:usb3="00000000" w:csb0="00040001" w:csb1="00000000"/>
    <w:embedRegular r:id="rId2" w:fontKey="{EAD5C5F1-3842-4821-AE75-69888887E0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89E4463-BF61-41BD-A29A-4AE30284AF94}"/>
  </w:font>
  <w:font w:name="仿宋_GB2312">
    <w:panose1 w:val="02010609030101010101"/>
    <w:charset w:val="86"/>
    <w:family w:val="modern"/>
    <w:pitch w:val="default"/>
    <w:sig w:usb0="00000001" w:usb1="080E0000" w:usb2="00000000" w:usb3="00000000" w:csb0="00040000" w:csb1="00000000"/>
    <w:embedRegular r:id="rId4" w:fontKey="{AF135302-107E-4AE9-9F1A-871D6B00B1F6}"/>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2D6E587F-BBEC-4A1A-8985-DF2518229CB6}"/>
  </w:font>
  <w:font w:name="小标宋">
    <w:panose1 w:val="03000509000000000000"/>
    <w:charset w:val="86"/>
    <w:family w:val="auto"/>
    <w:pitch w:val="default"/>
    <w:sig w:usb0="00000001" w:usb1="080E0000" w:usb2="00000000" w:usb3="00000000" w:csb0="00040000" w:csb1="00000000"/>
    <w:embedRegular r:id="rId6" w:fontKey="{7601D2E0-2E2B-4FA1-81EB-47C723F2B2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096A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1BBE4">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81BBE4">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430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FBEB6">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4FBEB6">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E008">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06066">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2C06066">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A9DF">
    <w:pPr>
      <w:spacing w:line="218" w:lineRule="auto"/>
      <w:ind w:left="6"/>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720090</wp:posOffset>
              </wp:positionH>
              <wp:positionV relativeFrom="page">
                <wp:posOffset>700405</wp:posOffset>
              </wp:positionV>
              <wp:extent cx="611949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119495" cy="9525"/>
                      </a:xfrm>
                      <a:custGeom>
                        <a:avLst/>
                        <a:gdLst/>
                        <a:ahLst/>
                        <a:cxnLst/>
                        <a:pathLst>
                          <a:path w="9637" h="15">
                            <a:moveTo>
                              <a:pt x="0" y="0"/>
                            </a:moveTo>
                            <a:lnTo>
                              <a:pt x="9636" y="0"/>
                            </a:lnTo>
                            <a:lnTo>
                              <a:pt x="9636"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15pt;height:0.75pt;width:481.85pt;mso-position-horizontal-relative:page;mso-position-vertical-relative:page;z-index:251662336;mso-width-relative:page;mso-height-relative:page;" fillcolor="#000000" filled="t" stroked="f" coordsize="9637,15" o:allowincell="f" o:gfxdata="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Kfu93YAAAADAEAAA8AAAAA&#10;AAAAAQAgAAAAIgAAAGRycy9kb3ducmV2LnhtbFBLAQIUABQAAAAIAIdO4kAgx6D2FAIAAHsEAAAO&#10;AAAAAAAAAAEAIAAAACcBAABkcnMvZTJvRG9jLnhtbFBLBQYAAAAABgAGAFkBAACtBQAAAAA=&#10;" path="m0,0l9636,0,9636,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BE96E967"/>
    <w:multiLevelType w:val="singleLevel"/>
    <w:tmpl w:val="BE96E967"/>
    <w:lvl w:ilvl="0" w:tentative="0">
      <w:start w:val="1"/>
      <w:numFmt w:val="chineseCounting"/>
      <w:suff w:val="space"/>
      <w:lvlText w:val="第%1章"/>
      <w:lvlJc w:val="left"/>
      <w:rPr>
        <w:rFonts w:hint="eastAsia"/>
      </w:rPr>
    </w:lvl>
  </w:abstractNum>
  <w:abstractNum w:abstractNumId="2">
    <w:nsid w:val="D9A94EAC"/>
    <w:multiLevelType w:val="multilevel"/>
    <w:tmpl w:val="D9A94E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087EE554"/>
    <w:multiLevelType w:val="multilevel"/>
    <w:tmpl w:val="087EE55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25BC5CFF"/>
    <w:multiLevelType w:val="multilevel"/>
    <w:tmpl w:val="25BC5C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59DDFFAA"/>
    <w:multiLevelType w:val="singleLevel"/>
    <w:tmpl w:val="59DDFFAA"/>
    <w:lvl w:ilvl="0" w:tentative="0">
      <w:start w:val="1"/>
      <w:numFmt w:val="decimal"/>
      <w:suff w:val="nothing"/>
      <w:lvlText w:val="（%1）"/>
      <w:lvlJc w:val="left"/>
    </w:lvl>
  </w:abstractNum>
  <w:abstractNum w:abstractNumId="15">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
  </w:num>
  <w:num w:numId="3">
    <w:abstractNumId w:val="11"/>
  </w:num>
  <w:num w:numId="4">
    <w:abstractNumId w:val="0"/>
  </w:num>
  <w:num w:numId="5">
    <w:abstractNumId w:val="3"/>
  </w:num>
  <w:num w:numId="6">
    <w:abstractNumId w:val="10"/>
  </w:num>
  <w:num w:numId="7">
    <w:abstractNumId w:val="7"/>
  </w:num>
  <w:num w:numId="8">
    <w:abstractNumId w:val="4"/>
  </w:num>
  <w:num w:numId="9">
    <w:abstractNumId w:val="5"/>
  </w:num>
  <w:num w:numId="10">
    <w:abstractNumId w:val="6"/>
  </w:num>
  <w:num w:numId="11">
    <w:abstractNumId w:val="8"/>
  </w:num>
  <w:num w:numId="12">
    <w:abstractNumId w:val="15"/>
  </w:num>
  <w:num w:numId="13">
    <w:abstractNumId w:val="14"/>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0d9617b0-8c7f-4e67-91a8-44c3d85fc965"/>
  </w:docVars>
  <w:rsids>
    <w:rsidRoot w:val="4ECC55F7"/>
    <w:rsid w:val="001D5FB4"/>
    <w:rsid w:val="002235D1"/>
    <w:rsid w:val="00495543"/>
    <w:rsid w:val="005D5FF8"/>
    <w:rsid w:val="00930024"/>
    <w:rsid w:val="00932993"/>
    <w:rsid w:val="00CE392F"/>
    <w:rsid w:val="00D836C6"/>
    <w:rsid w:val="00ED1E2A"/>
    <w:rsid w:val="012F5F9F"/>
    <w:rsid w:val="01453A14"/>
    <w:rsid w:val="0159126E"/>
    <w:rsid w:val="01B514BB"/>
    <w:rsid w:val="02201D8C"/>
    <w:rsid w:val="02443CCC"/>
    <w:rsid w:val="028A1AEA"/>
    <w:rsid w:val="03182412"/>
    <w:rsid w:val="037B752C"/>
    <w:rsid w:val="03A03184"/>
    <w:rsid w:val="03D25855"/>
    <w:rsid w:val="03D96696"/>
    <w:rsid w:val="043821A3"/>
    <w:rsid w:val="047F2D99"/>
    <w:rsid w:val="048F389D"/>
    <w:rsid w:val="04EA02EB"/>
    <w:rsid w:val="04F33787"/>
    <w:rsid w:val="05010C9B"/>
    <w:rsid w:val="050F05C1"/>
    <w:rsid w:val="05283431"/>
    <w:rsid w:val="05CB7A65"/>
    <w:rsid w:val="05FF26C1"/>
    <w:rsid w:val="06E006E2"/>
    <w:rsid w:val="06E15F8D"/>
    <w:rsid w:val="07B42FEC"/>
    <w:rsid w:val="07C5765D"/>
    <w:rsid w:val="08D527C6"/>
    <w:rsid w:val="0981677A"/>
    <w:rsid w:val="0A2A7C4B"/>
    <w:rsid w:val="0A495F79"/>
    <w:rsid w:val="0A4C38C5"/>
    <w:rsid w:val="0A6A0028"/>
    <w:rsid w:val="0AFD40C4"/>
    <w:rsid w:val="0B41349E"/>
    <w:rsid w:val="0B420FC5"/>
    <w:rsid w:val="0B4F486D"/>
    <w:rsid w:val="0BEA7692"/>
    <w:rsid w:val="0C230069"/>
    <w:rsid w:val="0C2B3807"/>
    <w:rsid w:val="0C5172E2"/>
    <w:rsid w:val="0CC8641F"/>
    <w:rsid w:val="0CD84F8D"/>
    <w:rsid w:val="0D6D4EFE"/>
    <w:rsid w:val="0D770524"/>
    <w:rsid w:val="0D935B07"/>
    <w:rsid w:val="0DB11E9F"/>
    <w:rsid w:val="0DFB1D1B"/>
    <w:rsid w:val="0EE20AF5"/>
    <w:rsid w:val="0F4B4D78"/>
    <w:rsid w:val="0F81030D"/>
    <w:rsid w:val="0FA90822"/>
    <w:rsid w:val="0FB02F35"/>
    <w:rsid w:val="0FB26719"/>
    <w:rsid w:val="0FDC6702"/>
    <w:rsid w:val="10720E30"/>
    <w:rsid w:val="10B53D13"/>
    <w:rsid w:val="11020174"/>
    <w:rsid w:val="117F3570"/>
    <w:rsid w:val="11A60792"/>
    <w:rsid w:val="11BE7C91"/>
    <w:rsid w:val="12415B32"/>
    <w:rsid w:val="125504EC"/>
    <w:rsid w:val="127777A6"/>
    <w:rsid w:val="128864D7"/>
    <w:rsid w:val="13154596"/>
    <w:rsid w:val="1319085D"/>
    <w:rsid w:val="13280AA0"/>
    <w:rsid w:val="13392CAD"/>
    <w:rsid w:val="1352299C"/>
    <w:rsid w:val="13C609E5"/>
    <w:rsid w:val="144F47DA"/>
    <w:rsid w:val="147E119C"/>
    <w:rsid w:val="147F0B94"/>
    <w:rsid w:val="14C41AA0"/>
    <w:rsid w:val="14E76E65"/>
    <w:rsid w:val="150A2B53"/>
    <w:rsid w:val="15192D96"/>
    <w:rsid w:val="157306F8"/>
    <w:rsid w:val="159A3ED7"/>
    <w:rsid w:val="15D53161"/>
    <w:rsid w:val="16167214"/>
    <w:rsid w:val="1652482D"/>
    <w:rsid w:val="16CA0382"/>
    <w:rsid w:val="16DE6045"/>
    <w:rsid w:val="172C595D"/>
    <w:rsid w:val="1784268A"/>
    <w:rsid w:val="17EB38E9"/>
    <w:rsid w:val="181C1FF2"/>
    <w:rsid w:val="18BE5A29"/>
    <w:rsid w:val="18FD1020"/>
    <w:rsid w:val="190A1374"/>
    <w:rsid w:val="192A6617"/>
    <w:rsid w:val="19601E2E"/>
    <w:rsid w:val="19A85B4E"/>
    <w:rsid w:val="19B20A68"/>
    <w:rsid w:val="19D35C0A"/>
    <w:rsid w:val="1A3B37AF"/>
    <w:rsid w:val="1A49306D"/>
    <w:rsid w:val="1A78230D"/>
    <w:rsid w:val="1AB95EAC"/>
    <w:rsid w:val="1AE8627D"/>
    <w:rsid w:val="1AEE3E86"/>
    <w:rsid w:val="1B13276C"/>
    <w:rsid w:val="1B2408A3"/>
    <w:rsid w:val="1B6B3C20"/>
    <w:rsid w:val="1BBC14BF"/>
    <w:rsid w:val="1BF21BDD"/>
    <w:rsid w:val="1C0C325D"/>
    <w:rsid w:val="1C7A236C"/>
    <w:rsid w:val="1CE4221E"/>
    <w:rsid w:val="1CE44B16"/>
    <w:rsid w:val="1D0205B4"/>
    <w:rsid w:val="1D036806"/>
    <w:rsid w:val="1D0740CC"/>
    <w:rsid w:val="1D0F08AC"/>
    <w:rsid w:val="1D917D7B"/>
    <w:rsid w:val="1DB91AD3"/>
    <w:rsid w:val="1DE71C83"/>
    <w:rsid w:val="1DEF0B38"/>
    <w:rsid w:val="1E6B017B"/>
    <w:rsid w:val="1EC27D3D"/>
    <w:rsid w:val="1EFB350D"/>
    <w:rsid w:val="1F2029B8"/>
    <w:rsid w:val="1F580771"/>
    <w:rsid w:val="1FC13F2B"/>
    <w:rsid w:val="200978C3"/>
    <w:rsid w:val="202B2A83"/>
    <w:rsid w:val="20511636"/>
    <w:rsid w:val="205F0D2C"/>
    <w:rsid w:val="20B971DB"/>
    <w:rsid w:val="20FF24EA"/>
    <w:rsid w:val="21346C8B"/>
    <w:rsid w:val="21B16134"/>
    <w:rsid w:val="226950D3"/>
    <w:rsid w:val="228D6B72"/>
    <w:rsid w:val="23256DAA"/>
    <w:rsid w:val="239D3981"/>
    <w:rsid w:val="242A07C9"/>
    <w:rsid w:val="246608C7"/>
    <w:rsid w:val="247B5F11"/>
    <w:rsid w:val="24AE34FB"/>
    <w:rsid w:val="24D42836"/>
    <w:rsid w:val="25514F2D"/>
    <w:rsid w:val="25867FD4"/>
    <w:rsid w:val="26445FBA"/>
    <w:rsid w:val="26773DC1"/>
    <w:rsid w:val="272E0923"/>
    <w:rsid w:val="27375980"/>
    <w:rsid w:val="27AD0B5A"/>
    <w:rsid w:val="281E30AB"/>
    <w:rsid w:val="28305FD5"/>
    <w:rsid w:val="283C7070"/>
    <w:rsid w:val="284D6B87"/>
    <w:rsid w:val="287D6474"/>
    <w:rsid w:val="28EC07E1"/>
    <w:rsid w:val="28F10F21"/>
    <w:rsid w:val="28F74D45"/>
    <w:rsid w:val="290336EA"/>
    <w:rsid w:val="29453F6F"/>
    <w:rsid w:val="296A19BB"/>
    <w:rsid w:val="29F51284"/>
    <w:rsid w:val="2A110159"/>
    <w:rsid w:val="2A377AEF"/>
    <w:rsid w:val="2A61691A"/>
    <w:rsid w:val="2B7F4304"/>
    <w:rsid w:val="2B8D5D83"/>
    <w:rsid w:val="2BC25ADE"/>
    <w:rsid w:val="2BCE7FDF"/>
    <w:rsid w:val="2CE33F5E"/>
    <w:rsid w:val="2D2A6A76"/>
    <w:rsid w:val="2D403676"/>
    <w:rsid w:val="2D6055AE"/>
    <w:rsid w:val="2D6B77A0"/>
    <w:rsid w:val="2D776454"/>
    <w:rsid w:val="2DA41E97"/>
    <w:rsid w:val="2DE0049D"/>
    <w:rsid w:val="2E1D5D1E"/>
    <w:rsid w:val="2E576295"/>
    <w:rsid w:val="2E5B35DA"/>
    <w:rsid w:val="2E7635D3"/>
    <w:rsid w:val="2EC76F67"/>
    <w:rsid w:val="2EF5691D"/>
    <w:rsid w:val="2F5702EB"/>
    <w:rsid w:val="2F8B1EF8"/>
    <w:rsid w:val="30224D9D"/>
    <w:rsid w:val="30534F57"/>
    <w:rsid w:val="309C4B4F"/>
    <w:rsid w:val="309C7E7B"/>
    <w:rsid w:val="30E21786"/>
    <w:rsid w:val="310E24B8"/>
    <w:rsid w:val="312C5329"/>
    <w:rsid w:val="3139239E"/>
    <w:rsid w:val="31E7004C"/>
    <w:rsid w:val="323C47BB"/>
    <w:rsid w:val="32EC51EE"/>
    <w:rsid w:val="33FF1E55"/>
    <w:rsid w:val="342A06C4"/>
    <w:rsid w:val="345474EF"/>
    <w:rsid w:val="34676FA3"/>
    <w:rsid w:val="34A47EBC"/>
    <w:rsid w:val="34D33C65"/>
    <w:rsid w:val="34ED161D"/>
    <w:rsid w:val="35B91D00"/>
    <w:rsid w:val="36CC15BF"/>
    <w:rsid w:val="37074CED"/>
    <w:rsid w:val="37373156"/>
    <w:rsid w:val="379708C7"/>
    <w:rsid w:val="37B54749"/>
    <w:rsid w:val="38733523"/>
    <w:rsid w:val="38792DCD"/>
    <w:rsid w:val="38F80078"/>
    <w:rsid w:val="39297982"/>
    <w:rsid w:val="392A3BCE"/>
    <w:rsid w:val="392E05E5"/>
    <w:rsid w:val="395F6F26"/>
    <w:rsid w:val="3A652EF7"/>
    <w:rsid w:val="3A68640B"/>
    <w:rsid w:val="3A8D5509"/>
    <w:rsid w:val="3AB371FF"/>
    <w:rsid w:val="3AEC66D3"/>
    <w:rsid w:val="3B4E4C98"/>
    <w:rsid w:val="3C176208"/>
    <w:rsid w:val="3CB0434E"/>
    <w:rsid w:val="3CE565D2"/>
    <w:rsid w:val="3D2832C7"/>
    <w:rsid w:val="3D775694"/>
    <w:rsid w:val="3DA94408"/>
    <w:rsid w:val="3E0077CE"/>
    <w:rsid w:val="3E0265E3"/>
    <w:rsid w:val="3E3F7012"/>
    <w:rsid w:val="3E6A003B"/>
    <w:rsid w:val="3E6E11AD"/>
    <w:rsid w:val="3F1C6199"/>
    <w:rsid w:val="3F71307C"/>
    <w:rsid w:val="3F846999"/>
    <w:rsid w:val="40375F64"/>
    <w:rsid w:val="404457C1"/>
    <w:rsid w:val="40705866"/>
    <w:rsid w:val="40905D53"/>
    <w:rsid w:val="41396764"/>
    <w:rsid w:val="41524DB6"/>
    <w:rsid w:val="427B20EB"/>
    <w:rsid w:val="433230F1"/>
    <w:rsid w:val="437463D9"/>
    <w:rsid w:val="43EF32F7"/>
    <w:rsid w:val="440C56F0"/>
    <w:rsid w:val="44511A38"/>
    <w:rsid w:val="44907990"/>
    <w:rsid w:val="44BD1B0F"/>
    <w:rsid w:val="44CC6269"/>
    <w:rsid w:val="44D83825"/>
    <w:rsid w:val="453E5D7D"/>
    <w:rsid w:val="45A0366A"/>
    <w:rsid w:val="45AF7C5C"/>
    <w:rsid w:val="46182B8E"/>
    <w:rsid w:val="46C42CC2"/>
    <w:rsid w:val="480A63EB"/>
    <w:rsid w:val="48757D08"/>
    <w:rsid w:val="487E16BE"/>
    <w:rsid w:val="48BA396D"/>
    <w:rsid w:val="492E789D"/>
    <w:rsid w:val="49500888"/>
    <w:rsid w:val="49732782"/>
    <w:rsid w:val="49BE123B"/>
    <w:rsid w:val="49E64758"/>
    <w:rsid w:val="4A01592C"/>
    <w:rsid w:val="4A2C1986"/>
    <w:rsid w:val="4A38492F"/>
    <w:rsid w:val="4A673681"/>
    <w:rsid w:val="4ACC0362"/>
    <w:rsid w:val="4ADB406F"/>
    <w:rsid w:val="4AEE3DA2"/>
    <w:rsid w:val="4CFE5DF2"/>
    <w:rsid w:val="4D1A70D0"/>
    <w:rsid w:val="4D6D36A4"/>
    <w:rsid w:val="4DAC0601"/>
    <w:rsid w:val="4DAE740E"/>
    <w:rsid w:val="4E050AEE"/>
    <w:rsid w:val="4E12313C"/>
    <w:rsid w:val="4ECC55F7"/>
    <w:rsid w:val="4F7C3148"/>
    <w:rsid w:val="4F840831"/>
    <w:rsid w:val="4FBF3F5F"/>
    <w:rsid w:val="4FCF3153"/>
    <w:rsid w:val="4FF57980"/>
    <w:rsid w:val="4FF82FCD"/>
    <w:rsid w:val="502538AD"/>
    <w:rsid w:val="508278CB"/>
    <w:rsid w:val="50C64E79"/>
    <w:rsid w:val="50EC3FE1"/>
    <w:rsid w:val="522B768A"/>
    <w:rsid w:val="522D3402"/>
    <w:rsid w:val="52D970E6"/>
    <w:rsid w:val="52FC57CF"/>
    <w:rsid w:val="531D1D20"/>
    <w:rsid w:val="53A82FE1"/>
    <w:rsid w:val="53BE1989"/>
    <w:rsid w:val="54095638"/>
    <w:rsid w:val="541B5AFB"/>
    <w:rsid w:val="54B27BEE"/>
    <w:rsid w:val="56532585"/>
    <w:rsid w:val="56B539C6"/>
    <w:rsid w:val="56CD3EB2"/>
    <w:rsid w:val="57235785"/>
    <w:rsid w:val="57AA1051"/>
    <w:rsid w:val="583C11D8"/>
    <w:rsid w:val="58486254"/>
    <w:rsid w:val="58931808"/>
    <w:rsid w:val="58B9770A"/>
    <w:rsid w:val="59374B66"/>
    <w:rsid w:val="59A0095D"/>
    <w:rsid w:val="59C95EFC"/>
    <w:rsid w:val="5A4738C2"/>
    <w:rsid w:val="5AEA3429"/>
    <w:rsid w:val="5B1240F8"/>
    <w:rsid w:val="5B411CCC"/>
    <w:rsid w:val="5B5419FF"/>
    <w:rsid w:val="5BD74D4C"/>
    <w:rsid w:val="5BED775E"/>
    <w:rsid w:val="5C42784C"/>
    <w:rsid w:val="5C814A76"/>
    <w:rsid w:val="5C8D6F66"/>
    <w:rsid w:val="5D683540"/>
    <w:rsid w:val="5E483371"/>
    <w:rsid w:val="5E601CA4"/>
    <w:rsid w:val="5E9035C5"/>
    <w:rsid w:val="5F763B05"/>
    <w:rsid w:val="5F7A3834"/>
    <w:rsid w:val="5F7F06E5"/>
    <w:rsid w:val="5F891984"/>
    <w:rsid w:val="5FBF1411"/>
    <w:rsid w:val="6002119E"/>
    <w:rsid w:val="603E7F38"/>
    <w:rsid w:val="607664CF"/>
    <w:rsid w:val="60A67F6B"/>
    <w:rsid w:val="61C80A51"/>
    <w:rsid w:val="622C7647"/>
    <w:rsid w:val="62AB3E7A"/>
    <w:rsid w:val="62AB4DD7"/>
    <w:rsid w:val="62F51069"/>
    <w:rsid w:val="63416D0D"/>
    <w:rsid w:val="639826A5"/>
    <w:rsid w:val="639A38C0"/>
    <w:rsid w:val="644F0291"/>
    <w:rsid w:val="64951DDB"/>
    <w:rsid w:val="64A137DB"/>
    <w:rsid w:val="64B61035"/>
    <w:rsid w:val="660D2B0C"/>
    <w:rsid w:val="661630C7"/>
    <w:rsid w:val="66330F5A"/>
    <w:rsid w:val="66370B0B"/>
    <w:rsid w:val="668313EA"/>
    <w:rsid w:val="67126D54"/>
    <w:rsid w:val="67283702"/>
    <w:rsid w:val="672C1A82"/>
    <w:rsid w:val="6744501E"/>
    <w:rsid w:val="67584625"/>
    <w:rsid w:val="67654F94"/>
    <w:rsid w:val="6778655A"/>
    <w:rsid w:val="67B6134C"/>
    <w:rsid w:val="67CB5B7C"/>
    <w:rsid w:val="683C519F"/>
    <w:rsid w:val="684E17E8"/>
    <w:rsid w:val="69EC3FD8"/>
    <w:rsid w:val="6AD225AD"/>
    <w:rsid w:val="6ADF6E0B"/>
    <w:rsid w:val="6B833C3B"/>
    <w:rsid w:val="6B905A67"/>
    <w:rsid w:val="6B96396E"/>
    <w:rsid w:val="6B9E73C9"/>
    <w:rsid w:val="6BAE7493"/>
    <w:rsid w:val="6C0E79A8"/>
    <w:rsid w:val="6C200F3D"/>
    <w:rsid w:val="6C7A2185"/>
    <w:rsid w:val="6C961E57"/>
    <w:rsid w:val="6CB95B66"/>
    <w:rsid w:val="6D0A63C2"/>
    <w:rsid w:val="6E1119D2"/>
    <w:rsid w:val="6E2214E9"/>
    <w:rsid w:val="6E331948"/>
    <w:rsid w:val="6EA63EC8"/>
    <w:rsid w:val="6EB72579"/>
    <w:rsid w:val="6F1F535B"/>
    <w:rsid w:val="6F5B4DEA"/>
    <w:rsid w:val="6FD34DCD"/>
    <w:rsid w:val="70EB475C"/>
    <w:rsid w:val="71325A18"/>
    <w:rsid w:val="71632544"/>
    <w:rsid w:val="71CA25C3"/>
    <w:rsid w:val="7215672A"/>
    <w:rsid w:val="727B566C"/>
    <w:rsid w:val="7294672D"/>
    <w:rsid w:val="739F35DC"/>
    <w:rsid w:val="73BA3E31"/>
    <w:rsid w:val="74055B35"/>
    <w:rsid w:val="74CD58D8"/>
    <w:rsid w:val="74E905C9"/>
    <w:rsid w:val="751A2C75"/>
    <w:rsid w:val="753F5A2A"/>
    <w:rsid w:val="75433731"/>
    <w:rsid w:val="757A4300"/>
    <w:rsid w:val="759E0BDF"/>
    <w:rsid w:val="75C31241"/>
    <w:rsid w:val="75EC72EC"/>
    <w:rsid w:val="75F7474E"/>
    <w:rsid w:val="7651143B"/>
    <w:rsid w:val="769E57D2"/>
    <w:rsid w:val="76C5219A"/>
    <w:rsid w:val="77100A78"/>
    <w:rsid w:val="7762504C"/>
    <w:rsid w:val="77C81353"/>
    <w:rsid w:val="77DE744A"/>
    <w:rsid w:val="786C1477"/>
    <w:rsid w:val="787B0173"/>
    <w:rsid w:val="78B35B5F"/>
    <w:rsid w:val="791146B7"/>
    <w:rsid w:val="79B02245"/>
    <w:rsid w:val="7A2A367D"/>
    <w:rsid w:val="7AF12CAD"/>
    <w:rsid w:val="7B7D3BE3"/>
    <w:rsid w:val="7BF226D6"/>
    <w:rsid w:val="7C184503"/>
    <w:rsid w:val="7C356B4F"/>
    <w:rsid w:val="7C972518"/>
    <w:rsid w:val="7CAA54CB"/>
    <w:rsid w:val="7CB40069"/>
    <w:rsid w:val="7CB579CC"/>
    <w:rsid w:val="7D2650CB"/>
    <w:rsid w:val="7D692C90"/>
    <w:rsid w:val="7D9615AC"/>
    <w:rsid w:val="7DDB4A9F"/>
    <w:rsid w:val="7DF54524"/>
    <w:rsid w:val="7E2F76F1"/>
    <w:rsid w:val="7EB4618D"/>
    <w:rsid w:val="7EEB6999"/>
    <w:rsid w:val="7F1906E6"/>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te Heading"/>
    <w:next w:val="1"/>
    <w:qFormat/>
    <w:uiPriority w:val="99"/>
    <w:pPr>
      <w:widowControl w:val="0"/>
      <w:snapToGrid w:val="0"/>
      <w:spacing w:before="120" w:after="120" w:line="320" w:lineRule="exact"/>
      <w:ind w:firstLine="413" w:firstLineChars="200"/>
      <w:jc w:val="both"/>
    </w:pPr>
    <w:rPr>
      <w:rFonts w:ascii="宋体" w:hAnsi="宋体" w:eastAsia="宋体" w:cs="Times New Roman"/>
      <w:b/>
      <w:color w:val="000000"/>
      <w:kern w:val="2"/>
      <w:sz w:val="21"/>
      <w:szCs w:val="22"/>
      <w:lang w:val="en-US" w:eastAsia="zh-CN" w:bidi="ar-SA"/>
    </w:rPr>
  </w:style>
  <w:style w:type="paragraph" w:styleId="6">
    <w:name w:val="toa heading"/>
    <w:basedOn w:val="1"/>
    <w:next w:val="1"/>
    <w:semiHidden/>
    <w:qFormat/>
    <w:uiPriority w:val="99"/>
    <w:pPr>
      <w:spacing w:before="120"/>
    </w:pPr>
    <w:rPr>
      <w:rFonts w:ascii="Cambria" w:hAnsi="Cambria" w:cs="Cambria"/>
      <w:sz w:val="24"/>
      <w:szCs w:val="24"/>
    </w:rPr>
  </w:style>
  <w:style w:type="paragraph" w:styleId="7">
    <w:name w:val="annotation text"/>
    <w:basedOn w:val="1"/>
    <w:qFormat/>
    <w:uiPriority w:val="0"/>
    <w:pPr>
      <w:jc w:val="left"/>
    </w:pPr>
  </w:style>
  <w:style w:type="paragraph" w:styleId="8">
    <w:name w:val="Body Text"/>
    <w:basedOn w:val="1"/>
    <w:qFormat/>
    <w:uiPriority w:val="99"/>
    <w:pPr>
      <w:spacing w:line="480" w:lineRule="atLeast"/>
    </w:pPr>
    <w:rPr>
      <w:rFonts w:ascii="楷体_GB2312" w:eastAsia="楷体_GB2312"/>
      <w:b/>
      <w:sz w:val="30"/>
    </w:rPr>
  </w:style>
  <w:style w:type="paragraph" w:styleId="9">
    <w:name w:val="Body Text Indent"/>
    <w:basedOn w:val="1"/>
    <w:qFormat/>
    <w:uiPriority w:val="0"/>
    <w:pPr>
      <w:ind w:firstLine="360"/>
    </w:pPr>
    <w:rPr>
      <w:rFonts w:ascii="Arial" w:hAnsi="Arial"/>
    </w:rPr>
  </w:style>
  <w:style w:type="paragraph" w:styleId="10">
    <w:name w:val="Plain Text"/>
    <w:basedOn w:val="1"/>
    <w:next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qFormat/>
    <w:uiPriority w:val="0"/>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qFormat/>
    <w:uiPriority w:val="0"/>
    <w:pPr>
      <w:wordWrap w:val="0"/>
      <w:spacing w:line="360" w:lineRule="auto"/>
      <w:ind w:firstLine="200" w:firstLineChars="200"/>
    </w:pPr>
    <w:rPr>
      <w:rFonts w:cs="Times New Roman"/>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列出段落1"/>
    <w:basedOn w:val="1"/>
    <w:qFormat/>
    <w:uiPriority w:val="0"/>
    <w:pPr>
      <w:widowControl/>
      <w:ind w:firstLine="420" w:firstLineChars="200"/>
      <w:jc w:val="left"/>
    </w:pPr>
    <w:rPr>
      <w:rFonts w:ascii="Cambria" w:hAnsi="Cambria" w:eastAsia="微软雅黑"/>
      <w:color w:val="595959"/>
      <w:kern w:val="20"/>
      <w:lang w:val="zh-CN"/>
    </w:rPr>
  </w:style>
  <w:style w:type="paragraph" w:customStyle="1" w:styleId="2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xl29"/>
    <w:basedOn w:val="1"/>
    <w:qFormat/>
    <w:uiPriority w:val="0"/>
    <w:pPr>
      <w:widowControl/>
      <w:spacing w:before="100" w:beforeAutospacing="1" w:after="100" w:afterAutospacing="1"/>
      <w:jc w:val="center"/>
    </w:pPr>
    <w:rPr>
      <w:rFonts w:ascii="宋体" w:hAnsi="宋体"/>
      <w:szCs w:val="28"/>
    </w:rPr>
  </w:style>
  <w:style w:type="paragraph" w:customStyle="1" w:styleId="23">
    <w:name w:val="样式 小四 段前: 5 磅 段后: 5 磅 首行缩进:  2 字符"/>
    <w:basedOn w:val="1"/>
    <w:qFormat/>
    <w:uiPriority w:val="0"/>
    <w:pPr>
      <w:spacing w:line="360" w:lineRule="auto"/>
    </w:pPr>
    <w:rPr>
      <w:rFonts w:ascii="宋体" w:hAnsi="宋体"/>
      <w:color w:val="000000"/>
      <w:sz w:val="24"/>
    </w:rPr>
  </w:style>
  <w:style w:type="paragraph" w:customStyle="1" w:styleId="24">
    <w:name w:val="_Style 4"/>
    <w:basedOn w:val="1"/>
    <w:qFormat/>
    <w:uiPriority w:val="34"/>
    <w:pPr>
      <w:ind w:firstLine="420" w:firstLineChars="200"/>
    </w:pPr>
  </w:style>
  <w:style w:type="character" w:customStyle="1" w:styleId="25">
    <w:name w:val="p141"/>
    <w:qFormat/>
    <w:uiPriority w:val="0"/>
    <w:rPr>
      <w:sz w:val="21"/>
      <w:szCs w:val="21"/>
    </w:rPr>
  </w:style>
  <w:style w:type="character" w:customStyle="1" w:styleId="26">
    <w:name w:val="font101"/>
    <w:basedOn w:val="18"/>
    <w:qFormat/>
    <w:uiPriority w:val="0"/>
    <w:rPr>
      <w:rFonts w:hint="eastAsia" w:ascii="宋体" w:hAnsi="宋体" w:eastAsia="宋体" w:cs="宋体"/>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71"/>
    <w:basedOn w:val="18"/>
    <w:qFormat/>
    <w:uiPriority w:val="0"/>
    <w:rPr>
      <w:rFonts w:hint="eastAsia" w:ascii="宋体" w:hAnsi="宋体" w:eastAsia="宋体" w:cs="宋体"/>
      <w:color w:val="000000"/>
      <w:sz w:val="20"/>
      <w:szCs w:val="20"/>
      <w:u w:val="none"/>
    </w:rPr>
  </w:style>
  <w:style w:type="paragraph" w:customStyle="1" w:styleId="29">
    <w:name w:val="Revision"/>
    <w:hidden/>
    <w:unhideWhenUsed/>
    <w:qFormat/>
    <w:uiPriority w:val="99"/>
    <w:rPr>
      <w:rFonts w:ascii="Calibri" w:hAnsi="Calibri" w:eastAsia="宋体" w:cs="Arial"/>
      <w:kern w:val="2"/>
      <w:sz w:val="21"/>
      <w:szCs w:val="22"/>
      <w:lang w:val="en-US" w:eastAsia="zh-CN" w:bidi="ar-SA"/>
    </w:rPr>
  </w:style>
  <w:style w:type="character" w:customStyle="1" w:styleId="30">
    <w:name w:val="font21"/>
    <w:basedOn w:val="18"/>
    <w:qFormat/>
    <w:uiPriority w:val="0"/>
    <w:rPr>
      <w:rFonts w:hint="eastAsia" w:ascii="宋体" w:hAnsi="宋体" w:eastAsia="宋体" w:cs="宋体"/>
      <w:b/>
      <w:bCs/>
      <w:color w:val="000000"/>
      <w:sz w:val="24"/>
      <w:szCs w:val="24"/>
      <w:u w:val="none"/>
    </w:rPr>
  </w:style>
  <w:style w:type="paragraph" w:customStyle="1" w:styleId="31">
    <w:name w:val="样式 小四 行距: 1.5 倍行距"/>
    <w:qFormat/>
    <w:uiPriority w:val="0"/>
    <w:pPr>
      <w:ind w:firstLine="480"/>
    </w:pPr>
    <w:rPr>
      <w:rFonts w:ascii="Times New Roman" w:hAnsi="Times New Roman" w:eastAsia="宋体" w:cs="宋体"/>
      <w:kern w:val="2"/>
      <w:sz w:val="21"/>
      <w:lang w:val="en-US" w:eastAsia="zh-CN" w:bidi="ar-SA"/>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仿宋" w:hAnsi="仿宋" w:eastAsia="仿宋" w:cs="仿宋"/>
      <w:sz w:val="20"/>
      <w:szCs w:val="20"/>
      <w:lang w:val="en-US" w:eastAsia="en-US" w:bidi="ar-SA"/>
    </w:rPr>
  </w:style>
  <w:style w:type="paragraph" w:customStyle="1" w:styleId="35">
    <w:name w:val="正文首行缩进1"/>
    <w:basedOn w:val="1"/>
    <w:qFormat/>
    <w:uiPriority w:val="0"/>
    <w:pPr>
      <w:spacing w:after="120" w:line="360" w:lineRule="exact"/>
      <w:ind w:left="400" w:leftChars="400" w:firstLine="420" w:firstLineChars="100"/>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22694</Words>
  <Characters>23626</Characters>
  <Lines>170</Lines>
  <Paragraphs>48</Paragraphs>
  <TotalTime>24</TotalTime>
  <ScaleCrop>false</ScaleCrop>
  <LinksUpToDate>false</LinksUpToDate>
  <CharactersWithSpaces>25586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叶宝蔓</cp:lastModifiedBy>
  <cp:lastPrinted>2025-03-27T03:16:00Z</cp:lastPrinted>
  <dcterms:modified xsi:type="dcterms:W3CDTF">2025-04-07T08:46:30Z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CF996AFD7255476A957970DB2CFD9EB0_13</vt:lpwstr>
  </property>
  <property fmtid="{D5CDD505-2E9C-101B-9397-08002B2CF9AE}" pid="4" name="KSOTemplateDocerSaveRecord">
    <vt:lpwstr>eyJoZGlkIjoiN2YzNjBkOTgyNWQ1YTMxYzM3MzMwNWFiODNmOWIzYWMiLCJ1c2VySWQiOiIyNjAwNjgzNjMifQ==</vt:lpwstr>
  </property>
</Properties>
</file>