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ED47DF">
      <w:pPr>
        <w:spacing w:beforeLines="0" w:afterLines="0" w:line="360" w:lineRule="auto"/>
        <w:jc w:val="center"/>
        <w:outlineLvl w:val="2"/>
        <w:rPr>
          <w:rFonts w:hint="default" w:eastAsia="宋体"/>
          <w:szCs w:val="21"/>
          <w:lang w:val="en-US" w:eastAsia="zh-CN"/>
        </w:rPr>
      </w:pPr>
      <w:r>
        <w:rPr>
          <w:rFonts w:hint="eastAsia" w:ascii="宋体" w:hAnsi="宋体" w:eastAsia="宋体"/>
          <w:b/>
          <w:sz w:val="28"/>
          <w:lang w:eastAsia="zh-CN"/>
        </w:rPr>
        <w:t>领航科技大楼技术方案</w:t>
      </w:r>
    </w:p>
    <w:p w14:paraId="24F64C72">
      <w:pPr>
        <w:pStyle w:val="10"/>
        <w:spacing w:line="460" w:lineRule="exact"/>
        <w:ind w:left="0" w:leftChars="0" w:firstLine="0" w:firstLineChars="0"/>
        <w:jc w:val="left"/>
        <w:outlineLvl w:val="9"/>
        <w:rPr>
          <w:rFonts w:hAnsi="宋体"/>
          <w:sz w:val="21"/>
          <w:szCs w:val="21"/>
        </w:rPr>
      </w:pPr>
      <w:r>
        <w:rPr>
          <w:rFonts w:hint="eastAsia" w:hAnsi="宋体"/>
          <w:sz w:val="21"/>
          <w:szCs w:val="21"/>
          <w:lang w:val="en-US" w:eastAsia="zh-CN"/>
        </w:rPr>
        <w:t>一、</w:t>
      </w:r>
      <w:r>
        <w:rPr>
          <w:rFonts w:hint="eastAsia" w:hAnsi="宋体"/>
          <w:sz w:val="21"/>
          <w:szCs w:val="21"/>
        </w:rPr>
        <w:t>项目概述</w:t>
      </w:r>
    </w:p>
    <w:p w14:paraId="0FA78B2C">
      <w:pPr>
        <w:pStyle w:val="14"/>
        <w:keepNext/>
        <w:keepLines/>
        <w:numPr>
          <w:ilvl w:val="2"/>
          <w:numId w:val="0"/>
        </w:numPr>
        <w:tabs>
          <w:tab w:val="left" w:pos="140"/>
          <w:tab w:val="left" w:pos="480"/>
          <w:tab w:val="clear" w:pos="851"/>
        </w:tabs>
        <w:autoSpaceDE/>
        <w:autoSpaceDN/>
        <w:spacing w:before="260" w:after="260" w:line="416" w:lineRule="atLeast"/>
        <w:ind w:left="720" w:leftChars="0" w:hanging="720" w:firstLineChars="0"/>
        <w:outlineLvl w:val="9"/>
        <w:rPr>
          <w:rFonts w:hAnsi="宋体" w:eastAsia="宋体"/>
          <w:b/>
          <w:sz w:val="21"/>
          <w:szCs w:val="21"/>
        </w:rPr>
      </w:pPr>
      <w:r>
        <w:rPr>
          <w:rFonts w:hint="default" w:ascii="宋体" w:hAnsi="宋体" w:eastAsia="宋体" w:cs="Times New Roman"/>
          <w:b/>
          <w:kern w:val="0"/>
          <w:sz w:val="21"/>
          <w:szCs w:val="21"/>
          <w:lang w:val="en-US" w:eastAsia="zh-CN" w:bidi="ar-SA"/>
        </w:rPr>
        <w:t>1.1</w:t>
      </w:r>
      <w:r>
        <w:rPr>
          <w:rFonts w:hAnsi="宋体" w:eastAsia="宋体"/>
          <w:b/>
          <w:sz w:val="21"/>
          <w:szCs w:val="21"/>
        </w:rPr>
        <w:t xml:space="preserve"> </w:t>
      </w:r>
      <w:r>
        <w:rPr>
          <w:rFonts w:hint="eastAsia" w:hAnsi="宋体" w:eastAsia="宋体"/>
          <w:b/>
          <w:sz w:val="21"/>
          <w:szCs w:val="21"/>
          <w:lang w:val="en-US" w:eastAsia="zh-CN"/>
        </w:rPr>
        <w:t>政策</w:t>
      </w:r>
      <w:r>
        <w:rPr>
          <w:rFonts w:hint="eastAsia" w:hAnsi="宋体" w:eastAsia="宋体"/>
          <w:b/>
          <w:sz w:val="21"/>
          <w:szCs w:val="21"/>
        </w:rPr>
        <w:t>背景</w:t>
      </w:r>
    </w:p>
    <w:p w14:paraId="300063AA">
      <w:pPr>
        <w:pStyle w:val="12"/>
        <w:snapToGrid w:val="0"/>
        <w:ind w:firstLine="480"/>
        <w:rPr>
          <w:rFonts w:ascii="宋体" w:hAnsi="宋体"/>
          <w:sz w:val="21"/>
          <w:szCs w:val="21"/>
        </w:rPr>
      </w:pPr>
      <w:r>
        <w:rPr>
          <w:rFonts w:hint="eastAsia" w:ascii="宋体" w:hAnsi="宋体"/>
          <w:sz w:val="21"/>
          <w:szCs w:val="21"/>
        </w:rPr>
        <w:t>在2023年2月16日，广东省通信管理局广州市通信建设管理办公室（以下简称广州通建办）发布《关于新建、改建、扩建项目落实5G通信基础配套设施及室内分布系统建设的通知》（穗通【2023】4号）。文件要求2020年9月1日之后取得项目规划许可证的新建、改建、扩建工业与民用建筑及公众建筑和城市基础设施等工程建设项目，移动通信基础设施应与主体建筑物“同步规划、同步实施和同步验收”，所需经费纳入项目概算；楼宇移动通信基础配套设施未经验收、验收不合格或者未按照要求备案的，各通信运营企业不得违规提前提供信源接入服务，不得接入公用电信网。</w:t>
      </w:r>
      <w:r>
        <w:rPr>
          <w:rFonts w:hint="eastAsia" w:ascii="宋体" w:hAnsi="宋体" w:cs="Arial"/>
          <w:sz w:val="21"/>
          <w:szCs w:val="21"/>
        </w:rPr>
        <w:t>目前广州</w:t>
      </w:r>
      <w:r>
        <w:rPr>
          <w:rFonts w:hint="eastAsia" w:ascii="宋体" w:hAnsi="宋体" w:cs="Arial"/>
          <w:sz w:val="21"/>
          <w:szCs w:val="21"/>
          <w:lang w:eastAsia="zh-CN"/>
        </w:rPr>
        <w:t>领航科技大楼</w:t>
      </w:r>
      <w:r>
        <w:rPr>
          <w:rFonts w:hint="eastAsia" w:ascii="宋体" w:hAnsi="宋体" w:cs="Arial"/>
          <w:sz w:val="21"/>
          <w:szCs w:val="21"/>
        </w:rPr>
        <w:t>处于建设阶段，为满足后期能与投产同步运行，需建立一套5G室内分布系统。</w:t>
      </w:r>
    </w:p>
    <w:p w14:paraId="147320DD">
      <w:pPr>
        <w:pStyle w:val="14"/>
        <w:keepNext/>
        <w:keepLines/>
        <w:numPr>
          <w:ilvl w:val="2"/>
          <w:numId w:val="0"/>
        </w:numPr>
        <w:tabs>
          <w:tab w:val="left" w:pos="140"/>
          <w:tab w:val="left" w:pos="480"/>
          <w:tab w:val="clear" w:pos="851"/>
        </w:tabs>
        <w:autoSpaceDE/>
        <w:autoSpaceDN/>
        <w:spacing w:before="260" w:after="260" w:line="416" w:lineRule="atLeast"/>
        <w:ind w:left="720" w:leftChars="0" w:hanging="720" w:firstLineChars="0"/>
        <w:outlineLvl w:val="9"/>
        <w:rPr>
          <w:rFonts w:hAnsi="宋体" w:eastAsia="宋体"/>
          <w:b/>
          <w:sz w:val="21"/>
          <w:szCs w:val="21"/>
        </w:rPr>
      </w:pPr>
      <w:r>
        <w:rPr>
          <w:rFonts w:hint="default" w:ascii="宋体" w:hAnsi="宋体" w:eastAsia="宋体" w:cs="Times New Roman"/>
          <w:b/>
          <w:kern w:val="0"/>
          <w:sz w:val="21"/>
          <w:szCs w:val="21"/>
          <w:lang w:val="en-US" w:eastAsia="zh-CN" w:bidi="ar-SA"/>
        </w:rPr>
        <w:t>1.2</w:t>
      </w:r>
      <w:r>
        <w:rPr>
          <w:rFonts w:hint="eastAsia" w:hAnsi="宋体" w:eastAsia="宋体"/>
          <w:b/>
          <w:sz w:val="21"/>
          <w:szCs w:val="21"/>
          <w:lang w:val="en-US" w:eastAsia="zh-CN"/>
        </w:rPr>
        <w:t>项目现状</w:t>
      </w:r>
    </w:p>
    <w:p w14:paraId="3B28A94E">
      <w:pPr>
        <w:widowControl/>
        <w:numPr>
          <w:ilvl w:val="255"/>
          <w:numId w:val="0"/>
        </w:numPr>
        <w:spacing w:line="360" w:lineRule="auto"/>
        <w:ind w:firstLine="420" w:firstLineChars="200"/>
        <w:jc w:val="left"/>
        <w:rPr>
          <w:szCs w:val="21"/>
        </w:rPr>
      </w:pPr>
      <w:r>
        <w:rPr>
          <w:rFonts w:hint="eastAsia" w:asciiTheme="minorEastAsia" w:hAnsiTheme="minorEastAsia" w:eastAsiaTheme="minorEastAsia" w:cstheme="minorEastAsia"/>
          <w:sz w:val="21"/>
          <w:szCs w:val="21"/>
          <w:highlight w:val="none"/>
          <w:lang w:eastAsia="zh-CN"/>
        </w:rPr>
        <w:t>领航科技大楼</w:t>
      </w:r>
      <w:r>
        <w:rPr>
          <w:rFonts w:hint="eastAsia" w:asciiTheme="minorEastAsia" w:hAnsiTheme="minorEastAsia" w:eastAsiaTheme="minorEastAsia" w:cstheme="minorEastAsia"/>
          <w:sz w:val="21"/>
          <w:szCs w:val="21"/>
          <w:highlight w:val="none"/>
        </w:rPr>
        <w:t>项目</w:t>
      </w:r>
      <w:r>
        <w:rPr>
          <w:rFonts w:hint="eastAsia" w:asciiTheme="minorEastAsia" w:hAnsiTheme="minorEastAsia" w:eastAsiaTheme="minorEastAsia" w:cstheme="minorEastAsia"/>
          <w:sz w:val="21"/>
          <w:szCs w:val="21"/>
          <w:highlight w:val="none"/>
          <w:lang w:eastAsia="zh-CN"/>
        </w:rPr>
        <w:t>主要</w:t>
      </w:r>
      <w:r>
        <w:rPr>
          <w:rFonts w:hint="eastAsia" w:asciiTheme="minorEastAsia" w:hAnsiTheme="minorEastAsia" w:eastAsiaTheme="minorEastAsia" w:cstheme="minorEastAsia"/>
          <w:sz w:val="21"/>
          <w:szCs w:val="21"/>
          <w:highlight w:val="none"/>
        </w:rPr>
        <w:t>有</w:t>
      </w:r>
      <w:r>
        <w:rPr>
          <w:rFonts w:hint="eastAsia" w:asciiTheme="minorEastAsia" w:hAnsiTheme="minorEastAsia" w:eastAsiaTheme="minorEastAsia" w:cstheme="minorEastAsia"/>
          <w:sz w:val="21"/>
          <w:szCs w:val="21"/>
          <w:highlight w:val="none"/>
          <w:lang w:val="en-US" w:eastAsia="zh-CN"/>
        </w:rPr>
        <w:t>以下</w:t>
      </w:r>
      <w:r>
        <w:rPr>
          <w:rFonts w:hint="eastAsia" w:asciiTheme="minorEastAsia" w:hAnsiTheme="minorEastAsia" w:eastAsiaTheme="minorEastAsia" w:cstheme="minorEastAsia"/>
          <w:sz w:val="21"/>
          <w:szCs w:val="21"/>
          <w:highlight w:val="none"/>
        </w:rPr>
        <w:t>区域，分别是</w:t>
      </w:r>
      <w:r>
        <w:rPr>
          <w:rFonts w:hint="eastAsia" w:asciiTheme="minorEastAsia" w:hAnsiTheme="minorEastAsia" w:eastAsiaTheme="minorEastAsia" w:cstheme="minorEastAsia"/>
          <w:sz w:val="21"/>
          <w:szCs w:val="21"/>
          <w:highlight w:val="none"/>
          <w:lang w:val="en-US" w:eastAsia="zh-CN"/>
        </w:rPr>
        <w:t>1号办公楼（地上14层、建筑面积11831.89</w:t>
      </w:r>
      <w:r>
        <w:rPr>
          <w:rFonts w:hint="eastAsia" w:asciiTheme="minorEastAsia" w:hAnsiTheme="minorEastAsia" w:eastAsiaTheme="minorEastAsia" w:cstheme="minorEastAsia"/>
          <w:sz w:val="21"/>
          <w:szCs w:val="21"/>
          <w:highlight w:val="none"/>
        </w:rPr>
        <w:t>平方米</w:t>
      </w:r>
      <w:r>
        <w:rPr>
          <w:rFonts w:hint="eastAsia" w:asciiTheme="minorEastAsia" w:hAnsiTheme="minorEastAsia" w:eastAsiaTheme="minorEastAsia" w:cstheme="minorEastAsia"/>
          <w:sz w:val="21"/>
          <w:szCs w:val="21"/>
          <w:highlight w:val="none"/>
          <w:lang w:eastAsia="zh-CN"/>
        </w:rPr>
        <w:t>）、</w:t>
      </w:r>
      <w:r>
        <w:rPr>
          <w:rFonts w:hint="eastAsia" w:asciiTheme="minorEastAsia" w:hAnsiTheme="minorEastAsia" w:eastAsiaTheme="minorEastAsia" w:cstheme="minorEastAsia"/>
          <w:sz w:val="21"/>
          <w:szCs w:val="21"/>
          <w:highlight w:val="none"/>
          <w:lang w:val="en-US" w:eastAsia="zh-CN"/>
        </w:rPr>
        <w:t>2号商业楼（地上4层、建筑面积1230.29平方米）、3号商业楼（地上4层、建筑面积1230.29平方米）、4号商业楼（地上4层、建筑面积1100.89平方米）以及共通的两层地下室（地下2层、建筑面积9169.18平方米）</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lang w:eastAsia="zh-CN"/>
        </w:rPr>
        <w:t>总建筑面积</w:t>
      </w:r>
      <w:r>
        <w:rPr>
          <w:rFonts w:hint="eastAsia" w:asciiTheme="minorEastAsia" w:hAnsiTheme="minorEastAsia" w:eastAsiaTheme="minorEastAsia" w:cstheme="minorEastAsia"/>
          <w:sz w:val="21"/>
          <w:szCs w:val="21"/>
          <w:highlight w:val="none"/>
          <w:lang w:val="en-US" w:eastAsia="zh-CN"/>
        </w:rPr>
        <w:t>24564.34</w:t>
      </w:r>
      <w:r>
        <w:rPr>
          <w:rFonts w:hint="eastAsia" w:asciiTheme="minorEastAsia" w:hAnsiTheme="minorEastAsia" w:eastAsiaTheme="minorEastAsia" w:cstheme="minorEastAsia"/>
          <w:sz w:val="21"/>
          <w:szCs w:val="21"/>
          <w:highlight w:val="none"/>
        </w:rPr>
        <w:t>平方米。楼内4G及5G信号覆盖较差。</w:t>
      </w:r>
    </w:p>
    <w:p w14:paraId="4E0DBD3B">
      <w:pPr>
        <w:pStyle w:val="14"/>
        <w:keepNext/>
        <w:keepLines/>
        <w:numPr>
          <w:ilvl w:val="2"/>
          <w:numId w:val="0"/>
        </w:numPr>
        <w:tabs>
          <w:tab w:val="left" w:pos="140"/>
          <w:tab w:val="left" w:pos="480"/>
          <w:tab w:val="clear" w:pos="851"/>
        </w:tabs>
        <w:autoSpaceDE/>
        <w:autoSpaceDN/>
        <w:spacing w:before="260" w:after="260" w:line="416" w:lineRule="atLeast"/>
        <w:ind w:left="720" w:leftChars="0" w:hanging="720" w:firstLineChars="0"/>
        <w:outlineLvl w:val="9"/>
        <w:rPr>
          <w:rFonts w:hAnsi="宋体" w:eastAsia="宋体"/>
          <w:b/>
          <w:sz w:val="21"/>
          <w:szCs w:val="21"/>
        </w:rPr>
      </w:pPr>
      <w:r>
        <w:rPr>
          <w:rFonts w:hint="default" w:ascii="宋体" w:hAnsi="宋体" w:eastAsia="宋体" w:cs="Times New Roman"/>
          <w:b/>
          <w:kern w:val="0"/>
          <w:sz w:val="21"/>
          <w:szCs w:val="21"/>
          <w:lang w:val="en-US" w:eastAsia="zh-CN" w:bidi="ar-SA"/>
        </w:rPr>
        <w:t>1.3</w:t>
      </w:r>
      <w:r>
        <w:rPr>
          <w:rFonts w:hint="eastAsia" w:hAnsi="宋体" w:eastAsia="宋体"/>
          <w:b/>
          <w:sz w:val="21"/>
          <w:szCs w:val="21"/>
        </w:rPr>
        <w:t>建设</w:t>
      </w:r>
      <w:r>
        <w:rPr>
          <w:rFonts w:hAnsi="宋体" w:eastAsia="宋体"/>
          <w:b/>
          <w:sz w:val="21"/>
          <w:szCs w:val="21"/>
        </w:rPr>
        <w:t>目标</w:t>
      </w:r>
    </w:p>
    <w:p w14:paraId="6615C305">
      <w:pPr>
        <w:spacing w:line="360" w:lineRule="auto"/>
        <w:ind w:firstLine="420" w:firstLineChars="200"/>
        <w:rPr>
          <w:szCs w:val="21"/>
        </w:rPr>
      </w:pPr>
      <w:r>
        <w:rPr>
          <w:rFonts w:hint="eastAsia" w:ascii="宋体" w:hAnsi="宋体"/>
          <w:sz w:val="21"/>
          <w:szCs w:val="21"/>
        </w:rPr>
        <w:t>建筑物配套建设5G 无线室内覆盖基础设施，主要是用于满足</w:t>
      </w:r>
      <w:r>
        <w:rPr>
          <w:rFonts w:hint="eastAsia" w:ascii="宋体" w:hAnsi="宋体" w:eastAsia="宋体"/>
          <w:sz w:val="21"/>
          <w:szCs w:val="21"/>
          <w:lang w:eastAsia="zh-CN"/>
        </w:rPr>
        <w:t>领航科技大楼内</w:t>
      </w:r>
      <w:r>
        <w:rPr>
          <w:rFonts w:hint="eastAsia" w:ascii="宋体" w:hAnsi="宋体"/>
          <w:sz w:val="21"/>
          <w:szCs w:val="21"/>
        </w:rPr>
        <w:t>人员移动通讯需求。建设设计需满足以下条件：</w:t>
      </w:r>
    </w:p>
    <w:p w14:paraId="5251090F">
      <w:pPr>
        <w:widowControl/>
        <w:numPr>
          <w:ilvl w:val="0"/>
          <w:numId w:val="2"/>
        </w:numPr>
        <w:spacing w:line="360" w:lineRule="auto"/>
        <w:jc w:val="left"/>
        <w:rPr>
          <w:rFonts w:ascii="宋体" w:hAnsi="宋体"/>
          <w:sz w:val="21"/>
          <w:szCs w:val="21"/>
        </w:rPr>
      </w:pPr>
      <w:r>
        <w:rPr>
          <w:rFonts w:hint="eastAsia" w:ascii="宋体" w:hAnsi="宋体"/>
          <w:sz w:val="21"/>
          <w:szCs w:val="21"/>
        </w:rPr>
        <w:t>满足各基础电信运营商当前及未来发展的需求,支持 700-3700MHz 频段设备的接入。</w:t>
      </w:r>
    </w:p>
    <w:p w14:paraId="0A72C6D6">
      <w:pPr>
        <w:widowControl/>
        <w:numPr>
          <w:ilvl w:val="0"/>
          <w:numId w:val="2"/>
        </w:numPr>
        <w:spacing w:line="360" w:lineRule="auto"/>
        <w:jc w:val="left"/>
        <w:rPr>
          <w:rFonts w:ascii="宋体" w:hAnsi="宋体"/>
          <w:sz w:val="21"/>
          <w:szCs w:val="21"/>
        </w:rPr>
      </w:pPr>
      <w:r>
        <w:rPr>
          <w:rFonts w:hint="eastAsia" w:ascii="宋体" w:hAnsi="宋体"/>
          <w:sz w:val="21"/>
          <w:szCs w:val="21"/>
        </w:rPr>
        <w:t>应综合考虑建筑物室内外及公共地下空间的无线覆盖，满足各无线通信网络频段要求和指标要求。</w:t>
      </w:r>
    </w:p>
    <w:p w14:paraId="14A624D6">
      <w:pPr>
        <w:widowControl/>
        <w:numPr>
          <w:ilvl w:val="0"/>
          <w:numId w:val="2"/>
        </w:numPr>
        <w:spacing w:line="360" w:lineRule="auto"/>
        <w:jc w:val="left"/>
        <w:rPr>
          <w:rFonts w:ascii="宋体" w:hAnsi="宋体"/>
          <w:sz w:val="21"/>
          <w:szCs w:val="21"/>
        </w:rPr>
      </w:pPr>
      <w:r>
        <w:rPr>
          <w:rFonts w:hint="eastAsia" w:ascii="宋体" w:hAnsi="宋体"/>
          <w:sz w:val="21"/>
          <w:szCs w:val="21"/>
        </w:rPr>
        <w:t>合理设置天线输出功率，满足目标覆盖区域的网络指标要求。</w:t>
      </w:r>
    </w:p>
    <w:p w14:paraId="09A8A5E3">
      <w:pPr>
        <w:widowControl/>
        <w:numPr>
          <w:ilvl w:val="0"/>
          <w:numId w:val="2"/>
        </w:numPr>
        <w:spacing w:line="360" w:lineRule="auto"/>
        <w:jc w:val="left"/>
        <w:rPr>
          <w:rFonts w:ascii="宋体" w:hAnsi="宋体"/>
          <w:sz w:val="21"/>
          <w:szCs w:val="21"/>
        </w:rPr>
      </w:pPr>
      <w:r>
        <w:rPr>
          <w:rFonts w:hint="eastAsia" w:ascii="宋体" w:hAnsi="宋体"/>
          <w:sz w:val="21"/>
          <w:szCs w:val="21"/>
        </w:rPr>
        <w:t>结合建筑物结构特点，减少对建筑物结构和装饰的影响。</w:t>
      </w:r>
    </w:p>
    <w:p w14:paraId="3F09F4CB">
      <w:pPr>
        <w:widowControl/>
        <w:numPr>
          <w:ilvl w:val="0"/>
          <w:numId w:val="2"/>
        </w:numPr>
        <w:spacing w:line="360" w:lineRule="auto"/>
        <w:jc w:val="left"/>
        <w:rPr>
          <w:rFonts w:ascii="宋体" w:hAnsi="宋体"/>
          <w:sz w:val="21"/>
          <w:szCs w:val="21"/>
        </w:rPr>
      </w:pPr>
      <w:r>
        <w:rPr>
          <w:rFonts w:hint="eastAsia" w:ascii="宋体" w:hAnsi="宋体"/>
          <w:sz w:val="21"/>
          <w:szCs w:val="21"/>
        </w:rPr>
        <w:t>根据无线环境测试与现场勘察确定。</w:t>
      </w:r>
    </w:p>
    <w:p w14:paraId="3D1FEEC1">
      <w:pPr>
        <w:widowControl/>
        <w:numPr>
          <w:ilvl w:val="0"/>
          <w:numId w:val="2"/>
        </w:numPr>
        <w:spacing w:line="360" w:lineRule="auto"/>
        <w:jc w:val="left"/>
        <w:rPr>
          <w:rFonts w:ascii="宋体" w:hAnsi="宋体"/>
          <w:sz w:val="21"/>
          <w:szCs w:val="21"/>
        </w:rPr>
      </w:pPr>
      <w:r>
        <w:rPr>
          <w:rFonts w:hint="eastAsia" w:ascii="宋体" w:hAnsi="宋体"/>
          <w:sz w:val="21"/>
          <w:szCs w:val="21"/>
        </w:rPr>
        <w:t>主要指标应包括天线发射功率、覆盖区边缘接收场强、室内信号外泄场强等系统覆盖指标和驻波比等工艺指标。</w:t>
      </w:r>
    </w:p>
    <w:p w14:paraId="0744442F">
      <w:pPr>
        <w:widowControl/>
        <w:numPr>
          <w:ilvl w:val="0"/>
          <w:numId w:val="2"/>
        </w:numPr>
        <w:spacing w:line="360" w:lineRule="auto"/>
        <w:jc w:val="left"/>
        <w:rPr>
          <w:rFonts w:ascii="宋体" w:hAnsi="宋体"/>
          <w:sz w:val="21"/>
          <w:szCs w:val="21"/>
        </w:rPr>
      </w:pPr>
      <w:r>
        <w:rPr>
          <w:rFonts w:hint="eastAsia" w:ascii="宋体" w:hAnsi="宋体"/>
          <w:sz w:val="21"/>
          <w:szCs w:val="21"/>
        </w:rPr>
        <w:t>电磁辐射限值符合现行国家标准 GB 8702《电磁环境控制限值》的有关规定。</w:t>
      </w:r>
    </w:p>
    <w:p w14:paraId="2042CC5E">
      <w:pPr>
        <w:widowControl/>
        <w:numPr>
          <w:ilvl w:val="0"/>
          <w:numId w:val="2"/>
        </w:numPr>
        <w:spacing w:line="360" w:lineRule="auto"/>
        <w:jc w:val="left"/>
        <w:rPr>
          <w:rFonts w:ascii="宋体" w:hAnsi="宋体"/>
          <w:sz w:val="21"/>
          <w:szCs w:val="21"/>
        </w:rPr>
      </w:pPr>
      <w:r>
        <w:rPr>
          <w:rFonts w:hint="eastAsia" w:ascii="宋体" w:hAnsi="宋体"/>
          <w:sz w:val="21"/>
          <w:szCs w:val="21"/>
        </w:rPr>
        <w:t>图形符号符合现行行业标准 YD/T 5015《通信工程制图与图形符号规定》的有关规定。</w:t>
      </w:r>
    </w:p>
    <w:p w14:paraId="64263EDC">
      <w:pPr>
        <w:widowControl/>
        <w:numPr>
          <w:ilvl w:val="0"/>
          <w:numId w:val="2"/>
        </w:numPr>
        <w:spacing w:line="360" w:lineRule="auto"/>
        <w:jc w:val="left"/>
        <w:rPr>
          <w:rFonts w:ascii="宋体" w:hAnsi="宋体"/>
          <w:sz w:val="21"/>
          <w:szCs w:val="21"/>
        </w:rPr>
      </w:pPr>
      <w:r>
        <w:rPr>
          <w:rFonts w:ascii="宋体" w:hAnsi="宋体" w:cs="宋体"/>
          <w:sz w:val="21"/>
          <w:szCs w:val="21"/>
        </w:rPr>
        <w:t>为了满足大带宽上行及低时延业务的通讯需求，需具备5G网络上行带宽增强技术</w:t>
      </w:r>
      <w:r>
        <w:rPr>
          <w:rFonts w:hint="eastAsia" w:ascii="宋体" w:hAnsi="宋体" w:eastAsia="宋体" w:cs="宋体"/>
          <w:sz w:val="21"/>
          <w:szCs w:val="21"/>
          <w:lang w:eastAsia="zh-CN"/>
        </w:rPr>
        <w:t>。</w:t>
      </w:r>
    </w:p>
    <w:p w14:paraId="4EA79501">
      <w:pPr>
        <w:pStyle w:val="12"/>
        <w:snapToGrid w:val="0"/>
        <w:ind w:firstLine="480"/>
        <w:rPr>
          <w:rFonts w:ascii="宋体" w:hAnsi="宋体"/>
          <w:sz w:val="21"/>
          <w:szCs w:val="21"/>
        </w:rPr>
      </w:pPr>
    </w:p>
    <w:p w14:paraId="3ABA4413">
      <w:pPr>
        <w:pStyle w:val="14"/>
        <w:keepNext/>
        <w:keepLines/>
        <w:numPr>
          <w:ilvl w:val="2"/>
          <w:numId w:val="0"/>
        </w:numPr>
        <w:tabs>
          <w:tab w:val="left" w:pos="140"/>
          <w:tab w:val="left" w:pos="480"/>
          <w:tab w:val="clear" w:pos="851"/>
        </w:tabs>
        <w:autoSpaceDE/>
        <w:autoSpaceDN/>
        <w:spacing w:before="260" w:after="260" w:line="416" w:lineRule="atLeast"/>
        <w:ind w:left="720" w:leftChars="0" w:hanging="720" w:firstLineChars="0"/>
        <w:outlineLvl w:val="9"/>
        <w:rPr>
          <w:rFonts w:hAnsi="宋体" w:eastAsia="宋体"/>
          <w:b/>
          <w:sz w:val="21"/>
          <w:szCs w:val="21"/>
        </w:rPr>
      </w:pPr>
      <w:r>
        <w:rPr>
          <w:rFonts w:hint="default" w:ascii="宋体" w:hAnsi="宋体" w:eastAsia="宋体" w:cs="Times New Roman"/>
          <w:b/>
          <w:kern w:val="0"/>
          <w:sz w:val="21"/>
          <w:szCs w:val="21"/>
          <w:lang w:val="en-US" w:eastAsia="zh-CN" w:bidi="ar-SA"/>
        </w:rPr>
        <w:t>1.4</w:t>
      </w:r>
      <w:r>
        <w:rPr>
          <w:rFonts w:hint="eastAsia" w:hAnsi="宋体" w:eastAsia="宋体"/>
          <w:b/>
          <w:sz w:val="21"/>
          <w:szCs w:val="21"/>
        </w:rPr>
        <w:t>服务内容</w:t>
      </w:r>
    </w:p>
    <w:tbl>
      <w:tblPr>
        <w:tblStyle w:val="7"/>
        <w:tblW w:w="9697" w:type="dxa"/>
        <w:tblInd w:w="-34" w:type="dxa"/>
        <w:tblLayout w:type="fixed"/>
        <w:tblCellMar>
          <w:top w:w="0" w:type="dxa"/>
          <w:left w:w="108" w:type="dxa"/>
          <w:bottom w:w="0" w:type="dxa"/>
          <w:right w:w="108" w:type="dxa"/>
        </w:tblCellMar>
      </w:tblPr>
      <w:tblGrid>
        <w:gridCol w:w="709"/>
        <w:gridCol w:w="1134"/>
        <w:gridCol w:w="5387"/>
        <w:gridCol w:w="2467"/>
      </w:tblGrid>
      <w:tr w14:paraId="3702D615">
        <w:trPr>
          <w:trHeight w:val="684" w:hRule="atLeast"/>
          <w:tblHeader/>
        </w:trPr>
        <w:tc>
          <w:tcPr>
            <w:tcW w:w="709" w:type="dxa"/>
            <w:tcBorders>
              <w:top w:val="single" w:color="auto" w:sz="4" w:space="0"/>
              <w:left w:val="single" w:color="auto" w:sz="4" w:space="0"/>
              <w:bottom w:val="single" w:color="auto" w:sz="4" w:space="0"/>
              <w:right w:val="single" w:color="auto" w:sz="4" w:space="0"/>
            </w:tcBorders>
            <w:vAlign w:val="center"/>
          </w:tcPr>
          <w:p w14:paraId="29327A4C">
            <w:pPr>
              <w:pStyle w:val="15"/>
              <w:widowControl/>
              <w:jc w:val="center"/>
              <w:rPr>
                <w:rFonts w:ascii="宋体" w:hAnsi="宋体" w:cs="宋体"/>
                <w:b/>
                <w:bCs/>
                <w:kern w:val="0"/>
                <w:sz w:val="21"/>
                <w:szCs w:val="21"/>
              </w:rPr>
            </w:pPr>
            <w:r>
              <w:rPr>
                <w:rFonts w:hint="eastAsia" w:ascii="宋体" w:hAnsi="宋体" w:cs="宋体"/>
                <w:b/>
                <w:bCs/>
                <w:kern w:val="0"/>
                <w:sz w:val="21"/>
                <w:szCs w:val="21"/>
              </w:rPr>
              <w:t>序号</w:t>
            </w:r>
          </w:p>
        </w:tc>
        <w:tc>
          <w:tcPr>
            <w:tcW w:w="1134" w:type="dxa"/>
            <w:tcBorders>
              <w:top w:val="single" w:color="auto" w:sz="4" w:space="0"/>
              <w:left w:val="nil"/>
              <w:bottom w:val="single" w:color="auto" w:sz="4" w:space="0"/>
              <w:right w:val="single" w:color="auto" w:sz="4" w:space="0"/>
            </w:tcBorders>
            <w:vAlign w:val="center"/>
          </w:tcPr>
          <w:p w14:paraId="5E985E15">
            <w:pPr>
              <w:pStyle w:val="15"/>
              <w:widowControl/>
              <w:jc w:val="center"/>
              <w:rPr>
                <w:rFonts w:ascii="宋体" w:hAnsi="宋体" w:cs="宋体"/>
                <w:b/>
                <w:bCs/>
                <w:kern w:val="0"/>
                <w:sz w:val="21"/>
                <w:szCs w:val="21"/>
              </w:rPr>
            </w:pPr>
            <w:r>
              <w:rPr>
                <w:rFonts w:hint="eastAsia" w:ascii="宋体" w:hAnsi="宋体" w:cs="宋体"/>
                <w:b/>
                <w:bCs/>
                <w:kern w:val="0"/>
                <w:sz w:val="21"/>
                <w:szCs w:val="21"/>
              </w:rPr>
              <w:t>名称</w:t>
            </w:r>
          </w:p>
        </w:tc>
        <w:tc>
          <w:tcPr>
            <w:tcW w:w="5387" w:type="dxa"/>
            <w:tcBorders>
              <w:top w:val="single" w:color="auto" w:sz="4" w:space="0"/>
              <w:left w:val="nil"/>
              <w:bottom w:val="single" w:color="auto" w:sz="4" w:space="0"/>
              <w:right w:val="single" w:color="auto" w:sz="4" w:space="0"/>
            </w:tcBorders>
            <w:vAlign w:val="center"/>
          </w:tcPr>
          <w:p w14:paraId="002CCE09">
            <w:pPr>
              <w:pStyle w:val="15"/>
              <w:widowControl/>
              <w:jc w:val="center"/>
              <w:rPr>
                <w:rFonts w:ascii="宋体" w:hAnsi="宋体" w:cs="宋体"/>
                <w:b/>
                <w:bCs/>
                <w:kern w:val="0"/>
                <w:sz w:val="21"/>
                <w:szCs w:val="21"/>
              </w:rPr>
            </w:pPr>
            <w:r>
              <w:rPr>
                <w:rFonts w:hint="eastAsia" w:ascii="宋体" w:hAnsi="宋体" w:cs="宋体"/>
                <w:b/>
                <w:bCs/>
                <w:kern w:val="0"/>
                <w:sz w:val="21"/>
                <w:szCs w:val="21"/>
              </w:rPr>
              <w:t>内容说明</w:t>
            </w:r>
          </w:p>
        </w:tc>
        <w:tc>
          <w:tcPr>
            <w:tcW w:w="2467" w:type="dxa"/>
            <w:tcBorders>
              <w:top w:val="single" w:color="auto" w:sz="4" w:space="0"/>
              <w:left w:val="nil"/>
              <w:bottom w:val="single" w:color="auto" w:sz="4" w:space="0"/>
              <w:right w:val="single" w:color="auto" w:sz="4" w:space="0"/>
            </w:tcBorders>
            <w:vAlign w:val="center"/>
          </w:tcPr>
          <w:p w14:paraId="543914B8">
            <w:pPr>
              <w:pStyle w:val="15"/>
              <w:widowControl/>
              <w:jc w:val="center"/>
              <w:rPr>
                <w:rFonts w:ascii="宋体" w:hAnsi="宋体" w:cs="宋体"/>
                <w:b/>
                <w:bCs/>
                <w:kern w:val="0"/>
                <w:sz w:val="21"/>
                <w:szCs w:val="21"/>
              </w:rPr>
            </w:pPr>
            <w:r>
              <w:rPr>
                <w:rFonts w:hint="eastAsia" w:ascii="宋体" w:hAnsi="宋体" w:cs="宋体"/>
                <w:b/>
                <w:bCs/>
                <w:kern w:val="0"/>
                <w:sz w:val="21"/>
                <w:szCs w:val="21"/>
              </w:rPr>
              <w:t>备注</w:t>
            </w:r>
          </w:p>
        </w:tc>
      </w:tr>
      <w:tr w14:paraId="262DCEAC">
        <w:tblPrEx>
          <w:tblCellMar>
            <w:top w:w="0" w:type="dxa"/>
            <w:left w:w="108" w:type="dxa"/>
            <w:bottom w:w="0" w:type="dxa"/>
            <w:right w:w="108" w:type="dxa"/>
          </w:tblCellMar>
        </w:tblPrEx>
        <w:trPr>
          <w:trHeight w:val="1275" w:hRule="atLeast"/>
        </w:trPr>
        <w:tc>
          <w:tcPr>
            <w:tcW w:w="709" w:type="dxa"/>
            <w:tcBorders>
              <w:top w:val="nil"/>
              <w:left w:val="single" w:color="auto" w:sz="4" w:space="0"/>
              <w:bottom w:val="nil"/>
              <w:right w:val="single" w:color="auto" w:sz="4" w:space="0"/>
            </w:tcBorders>
            <w:vAlign w:val="center"/>
          </w:tcPr>
          <w:p w14:paraId="606E7165">
            <w:pPr>
              <w:pStyle w:val="15"/>
              <w:widowControl/>
              <w:jc w:val="center"/>
              <w:rPr>
                <w:rFonts w:ascii="宋体" w:hAnsi="宋体" w:cs="宋体"/>
                <w:kern w:val="0"/>
                <w:sz w:val="21"/>
                <w:szCs w:val="21"/>
                <w:highlight w:val="none"/>
              </w:rPr>
            </w:pPr>
            <w:r>
              <w:rPr>
                <w:rFonts w:ascii="宋体" w:hAnsi="宋体" w:cs="宋体"/>
                <w:kern w:val="0"/>
                <w:sz w:val="21"/>
                <w:szCs w:val="21"/>
                <w:highlight w:val="none"/>
              </w:rPr>
              <w:t>1</w:t>
            </w:r>
          </w:p>
        </w:tc>
        <w:tc>
          <w:tcPr>
            <w:tcW w:w="1134" w:type="dxa"/>
            <w:tcBorders>
              <w:top w:val="nil"/>
              <w:left w:val="nil"/>
              <w:bottom w:val="nil"/>
              <w:right w:val="single" w:color="auto" w:sz="4" w:space="0"/>
            </w:tcBorders>
            <w:vAlign w:val="center"/>
          </w:tcPr>
          <w:p w14:paraId="3ECA35FC">
            <w:pPr>
              <w:pStyle w:val="15"/>
              <w:widowControl/>
              <w:jc w:val="center"/>
              <w:rPr>
                <w:rFonts w:hint="eastAsia" w:ascii="宋体" w:hAnsi="宋体" w:cs="Arial"/>
                <w:sz w:val="21"/>
                <w:szCs w:val="21"/>
                <w:highlight w:val="none"/>
              </w:rPr>
            </w:pPr>
            <w:r>
              <w:rPr>
                <w:rFonts w:hint="eastAsia" w:ascii="宋体" w:hAnsi="宋体" w:cs="Arial"/>
                <w:sz w:val="21"/>
                <w:szCs w:val="21"/>
                <w:highlight w:val="none"/>
              </w:rPr>
              <w:t>5G室内</w:t>
            </w:r>
          </w:p>
          <w:p w14:paraId="1FAA04C5">
            <w:pPr>
              <w:pStyle w:val="15"/>
              <w:widowControl/>
              <w:jc w:val="center"/>
              <w:rPr>
                <w:rFonts w:ascii="宋体" w:hAnsi="宋体" w:cs="宋体"/>
                <w:kern w:val="0"/>
                <w:sz w:val="21"/>
                <w:szCs w:val="21"/>
                <w:highlight w:val="none"/>
              </w:rPr>
            </w:pPr>
            <w:r>
              <w:rPr>
                <w:rFonts w:hint="eastAsia" w:ascii="宋体" w:hAnsi="宋体" w:cs="Arial"/>
                <w:sz w:val="21"/>
                <w:szCs w:val="21"/>
                <w:highlight w:val="none"/>
              </w:rPr>
              <w:t>分布天馈系统服务</w:t>
            </w:r>
          </w:p>
        </w:tc>
        <w:tc>
          <w:tcPr>
            <w:tcW w:w="5387" w:type="dxa"/>
            <w:tcBorders>
              <w:top w:val="nil"/>
              <w:left w:val="nil"/>
              <w:bottom w:val="nil"/>
              <w:right w:val="single" w:color="auto" w:sz="4" w:space="0"/>
            </w:tcBorders>
            <w:vAlign w:val="center"/>
          </w:tcPr>
          <w:p w14:paraId="7E41C29C">
            <w:pPr>
              <w:pStyle w:val="16"/>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宋体" w:hAnsi="宋体" w:eastAsia="宋体" w:cs="Arial"/>
                <w:kern w:val="2"/>
                <w:sz w:val="21"/>
                <w:szCs w:val="21"/>
                <w:highlight w:val="none"/>
              </w:rPr>
            </w:pPr>
            <w:r>
              <w:rPr>
                <w:rFonts w:hint="eastAsia" w:ascii="宋体" w:hAnsi="宋体" w:eastAsia="宋体" w:cs="Arial"/>
                <w:kern w:val="2"/>
                <w:sz w:val="21"/>
                <w:szCs w:val="21"/>
                <w:highlight w:val="none"/>
                <w:lang w:val="en-US" w:eastAsia="zh-CN"/>
              </w:rPr>
              <w:t>1、</w:t>
            </w:r>
            <w:r>
              <w:rPr>
                <w:rFonts w:hint="eastAsia" w:ascii="宋体" w:hAnsi="宋体" w:eastAsia="宋体" w:cs="Arial"/>
                <w:kern w:val="2"/>
                <w:sz w:val="21"/>
                <w:szCs w:val="21"/>
                <w:highlight w:val="none"/>
                <w:lang w:eastAsia="zh-CN"/>
              </w:rPr>
              <w:t>投标人</w:t>
            </w:r>
            <w:r>
              <w:rPr>
                <w:rFonts w:hint="eastAsia" w:ascii="宋体" w:hAnsi="宋体" w:eastAsia="宋体" w:cs="Arial"/>
                <w:kern w:val="2"/>
                <w:sz w:val="21"/>
                <w:szCs w:val="21"/>
                <w:highlight w:val="none"/>
              </w:rPr>
              <w:t>负责 POI 及 POI 用户侧分布系统器件、馈线和天线的服务；</w:t>
            </w:r>
          </w:p>
          <w:p w14:paraId="37B1AB93">
            <w:pPr>
              <w:pStyle w:val="16"/>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宋体" w:hAnsi="宋体" w:eastAsia="宋体" w:cs="Arial"/>
                <w:kern w:val="2"/>
                <w:sz w:val="21"/>
                <w:szCs w:val="21"/>
                <w:highlight w:val="none"/>
              </w:rPr>
            </w:pPr>
            <w:r>
              <w:rPr>
                <w:rFonts w:hint="eastAsia" w:ascii="宋体" w:hAnsi="宋体" w:eastAsia="宋体" w:cs="Arial"/>
                <w:kern w:val="2"/>
                <w:sz w:val="21"/>
                <w:szCs w:val="21"/>
                <w:highlight w:val="none"/>
                <w:lang w:val="en-US" w:eastAsia="zh-CN"/>
              </w:rPr>
              <w:t>2、</w:t>
            </w:r>
            <w:r>
              <w:rPr>
                <w:rFonts w:hint="eastAsia" w:ascii="宋体" w:hAnsi="宋体" w:eastAsia="宋体" w:cs="Arial"/>
                <w:kern w:val="2"/>
                <w:sz w:val="21"/>
                <w:szCs w:val="21"/>
                <w:highlight w:val="none"/>
              </w:rPr>
              <w:t>基础电信运营商负责 POI 局侧信号源设备、GNSS 天线及电源线、馈线的服务；</w:t>
            </w:r>
          </w:p>
          <w:p w14:paraId="50F244F8">
            <w:pPr>
              <w:pStyle w:val="16"/>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宋体" w:hAnsi="宋体" w:eastAsia="宋体" w:cs="Arial"/>
                <w:kern w:val="2"/>
                <w:sz w:val="21"/>
                <w:szCs w:val="21"/>
                <w:highlight w:val="none"/>
              </w:rPr>
            </w:pPr>
            <w:r>
              <w:rPr>
                <w:rFonts w:hint="eastAsia" w:ascii="宋体" w:hAnsi="宋体" w:eastAsia="宋体" w:cs="Arial"/>
                <w:kern w:val="2"/>
                <w:sz w:val="21"/>
                <w:szCs w:val="21"/>
                <w:highlight w:val="none"/>
                <w:lang w:val="en-US" w:eastAsia="zh-CN"/>
              </w:rPr>
              <w:t>3、</w:t>
            </w:r>
            <w:r>
              <w:rPr>
                <w:rFonts w:hint="eastAsia" w:ascii="宋体" w:hAnsi="宋体" w:eastAsia="宋体" w:cs="Arial"/>
                <w:kern w:val="2"/>
                <w:sz w:val="21"/>
                <w:szCs w:val="21"/>
                <w:highlight w:val="none"/>
              </w:rPr>
              <w:t>建筑物和建筑物群范围内的电表、接电空开等电力接入设施，地线排等接地设施， BBU 到 RRU 的光缆，桥架槽道由</w:t>
            </w:r>
            <w:r>
              <w:rPr>
                <w:rFonts w:hint="eastAsia" w:ascii="宋体" w:hAnsi="宋体" w:eastAsia="宋体" w:cs="Arial"/>
                <w:kern w:val="2"/>
                <w:sz w:val="21"/>
                <w:szCs w:val="21"/>
                <w:highlight w:val="none"/>
                <w:lang w:eastAsia="zh-CN"/>
              </w:rPr>
              <w:t>投标人</w:t>
            </w:r>
            <w:r>
              <w:rPr>
                <w:rFonts w:hint="eastAsia" w:ascii="宋体" w:hAnsi="宋体" w:eastAsia="宋体" w:cs="Arial"/>
                <w:kern w:val="2"/>
                <w:sz w:val="21"/>
                <w:szCs w:val="21"/>
                <w:highlight w:val="none"/>
              </w:rPr>
              <w:t>负责。</w:t>
            </w:r>
          </w:p>
        </w:tc>
        <w:tc>
          <w:tcPr>
            <w:tcW w:w="2467" w:type="dxa"/>
            <w:tcBorders>
              <w:top w:val="nil"/>
              <w:left w:val="nil"/>
              <w:bottom w:val="nil"/>
              <w:right w:val="single" w:color="auto" w:sz="4" w:space="0"/>
            </w:tcBorders>
            <w:vAlign w:val="center"/>
          </w:tcPr>
          <w:p w14:paraId="2C4FD7B3">
            <w:pPr>
              <w:pStyle w:val="15"/>
              <w:widowControl/>
              <w:jc w:val="center"/>
              <w:rPr>
                <w:rFonts w:ascii="宋体" w:hAnsi="宋体" w:cs="宋体"/>
                <w:kern w:val="0"/>
                <w:sz w:val="21"/>
                <w:szCs w:val="21"/>
                <w:highlight w:val="none"/>
              </w:rPr>
            </w:pPr>
            <w:r>
              <w:rPr>
                <w:rFonts w:hint="eastAsia" w:ascii="宋体" w:hAnsi="宋体" w:cs="Arial"/>
                <w:sz w:val="21"/>
                <w:szCs w:val="21"/>
                <w:highlight w:val="none"/>
              </w:rPr>
              <w:t>根据《广州市建筑物配套建设 5G 等移动通信无线室内覆盖基础设施工程技术规范 1.0（试行）》要求</w:t>
            </w:r>
            <w:r>
              <w:rPr>
                <w:rFonts w:hint="eastAsia" w:ascii="宋体" w:hAnsi="宋体" w:cs="宋体"/>
                <w:kern w:val="0"/>
                <w:sz w:val="21"/>
                <w:szCs w:val="21"/>
                <w:highlight w:val="none"/>
              </w:rPr>
              <w:t>　</w:t>
            </w:r>
          </w:p>
        </w:tc>
      </w:tr>
      <w:tr w14:paraId="4798EAE1">
        <w:tblPrEx>
          <w:tblCellMar>
            <w:top w:w="0" w:type="dxa"/>
            <w:left w:w="108" w:type="dxa"/>
            <w:bottom w:w="0" w:type="dxa"/>
            <w:right w:w="108" w:type="dxa"/>
          </w:tblCellMar>
        </w:tblPrEx>
        <w:trPr>
          <w:trHeight w:val="585" w:hRule="atLeast"/>
        </w:trPr>
        <w:tc>
          <w:tcPr>
            <w:tcW w:w="709" w:type="dxa"/>
            <w:tcBorders>
              <w:top w:val="nil"/>
              <w:left w:val="single" w:color="auto" w:sz="4" w:space="0"/>
              <w:bottom w:val="single" w:color="auto" w:sz="4" w:space="0"/>
              <w:right w:val="single" w:color="auto" w:sz="4" w:space="0"/>
            </w:tcBorders>
            <w:shd w:val="clear" w:color="auto" w:fill="auto"/>
            <w:vAlign w:val="center"/>
          </w:tcPr>
          <w:p w14:paraId="4588A2B1">
            <w:pPr>
              <w:pStyle w:val="15"/>
              <w:widowControl/>
              <w:jc w:val="center"/>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2</w:t>
            </w:r>
          </w:p>
        </w:tc>
        <w:tc>
          <w:tcPr>
            <w:tcW w:w="1134" w:type="dxa"/>
            <w:tcBorders>
              <w:top w:val="nil"/>
              <w:left w:val="nil"/>
              <w:bottom w:val="single" w:color="auto" w:sz="4" w:space="0"/>
              <w:right w:val="single" w:color="auto" w:sz="4" w:space="0"/>
            </w:tcBorders>
            <w:shd w:val="clear" w:color="auto" w:fill="auto"/>
            <w:vAlign w:val="center"/>
          </w:tcPr>
          <w:p w14:paraId="0EE96464">
            <w:pPr>
              <w:pStyle w:val="15"/>
              <w:widowControl/>
              <w:jc w:val="center"/>
              <w:rPr>
                <w:rFonts w:hint="default" w:ascii="宋体" w:hAnsi="宋体" w:eastAsia="宋体" w:cs="Arial"/>
                <w:sz w:val="21"/>
                <w:szCs w:val="21"/>
                <w:highlight w:val="none"/>
                <w:lang w:val="en-US" w:eastAsia="zh-CN"/>
              </w:rPr>
            </w:pPr>
            <w:r>
              <w:rPr>
                <w:rFonts w:hint="eastAsia" w:ascii="宋体" w:hAnsi="宋体" w:cs="Arial"/>
                <w:sz w:val="21"/>
                <w:szCs w:val="21"/>
                <w:highlight w:val="none"/>
                <w:lang w:val="en-US" w:eastAsia="zh-CN"/>
              </w:rPr>
              <w:t>其它要求</w:t>
            </w:r>
          </w:p>
        </w:tc>
        <w:tc>
          <w:tcPr>
            <w:tcW w:w="5387" w:type="dxa"/>
            <w:tcBorders>
              <w:top w:val="nil"/>
              <w:left w:val="nil"/>
              <w:bottom w:val="single" w:color="auto" w:sz="4" w:space="0"/>
              <w:right w:val="single" w:color="auto" w:sz="4" w:space="0"/>
            </w:tcBorders>
            <w:shd w:val="clear" w:color="auto" w:fill="auto"/>
            <w:vAlign w:val="center"/>
          </w:tcPr>
          <w:p w14:paraId="37F48EAD">
            <w:pPr>
              <w:pStyle w:val="16"/>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rFonts w:hint="eastAsia" w:ascii="宋体" w:hAnsi="宋体" w:eastAsia="宋体" w:cs="Arial"/>
                <w:kern w:val="2"/>
                <w:sz w:val="21"/>
                <w:szCs w:val="21"/>
                <w:highlight w:val="none"/>
                <w:lang w:val="en-US" w:eastAsia="zh-CN"/>
              </w:rPr>
            </w:pPr>
            <w:r>
              <w:rPr>
                <w:rFonts w:hint="eastAsia" w:ascii="宋体" w:hAnsi="宋体" w:eastAsia="宋体" w:cs="Arial"/>
                <w:kern w:val="2"/>
                <w:sz w:val="21"/>
                <w:szCs w:val="21"/>
                <w:highlight w:val="none"/>
                <w:lang w:val="en-US" w:eastAsia="zh-CN"/>
              </w:rPr>
              <w:t>1、投标人负责文件(含设计方案)报批、设备供货、施工、安装调试。</w:t>
            </w:r>
          </w:p>
          <w:p w14:paraId="60797979">
            <w:pPr>
              <w:pStyle w:val="16"/>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rFonts w:hint="eastAsia" w:ascii="宋体" w:hAnsi="宋体" w:eastAsia="宋体" w:cs="Arial"/>
                <w:kern w:val="2"/>
                <w:sz w:val="21"/>
                <w:szCs w:val="21"/>
                <w:highlight w:val="none"/>
                <w:lang w:val="en-US" w:eastAsia="zh-CN"/>
              </w:rPr>
            </w:pPr>
            <w:r>
              <w:rPr>
                <w:rFonts w:hint="eastAsia" w:ascii="宋体" w:hAnsi="宋体" w:eastAsia="宋体" w:cs="Arial"/>
                <w:kern w:val="2"/>
                <w:sz w:val="21"/>
                <w:szCs w:val="21"/>
                <w:highlight w:val="none"/>
                <w:lang w:val="en-US" w:eastAsia="zh-CN"/>
              </w:rPr>
              <w:t>2、投标人提供的信号覆盖方案满足广州市通信管理局的审核要求，项目完工后信号覆盖满足广州市通信管理局入围检测机构的检测要求。</w:t>
            </w:r>
          </w:p>
          <w:p w14:paraId="35F28036">
            <w:pPr>
              <w:pStyle w:val="16"/>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rFonts w:hint="default" w:ascii="宋体" w:hAnsi="宋体" w:eastAsia="宋体" w:cs="Arial"/>
                <w:kern w:val="2"/>
                <w:sz w:val="21"/>
                <w:szCs w:val="21"/>
                <w:highlight w:val="none"/>
                <w:lang w:val="en-US" w:eastAsia="zh-CN"/>
              </w:rPr>
            </w:pPr>
            <w:r>
              <w:rPr>
                <w:rFonts w:hint="eastAsia" w:ascii="宋体" w:hAnsi="宋体" w:eastAsia="宋体" w:cs="Arial"/>
                <w:kern w:val="2"/>
                <w:sz w:val="21"/>
                <w:szCs w:val="21"/>
                <w:highlight w:val="none"/>
                <w:lang w:val="en-US" w:eastAsia="zh-CN"/>
              </w:rPr>
              <w:t>3、项目完工后满足《关于印发广州市房屋建筑工程竣工联合验收工作方案（5.0版）的通知》中“通讯设施工程按要求完成，并经有计量认证资质的检测机构进行检测，符合国家标准”的相关要求。</w:t>
            </w:r>
          </w:p>
        </w:tc>
        <w:tc>
          <w:tcPr>
            <w:tcW w:w="2467" w:type="dxa"/>
            <w:tcBorders>
              <w:top w:val="nil"/>
              <w:left w:val="nil"/>
              <w:bottom w:val="single" w:color="auto" w:sz="4" w:space="0"/>
              <w:right w:val="single" w:color="auto" w:sz="4" w:space="0"/>
            </w:tcBorders>
            <w:vAlign w:val="center"/>
          </w:tcPr>
          <w:p w14:paraId="041B25B9">
            <w:pPr>
              <w:pStyle w:val="15"/>
              <w:widowControl/>
              <w:jc w:val="center"/>
              <w:rPr>
                <w:rFonts w:hint="eastAsia" w:ascii="宋体" w:hAnsi="宋体" w:cs="Arial"/>
                <w:sz w:val="21"/>
                <w:szCs w:val="21"/>
                <w:highlight w:val="none"/>
              </w:rPr>
            </w:pPr>
          </w:p>
        </w:tc>
      </w:tr>
    </w:tbl>
    <w:p w14:paraId="4C38B4EF">
      <w:pPr>
        <w:pStyle w:val="10"/>
        <w:spacing w:line="460" w:lineRule="exact"/>
        <w:ind w:firstLine="0" w:firstLineChars="0"/>
        <w:jc w:val="left"/>
        <w:outlineLvl w:val="9"/>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二、</w:t>
      </w:r>
      <w:r>
        <w:rPr>
          <w:rFonts w:hint="eastAsia" w:asciiTheme="minorEastAsia" w:hAnsiTheme="minorEastAsia" w:eastAsiaTheme="minorEastAsia" w:cstheme="minorEastAsia"/>
          <w:sz w:val="21"/>
          <w:szCs w:val="21"/>
        </w:rPr>
        <w:t>系统整体要求</w:t>
      </w:r>
    </w:p>
    <w:p w14:paraId="3E414723">
      <w:pPr>
        <w:pStyle w:val="14"/>
        <w:keepNext/>
        <w:keepLines/>
        <w:tabs>
          <w:tab w:val="left" w:pos="140"/>
          <w:tab w:val="left" w:pos="480"/>
          <w:tab w:val="clear" w:pos="851"/>
        </w:tabs>
        <w:autoSpaceDE/>
        <w:autoSpaceDN/>
        <w:spacing w:before="260" w:after="260" w:line="416" w:lineRule="atLeast"/>
        <w:outlineLvl w:val="9"/>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2.1总体建设技术规范</w:t>
      </w:r>
    </w:p>
    <w:p w14:paraId="0B2AC669">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《安全防范视频监控联网系统信息传输、交换、控制技术要求》GB/T28181-2016</w:t>
      </w:r>
    </w:p>
    <w:p w14:paraId="67AB9123">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《信息技术开放系统互连网络层安全协议》GB/T17963</w:t>
      </w:r>
    </w:p>
    <w:p w14:paraId="543D7ED9">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《安全防范系统雷电浪涌防护技术要求》GA/T 670-2006</w:t>
      </w:r>
    </w:p>
    <w:p w14:paraId="04A3D0C8">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《安全防范工程技术规范》GB50348-2004</w:t>
      </w:r>
    </w:p>
    <w:p w14:paraId="7CCC1119">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《信息技术 安全技术 IT网络安全》GB/T25068</w:t>
      </w:r>
    </w:p>
    <w:p w14:paraId="5A26B127">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《电子计算机机房设计规范》GB50174-2008</w:t>
      </w:r>
    </w:p>
    <w:p w14:paraId="432743C8">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《安全防范工程程序与要求》GA/T75-1994</w:t>
      </w:r>
    </w:p>
    <w:p w14:paraId="15892D98">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《入侵报警系统工程设计规范》GB50394-2007</w:t>
      </w:r>
    </w:p>
    <w:p w14:paraId="09A44A0F">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《综合布线系统工程设计规范》GB50311-2007</w:t>
      </w:r>
    </w:p>
    <w:p w14:paraId="7D427905">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《综合布线系统工程验收规范》GB50312-2007</w:t>
      </w:r>
    </w:p>
    <w:p w14:paraId="58953179">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《电气装置安装工程电缆线路施工及验收规范》GB50168-2006</w:t>
      </w:r>
    </w:p>
    <w:p w14:paraId="6266DC1D">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《以太网10Base-T标准》IEEE802.3</w:t>
      </w:r>
    </w:p>
    <w:p w14:paraId="5E72CC6E">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《安全防范视频监控联网系统信息传输、交换、控制技术要求》（GB/T 28181-2011）</w:t>
      </w:r>
    </w:p>
    <w:p w14:paraId="313C976A">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《安全防范工程技术规范》（GB50348-2004）</w:t>
      </w:r>
    </w:p>
    <w:p w14:paraId="1C33EA74">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《安全防范工程程序与要求》（GA/T75-94）</w:t>
      </w:r>
    </w:p>
    <w:p w14:paraId="3154E845">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《安全防范系统验收规则》（GA308/2001）</w:t>
      </w:r>
    </w:p>
    <w:p w14:paraId="7F8FFE46">
      <w:pPr>
        <w:spacing w:line="360" w:lineRule="auto"/>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《安全防范系统通用图形符号》（GA/T75-2000）</w:t>
      </w:r>
    </w:p>
    <w:p w14:paraId="3F913871">
      <w:pPr>
        <w:pStyle w:val="14"/>
        <w:keepNext/>
        <w:keepLines/>
        <w:tabs>
          <w:tab w:val="left" w:pos="140"/>
          <w:tab w:val="left" w:pos="480"/>
          <w:tab w:val="clear" w:pos="851"/>
        </w:tabs>
        <w:autoSpaceDE/>
        <w:autoSpaceDN/>
        <w:spacing w:before="260" w:after="260" w:line="416" w:lineRule="atLeast"/>
        <w:outlineLvl w:val="9"/>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2.2系统建设总体要求</w:t>
      </w:r>
    </w:p>
    <w:p w14:paraId="501A631C">
      <w:pPr>
        <w:pStyle w:val="14"/>
        <w:keepNext/>
        <w:keepLines/>
        <w:tabs>
          <w:tab w:val="left" w:pos="140"/>
          <w:tab w:val="left" w:pos="480"/>
          <w:tab w:val="clear" w:pos="851"/>
        </w:tabs>
        <w:autoSpaceDE/>
        <w:autoSpaceDN/>
        <w:spacing w:before="260" w:after="260" w:line="416" w:lineRule="atLeast"/>
        <w:outlineLvl w:val="9"/>
        <w:rPr>
          <w:rFonts w:asciiTheme="minorEastAsia" w:hAnsiTheme="minorEastAsia" w:eastAsiaTheme="minorEastAsia" w:cstheme="minorEastAsia"/>
          <w:b/>
          <w:sz w:val="21"/>
          <w:szCs w:val="21"/>
        </w:rPr>
      </w:pPr>
      <w:bookmarkStart w:id="0" w:name="_Toc490831294"/>
      <w:r>
        <w:rPr>
          <w:rFonts w:hint="eastAsia" w:asciiTheme="minorEastAsia" w:hAnsiTheme="minorEastAsia" w:eastAsiaTheme="minorEastAsia" w:cstheme="minorEastAsia"/>
          <w:b/>
          <w:sz w:val="21"/>
          <w:szCs w:val="21"/>
        </w:rPr>
        <w:t>2.2.1系统建设总体框架要求</w:t>
      </w:r>
    </w:p>
    <w:bookmarkEnd w:id="0"/>
    <w:p w14:paraId="61DB735E">
      <w:pPr>
        <w:widowControl/>
        <w:spacing w:line="360" w:lineRule="auto"/>
        <w:ind w:left="425"/>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建筑物配套建设 5G 无线室内覆盖基础设施服务由信号源和分布系统组成。</w:t>
      </w:r>
    </w:p>
    <w:p w14:paraId="066AF382">
      <w:pPr>
        <w:widowControl/>
        <w:numPr>
          <w:ilvl w:val="0"/>
          <w:numId w:val="3"/>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信号源为不同网络的各种基站设备或接入点设备，由基础电信运营商建设。</w:t>
      </w:r>
    </w:p>
    <w:p w14:paraId="14FADA55">
      <w:pPr>
        <w:widowControl/>
        <w:numPr>
          <w:ilvl w:val="0"/>
          <w:numId w:val="3"/>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相关配套、机房空间、红线内管道、室内覆盖分布系统由建筑建设方建设。（注：分布系统包括天线、馈线、光纤、功分器、耦合器、馈线接头、电源线、电表箱、地线、 地排等）。</w:t>
      </w:r>
    </w:p>
    <w:p w14:paraId="4DB9CDF0">
      <w:pPr>
        <w:widowControl/>
        <w:numPr>
          <w:ilvl w:val="0"/>
          <w:numId w:val="3"/>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预留确定的符合要求的设备安装位置，提供能到各基础电信运营商主干光缆的接入光纤线路，提供能够实现供电局直供电的供电环境，提供符合要求的接地环境。</w:t>
      </w:r>
    </w:p>
    <w:p w14:paraId="14D3A033">
      <w:pPr>
        <w:widowControl/>
        <w:numPr>
          <w:ilvl w:val="0"/>
          <w:numId w:val="3"/>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无源分布系统示意图如图所示。</w:t>
      </w:r>
    </w:p>
    <w:p w14:paraId="5ECDB4D2">
      <w:pPr>
        <w:pStyle w:val="12"/>
        <w:ind w:firstLine="482"/>
        <w:rPr>
          <w:rFonts w:hAnsi="宋体"/>
          <w:b/>
          <w:sz w:val="21"/>
          <w:szCs w:val="21"/>
        </w:rPr>
      </w:pPr>
      <w:r>
        <w:rPr>
          <w:rFonts w:hint="eastAsia" w:hAnsi="宋体"/>
          <w:b/>
          <w:sz w:val="21"/>
          <w:szCs w:val="21"/>
        </w:rPr>
        <w:drawing>
          <wp:inline distT="0" distB="0" distL="0" distR="0">
            <wp:extent cx="5276850" cy="1524000"/>
            <wp:effectExtent l="0" t="0" r="0" b="0"/>
            <wp:docPr id="2" name="图片 2"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5276850" cy="1524000"/>
                    </a:xfrm>
                    <a:prstGeom prst="rect">
                      <a:avLst/>
                    </a:prstGeom>
                    <a:noFill/>
                    <a:ln>
                      <a:noFill/>
                    </a:ln>
                  </pic:spPr>
                </pic:pic>
              </a:graphicData>
            </a:graphic>
          </wp:inline>
        </w:drawing>
      </w:r>
    </w:p>
    <w:p w14:paraId="7CD43F5E">
      <w:pPr>
        <w:pStyle w:val="14"/>
        <w:keepNext/>
        <w:keepLines/>
        <w:tabs>
          <w:tab w:val="left" w:pos="140"/>
          <w:tab w:val="left" w:pos="480"/>
          <w:tab w:val="clear" w:pos="851"/>
        </w:tabs>
        <w:autoSpaceDE/>
        <w:autoSpaceDN/>
        <w:spacing w:before="260" w:after="260" w:line="416" w:lineRule="atLeast"/>
        <w:outlineLvl w:val="9"/>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2.2.2 信号源设计</w:t>
      </w:r>
    </w:p>
    <w:p w14:paraId="7C13F3C5">
      <w:pPr>
        <w:widowControl/>
        <w:numPr>
          <w:ilvl w:val="0"/>
          <w:numId w:val="0"/>
        </w:numPr>
        <w:spacing w:line="360" w:lineRule="auto"/>
        <w:ind w:left="420" w:leftChars="0" w:hanging="420" w:firstLineChars="0"/>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kern w:val="2"/>
          <w:sz w:val="21"/>
          <w:szCs w:val="21"/>
        </w:rPr>
        <w:t>1.</w:t>
      </w:r>
      <w:r>
        <w:rPr>
          <w:rFonts w:hint="eastAsia" w:asciiTheme="minorEastAsia" w:hAnsiTheme="minorEastAsia" w:eastAsiaTheme="minorEastAsia" w:cstheme="minorEastAsia"/>
          <w:sz w:val="21"/>
          <w:szCs w:val="21"/>
        </w:rPr>
        <w:t>建筑物配套建设5G无线室内覆盖信号源的选择遵循以下原则：</w:t>
      </w:r>
    </w:p>
    <w:p w14:paraId="3584D6BB">
      <w:pPr>
        <w:widowControl/>
        <w:numPr>
          <w:ilvl w:val="0"/>
          <w:numId w:val="4"/>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选择适合的信号源和接入点设备，合理进行功率设计，满足业务需求、覆盖需求和干扰隔离度的要求；</w:t>
      </w:r>
    </w:p>
    <w:p w14:paraId="0E9EAEA5">
      <w:pPr>
        <w:widowControl/>
        <w:numPr>
          <w:ilvl w:val="0"/>
          <w:numId w:val="4"/>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根据业务预测结果对信号源进行配置，并预留扩充能力；</w:t>
      </w:r>
    </w:p>
    <w:p w14:paraId="71734672">
      <w:pPr>
        <w:widowControl/>
        <w:numPr>
          <w:ilvl w:val="0"/>
          <w:numId w:val="4"/>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信号源设备宜设置在信号源至大多数天线的距离相近，且传输资源可达，供电、接地有保障的位置，工作环境应满足基站设备工作环境要求；</w:t>
      </w:r>
    </w:p>
    <w:p w14:paraId="1BAFA943">
      <w:pPr>
        <w:widowControl/>
        <w:numPr>
          <w:ilvl w:val="0"/>
          <w:numId w:val="0"/>
        </w:numPr>
        <w:spacing w:line="360" w:lineRule="auto"/>
        <w:ind w:left="420" w:leftChars="0" w:hanging="420" w:firstLineChars="0"/>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kern w:val="2"/>
          <w:sz w:val="21"/>
          <w:szCs w:val="21"/>
        </w:rPr>
        <w:t>2.</w:t>
      </w:r>
      <w:r>
        <w:rPr>
          <w:rFonts w:hint="eastAsia" w:asciiTheme="minorEastAsia" w:hAnsiTheme="minorEastAsia" w:eastAsiaTheme="minorEastAsia" w:cstheme="minorEastAsia"/>
          <w:sz w:val="21"/>
          <w:szCs w:val="21"/>
        </w:rPr>
        <w:t>信号源容量无法满足业务需求的情况下，考虑信号源分区设计，分区设置遵循以下原则：</w:t>
      </w:r>
    </w:p>
    <w:p w14:paraId="33EC09D4">
      <w:pPr>
        <w:widowControl/>
        <w:numPr>
          <w:ilvl w:val="0"/>
          <w:numId w:val="5"/>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分区设计时，综合考虑建筑物结构、室内环境、信号源容量、设备性能、业务 分布、功能分区等因素，合理设置小区边界，避免小区间干扰，保证小区间正常切换；</w:t>
      </w:r>
    </w:p>
    <w:p w14:paraId="76D22B8D">
      <w:pPr>
        <w:widowControl/>
        <w:numPr>
          <w:ilvl w:val="0"/>
          <w:numId w:val="5"/>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分区设计时考虑降低分区间干扰，减少分区间切换；</w:t>
      </w:r>
    </w:p>
    <w:p w14:paraId="4256C16D">
      <w:pPr>
        <w:widowControl/>
        <w:numPr>
          <w:ilvl w:val="0"/>
          <w:numId w:val="5"/>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各通信网络的信号源同步要求符合相应网络无线通信系统的设计规范；</w:t>
      </w:r>
    </w:p>
    <w:p w14:paraId="26D2413E">
      <w:pPr>
        <w:pStyle w:val="14"/>
        <w:keepNext/>
        <w:keepLines/>
        <w:tabs>
          <w:tab w:val="left" w:pos="140"/>
          <w:tab w:val="left" w:pos="480"/>
          <w:tab w:val="clear" w:pos="851"/>
        </w:tabs>
        <w:autoSpaceDE/>
        <w:autoSpaceDN/>
        <w:spacing w:before="260" w:after="260" w:line="416" w:lineRule="atLeast"/>
        <w:outlineLvl w:val="9"/>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2.2.3 分布系统设计</w:t>
      </w:r>
    </w:p>
    <w:p w14:paraId="0097A6A1">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根据建筑物特点、建设难度、通信网络要求，综合取定通道设计方案。考虑</w:t>
      </w:r>
      <w:r>
        <w:rPr>
          <w:rFonts w:hint="eastAsia" w:asciiTheme="minorEastAsia" w:hAnsiTheme="minorEastAsia" w:eastAsiaTheme="minorEastAsia" w:cstheme="minorEastAsia"/>
          <w:sz w:val="21"/>
          <w:szCs w:val="21"/>
          <w:lang w:eastAsia="zh-CN"/>
        </w:rPr>
        <w:t>领航科技大楼</w:t>
      </w:r>
      <w:r>
        <w:rPr>
          <w:rFonts w:hint="eastAsia" w:asciiTheme="minorEastAsia" w:hAnsiTheme="minorEastAsia" w:eastAsiaTheme="minorEastAsia" w:cstheme="minorEastAsia"/>
          <w:sz w:val="21"/>
          <w:szCs w:val="21"/>
        </w:rPr>
        <w:t>场景类型为</w:t>
      </w:r>
      <w:r>
        <w:rPr>
          <w:rFonts w:hint="eastAsia" w:asciiTheme="minorEastAsia" w:hAnsiTheme="minorEastAsia" w:eastAsiaTheme="minorEastAsia" w:cstheme="minorEastAsia"/>
          <w:sz w:val="21"/>
          <w:szCs w:val="21"/>
          <w:lang w:eastAsia="zh-CN"/>
        </w:rPr>
        <w:t>办公商业区</w:t>
      </w:r>
      <w:r>
        <w:rPr>
          <w:rFonts w:hint="eastAsia" w:asciiTheme="minorEastAsia" w:hAnsiTheme="minorEastAsia" w:eastAsiaTheme="minorEastAsia" w:cstheme="minorEastAsia"/>
          <w:sz w:val="21"/>
          <w:szCs w:val="21"/>
        </w:rPr>
        <w:t>，新建室内覆盖系统选择</w:t>
      </w:r>
      <w:r>
        <w:rPr>
          <w:rFonts w:hint="eastAsia" w:asciiTheme="minorEastAsia" w:hAnsiTheme="minorEastAsia" w:eastAsiaTheme="minorEastAsia" w:cstheme="minorEastAsia"/>
          <w:sz w:val="21"/>
          <w:szCs w:val="21"/>
          <w:lang w:eastAsia="zh-CN"/>
        </w:rPr>
        <w:t>双</w:t>
      </w:r>
      <w:r>
        <w:rPr>
          <w:rFonts w:hint="eastAsia" w:asciiTheme="minorEastAsia" w:hAnsiTheme="minorEastAsia" w:eastAsiaTheme="minorEastAsia" w:cstheme="minorEastAsia"/>
          <w:sz w:val="21"/>
          <w:szCs w:val="21"/>
        </w:rPr>
        <w:t>通道方案。</w:t>
      </w:r>
      <w:r>
        <w:rPr>
          <w:rFonts w:hint="eastAsia" w:asciiTheme="minorEastAsia" w:hAnsiTheme="minorEastAsia" w:eastAsiaTheme="minorEastAsia" w:cstheme="minorEastAsia"/>
          <w:sz w:val="21"/>
          <w:szCs w:val="21"/>
          <w:lang w:eastAsia="zh-CN"/>
        </w:rPr>
        <w:t>双</w:t>
      </w:r>
      <w:r>
        <w:rPr>
          <w:rFonts w:hint="eastAsia" w:asciiTheme="minorEastAsia" w:hAnsiTheme="minorEastAsia" w:eastAsiaTheme="minorEastAsia" w:cstheme="minorEastAsia"/>
          <w:sz w:val="21"/>
          <w:szCs w:val="21"/>
        </w:rPr>
        <w:t>通道方案保证通道间的链路平衡。</w:t>
      </w:r>
    </w:p>
    <w:p w14:paraId="70BD39B5">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建筑物配套建设 5G 无线室内覆盖基础设施的设计经过详细的链路分析，包括信号源至室内天线和室内天线至终端两段链路分析。各引入网络的上下行链路应平衡。</w:t>
      </w:r>
    </w:p>
    <w:p w14:paraId="693D213E">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POI 选型考虑频率适用范围、无源互调 、隔离度等性能指标，满足分布系统的要求，满足多家基础电信运营商平等接入要求，预留充足接入端口。</w:t>
      </w:r>
    </w:p>
    <w:p w14:paraId="1D328213">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无源器件选型考虑功率容量、频率适用范围、无源互调、隔离度等性能指标， 满足分布系统的要求。合理设置无源器件的安装位置及组合方式，将信号源或有源设备的功率分配至各天线，满足各天线点的输出功率要求。</w:t>
      </w:r>
    </w:p>
    <w:p w14:paraId="031102FD">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缆线选型根据缆线用途，考虑传输损耗、频率适用范围、机械和物理性能等指标，合理选择缆线类型。应合理设置缆线路由，满足分布系统要求。</w:t>
      </w:r>
    </w:p>
    <w:p w14:paraId="7F1CAAE9">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干扰分析充分考虑不同通信网络间或不同基础电信运营商之间的干扰协调，除考虑必要的保护频带外，还可通过空间隔离、增加滤波器等方法满足隔离度要求。</w:t>
      </w:r>
    </w:p>
    <w:p w14:paraId="50603E02">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为保证 POI -150dBc 的互调指标发挥出最佳效果，POI 信源侧 2G/3G/4G/5G 每端口输入的每载波总功率不宜超过 43dBm。</w:t>
      </w:r>
    </w:p>
    <w:p w14:paraId="11D93F96">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对所有引入网络之间可能存在的各类干扰值进行分析计算，并根据计算结果提出各网络间的隔离度要求。</w:t>
      </w:r>
    </w:p>
    <w:p w14:paraId="65D99829">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干扰隔离根据实际情况，可采用以下措施:</w:t>
      </w:r>
    </w:p>
    <w:p w14:paraId="08CDD117">
      <w:pPr>
        <w:widowControl/>
        <w:numPr>
          <w:ilvl w:val="0"/>
          <w:numId w:val="6"/>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按频段或按上、下行信号分别建设多套分布系统；</w:t>
      </w:r>
    </w:p>
    <w:p w14:paraId="68C95A5E">
      <w:pPr>
        <w:widowControl/>
        <w:numPr>
          <w:ilvl w:val="0"/>
          <w:numId w:val="6"/>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使用低增益、高线性度的低噪声放大器作为前级放大器件，增益宜分配在混频后的中级放大器和后端的功率放大器；</w:t>
      </w:r>
    </w:p>
    <w:p w14:paraId="75DFEFC7">
      <w:pPr>
        <w:widowControl/>
        <w:numPr>
          <w:ilvl w:val="0"/>
          <w:numId w:val="6"/>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提高相关设备隔离度参数要求；</w:t>
      </w:r>
    </w:p>
    <w:p w14:paraId="6B13F8CA">
      <w:pPr>
        <w:widowControl/>
        <w:numPr>
          <w:ilvl w:val="0"/>
          <w:numId w:val="6"/>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增加滤波器；</w:t>
      </w:r>
    </w:p>
    <w:p w14:paraId="2AFCE526">
      <w:pPr>
        <w:widowControl/>
        <w:numPr>
          <w:ilvl w:val="0"/>
          <w:numId w:val="6"/>
        </w:numPr>
        <w:spacing w:line="360" w:lineRule="auto"/>
        <w:jc w:val="left"/>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有效利用空间隔离。</w:t>
      </w:r>
    </w:p>
    <w:p w14:paraId="3911003B">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天线选型依据各网络的合路及通道要求，考虑频率适用范围、覆盖 、极化方式 、辐射方向和天线增益等性能指标，满足分布系统的覆盖指标要求 。</w:t>
      </w:r>
    </w:p>
    <w:p w14:paraId="76DD38EF">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天线设置根据各网络的无线环境测试结果，综合考虑室内环境覆盖要求、电磁环境辐射要求，合理设置天线位置及输出功率，满足覆盖指标及隔离度要求。</w:t>
      </w:r>
    </w:p>
    <w:p w14:paraId="6B28E27F">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器件选型功分器、耦合器、多系统接入平台（POI）、衰减器、负载等产品均支持 700-3700MHz。</w:t>
      </w:r>
    </w:p>
    <w:p w14:paraId="39CFD8C5">
      <w:pPr>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建筑物配套建设 5G 无线室内覆盖基础设施边缘场强要求：</w:t>
      </w:r>
    </w:p>
    <w:tbl>
      <w:tblPr>
        <w:tblStyle w:val="7"/>
        <w:tblpPr w:leftFromText="180" w:rightFromText="180" w:vertAnchor="text" w:horzAnchor="page" w:tblpX="1098" w:tblpY="49"/>
        <w:tblOverlap w:val="never"/>
        <w:tblW w:w="9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0"/>
        <w:gridCol w:w="1642"/>
        <w:gridCol w:w="1868"/>
        <w:gridCol w:w="1372"/>
        <w:gridCol w:w="2417"/>
        <w:gridCol w:w="1303"/>
      </w:tblGrid>
      <w:tr w14:paraId="1C147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700" w:type="dxa"/>
            <w:shd w:val="clear" w:color="auto" w:fill="auto"/>
            <w:vAlign w:val="center"/>
          </w:tcPr>
          <w:p w14:paraId="11F2891B">
            <w:pPr>
              <w:spacing w:line="250" w:lineRule="exact"/>
              <w:jc w:val="center"/>
              <w:rPr>
                <w:rFonts w:ascii="宋体" w:hAnsi="宋体"/>
                <w:sz w:val="21"/>
                <w:szCs w:val="21"/>
              </w:rPr>
            </w:pPr>
            <w:r>
              <w:rPr>
                <w:rFonts w:ascii="宋体" w:hAnsi="宋体"/>
                <w:sz w:val="21"/>
                <w:szCs w:val="21"/>
              </w:rPr>
              <w:t>序号</w:t>
            </w:r>
          </w:p>
        </w:tc>
        <w:tc>
          <w:tcPr>
            <w:tcW w:w="1642" w:type="dxa"/>
            <w:shd w:val="clear" w:color="auto" w:fill="auto"/>
            <w:vAlign w:val="center"/>
          </w:tcPr>
          <w:p w14:paraId="0ECCE011">
            <w:pPr>
              <w:spacing w:line="250" w:lineRule="exact"/>
              <w:jc w:val="center"/>
              <w:rPr>
                <w:rFonts w:ascii="宋体" w:hAnsi="宋体"/>
                <w:sz w:val="21"/>
                <w:szCs w:val="21"/>
              </w:rPr>
            </w:pPr>
            <w:r>
              <w:rPr>
                <w:rFonts w:ascii="宋体" w:hAnsi="宋体"/>
                <w:sz w:val="21"/>
                <w:szCs w:val="21"/>
              </w:rPr>
              <w:t>基础电信运营商</w:t>
            </w:r>
          </w:p>
        </w:tc>
        <w:tc>
          <w:tcPr>
            <w:tcW w:w="1868" w:type="dxa"/>
            <w:shd w:val="clear" w:color="auto" w:fill="auto"/>
            <w:vAlign w:val="center"/>
          </w:tcPr>
          <w:p w14:paraId="3C20AC03">
            <w:pPr>
              <w:spacing w:line="250" w:lineRule="exact"/>
              <w:jc w:val="center"/>
              <w:rPr>
                <w:rFonts w:ascii="宋体" w:hAnsi="宋体"/>
                <w:sz w:val="21"/>
                <w:szCs w:val="21"/>
              </w:rPr>
            </w:pPr>
            <w:r>
              <w:rPr>
                <w:rFonts w:ascii="宋体" w:hAnsi="宋体"/>
                <w:sz w:val="21"/>
                <w:szCs w:val="21"/>
              </w:rPr>
              <w:t>网络制式</w:t>
            </w:r>
          </w:p>
        </w:tc>
        <w:tc>
          <w:tcPr>
            <w:tcW w:w="1372" w:type="dxa"/>
            <w:shd w:val="clear" w:color="auto" w:fill="auto"/>
            <w:vAlign w:val="center"/>
          </w:tcPr>
          <w:p w14:paraId="2A78CDA9">
            <w:pPr>
              <w:spacing w:line="250" w:lineRule="exact"/>
              <w:jc w:val="center"/>
              <w:rPr>
                <w:rFonts w:ascii="宋体" w:hAnsi="宋体"/>
                <w:sz w:val="21"/>
                <w:szCs w:val="21"/>
              </w:rPr>
            </w:pPr>
            <w:r>
              <w:rPr>
                <w:rFonts w:ascii="宋体" w:hAnsi="宋体"/>
                <w:sz w:val="21"/>
                <w:szCs w:val="21"/>
              </w:rPr>
              <w:t>参考指标</w:t>
            </w:r>
          </w:p>
        </w:tc>
        <w:tc>
          <w:tcPr>
            <w:tcW w:w="2417" w:type="dxa"/>
            <w:shd w:val="clear" w:color="auto" w:fill="auto"/>
            <w:vAlign w:val="center"/>
          </w:tcPr>
          <w:p w14:paraId="33363BA0">
            <w:pPr>
              <w:spacing w:line="250" w:lineRule="exact"/>
              <w:jc w:val="center"/>
              <w:rPr>
                <w:rFonts w:ascii="宋体" w:hAnsi="宋体"/>
                <w:sz w:val="21"/>
                <w:szCs w:val="21"/>
              </w:rPr>
            </w:pPr>
            <w:r>
              <w:rPr>
                <w:rFonts w:ascii="宋体" w:hAnsi="宋体"/>
                <w:sz w:val="21"/>
                <w:szCs w:val="21"/>
              </w:rPr>
              <w:t>覆盖电平（dBm）</w:t>
            </w:r>
          </w:p>
        </w:tc>
        <w:tc>
          <w:tcPr>
            <w:tcW w:w="1303" w:type="dxa"/>
            <w:shd w:val="clear" w:color="auto" w:fill="auto"/>
            <w:vAlign w:val="center"/>
          </w:tcPr>
          <w:p w14:paraId="542FD746">
            <w:pPr>
              <w:spacing w:line="250" w:lineRule="exact"/>
              <w:jc w:val="center"/>
              <w:rPr>
                <w:rFonts w:ascii="宋体" w:hAnsi="宋体"/>
                <w:sz w:val="21"/>
                <w:szCs w:val="21"/>
              </w:rPr>
            </w:pPr>
            <w:r>
              <w:rPr>
                <w:rFonts w:ascii="宋体" w:hAnsi="宋体"/>
                <w:sz w:val="21"/>
                <w:szCs w:val="21"/>
              </w:rPr>
              <w:t>有效覆盖率</w:t>
            </w:r>
          </w:p>
        </w:tc>
      </w:tr>
      <w:tr w14:paraId="24D0F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center"/>
          </w:tcPr>
          <w:p w14:paraId="4C133AE3">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1</w:t>
            </w:r>
          </w:p>
        </w:tc>
        <w:tc>
          <w:tcPr>
            <w:tcW w:w="1642" w:type="dxa"/>
            <w:vMerge w:val="restart"/>
            <w:shd w:val="clear" w:color="auto" w:fill="auto"/>
            <w:vAlign w:val="center"/>
          </w:tcPr>
          <w:p w14:paraId="1E0792D3">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中国移动</w:t>
            </w:r>
          </w:p>
        </w:tc>
        <w:tc>
          <w:tcPr>
            <w:tcW w:w="1868" w:type="dxa"/>
            <w:shd w:val="clear" w:color="auto" w:fill="auto"/>
            <w:vAlign w:val="center"/>
          </w:tcPr>
          <w:p w14:paraId="1552032D">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GSM 900</w:t>
            </w:r>
          </w:p>
        </w:tc>
        <w:tc>
          <w:tcPr>
            <w:tcW w:w="1372" w:type="dxa"/>
            <w:shd w:val="clear" w:color="auto" w:fill="auto"/>
            <w:vAlign w:val="center"/>
          </w:tcPr>
          <w:p w14:paraId="5C56A056">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RxLev</w:t>
            </w:r>
          </w:p>
        </w:tc>
        <w:tc>
          <w:tcPr>
            <w:tcW w:w="2417" w:type="dxa"/>
            <w:shd w:val="clear" w:color="auto" w:fill="auto"/>
            <w:vAlign w:val="center"/>
          </w:tcPr>
          <w:p w14:paraId="25B9D47E">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-85</w:t>
            </w:r>
          </w:p>
        </w:tc>
        <w:tc>
          <w:tcPr>
            <w:tcW w:w="1303" w:type="dxa"/>
            <w:shd w:val="clear" w:color="auto" w:fill="auto"/>
            <w:vAlign w:val="center"/>
          </w:tcPr>
          <w:p w14:paraId="4A72E588">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58666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center"/>
          </w:tcPr>
          <w:p w14:paraId="1A11D7CE">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2</w:t>
            </w:r>
          </w:p>
        </w:tc>
        <w:tc>
          <w:tcPr>
            <w:tcW w:w="1642" w:type="dxa"/>
            <w:vMerge w:val="continue"/>
            <w:shd w:val="clear" w:color="auto" w:fill="auto"/>
            <w:vAlign w:val="center"/>
          </w:tcPr>
          <w:p w14:paraId="7336C4DD">
            <w:pPr>
              <w:spacing w:line="0" w:lineRule="atLeast"/>
              <w:jc w:val="center"/>
              <w:rPr>
                <w:rFonts w:hint="eastAsia" w:ascii="宋体" w:hAnsi="宋体" w:eastAsia="宋体" w:cs="宋体"/>
                <w:sz w:val="21"/>
                <w:szCs w:val="21"/>
              </w:rPr>
            </w:pPr>
          </w:p>
        </w:tc>
        <w:tc>
          <w:tcPr>
            <w:tcW w:w="1868" w:type="dxa"/>
            <w:shd w:val="clear" w:color="auto" w:fill="auto"/>
            <w:vAlign w:val="center"/>
          </w:tcPr>
          <w:p w14:paraId="4DA1C0A6">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DCS 1800</w:t>
            </w:r>
          </w:p>
        </w:tc>
        <w:tc>
          <w:tcPr>
            <w:tcW w:w="1372" w:type="dxa"/>
            <w:shd w:val="clear" w:color="auto" w:fill="auto"/>
            <w:vAlign w:val="center"/>
          </w:tcPr>
          <w:p w14:paraId="37B2B3F8">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RxLev</w:t>
            </w:r>
          </w:p>
        </w:tc>
        <w:tc>
          <w:tcPr>
            <w:tcW w:w="2417" w:type="dxa"/>
            <w:shd w:val="clear" w:color="auto" w:fill="auto"/>
            <w:vAlign w:val="center"/>
          </w:tcPr>
          <w:p w14:paraId="59AC8959">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-85</w:t>
            </w:r>
          </w:p>
        </w:tc>
        <w:tc>
          <w:tcPr>
            <w:tcW w:w="1303" w:type="dxa"/>
            <w:shd w:val="clear" w:color="auto" w:fill="auto"/>
            <w:vAlign w:val="center"/>
          </w:tcPr>
          <w:p w14:paraId="0D0C786F">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79EBC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700" w:type="dxa"/>
            <w:vMerge w:val="restart"/>
            <w:shd w:val="clear" w:color="auto" w:fill="auto"/>
            <w:vAlign w:val="center"/>
          </w:tcPr>
          <w:p w14:paraId="3C7532DE">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3</w:t>
            </w:r>
          </w:p>
        </w:tc>
        <w:tc>
          <w:tcPr>
            <w:tcW w:w="1642" w:type="dxa"/>
            <w:vMerge w:val="continue"/>
            <w:shd w:val="clear" w:color="auto" w:fill="auto"/>
            <w:vAlign w:val="center"/>
          </w:tcPr>
          <w:p w14:paraId="3B7CDD3D">
            <w:pPr>
              <w:spacing w:line="250" w:lineRule="exact"/>
              <w:jc w:val="center"/>
              <w:rPr>
                <w:rFonts w:hint="eastAsia" w:ascii="宋体" w:hAnsi="宋体" w:eastAsia="宋体" w:cs="宋体"/>
                <w:w w:val="99"/>
                <w:sz w:val="21"/>
                <w:szCs w:val="21"/>
              </w:rPr>
            </w:pPr>
          </w:p>
        </w:tc>
        <w:tc>
          <w:tcPr>
            <w:tcW w:w="1868" w:type="dxa"/>
            <w:shd w:val="clear" w:color="auto" w:fill="auto"/>
            <w:vAlign w:val="center"/>
          </w:tcPr>
          <w:p w14:paraId="5EBA1731">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TDD LTE</w:t>
            </w:r>
          </w:p>
        </w:tc>
        <w:tc>
          <w:tcPr>
            <w:tcW w:w="1372" w:type="dxa"/>
            <w:shd w:val="clear" w:color="auto" w:fill="auto"/>
            <w:vAlign w:val="center"/>
          </w:tcPr>
          <w:p w14:paraId="7E9E31C3">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RSRP/</w:t>
            </w:r>
          </w:p>
          <w:p w14:paraId="242D4533">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RS-SINR</w:t>
            </w:r>
          </w:p>
        </w:tc>
        <w:tc>
          <w:tcPr>
            <w:tcW w:w="2417" w:type="dxa"/>
            <w:shd w:val="clear" w:color="auto" w:fill="auto"/>
            <w:vAlign w:val="center"/>
          </w:tcPr>
          <w:p w14:paraId="226CB2DD">
            <w:pPr>
              <w:spacing w:line="250" w:lineRule="exact"/>
              <w:jc w:val="center"/>
              <w:rPr>
                <w:rFonts w:hint="eastAsia" w:ascii="宋体" w:hAnsi="宋体" w:eastAsia="宋体" w:cs="宋体"/>
                <w:w w:val="96"/>
                <w:sz w:val="21"/>
                <w:szCs w:val="21"/>
              </w:rPr>
            </w:pPr>
            <w:r>
              <w:rPr>
                <w:rFonts w:hint="eastAsia" w:ascii="宋体" w:hAnsi="宋体" w:eastAsia="宋体" w:cs="宋体"/>
                <w:w w:val="96"/>
                <w:sz w:val="21"/>
                <w:szCs w:val="21"/>
              </w:rPr>
              <w:t>RSRP≥-105dBm 且</w:t>
            </w:r>
          </w:p>
          <w:p w14:paraId="059DC759">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RS-SINR ≥6dB</w:t>
            </w:r>
          </w:p>
        </w:tc>
        <w:tc>
          <w:tcPr>
            <w:tcW w:w="1303" w:type="dxa"/>
            <w:vMerge w:val="restart"/>
            <w:shd w:val="clear" w:color="auto" w:fill="auto"/>
            <w:vAlign w:val="center"/>
          </w:tcPr>
          <w:p w14:paraId="3DB3978B">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35635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700" w:type="dxa"/>
            <w:vMerge w:val="continue"/>
            <w:shd w:val="clear" w:color="auto" w:fill="auto"/>
            <w:vAlign w:val="center"/>
          </w:tcPr>
          <w:p w14:paraId="276A637F">
            <w:pPr>
              <w:spacing w:line="0" w:lineRule="atLeast"/>
              <w:jc w:val="center"/>
              <w:rPr>
                <w:rFonts w:hint="eastAsia" w:ascii="宋体" w:hAnsi="宋体" w:eastAsia="宋体" w:cs="宋体"/>
                <w:sz w:val="21"/>
                <w:szCs w:val="21"/>
              </w:rPr>
            </w:pPr>
          </w:p>
        </w:tc>
        <w:tc>
          <w:tcPr>
            <w:tcW w:w="1642" w:type="dxa"/>
            <w:vMerge w:val="continue"/>
            <w:shd w:val="clear" w:color="auto" w:fill="auto"/>
            <w:vAlign w:val="center"/>
          </w:tcPr>
          <w:p w14:paraId="07F9A35F">
            <w:pPr>
              <w:spacing w:line="0" w:lineRule="atLeast"/>
              <w:jc w:val="center"/>
              <w:rPr>
                <w:rFonts w:hint="eastAsia" w:ascii="宋体" w:hAnsi="宋体" w:eastAsia="宋体" w:cs="宋体"/>
                <w:sz w:val="21"/>
                <w:szCs w:val="21"/>
              </w:rPr>
            </w:pPr>
          </w:p>
        </w:tc>
        <w:tc>
          <w:tcPr>
            <w:tcW w:w="1868" w:type="dxa"/>
            <w:shd w:val="clear" w:color="auto" w:fill="auto"/>
            <w:vAlign w:val="center"/>
          </w:tcPr>
          <w:p w14:paraId="1CB661AF">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5G</w:t>
            </w:r>
          </w:p>
        </w:tc>
        <w:tc>
          <w:tcPr>
            <w:tcW w:w="1372" w:type="dxa"/>
            <w:shd w:val="clear" w:color="auto" w:fill="auto"/>
            <w:vAlign w:val="center"/>
          </w:tcPr>
          <w:p w14:paraId="7305EF07">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SSB-RSRP /</w:t>
            </w:r>
          </w:p>
          <w:p w14:paraId="57FA96CD">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SSB-SINR</w:t>
            </w:r>
          </w:p>
        </w:tc>
        <w:tc>
          <w:tcPr>
            <w:tcW w:w="2417" w:type="dxa"/>
            <w:shd w:val="clear" w:color="auto" w:fill="auto"/>
            <w:vAlign w:val="center"/>
          </w:tcPr>
          <w:p w14:paraId="6104CFC1">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SSB-RSRP≥-105dBm</w:t>
            </w:r>
          </w:p>
          <w:p w14:paraId="63C573DB">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且 SSB-SINR≥0dB</w:t>
            </w:r>
          </w:p>
        </w:tc>
        <w:tc>
          <w:tcPr>
            <w:tcW w:w="1303" w:type="dxa"/>
            <w:vMerge w:val="continue"/>
            <w:shd w:val="clear" w:color="auto" w:fill="auto"/>
            <w:vAlign w:val="center"/>
          </w:tcPr>
          <w:p w14:paraId="5AFDBD7B">
            <w:pPr>
              <w:spacing w:line="0" w:lineRule="atLeast"/>
              <w:jc w:val="center"/>
              <w:rPr>
                <w:rFonts w:hint="eastAsia" w:ascii="宋体" w:hAnsi="宋体" w:eastAsia="宋体" w:cs="宋体"/>
                <w:sz w:val="21"/>
                <w:szCs w:val="21"/>
              </w:rPr>
            </w:pPr>
          </w:p>
        </w:tc>
      </w:tr>
      <w:tr w14:paraId="68EEE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center"/>
          </w:tcPr>
          <w:p w14:paraId="72541F79">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4</w:t>
            </w:r>
          </w:p>
        </w:tc>
        <w:tc>
          <w:tcPr>
            <w:tcW w:w="1642" w:type="dxa"/>
            <w:vMerge w:val="restart"/>
            <w:shd w:val="clear" w:color="auto" w:fill="auto"/>
            <w:vAlign w:val="center"/>
          </w:tcPr>
          <w:p w14:paraId="0AC96F03">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中国联通</w:t>
            </w:r>
          </w:p>
        </w:tc>
        <w:tc>
          <w:tcPr>
            <w:tcW w:w="1868" w:type="dxa"/>
            <w:shd w:val="clear" w:color="auto" w:fill="auto"/>
            <w:vAlign w:val="center"/>
          </w:tcPr>
          <w:p w14:paraId="042B5DFF">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GSM 900</w:t>
            </w:r>
          </w:p>
        </w:tc>
        <w:tc>
          <w:tcPr>
            <w:tcW w:w="1372" w:type="dxa"/>
            <w:shd w:val="clear" w:color="auto" w:fill="auto"/>
            <w:vAlign w:val="center"/>
          </w:tcPr>
          <w:p w14:paraId="1220B623">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RxLev</w:t>
            </w:r>
          </w:p>
        </w:tc>
        <w:tc>
          <w:tcPr>
            <w:tcW w:w="2417" w:type="dxa"/>
            <w:shd w:val="clear" w:color="auto" w:fill="auto"/>
            <w:vAlign w:val="center"/>
          </w:tcPr>
          <w:p w14:paraId="6C036689">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-85</w:t>
            </w:r>
          </w:p>
        </w:tc>
        <w:tc>
          <w:tcPr>
            <w:tcW w:w="1303" w:type="dxa"/>
            <w:shd w:val="clear" w:color="auto" w:fill="auto"/>
            <w:vAlign w:val="center"/>
          </w:tcPr>
          <w:p w14:paraId="7C8CB162">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35DEF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center"/>
          </w:tcPr>
          <w:p w14:paraId="462752B2">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5</w:t>
            </w:r>
          </w:p>
        </w:tc>
        <w:tc>
          <w:tcPr>
            <w:tcW w:w="1642" w:type="dxa"/>
            <w:vMerge w:val="continue"/>
            <w:shd w:val="clear" w:color="auto" w:fill="auto"/>
            <w:vAlign w:val="center"/>
          </w:tcPr>
          <w:p w14:paraId="61379DC8">
            <w:pPr>
              <w:spacing w:line="0" w:lineRule="atLeast"/>
              <w:jc w:val="center"/>
              <w:rPr>
                <w:rFonts w:hint="eastAsia" w:ascii="宋体" w:hAnsi="宋体" w:eastAsia="宋体" w:cs="宋体"/>
                <w:sz w:val="21"/>
                <w:szCs w:val="21"/>
              </w:rPr>
            </w:pPr>
          </w:p>
        </w:tc>
        <w:tc>
          <w:tcPr>
            <w:tcW w:w="1868" w:type="dxa"/>
            <w:shd w:val="clear" w:color="auto" w:fill="auto"/>
            <w:vAlign w:val="center"/>
          </w:tcPr>
          <w:p w14:paraId="331F2DCB">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WCDMA 2100</w:t>
            </w:r>
          </w:p>
        </w:tc>
        <w:tc>
          <w:tcPr>
            <w:tcW w:w="1372" w:type="dxa"/>
            <w:shd w:val="clear" w:color="auto" w:fill="auto"/>
            <w:vAlign w:val="center"/>
          </w:tcPr>
          <w:p w14:paraId="2B810DA3">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RSCP</w:t>
            </w:r>
          </w:p>
        </w:tc>
        <w:tc>
          <w:tcPr>
            <w:tcW w:w="2417" w:type="dxa"/>
            <w:shd w:val="clear" w:color="auto" w:fill="auto"/>
            <w:vAlign w:val="center"/>
          </w:tcPr>
          <w:p w14:paraId="6BB8F21B">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RSCP≥-90dBm</w:t>
            </w:r>
          </w:p>
        </w:tc>
        <w:tc>
          <w:tcPr>
            <w:tcW w:w="1303" w:type="dxa"/>
            <w:shd w:val="clear" w:color="auto" w:fill="auto"/>
            <w:vAlign w:val="center"/>
          </w:tcPr>
          <w:p w14:paraId="0D396109">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7EE05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center"/>
          </w:tcPr>
          <w:p w14:paraId="3DD6DB86">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6</w:t>
            </w:r>
          </w:p>
        </w:tc>
        <w:tc>
          <w:tcPr>
            <w:tcW w:w="1642" w:type="dxa"/>
            <w:vMerge w:val="continue"/>
            <w:shd w:val="clear" w:color="auto" w:fill="auto"/>
            <w:vAlign w:val="center"/>
          </w:tcPr>
          <w:p w14:paraId="38E4995B">
            <w:pPr>
              <w:spacing w:line="0" w:lineRule="atLeast"/>
              <w:jc w:val="center"/>
              <w:rPr>
                <w:rFonts w:hint="eastAsia" w:ascii="宋体" w:hAnsi="宋体" w:eastAsia="宋体" w:cs="宋体"/>
                <w:sz w:val="21"/>
                <w:szCs w:val="21"/>
              </w:rPr>
            </w:pPr>
          </w:p>
        </w:tc>
        <w:tc>
          <w:tcPr>
            <w:tcW w:w="1868" w:type="dxa"/>
            <w:shd w:val="clear" w:color="auto" w:fill="auto"/>
            <w:vAlign w:val="center"/>
          </w:tcPr>
          <w:p w14:paraId="223D69AA">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DCS 1800</w:t>
            </w:r>
          </w:p>
        </w:tc>
        <w:tc>
          <w:tcPr>
            <w:tcW w:w="1372" w:type="dxa"/>
            <w:shd w:val="clear" w:color="auto" w:fill="auto"/>
            <w:vAlign w:val="center"/>
          </w:tcPr>
          <w:p w14:paraId="676B90A6">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RxLev</w:t>
            </w:r>
          </w:p>
        </w:tc>
        <w:tc>
          <w:tcPr>
            <w:tcW w:w="2417" w:type="dxa"/>
            <w:shd w:val="clear" w:color="auto" w:fill="auto"/>
            <w:vAlign w:val="center"/>
          </w:tcPr>
          <w:p w14:paraId="2124336F">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-85</w:t>
            </w:r>
          </w:p>
        </w:tc>
        <w:tc>
          <w:tcPr>
            <w:tcW w:w="1303" w:type="dxa"/>
            <w:shd w:val="clear" w:color="auto" w:fill="auto"/>
            <w:vAlign w:val="center"/>
          </w:tcPr>
          <w:p w14:paraId="7C474825">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01E55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700" w:type="dxa"/>
            <w:vMerge w:val="restart"/>
            <w:shd w:val="clear" w:color="auto" w:fill="auto"/>
            <w:vAlign w:val="center"/>
          </w:tcPr>
          <w:p w14:paraId="258E9C8B">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7</w:t>
            </w:r>
          </w:p>
        </w:tc>
        <w:tc>
          <w:tcPr>
            <w:tcW w:w="1642" w:type="dxa"/>
            <w:vMerge w:val="continue"/>
            <w:shd w:val="clear" w:color="auto" w:fill="auto"/>
            <w:vAlign w:val="center"/>
          </w:tcPr>
          <w:p w14:paraId="2030FD22">
            <w:pPr>
              <w:spacing w:line="250" w:lineRule="exact"/>
              <w:jc w:val="center"/>
              <w:rPr>
                <w:rFonts w:hint="eastAsia" w:ascii="宋体" w:hAnsi="宋体" w:eastAsia="宋体" w:cs="宋体"/>
                <w:w w:val="99"/>
                <w:sz w:val="21"/>
                <w:szCs w:val="21"/>
              </w:rPr>
            </w:pPr>
          </w:p>
        </w:tc>
        <w:tc>
          <w:tcPr>
            <w:tcW w:w="1868" w:type="dxa"/>
            <w:shd w:val="clear" w:color="auto" w:fill="auto"/>
            <w:vAlign w:val="center"/>
          </w:tcPr>
          <w:p w14:paraId="5927FA67">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FDD LTE（1.8G）</w:t>
            </w:r>
          </w:p>
          <w:p w14:paraId="1B4DBB08">
            <w:pPr>
              <w:spacing w:line="220" w:lineRule="exact"/>
              <w:jc w:val="center"/>
              <w:rPr>
                <w:rFonts w:hint="eastAsia" w:ascii="宋体" w:hAnsi="宋体" w:eastAsia="宋体" w:cs="宋体"/>
                <w:w w:val="99"/>
                <w:sz w:val="21"/>
                <w:szCs w:val="21"/>
              </w:rPr>
            </w:pPr>
            <w:r>
              <w:rPr>
                <w:rFonts w:hint="eastAsia" w:ascii="宋体" w:hAnsi="宋体" w:eastAsia="宋体" w:cs="宋体"/>
                <w:w w:val="99"/>
                <w:sz w:val="21"/>
                <w:szCs w:val="21"/>
              </w:rPr>
              <w:t>（双通道）</w:t>
            </w:r>
          </w:p>
        </w:tc>
        <w:tc>
          <w:tcPr>
            <w:tcW w:w="1372" w:type="dxa"/>
            <w:shd w:val="clear" w:color="auto" w:fill="auto"/>
            <w:vAlign w:val="center"/>
          </w:tcPr>
          <w:p w14:paraId="15FF0E9F">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RSRP/ SINR</w:t>
            </w:r>
          </w:p>
        </w:tc>
        <w:tc>
          <w:tcPr>
            <w:tcW w:w="2417" w:type="dxa"/>
            <w:shd w:val="clear" w:color="auto" w:fill="auto"/>
            <w:vAlign w:val="center"/>
          </w:tcPr>
          <w:p w14:paraId="0DFD0207">
            <w:pPr>
              <w:spacing w:line="250" w:lineRule="exact"/>
              <w:jc w:val="center"/>
              <w:rPr>
                <w:rFonts w:hint="eastAsia" w:ascii="宋体" w:hAnsi="宋体" w:eastAsia="宋体" w:cs="宋体"/>
                <w:w w:val="96"/>
                <w:sz w:val="21"/>
                <w:szCs w:val="21"/>
              </w:rPr>
            </w:pPr>
            <w:r>
              <w:rPr>
                <w:rFonts w:hint="eastAsia" w:ascii="宋体" w:hAnsi="宋体" w:eastAsia="宋体" w:cs="宋体"/>
                <w:w w:val="96"/>
                <w:sz w:val="21"/>
                <w:szCs w:val="21"/>
              </w:rPr>
              <w:t>RSRP≥-105 且</w:t>
            </w:r>
          </w:p>
          <w:p w14:paraId="2DEE6D9C">
            <w:pPr>
              <w:spacing w:line="220" w:lineRule="exact"/>
              <w:jc w:val="center"/>
              <w:rPr>
                <w:rFonts w:hint="eastAsia" w:ascii="宋体" w:hAnsi="宋体" w:eastAsia="宋体" w:cs="宋体"/>
                <w:w w:val="99"/>
                <w:sz w:val="21"/>
                <w:szCs w:val="21"/>
              </w:rPr>
            </w:pPr>
            <w:r>
              <w:rPr>
                <w:rFonts w:hint="eastAsia" w:ascii="宋体" w:hAnsi="宋体" w:eastAsia="宋体" w:cs="宋体"/>
                <w:w w:val="99"/>
                <w:sz w:val="21"/>
                <w:szCs w:val="21"/>
              </w:rPr>
              <w:t>SINR&gt;4dB</w:t>
            </w:r>
          </w:p>
        </w:tc>
        <w:tc>
          <w:tcPr>
            <w:tcW w:w="1303" w:type="dxa"/>
            <w:vMerge w:val="restart"/>
            <w:shd w:val="clear" w:color="auto" w:fill="auto"/>
            <w:vAlign w:val="center"/>
          </w:tcPr>
          <w:p w14:paraId="38CA4F36">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4F6C8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700" w:type="dxa"/>
            <w:vMerge w:val="continue"/>
            <w:shd w:val="clear" w:color="auto" w:fill="auto"/>
            <w:vAlign w:val="center"/>
          </w:tcPr>
          <w:p w14:paraId="5F0CE2D5">
            <w:pPr>
              <w:spacing w:line="0" w:lineRule="atLeast"/>
              <w:jc w:val="center"/>
              <w:rPr>
                <w:rFonts w:hint="eastAsia" w:ascii="宋体" w:hAnsi="宋体" w:eastAsia="宋体" w:cs="宋体"/>
                <w:sz w:val="21"/>
                <w:szCs w:val="21"/>
              </w:rPr>
            </w:pPr>
          </w:p>
        </w:tc>
        <w:tc>
          <w:tcPr>
            <w:tcW w:w="1642" w:type="dxa"/>
            <w:vMerge w:val="continue"/>
            <w:shd w:val="clear" w:color="auto" w:fill="auto"/>
            <w:vAlign w:val="center"/>
          </w:tcPr>
          <w:p w14:paraId="51034539">
            <w:pPr>
              <w:spacing w:line="0" w:lineRule="atLeast"/>
              <w:jc w:val="center"/>
              <w:rPr>
                <w:rFonts w:hint="eastAsia" w:ascii="宋体" w:hAnsi="宋体" w:eastAsia="宋体" w:cs="宋体"/>
                <w:sz w:val="21"/>
                <w:szCs w:val="21"/>
              </w:rPr>
            </w:pPr>
          </w:p>
        </w:tc>
        <w:tc>
          <w:tcPr>
            <w:tcW w:w="1868" w:type="dxa"/>
            <w:shd w:val="clear" w:color="auto" w:fill="auto"/>
            <w:vAlign w:val="center"/>
          </w:tcPr>
          <w:p w14:paraId="1F8223E8">
            <w:pPr>
              <w:spacing w:line="250" w:lineRule="exact"/>
              <w:jc w:val="center"/>
              <w:rPr>
                <w:rFonts w:hint="eastAsia" w:ascii="宋体" w:hAnsi="宋体" w:eastAsia="宋体" w:cs="宋体"/>
                <w:w w:val="98"/>
                <w:sz w:val="21"/>
                <w:szCs w:val="21"/>
              </w:rPr>
            </w:pPr>
            <w:r>
              <w:rPr>
                <w:rFonts w:hint="eastAsia" w:ascii="宋体" w:hAnsi="宋体" w:eastAsia="宋体" w:cs="宋体"/>
                <w:w w:val="98"/>
                <w:sz w:val="21"/>
                <w:szCs w:val="21"/>
              </w:rPr>
              <w:t>FDD LTE（1.8G）</w:t>
            </w:r>
          </w:p>
          <w:p w14:paraId="5FDA5FE0">
            <w:pPr>
              <w:spacing w:line="220" w:lineRule="exact"/>
              <w:jc w:val="center"/>
              <w:rPr>
                <w:rFonts w:hint="eastAsia" w:ascii="宋体" w:hAnsi="宋体" w:eastAsia="宋体" w:cs="宋体"/>
                <w:w w:val="99"/>
                <w:sz w:val="21"/>
                <w:szCs w:val="21"/>
              </w:rPr>
            </w:pPr>
            <w:r>
              <w:rPr>
                <w:rFonts w:hint="eastAsia" w:ascii="宋体" w:hAnsi="宋体" w:eastAsia="宋体" w:cs="宋体"/>
                <w:w w:val="99"/>
                <w:sz w:val="21"/>
                <w:szCs w:val="21"/>
              </w:rPr>
              <w:t>（单通道）</w:t>
            </w:r>
          </w:p>
        </w:tc>
        <w:tc>
          <w:tcPr>
            <w:tcW w:w="1372" w:type="dxa"/>
            <w:shd w:val="clear" w:color="auto" w:fill="auto"/>
            <w:vAlign w:val="center"/>
          </w:tcPr>
          <w:p w14:paraId="5A4DC8CC">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RSRP/ SINR</w:t>
            </w:r>
          </w:p>
        </w:tc>
        <w:tc>
          <w:tcPr>
            <w:tcW w:w="2417" w:type="dxa"/>
            <w:shd w:val="clear" w:color="auto" w:fill="auto"/>
            <w:vAlign w:val="center"/>
          </w:tcPr>
          <w:p w14:paraId="3F40428E">
            <w:pPr>
              <w:spacing w:line="250" w:lineRule="exact"/>
              <w:jc w:val="center"/>
              <w:rPr>
                <w:rFonts w:hint="eastAsia" w:ascii="宋体" w:hAnsi="宋体" w:eastAsia="宋体" w:cs="宋体"/>
                <w:w w:val="96"/>
                <w:sz w:val="21"/>
                <w:szCs w:val="21"/>
              </w:rPr>
            </w:pPr>
            <w:r>
              <w:rPr>
                <w:rFonts w:hint="eastAsia" w:ascii="宋体" w:hAnsi="宋体" w:eastAsia="宋体" w:cs="宋体"/>
                <w:w w:val="96"/>
                <w:sz w:val="21"/>
                <w:szCs w:val="21"/>
              </w:rPr>
              <w:t>RSRP≥-105 且</w:t>
            </w:r>
          </w:p>
          <w:p w14:paraId="780EDA45">
            <w:pPr>
              <w:spacing w:line="220" w:lineRule="exact"/>
              <w:jc w:val="center"/>
              <w:rPr>
                <w:rFonts w:hint="eastAsia" w:ascii="宋体" w:hAnsi="宋体" w:eastAsia="宋体" w:cs="宋体"/>
                <w:w w:val="99"/>
                <w:sz w:val="21"/>
                <w:szCs w:val="21"/>
              </w:rPr>
            </w:pPr>
            <w:r>
              <w:rPr>
                <w:rFonts w:hint="eastAsia" w:ascii="宋体" w:hAnsi="宋体" w:eastAsia="宋体" w:cs="宋体"/>
                <w:w w:val="99"/>
                <w:sz w:val="21"/>
                <w:szCs w:val="21"/>
              </w:rPr>
              <w:t>SINR&gt;3dB</w:t>
            </w:r>
          </w:p>
        </w:tc>
        <w:tc>
          <w:tcPr>
            <w:tcW w:w="1303" w:type="dxa"/>
            <w:vMerge w:val="continue"/>
            <w:shd w:val="clear" w:color="auto" w:fill="auto"/>
            <w:vAlign w:val="center"/>
          </w:tcPr>
          <w:p w14:paraId="6599B809">
            <w:pPr>
              <w:spacing w:line="0" w:lineRule="atLeast"/>
              <w:jc w:val="center"/>
              <w:rPr>
                <w:rFonts w:hint="eastAsia" w:ascii="宋体" w:hAnsi="宋体" w:eastAsia="宋体" w:cs="宋体"/>
                <w:sz w:val="21"/>
                <w:szCs w:val="21"/>
              </w:rPr>
            </w:pPr>
          </w:p>
        </w:tc>
      </w:tr>
      <w:tr w14:paraId="64526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700" w:type="dxa"/>
            <w:shd w:val="clear" w:color="auto" w:fill="auto"/>
            <w:vAlign w:val="center"/>
          </w:tcPr>
          <w:p w14:paraId="343F49EB">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8</w:t>
            </w:r>
          </w:p>
        </w:tc>
        <w:tc>
          <w:tcPr>
            <w:tcW w:w="1642" w:type="dxa"/>
            <w:vMerge w:val="continue"/>
            <w:shd w:val="clear" w:color="auto" w:fill="auto"/>
            <w:vAlign w:val="center"/>
          </w:tcPr>
          <w:p w14:paraId="7E13F529">
            <w:pPr>
              <w:spacing w:line="0" w:lineRule="atLeast"/>
              <w:jc w:val="center"/>
              <w:rPr>
                <w:rFonts w:hint="eastAsia" w:ascii="宋体" w:hAnsi="宋体" w:eastAsia="宋体" w:cs="宋体"/>
                <w:sz w:val="21"/>
                <w:szCs w:val="21"/>
              </w:rPr>
            </w:pPr>
          </w:p>
        </w:tc>
        <w:tc>
          <w:tcPr>
            <w:tcW w:w="1868" w:type="dxa"/>
            <w:shd w:val="clear" w:color="auto" w:fill="auto"/>
            <w:vAlign w:val="center"/>
          </w:tcPr>
          <w:p w14:paraId="0FA21572">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5G</w:t>
            </w:r>
          </w:p>
        </w:tc>
        <w:tc>
          <w:tcPr>
            <w:tcW w:w="1372" w:type="dxa"/>
            <w:shd w:val="clear" w:color="auto" w:fill="auto"/>
            <w:vAlign w:val="center"/>
          </w:tcPr>
          <w:p w14:paraId="62184C23">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SSB-RSRP /</w:t>
            </w:r>
          </w:p>
          <w:p w14:paraId="08F23C24">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SSB-SINR</w:t>
            </w:r>
          </w:p>
        </w:tc>
        <w:tc>
          <w:tcPr>
            <w:tcW w:w="2417" w:type="dxa"/>
            <w:shd w:val="clear" w:color="auto" w:fill="auto"/>
            <w:vAlign w:val="center"/>
          </w:tcPr>
          <w:p w14:paraId="3B445D83">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SSB-RSRP≥-105dBm</w:t>
            </w:r>
          </w:p>
          <w:p w14:paraId="75671CBA">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且 SSB-SINR≥0dB</w:t>
            </w:r>
          </w:p>
        </w:tc>
        <w:tc>
          <w:tcPr>
            <w:tcW w:w="1303" w:type="dxa"/>
            <w:vMerge w:val="restart"/>
            <w:shd w:val="clear" w:color="auto" w:fill="auto"/>
            <w:vAlign w:val="center"/>
          </w:tcPr>
          <w:p w14:paraId="51411723">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0653A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center"/>
          </w:tcPr>
          <w:p w14:paraId="381D442C">
            <w:pPr>
              <w:spacing w:line="250" w:lineRule="exact"/>
              <w:jc w:val="center"/>
              <w:rPr>
                <w:rFonts w:hint="eastAsia" w:ascii="宋体" w:hAnsi="宋体" w:eastAsia="宋体" w:cs="宋体"/>
                <w:w w:val="90"/>
                <w:sz w:val="21"/>
                <w:szCs w:val="21"/>
              </w:rPr>
            </w:pPr>
            <w:r>
              <w:rPr>
                <w:rFonts w:hint="eastAsia" w:ascii="宋体" w:hAnsi="宋体" w:eastAsia="宋体" w:cs="宋体"/>
                <w:w w:val="90"/>
                <w:sz w:val="21"/>
                <w:szCs w:val="21"/>
              </w:rPr>
              <w:t>9</w:t>
            </w:r>
          </w:p>
        </w:tc>
        <w:tc>
          <w:tcPr>
            <w:tcW w:w="1642" w:type="dxa"/>
            <w:vMerge w:val="restart"/>
            <w:shd w:val="clear" w:color="auto" w:fill="auto"/>
            <w:vAlign w:val="center"/>
          </w:tcPr>
          <w:p w14:paraId="796C599E">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中国电信</w:t>
            </w:r>
          </w:p>
        </w:tc>
        <w:tc>
          <w:tcPr>
            <w:tcW w:w="1868" w:type="dxa"/>
            <w:shd w:val="clear" w:color="auto" w:fill="auto"/>
            <w:vAlign w:val="center"/>
          </w:tcPr>
          <w:p w14:paraId="7F16E027">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CDMA</w:t>
            </w:r>
          </w:p>
        </w:tc>
        <w:tc>
          <w:tcPr>
            <w:tcW w:w="1372" w:type="dxa"/>
            <w:shd w:val="clear" w:color="auto" w:fill="auto"/>
            <w:vAlign w:val="center"/>
          </w:tcPr>
          <w:p w14:paraId="259EF31C">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Rxpower</w:t>
            </w:r>
          </w:p>
        </w:tc>
        <w:tc>
          <w:tcPr>
            <w:tcW w:w="2417" w:type="dxa"/>
            <w:shd w:val="clear" w:color="auto" w:fill="auto"/>
            <w:vAlign w:val="center"/>
          </w:tcPr>
          <w:p w14:paraId="08FA3E57">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-82</w:t>
            </w:r>
          </w:p>
        </w:tc>
        <w:tc>
          <w:tcPr>
            <w:tcW w:w="1303" w:type="dxa"/>
            <w:vMerge w:val="continue"/>
            <w:shd w:val="clear" w:color="auto" w:fill="auto"/>
            <w:vAlign w:val="center"/>
          </w:tcPr>
          <w:p w14:paraId="633BA471">
            <w:pPr>
              <w:spacing w:line="0" w:lineRule="atLeast"/>
              <w:jc w:val="center"/>
              <w:rPr>
                <w:rFonts w:hint="eastAsia" w:ascii="宋体" w:hAnsi="宋体" w:eastAsia="宋体" w:cs="宋体"/>
                <w:sz w:val="21"/>
                <w:szCs w:val="21"/>
              </w:rPr>
            </w:pPr>
          </w:p>
        </w:tc>
      </w:tr>
      <w:tr w14:paraId="6D035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bottom"/>
          </w:tcPr>
          <w:p w14:paraId="534252B1">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10</w:t>
            </w:r>
          </w:p>
        </w:tc>
        <w:tc>
          <w:tcPr>
            <w:tcW w:w="1642" w:type="dxa"/>
            <w:vMerge w:val="continue"/>
            <w:shd w:val="clear" w:color="auto" w:fill="auto"/>
            <w:vAlign w:val="bottom"/>
          </w:tcPr>
          <w:p w14:paraId="2531117C">
            <w:pPr>
              <w:spacing w:line="0" w:lineRule="atLeast"/>
              <w:rPr>
                <w:rFonts w:hint="eastAsia" w:ascii="宋体" w:hAnsi="宋体" w:eastAsia="宋体" w:cs="宋体"/>
                <w:sz w:val="21"/>
                <w:szCs w:val="21"/>
              </w:rPr>
            </w:pPr>
          </w:p>
        </w:tc>
        <w:tc>
          <w:tcPr>
            <w:tcW w:w="1868" w:type="dxa"/>
            <w:shd w:val="clear" w:color="auto" w:fill="auto"/>
            <w:vAlign w:val="bottom"/>
          </w:tcPr>
          <w:p w14:paraId="2AFCCB29">
            <w:pPr>
              <w:spacing w:line="250" w:lineRule="exact"/>
              <w:ind w:left="480"/>
              <w:rPr>
                <w:rFonts w:hint="eastAsia" w:ascii="宋体" w:hAnsi="宋体" w:eastAsia="宋体" w:cs="宋体"/>
                <w:sz w:val="21"/>
                <w:szCs w:val="21"/>
              </w:rPr>
            </w:pPr>
            <w:r>
              <w:rPr>
                <w:rFonts w:hint="eastAsia" w:ascii="宋体" w:hAnsi="宋体" w:eastAsia="宋体" w:cs="宋体"/>
                <w:sz w:val="21"/>
                <w:szCs w:val="21"/>
              </w:rPr>
              <w:t>FDD LTE</w:t>
            </w:r>
          </w:p>
        </w:tc>
        <w:tc>
          <w:tcPr>
            <w:tcW w:w="1372" w:type="dxa"/>
            <w:shd w:val="clear" w:color="auto" w:fill="auto"/>
            <w:vAlign w:val="bottom"/>
          </w:tcPr>
          <w:p w14:paraId="4F21BDC0">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RSRP</w:t>
            </w:r>
          </w:p>
        </w:tc>
        <w:tc>
          <w:tcPr>
            <w:tcW w:w="2417" w:type="dxa"/>
            <w:shd w:val="clear" w:color="auto" w:fill="auto"/>
            <w:vAlign w:val="bottom"/>
          </w:tcPr>
          <w:p w14:paraId="0B32A6D0">
            <w:pPr>
              <w:spacing w:line="250" w:lineRule="exact"/>
              <w:jc w:val="center"/>
              <w:rPr>
                <w:rFonts w:hint="eastAsia" w:ascii="宋体" w:hAnsi="宋体" w:eastAsia="宋体" w:cs="宋体"/>
                <w:w w:val="96"/>
                <w:sz w:val="21"/>
                <w:szCs w:val="21"/>
              </w:rPr>
            </w:pPr>
            <w:r>
              <w:rPr>
                <w:rFonts w:hint="eastAsia" w:ascii="宋体" w:hAnsi="宋体" w:eastAsia="宋体" w:cs="宋体"/>
                <w:w w:val="96"/>
                <w:sz w:val="21"/>
                <w:szCs w:val="21"/>
              </w:rPr>
              <w:t>RSRP≥-110dBm 且</w:t>
            </w:r>
            <w:r>
              <w:rPr>
                <w:rFonts w:hint="eastAsia" w:ascii="宋体" w:hAnsi="宋体" w:eastAsia="宋体" w:cs="宋体"/>
                <w:w w:val="99"/>
                <w:sz w:val="21"/>
                <w:szCs w:val="21"/>
              </w:rPr>
              <w:t>SINR&gt;3dB</w:t>
            </w:r>
          </w:p>
        </w:tc>
        <w:tc>
          <w:tcPr>
            <w:tcW w:w="1303" w:type="dxa"/>
            <w:shd w:val="clear" w:color="auto" w:fill="auto"/>
            <w:vAlign w:val="bottom"/>
          </w:tcPr>
          <w:p w14:paraId="0F43F1DF">
            <w:pPr>
              <w:spacing w:line="250" w:lineRule="exact"/>
              <w:jc w:val="center"/>
              <w:rPr>
                <w:rFonts w:hint="eastAsia" w:ascii="宋体" w:hAnsi="宋体" w:eastAsia="宋体" w:cs="宋体"/>
                <w:sz w:val="21"/>
                <w:szCs w:val="21"/>
              </w:rPr>
            </w:pPr>
            <w:r>
              <w:rPr>
                <w:rFonts w:hint="eastAsia" w:ascii="宋体" w:hAnsi="宋体" w:eastAsia="宋体" w:cs="宋体"/>
                <w:sz w:val="21"/>
                <w:szCs w:val="21"/>
              </w:rPr>
              <w:t>95%</w:t>
            </w:r>
          </w:p>
        </w:tc>
      </w:tr>
      <w:tr w14:paraId="3BE36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shd w:val="clear" w:color="auto" w:fill="auto"/>
            <w:vAlign w:val="bottom"/>
          </w:tcPr>
          <w:p w14:paraId="1438C252">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11</w:t>
            </w:r>
          </w:p>
        </w:tc>
        <w:tc>
          <w:tcPr>
            <w:tcW w:w="1642" w:type="dxa"/>
            <w:vMerge w:val="continue"/>
            <w:shd w:val="clear" w:color="auto" w:fill="auto"/>
            <w:vAlign w:val="bottom"/>
          </w:tcPr>
          <w:p w14:paraId="7926D340">
            <w:pPr>
              <w:spacing w:line="0" w:lineRule="atLeast"/>
              <w:rPr>
                <w:rFonts w:hint="eastAsia" w:ascii="宋体" w:hAnsi="宋体" w:eastAsia="宋体" w:cs="宋体"/>
                <w:sz w:val="21"/>
                <w:szCs w:val="21"/>
              </w:rPr>
            </w:pPr>
          </w:p>
        </w:tc>
        <w:tc>
          <w:tcPr>
            <w:tcW w:w="1868" w:type="dxa"/>
            <w:shd w:val="clear" w:color="auto" w:fill="auto"/>
            <w:vAlign w:val="center"/>
          </w:tcPr>
          <w:p w14:paraId="028B727F">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5G</w:t>
            </w:r>
          </w:p>
        </w:tc>
        <w:tc>
          <w:tcPr>
            <w:tcW w:w="1372" w:type="dxa"/>
            <w:shd w:val="clear" w:color="auto" w:fill="auto"/>
            <w:vAlign w:val="center"/>
          </w:tcPr>
          <w:p w14:paraId="48617F24">
            <w:pPr>
              <w:spacing w:line="250" w:lineRule="exact"/>
              <w:jc w:val="center"/>
              <w:rPr>
                <w:rFonts w:hint="eastAsia" w:ascii="宋体" w:hAnsi="宋体" w:eastAsia="宋体" w:cs="宋体"/>
                <w:sz w:val="21"/>
                <w:szCs w:val="21"/>
              </w:rPr>
            </w:pPr>
            <w:r>
              <w:rPr>
                <w:rFonts w:hint="eastAsia" w:ascii="宋体" w:hAnsi="宋体" w:eastAsia="宋体" w:cs="宋体"/>
                <w:w w:val="99"/>
                <w:sz w:val="21"/>
                <w:szCs w:val="21"/>
              </w:rPr>
              <w:t>SSB-RSRP /SSB-SINR</w:t>
            </w:r>
          </w:p>
        </w:tc>
        <w:tc>
          <w:tcPr>
            <w:tcW w:w="2417" w:type="dxa"/>
            <w:shd w:val="clear" w:color="auto" w:fill="auto"/>
            <w:vAlign w:val="bottom"/>
          </w:tcPr>
          <w:p w14:paraId="1A878912">
            <w:pPr>
              <w:spacing w:line="250" w:lineRule="exact"/>
              <w:jc w:val="center"/>
              <w:rPr>
                <w:rFonts w:hint="eastAsia" w:ascii="宋体" w:hAnsi="宋体" w:eastAsia="宋体" w:cs="宋体"/>
                <w:w w:val="99"/>
                <w:sz w:val="21"/>
                <w:szCs w:val="21"/>
              </w:rPr>
            </w:pPr>
            <w:r>
              <w:rPr>
                <w:rFonts w:hint="eastAsia" w:ascii="宋体" w:hAnsi="宋体" w:eastAsia="宋体" w:cs="宋体"/>
                <w:w w:val="99"/>
                <w:sz w:val="21"/>
                <w:szCs w:val="21"/>
              </w:rPr>
              <w:t>SSB-RSRP≥-105dBm</w:t>
            </w:r>
            <w:r>
              <w:rPr>
                <w:rFonts w:hint="eastAsia" w:ascii="宋体" w:hAnsi="宋体" w:eastAsia="宋体" w:cs="宋体"/>
                <w:sz w:val="21"/>
                <w:szCs w:val="21"/>
              </w:rPr>
              <w:t>且 SSB-SINR≥0dB</w:t>
            </w:r>
          </w:p>
        </w:tc>
        <w:tc>
          <w:tcPr>
            <w:tcW w:w="1303" w:type="dxa"/>
            <w:shd w:val="clear" w:color="auto" w:fill="auto"/>
            <w:vAlign w:val="center"/>
          </w:tcPr>
          <w:p w14:paraId="07E4985F">
            <w:pPr>
              <w:spacing w:line="0" w:lineRule="atLeast"/>
              <w:jc w:val="center"/>
              <w:rPr>
                <w:rFonts w:hint="eastAsia" w:ascii="宋体" w:hAnsi="宋体" w:eastAsia="宋体" w:cs="宋体"/>
                <w:sz w:val="21"/>
                <w:szCs w:val="21"/>
              </w:rPr>
            </w:pPr>
            <w:r>
              <w:rPr>
                <w:rFonts w:hint="eastAsia" w:ascii="宋体" w:hAnsi="宋体" w:eastAsia="宋体" w:cs="宋体"/>
                <w:sz w:val="21"/>
                <w:szCs w:val="21"/>
              </w:rPr>
              <w:t>95%</w:t>
            </w:r>
          </w:p>
        </w:tc>
      </w:tr>
      <w:tr w14:paraId="0DDCC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9302" w:type="dxa"/>
            <w:gridSpan w:val="6"/>
            <w:vAlign w:val="bottom"/>
          </w:tcPr>
          <w:p w14:paraId="2055EFB6">
            <w:pPr>
              <w:spacing w:line="268" w:lineRule="auto"/>
              <w:ind w:left="120" w:right="120"/>
              <w:jc w:val="left"/>
              <w:rPr>
                <w:rFonts w:hint="eastAsia" w:ascii="宋体" w:hAnsi="宋体" w:eastAsia="宋体" w:cs="宋体"/>
                <w:sz w:val="21"/>
                <w:szCs w:val="21"/>
              </w:rPr>
            </w:pPr>
          </w:p>
          <w:p w14:paraId="7039A751">
            <w:pPr>
              <w:spacing w:line="268" w:lineRule="auto"/>
              <w:ind w:left="120" w:right="120"/>
              <w:jc w:val="left"/>
              <w:rPr>
                <w:rFonts w:hint="eastAsia" w:ascii="宋体" w:hAnsi="宋体" w:eastAsia="宋体" w:cs="宋体"/>
                <w:sz w:val="21"/>
                <w:szCs w:val="21"/>
              </w:rPr>
            </w:pPr>
            <w:r>
              <w:rPr>
                <w:rFonts w:hint="eastAsia" w:ascii="宋体" w:hAnsi="宋体" w:eastAsia="宋体" w:cs="宋体"/>
                <w:sz w:val="21"/>
                <w:szCs w:val="21"/>
              </w:rPr>
              <w:t>注：上表结果作为建筑物配套建设 5G 无线室内覆盖基础设施工程设计的参考，应根据 建筑物内部不同的功能区、不同的用户需求等进行差异化的设计。</w:t>
            </w:r>
          </w:p>
          <w:p w14:paraId="17A2C931">
            <w:pPr>
              <w:spacing w:line="0" w:lineRule="atLeast"/>
              <w:rPr>
                <w:rFonts w:hint="eastAsia" w:ascii="宋体" w:hAnsi="宋体" w:eastAsia="宋体" w:cs="宋体"/>
                <w:sz w:val="21"/>
                <w:szCs w:val="21"/>
              </w:rPr>
            </w:pPr>
          </w:p>
        </w:tc>
      </w:tr>
    </w:tbl>
    <w:p w14:paraId="35BDD638">
      <w:pPr>
        <w:spacing w:line="146" w:lineRule="exact"/>
        <w:rPr>
          <w:rFonts w:hint="eastAsia" w:ascii="宋体" w:hAnsi="宋体" w:eastAsia="宋体" w:cs="宋体"/>
          <w:szCs w:val="21"/>
        </w:rPr>
      </w:pPr>
    </w:p>
    <w:p w14:paraId="51926BC6">
      <w:pPr>
        <w:pStyle w:val="10"/>
        <w:spacing w:line="460" w:lineRule="exact"/>
        <w:ind w:firstLine="0" w:firstLineChars="0"/>
        <w:jc w:val="left"/>
        <w:outlineLvl w:val="9"/>
        <w:rPr>
          <w:rFonts w:hAnsi="宋体"/>
          <w:sz w:val="21"/>
          <w:szCs w:val="21"/>
        </w:rPr>
      </w:pPr>
      <w:r>
        <w:rPr>
          <w:rFonts w:hint="eastAsia" w:hAnsi="宋体"/>
          <w:sz w:val="21"/>
          <w:szCs w:val="21"/>
          <w:lang w:val="en-US" w:eastAsia="zh-CN"/>
        </w:rPr>
        <w:t>三、</w:t>
      </w:r>
      <w:r>
        <w:rPr>
          <w:rFonts w:hint="eastAsia" w:hAnsi="宋体"/>
          <w:sz w:val="21"/>
          <w:szCs w:val="21"/>
        </w:rPr>
        <w:t xml:space="preserve"> 系统详细需求</w:t>
      </w:r>
    </w:p>
    <w:p w14:paraId="0955809D">
      <w:pPr>
        <w:pStyle w:val="14"/>
        <w:keepNext/>
        <w:keepLines/>
        <w:tabs>
          <w:tab w:val="left" w:pos="140"/>
          <w:tab w:val="left" w:pos="480"/>
          <w:tab w:val="clear" w:pos="851"/>
        </w:tabs>
        <w:autoSpaceDE/>
        <w:autoSpaceDN/>
        <w:spacing w:before="260" w:after="260" w:line="416" w:lineRule="atLeast"/>
        <w:outlineLvl w:val="9"/>
        <w:rPr>
          <w:rFonts w:hAnsi="宋体" w:eastAsia="宋体"/>
          <w:b/>
          <w:sz w:val="21"/>
          <w:szCs w:val="21"/>
        </w:rPr>
      </w:pPr>
      <w:r>
        <w:rPr>
          <w:rFonts w:hint="eastAsia" w:hAnsi="宋体" w:eastAsia="宋体"/>
          <w:b/>
          <w:sz w:val="21"/>
          <w:szCs w:val="21"/>
        </w:rPr>
        <w:t>3.1</w:t>
      </w:r>
      <w:r>
        <w:rPr>
          <w:rFonts w:hAnsi="宋体" w:eastAsia="宋体"/>
          <w:b/>
          <w:sz w:val="21"/>
          <w:szCs w:val="21"/>
        </w:rPr>
        <w:t xml:space="preserve"> </w:t>
      </w:r>
      <w:r>
        <w:rPr>
          <w:rFonts w:hint="eastAsia" w:hAnsi="宋体" w:eastAsia="宋体"/>
          <w:b/>
          <w:sz w:val="21"/>
          <w:szCs w:val="21"/>
          <w:lang w:val="en-US" w:eastAsia="zh-CN"/>
        </w:rPr>
        <w:t xml:space="preserve"> </w:t>
      </w:r>
      <w:r>
        <w:rPr>
          <w:rFonts w:hint="eastAsia" w:hAnsi="宋体" w:eastAsia="宋体"/>
          <w:b/>
          <w:sz w:val="21"/>
          <w:szCs w:val="21"/>
        </w:rPr>
        <w:t>5</w:t>
      </w:r>
      <w:r>
        <w:rPr>
          <w:rFonts w:hAnsi="宋体" w:eastAsia="宋体"/>
          <w:b/>
          <w:sz w:val="21"/>
          <w:szCs w:val="21"/>
        </w:rPr>
        <w:t>G</w:t>
      </w:r>
      <w:r>
        <w:rPr>
          <w:rFonts w:hint="eastAsia" w:hAnsi="宋体" w:eastAsia="宋体"/>
          <w:b/>
          <w:sz w:val="21"/>
          <w:szCs w:val="21"/>
        </w:rPr>
        <w:t>室分范围</w:t>
      </w:r>
    </w:p>
    <w:p w14:paraId="62901A83">
      <w:pPr>
        <w:spacing w:line="360" w:lineRule="auto"/>
        <w:ind w:firstLine="420" w:firstLineChars="200"/>
        <w:contextualSpacing/>
        <w:rPr>
          <w:rFonts w:ascii="宋体" w:hAnsi="宋体"/>
          <w:sz w:val="21"/>
          <w:szCs w:val="21"/>
        </w:rPr>
      </w:pPr>
      <w:r>
        <w:rPr>
          <w:rFonts w:hint="eastAsia" w:ascii="宋体" w:hAnsi="宋体"/>
          <w:sz w:val="21"/>
          <w:szCs w:val="21"/>
        </w:rPr>
        <w:t>配套建设 5G 室内分布系统包含 POI、无源器件、天线、馈线及配件、漏泄电缆及配件、 增强型连接器等，要求支持 700-3700MHz，2G/3G/4G/5G 各系统均可引入，天馈系统前三级器件采用500W高功率器件，器件满足三阶互调指标-150dBc@2X43dBm；三级往后器件采用300W功率器件，器件满足三阶互调指标-140dBc@2X43dBm。</w:t>
      </w:r>
      <w:bookmarkStart w:id="1" w:name="_Toc29987"/>
      <w:bookmarkStart w:id="2" w:name="_Toc29091"/>
      <w:bookmarkStart w:id="3" w:name="_Toc25549"/>
      <w:bookmarkStart w:id="4" w:name="_Toc20797"/>
      <w:bookmarkStart w:id="5" w:name="_Toc26009"/>
      <w:bookmarkStart w:id="6" w:name="_Toc3315"/>
    </w:p>
    <w:p w14:paraId="3DF1769B">
      <w:pPr>
        <w:widowControl/>
        <w:numPr>
          <w:ilvl w:val="0"/>
          <w:numId w:val="0"/>
        </w:numPr>
        <w:spacing w:line="360" w:lineRule="auto"/>
        <w:ind w:left="420" w:leftChars="0" w:hanging="420" w:firstLineChars="0"/>
        <w:contextualSpacing/>
        <w:jc w:val="left"/>
        <w:rPr>
          <w:rFonts w:ascii="宋体" w:hAnsi="宋体"/>
          <w:sz w:val="21"/>
          <w:szCs w:val="21"/>
        </w:rPr>
      </w:pPr>
      <w:r>
        <w:rPr>
          <w:rFonts w:hint="eastAsia" w:ascii="宋体" w:hAnsi="宋体" w:eastAsia="Times New Roman" w:cs="Times New Roman"/>
          <w:kern w:val="2"/>
          <w:sz w:val="21"/>
          <w:szCs w:val="21"/>
        </w:rPr>
        <w:t>1.</w:t>
      </w:r>
      <w:r>
        <w:rPr>
          <w:rFonts w:hint="eastAsia" w:ascii="宋体" w:hAnsi="宋体"/>
          <w:sz w:val="21"/>
          <w:szCs w:val="21"/>
        </w:rPr>
        <w:t>设备、器件和缆线有明确标识，标识正确、清晰、齐全，并如实记录在竣工图纸中</w:t>
      </w:r>
      <w:bookmarkEnd w:id="1"/>
      <w:bookmarkEnd w:id="2"/>
      <w:bookmarkEnd w:id="3"/>
      <w:bookmarkEnd w:id="4"/>
      <w:bookmarkEnd w:id="5"/>
      <w:r>
        <w:rPr>
          <w:rFonts w:hint="eastAsia" w:ascii="宋体" w:hAnsi="宋体"/>
          <w:sz w:val="21"/>
          <w:szCs w:val="21"/>
        </w:rPr>
        <w:t>；</w:t>
      </w:r>
      <w:bookmarkEnd w:id="6"/>
      <w:bookmarkStart w:id="7" w:name="_Toc30307"/>
      <w:bookmarkStart w:id="8" w:name="_Toc3099"/>
      <w:bookmarkStart w:id="9" w:name="_Toc27603"/>
      <w:bookmarkStart w:id="10" w:name="_Toc8536"/>
      <w:bookmarkStart w:id="11" w:name="_Toc28923"/>
      <w:bookmarkStart w:id="12" w:name="_Toc18252"/>
    </w:p>
    <w:p w14:paraId="48D3225B">
      <w:pPr>
        <w:widowControl/>
        <w:numPr>
          <w:ilvl w:val="0"/>
          <w:numId w:val="0"/>
        </w:numPr>
        <w:spacing w:line="360" w:lineRule="auto"/>
        <w:ind w:left="0" w:leftChars="0" w:firstLine="0" w:firstLineChars="0"/>
        <w:contextualSpacing/>
        <w:jc w:val="left"/>
        <w:rPr>
          <w:rFonts w:ascii="宋体" w:hAnsi="宋体"/>
          <w:sz w:val="21"/>
          <w:szCs w:val="21"/>
        </w:rPr>
      </w:pPr>
      <w:r>
        <w:rPr>
          <w:rFonts w:hint="eastAsia" w:ascii="宋体" w:hAnsi="宋体" w:eastAsia="Times New Roman" w:cs="Times New Roman"/>
          <w:kern w:val="2"/>
          <w:sz w:val="21"/>
          <w:szCs w:val="21"/>
        </w:rPr>
        <w:t>2.</w:t>
      </w:r>
      <w:r>
        <w:rPr>
          <w:rFonts w:hint="eastAsia" w:ascii="宋体" w:hAnsi="宋体"/>
          <w:sz w:val="21"/>
          <w:szCs w:val="21"/>
        </w:rPr>
        <w:t>设备、器件标识宜贴在正面明显位置；缆线标签在首尾两端宜采用吊挂式。并排有多个设备或多条走线时，标签标示在同一水平线上</w:t>
      </w:r>
      <w:bookmarkEnd w:id="7"/>
      <w:bookmarkEnd w:id="8"/>
      <w:bookmarkEnd w:id="9"/>
      <w:bookmarkEnd w:id="10"/>
      <w:bookmarkEnd w:id="11"/>
      <w:r>
        <w:rPr>
          <w:rFonts w:hint="eastAsia" w:ascii="宋体" w:hAnsi="宋体"/>
          <w:sz w:val="21"/>
          <w:szCs w:val="21"/>
        </w:rPr>
        <w:t>；</w:t>
      </w:r>
      <w:bookmarkEnd w:id="12"/>
      <w:bookmarkStart w:id="13" w:name="_Toc6125"/>
      <w:bookmarkStart w:id="14" w:name="_Toc14882"/>
      <w:bookmarkStart w:id="15" w:name="_Toc22601"/>
      <w:bookmarkStart w:id="16" w:name="_Toc31774"/>
      <w:bookmarkStart w:id="17" w:name="_Toc25798"/>
      <w:bookmarkStart w:id="18" w:name="_Toc19089"/>
    </w:p>
    <w:p w14:paraId="29FFBD72">
      <w:pPr>
        <w:widowControl/>
        <w:numPr>
          <w:ilvl w:val="0"/>
          <w:numId w:val="0"/>
        </w:numPr>
        <w:spacing w:line="360" w:lineRule="auto"/>
        <w:ind w:left="420" w:leftChars="0" w:hanging="420" w:firstLineChars="0"/>
        <w:contextualSpacing/>
        <w:jc w:val="left"/>
        <w:rPr>
          <w:rFonts w:ascii="宋体" w:hAnsi="宋体"/>
          <w:sz w:val="21"/>
          <w:szCs w:val="21"/>
        </w:rPr>
      </w:pPr>
      <w:r>
        <w:rPr>
          <w:rFonts w:hint="eastAsia" w:ascii="宋体" w:hAnsi="宋体" w:eastAsia="Times New Roman" w:cs="Times New Roman"/>
          <w:kern w:val="2"/>
          <w:sz w:val="21"/>
          <w:szCs w:val="21"/>
        </w:rPr>
        <w:t>3.</w:t>
      </w:r>
      <w:r>
        <w:rPr>
          <w:rFonts w:hint="eastAsia" w:ascii="宋体" w:hAnsi="宋体"/>
          <w:sz w:val="21"/>
          <w:szCs w:val="21"/>
        </w:rPr>
        <w:t>室外标识采取防水、防脱落处理</w:t>
      </w:r>
      <w:bookmarkEnd w:id="13"/>
      <w:bookmarkEnd w:id="14"/>
      <w:bookmarkEnd w:id="15"/>
      <w:bookmarkEnd w:id="16"/>
      <w:bookmarkEnd w:id="17"/>
      <w:r>
        <w:rPr>
          <w:rFonts w:hint="eastAsia" w:ascii="宋体" w:hAnsi="宋体"/>
          <w:sz w:val="21"/>
          <w:szCs w:val="21"/>
        </w:rPr>
        <w:t>；</w:t>
      </w:r>
      <w:bookmarkEnd w:id="18"/>
      <w:bookmarkStart w:id="19" w:name="_Toc22664"/>
      <w:bookmarkStart w:id="20" w:name="_Toc1680"/>
      <w:bookmarkStart w:id="21" w:name="_Toc6208"/>
      <w:bookmarkStart w:id="22" w:name="_Toc5029"/>
      <w:bookmarkStart w:id="23" w:name="_Toc22540"/>
      <w:bookmarkStart w:id="24" w:name="_Toc25733"/>
    </w:p>
    <w:p w14:paraId="6EE8FD96">
      <w:pPr>
        <w:widowControl/>
        <w:numPr>
          <w:ilvl w:val="0"/>
          <w:numId w:val="0"/>
        </w:numPr>
        <w:spacing w:line="360" w:lineRule="auto"/>
        <w:ind w:left="420" w:leftChars="0" w:hanging="420" w:firstLineChars="0"/>
        <w:contextualSpacing/>
        <w:jc w:val="left"/>
        <w:rPr>
          <w:rFonts w:ascii="宋体" w:hAnsi="宋体"/>
          <w:sz w:val="21"/>
          <w:szCs w:val="21"/>
        </w:rPr>
      </w:pPr>
      <w:r>
        <w:rPr>
          <w:rFonts w:hint="eastAsia" w:ascii="宋体" w:hAnsi="宋体" w:eastAsia="Times New Roman" w:cs="Times New Roman"/>
          <w:kern w:val="2"/>
          <w:sz w:val="21"/>
          <w:szCs w:val="21"/>
        </w:rPr>
        <w:t>4.</w:t>
      </w:r>
      <w:r>
        <w:rPr>
          <w:rFonts w:hint="eastAsia" w:ascii="宋体" w:hAnsi="宋体"/>
          <w:sz w:val="21"/>
          <w:szCs w:val="21"/>
        </w:rPr>
        <w:t>缆线、线管进出墙孔用防火封堵材料封堵，室外墙孔作防水处理</w:t>
      </w:r>
      <w:bookmarkEnd w:id="19"/>
      <w:bookmarkEnd w:id="20"/>
      <w:bookmarkEnd w:id="21"/>
      <w:bookmarkEnd w:id="22"/>
      <w:bookmarkEnd w:id="23"/>
      <w:r>
        <w:rPr>
          <w:rFonts w:hint="eastAsia" w:ascii="宋体" w:hAnsi="宋体"/>
          <w:sz w:val="21"/>
          <w:szCs w:val="21"/>
        </w:rPr>
        <w:t>；</w:t>
      </w:r>
      <w:bookmarkEnd w:id="24"/>
      <w:bookmarkStart w:id="25" w:name="_Toc21274"/>
      <w:bookmarkStart w:id="26" w:name="_Toc28618"/>
      <w:bookmarkStart w:id="27" w:name="_Toc25680"/>
      <w:bookmarkStart w:id="28" w:name="_Toc12571"/>
      <w:bookmarkStart w:id="29" w:name="_Toc11076"/>
      <w:bookmarkStart w:id="30" w:name="_Toc15185"/>
    </w:p>
    <w:p w14:paraId="7DB9E032">
      <w:pPr>
        <w:widowControl/>
        <w:numPr>
          <w:ilvl w:val="0"/>
          <w:numId w:val="0"/>
        </w:numPr>
        <w:spacing w:line="360" w:lineRule="auto"/>
        <w:ind w:left="0" w:leftChars="0" w:firstLine="0" w:firstLineChars="0"/>
        <w:contextualSpacing/>
        <w:jc w:val="left"/>
        <w:rPr>
          <w:rFonts w:ascii="宋体" w:hAnsi="宋体"/>
          <w:sz w:val="21"/>
          <w:szCs w:val="21"/>
        </w:rPr>
      </w:pPr>
      <w:r>
        <w:rPr>
          <w:rFonts w:hint="eastAsia" w:ascii="宋体" w:hAnsi="宋体" w:eastAsia="Times New Roman" w:cs="Times New Roman"/>
          <w:kern w:val="2"/>
          <w:sz w:val="21"/>
          <w:szCs w:val="21"/>
        </w:rPr>
        <w:t>5.</w:t>
      </w:r>
      <w:r>
        <w:rPr>
          <w:rFonts w:hint="eastAsia" w:ascii="宋体" w:hAnsi="宋体"/>
          <w:sz w:val="21"/>
          <w:szCs w:val="21"/>
        </w:rPr>
        <w:t>设备、器件、缆线、走线管或槽道规格型号、安装位置、安装高度、安装路由等符合设计要求</w:t>
      </w:r>
      <w:bookmarkEnd w:id="25"/>
      <w:bookmarkEnd w:id="26"/>
      <w:bookmarkEnd w:id="27"/>
      <w:bookmarkEnd w:id="28"/>
      <w:bookmarkEnd w:id="29"/>
      <w:r>
        <w:rPr>
          <w:rFonts w:hint="eastAsia" w:ascii="宋体" w:hAnsi="宋体"/>
          <w:sz w:val="21"/>
          <w:szCs w:val="21"/>
        </w:rPr>
        <w:t>；</w:t>
      </w:r>
      <w:bookmarkEnd w:id="30"/>
      <w:bookmarkStart w:id="31" w:name="_Toc2181"/>
      <w:bookmarkStart w:id="32" w:name="_Toc3403"/>
      <w:bookmarkStart w:id="33" w:name="_Toc19679"/>
      <w:bookmarkStart w:id="34" w:name="_Toc12245"/>
      <w:bookmarkStart w:id="35" w:name="_Toc11144"/>
      <w:bookmarkStart w:id="36" w:name="_Toc22826"/>
    </w:p>
    <w:p w14:paraId="1D5E13A6">
      <w:pPr>
        <w:widowControl/>
        <w:numPr>
          <w:ilvl w:val="0"/>
          <w:numId w:val="0"/>
        </w:numPr>
        <w:spacing w:line="360" w:lineRule="auto"/>
        <w:ind w:left="420" w:leftChars="0" w:hanging="420" w:firstLineChars="0"/>
        <w:contextualSpacing/>
        <w:jc w:val="left"/>
        <w:rPr>
          <w:rFonts w:ascii="宋体" w:hAnsi="宋体"/>
          <w:sz w:val="21"/>
          <w:szCs w:val="21"/>
        </w:rPr>
      </w:pPr>
      <w:r>
        <w:rPr>
          <w:rFonts w:hint="eastAsia" w:ascii="宋体" w:hAnsi="宋体" w:eastAsia="Times New Roman" w:cs="Times New Roman"/>
          <w:kern w:val="2"/>
          <w:sz w:val="21"/>
          <w:szCs w:val="21"/>
        </w:rPr>
        <w:t>6.</w:t>
      </w:r>
      <w:r>
        <w:rPr>
          <w:rFonts w:hint="eastAsia" w:ascii="宋体" w:hAnsi="宋体"/>
          <w:sz w:val="21"/>
          <w:szCs w:val="21"/>
        </w:rPr>
        <w:t>隐蔽随工检查</w:t>
      </w:r>
      <w:bookmarkEnd w:id="31"/>
      <w:bookmarkEnd w:id="32"/>
      <w:bookmarkEnd w:id="33"/>
      <w:bookmarkEnd w:id="34"/>
      <w:bookmarkEnd w:id="35"/>
      <w:r>
        <w:rPr>
          <w:rFonts w:hint="eastAsia" w:ascii="宋体" w:hAnsi="宋体"/>
          <w:sz w:val="21"/>
          <w:szCs w:val="21"/>
        </w:rPr>
        <w:t>；</w:t>
      </w:r>
      <w:bookmarkEnd w:id="36"/>
      <w:bookmarkStart w:id="37" w:name="_Toc21661"/>
      <w:bookmarkStart w:id="38" w:name="_Toc30491"/>
      <w:bookmarkStart w:id="39" w:name="_Toc16262"/>
      <w:bookmarkStart w:id="40" w:name="_Toc6222"/>
      <w:bookmarkStart w:id="41" w:name="_Toc6921"/>
      <w:bookmarkStart w:id="42" w:name="_Toc10326"/>
    </w:p>
    <w:p w14:paraId="428643FA">
      <w:pPr>
        <w:widowControl/>
        <w:numPr>
          <w:ilvl w:val="0"/>
          <w:numId w:val="0"/>
        </w:numPr>
        <w:spacing w:line="360" w:lineRule="auto"/>
        <w:ind w:left="420" w:leftChars="0" w:hanging="420" w:firstLineChars="0"/>
        <w:contextualSpacing/>
        <w:jc w:val="left"/>
        <w:rPr>
          <w:rFonts w:ascii="宋体" w:hAnsi="宋体"/>
          <w:sz w:val="21"/>
          <w:szCs w:val="21"/>
        </w:rPr>
      </w:pPr>
      <w:r>
        <w:rPr>
          <w:rFonts w:hint="eastAsia" w:ascii="宋体" w:hAnsi="宋体" w:eastAsia="Times New Roman" w:cs="Times New Roman"/>
          <w:kern w:val="2"/>
          <w:sz w:val="21"/>
          <w:szCs w:val="21"/>
        </w:rPr>
        <w:t>7.</w:t>
      </w:r>
      <w:r>
        <w:rPr>
          <w:rFonts w:hint="eastAsia" w:ascii="宋体" w:hAnsi="宋体"/>
          <w:sz w:val="21"/>
          <w:szCs w:val="21"/>
        </w:rPr>
        <w:t>项目完成后，设备、器件和现场环境保持整洁</w:t>
      </w:r>
      <w:bookmarkEnd w:id="37"/>
      <w:bookmarkEnd w:id="38"/>
      <w:bookmarkEnd w:id="39"/>
      <w:bookmarkEnd w:id="40"/>
      <w:bookmarkEnd w:id="41"/>
      <w:r>
        <w:rPr>
          <w:rFonts w:hint="eastAsia" w:ascii="宋体" w:hAnsi="宋体"/>
          <w:sz w:val="21"/>
          <w:szCs w:val="21"/>
        </w:rPr>
        <w:t>；</w:t>
      </w:r>
      <w:bookmarkEnd w:id="42"/>
      <w:bookmarkStart w:id="43" w:name="_Toc25960"/>
      <w:bookmarkStart w:id="44" w:name="_Toc60"/>
      <w:bookmarkStart w:id="45" w:name="_Toc16828"/>
      <w:bookmarkStart w:id="46" w:name="_Toc27706"/>
      <w:bookmarkStart w:id="47" w:name="_Toc19695"/>
      <w:bookmarkStart w:id="48" w:name="_Toc21080"/>
    </w:p>
    <w:p w14:paraId="35C53B6F">
      <w:pPr>
        <w:widowControl/>
        <w:numPr>
          <w:ilvl w:val="0"/>
          <w:numId w:val="0"/>
        </w:numPr>
        <w:spacing w:line="360" w:lineRule="auto"/>
        <w:ind w:left="420" w:leftChars="0" w:hanging="420" w:firstLineChars="0"/>
        <w:contextualSpacing/>
        <w:jc w:val="left"/>
        <w:rPr>
          <w:rFonts w:ascii="宋体" w:hAnsi="宋体"/>
          <w:sz w:val="21"/>
          <w:szCs w:val="21"/>
        </w:rPr>
      </w:pPr>
      <w:r>
        <w:rPr>
          <w:rFonts w:hint="eastAsia" w:ascii="宋体" w:hAnsi="宋体" w:eastAsia="Times New Roman" w:cs="Times New Roman"/>
          <w:kern w:val="2"/>
          <w:sz w:val="21"/>
          <w:szCs w:val="21"/>
        </w:rPr>
        <w:t>8.</w:t>
      </w:r>
      <w:r>
        <w:rPr>
          <w:rFonts w:hint="eastAsia" w:ascii="宋体" w:hAnsi="宋体"/>
          <w:sz w:val="21"/>
          <w:szCs w:val="21"/>
        </w:rPr>
        <w:t>项目完成验收合规后，施工单位提供不少于两年的质保期</w:t>
      </w:r>
      <w:bookmarkEnd w:id="43"/>
      <w:bookmarkEnd w:id="44"/>
      <w:bookmarkEnd w:id="45"/>
      <w:bookmarkEnd w:id="46"/>
      <w:bookmarkEnd w:id="47"/>
      <w:r>
        <w:rPr>
          <w:rFonts w:hint="eastAsia" w:ascii="宋体" w:hAnsi="宋体"/>
          <w:sz w:val="21"/>
          <w:szCs w:val="21"/>
        </w:rPr>
        <w:t>；</w:t>
      </w:r>
      <w:bookmarkEnd w:id="48"/>
      <w:bookmarkStart w:id="49" w:name="_Toc6319"/>
    </w:p>
    <w:p w14:paraId="4F58395D">
      <w:pPr>
        <w:widowControl/>
        <w:numPr>
          <w:ilvl w:val="0"/>
          <w:numId w:val="0"/>
        </w:numPr>
        <w:spacing w:line="360" w:lineRule="auto"/>
        <w:ind w:left="0" w:leftChars="0" w:firstLine="0" w:firstLineChars="0"/>
        <w:contextualSpacing/>
        <w:jc w:val="left"/>
        <w:rPr>
          <w:rFonts w:ascii="宋体" w:hAnsi="宋体"/>
          <w:sz w:val="21"/>
          <w:szCs w:val="21"/>
        </w:rPr>
      </w:pPr>
      <w:r>
        <w:rPr>
          <w:rFonts w:hint="eastAsia" w:ascii="宋体" w:hAnsi="宋体" w:eastAsia="Times New Roman" w:cs="Times New Roman"/>
          <w:kern w:val="2"/>
          <w:sz w:val="21"/>
          <w:szCs w:val="21"/>
        </w:rPr>
        <w:t>9.</w:t>
      </w:r>
      <w:r>
        <w:rPr>
          <w:rFonts w:hint="eastAsia" w:ascii="宋体" w:hAnsi="宋体"/>
          <w:sz w:val="21"/>
          <w:szCs w:val="21"/>
        </w:rPr>
        <w:t>项目</w:t>
      </w:r>
      <w:r>
        <w:rPr>
          <w:rFonts w:hint="eastAsia" w:ascii="宋体" w:hAnsi="宋体"/>
          <w:bCs/>
          <w:sz w:val="21"/>
          <w:szCs w:val="21"/>
        </w:rPr>
        <w:t>信号覆盖方案能满足到广州市通信管理局的审核要求，提供覆盖后能满足到广州市通信管理局入围检测机构的检测；</w:t>
      </w:r>
      <w:bookmarkEnd w:id="49"/>
      <w:bookmarkStart w:id="50" w:name="_Toc6081"/>
    </w:p>
    <w:p w14:paraId="138E9439">
      <w:pPr>
        <w:widowControl/>
        <w:numPr>
          <w:ilvl w:val="0"/>
          <w:numId w:val="0"/>
        </w:numPr>
        <w:spacing w:line="360" w:lineRule="auto"/>
        <w:ind w:left="0" w:leftChars="0" w:firstLine="0" w:firstLineChars="0"/>
        <w:contextualSpacing/>
        <w:jc w:val="left"/>
        <w:rPr>
          <w:rFonts w:ascii="宋体" w:hAnsi="宋体"/>
          <w:sz w:val="21"/>
          <w:szCs w:val="21"/>
        </w:rPr>
      </w:pPr>
      <w:r>
        <w:rPr>
          <w:rFonts w:hint="eastAsia" w:ascii="宋体" w:hAnsi="宋体" w:eastAsia="Times New Roman" w:cs="Times New Roman"/>
          <w:kern w:val="2"/>
          <w:sz w:val="21"/>
          <w:szCs w:val="21"/>
        </w:rPr>
        <w:t>10.</w:t>
      </w:r>
      <w:r>
        <w:rPr>
          <w:rFonts w:hint="eastAsia" w:ascii="宋体" w:hAnsi="宋体"/>
          <w:sz w:val="21"/>
          <w:szCs w:val="21"/>
        </w:rPr>
        <w:t>项目需满足三家运营商（移动、联通、电信）信号接入需求，且同时满足4G和5G信号接入；且项目进度需和三家运营商同步沟通建设及信号接入相关事宜，如果出示相关证明和资料，需及时与招标方指派的专人沟通，待同意后方可提供。</w:t>
      </w:r>
      <w:bookmarkEnd w:id="50"/>
    </w:p>
    <w:p w14:paraId="61C1EF2E">
      <w:pPr>
        <w:spacing w:line="360" w:lineRule="auto"/>
        <w:ind w:left="0" w:leftChars="0" w:firstLine="0" w:firstLineChars="0"/>
        <w:contextualSpacing/>
        <w:rPr>
          <w:sz w:val="21"/>
          <w:szCs w:val="21"/>
          <w:highlight w:val="yellow"/>
        </w:rPr>
      </w:pPr>
      <w:r>
        <w:rPr>
          <w:rFonts w:hint="eastAsia" w:ascii="宋体" w:hAnsi="宋体"/>
          <w:color w:val="000000"/>
          <w:sz w:val="21"/>
          <w:szCs w:val="21"/>
        </w:rPr>
        <w:t>上述所示之设备供货范围只属</w:t>
      </w:r>
      <w:r>
        <w:rPr>
          <w:rFonts w:hint="eastAsia" w:ascii="宋体" w:hAnsi="宋体"/>
          <w:sz w:val="21"/>
          <w:szCs w:val="21"/>
        </w:rPr>
        <w:t>一般性的概述，投标方须负责根据相关规范及招标文件、招标图纸内所述或所示，进行供货。任何未有详细叙述、设计和显示的内容，如为完成及启动整个项目的需要工作，亦须包括在此供货范围内。</w:t>
      </w:r>
    </w:p>
    <w:p w14:paraId="2EAE66F8">
      <w:pPr>
        <w:pStyle w:val="14"/>
        <w:keepNext/>
        <w:keepLines/>
        <w:numPr>
          <w:ilvl w:val="2"/>
          <w:numId w:val="0"/>
        </w:numPr>
        <w:tabs>
          <w:tab w:val="left" w:pos="140"/>
          <w:tab w:val="left" w:pos="480"/>
          <w:tab w:val="clear" w:pos="851"/>
        </w:tabs>
        <w:autoSpaceDE/>
        <w:autoSpaceDN/>
        <w:spacing w:before="260" w:after="260" w:line="416" w:lineRule="atLeast"/>
        <w:ind w:left="720" w:leftChars="0" w:hanging="720" w:firstLineChars="0"/>
        <w:outlineLvl w:val="9"/>
        <w:rPr>
          <w:rFonts w:hAnsi="宋体" w:eastAsia="宋体"/>
          <w:b/>
          <w:sz w:val="21"/>
          <w:szCs w:val="21"/>
        </w:rPr>
      </w:pPr>
      <w:bookmarkStart w:id="51" w:name="_Toc9729"/>
      <w:bookmarkStart w:id="52" w:name="_Toc5487"/>
      <w:r>
        <w:rPr>
          <w:rFonts w:hint="default" w:ascii="宋体" w:hAnsi="宋体" w:eastAsia="宋体" w:cs="Times New Roman"/>
          <w:b/>
          <w:kern w:val="0"/>
          <w:sz w:val="21"/>
          <w:szCs w:val="21"/>
          <w:lang w:val="en-US" w:eastAsia="zh-CN" w:bidi="ar-SA"/>
        </w:rPr>
        <w:t>3.2</w:t>
      </w:r>
      <w:r>
        <w:rPr>
          <w:rFonts w:hint="eastAsia" w:hAnsi="宋体" w:eastAsia="宋体"/>
          <w:b/>
          <w:sz w:val="21"/>
          <w:szCs w:val="21"/>
        </w:rPr>
        <w:t>项目需求</w:t>
      </w:r>
      <w:r>
        <w:rPr>
          <w:rFonts w:hAnsi="宋体" w:eastAsia="宋体"/>
          <w:b/>
          <w:sz w:val="21"/>
          <w:szCs w:val="21"/>
        </w:rPr>
        <w:t>清单</w:t>
      </w:r>
      <w:bookmarkEnd w:id="51"/>
      <w:bookmarkEnd w:id="52"/>
      <w:r>
        <w:rPr>
          <w:rFonts w:hint="eastAsia" w:hAnsi="宋体" w:eastAsia="宋体"/>
          <w:b/>
          <w:sz w:val="21"/>
          <w:szCs w:val="21"/>
        </w:rPr>
        <w:t>及主要</w:t>
      </w:r>
      <w:r>
        <w:rPr>
          <w:rFonts w:hAnsi="宋体" w:eastAsia="宋体"/>
          <w:b/>
          <w:sz w:val="21"/>
          <w:szCs w:val="21"/>
        </w:rPr>
        <w:t>参数</w:t>
      </w:r>
      <w:bookmarkStart w:id="53" w:name="_GoBack"/>
      <w:bookmarkEnd w:id="53"/>
    </w:p>
    <w:tbl>
      <w:tblPr>
        <w:tblStyle w:val="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0"/>
        <w:gridCol w:w="1037"/>
        <w:gridCol w:w="786"/>
        <w:gridCol w:w="597"/>
        <w:gridCol w:w="704"/>
        <w:gridCol w:w="4755"/>
      </w:tblGrid>
      <w:tr w14:paraId="18C46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41EEF0AB">
            <w:pPr>
              <w:jc w:val="center"/>
              <w:textAlignment w:val="center"/>
              <w:rPr>
                <w:rFonts w:hint="eastAsia" w:ascii="宋体" w:hAnsi="宋体" w:eastAsia="宋体" w:cs="宋体"/>
                <w:szCs w:val="21"/>
                <w:lang w:val="en-US" w:eastAsia="zh-CN"/>
              </w:rPr>
            </w:pPr>
            <w:r>
              <w:rPr>
                <w:rFonts w:hint="eastAsia" w:ascii="宋体" w:hAnsi="宋体" w:cs="宋体"/>
                <w:b/>
                <w:bCs/>
                <w:szCs w:val="21"/>
                <w:lang w:val="en-US" w:eastAsia="zh-CN"/>
              </w:rPr>
              <w:t>序号</w:t>
            </w:r>
          </w:p>
        </w:tc>
        <w:tc>
          <w:tcPr>
            <w:tcW w:w="608" w:type="pct"/>
            <w:shd w:val="clear" w:color="auto" w:fill="auto"/>
            <w:vAlign w:val="center"/>
          </w:tcPr>
          <w:p w14:paraId="2B956EF5">
            <w:pPr>
              <w:jc w:val="center"/>
              <w:textAlignment w:val="center"/>
              <w:rPr>
                <w:rFonts w:ascii="宋体" w:hAnsi="宋体" w:cs="宋体"/>
                <w:b/>
                <w:bCs/>
                <w:szCs w:val="21"/>
              </w:rPr>
            </w:pPr>
            <w:r>
              <w:rPr>
                <w:rFonts w:hint="eastAsia" w:ascii="宋体" w:hAnsi="宋体" w:cs="宋体"/>
                <w:b/>
                <w:bCs/>
                <w:szCs w:val="21"/>
              </w:rPr>
              <w:t>名称</w:t>
            </w:r>
          </w:p>
        </w:tc>
        <w:tc>
          <w:tcPr>
            <w:tcW w:w="461" w:type="pct"/>
            <w:shd w:val="clear" w:color="auto" w:fill="auto"/>
            <w:vAlign w:val="center"/>
          </w:tcPr>
          <w:p w14:paraId="4C2CAEEC">
            <w:pPr>
              <w:jc w:val="center"/>
              <w:textAlignment w:val="center"/>
              <w:rPr>
                <w:rFonts w:ascii="宋体" w:hAnsi="宋体" w:cs="宋体"/>
                <w:b/>
                <w:bCs/>
                <w:szCs w:val="21"/>
              </w:rPr>
            </w:pPr>
            <w:r>
              <w:rPr>
                <w:rFonts w:hint="eastAsia" w:ascii="宋体" w:hAnsi="宋体" w:cs="宋体"/>
                <w:b/>
                <w:bCs/>
                <w:szCs w:val="21"/>
              </w:rPr>
              <w:t>最低配备数量</w:t>
            </w:r>
          </w:p>
        </w:tc>
        <w:tc>
          <w:tcPr>
            <w:tcW w:w="350" w:type="pct"/>
            <w:shd w:val="clear" w:color="auto" w:fill="auto"/>
            <w:vAlign w:val="center"/>
          </w:tcPr>
          <w:p w14:paraId="2364A275">
            <w:pPr>
              <w:jc w:val="center"/>
              <w:textAlignment w:val="center"/>
              <w:rPr>
                <w:rFonts w:ascii="宋体" w:hAnsi="宋体" w:cs="宋体"/>
                <w:b/>
                <w:bCs/>
                <w:szCs w:val="21"/>
              </w:rPr>
            </w:pPr>
            <w:r>
              <w:rPr>
                <w:rFonts w:hint="eastAsia" w:ascii="宋体" w:hAnsi="宋体" w:cs="宋体"/>
                <w:b/>
                <w:bCs/>
                <w:szCs w:val="21"/>
              </w:rPr>
              <w:t>单位</w:t>
            </w:r>
          </w:p>
        </w:tc>
        <w:tc>
          <w:tcPr>
            <w:tcW w:w="413" w:type="pct"/>
            <w:shd w:val="clear" w:color="auto" w:fill="auto"/>
            <w:vAlign w:val="center"/>
          </w:tcPr>
          <w:p w14:paraId="29FD5160">
            <w:pPr>
              <w:jc w:val="center"/>
              <w:textAlignment w:val="center"/>
              <w:rPr>
                <w:rFonts w:ascii="宋体" w:hAnsi="宋体" w:cs="宋体"/>
                <w:b/>
                <w:bCs/>
                <w:szCs w:val="21"/>
              </w:rPr>
            </w:pPr>
            <w:r>
              <w:rPr>
                <w:rFonts w:hint="eastAsia" w:ascii="宋体" w:hAnsi="宋体" w:cs="宋体"/>
                <w:b/>
                <w:bCs/>
                <w:szCs w:val="21"/>
              </w:rPr>
              <w:t>品牌</w:t>
            </w:r>
          </w:p>
        </w:tc>
        <w:tc>
          <w:tcPr>
            <w:tcW w:w="2789" w:type="pct"/>
            <w:shd w:val="clear" w:color="auto" w:fill="auto"/>
            <w:vAlign w:val="center"/>
          </w:tcPr>
          <w:p w14:paraId="794AC81D">
            <w:pPr>
              <w:jc w:val="center"/>
              <w:textAlignment w:val="center"/>
              <w:rPr>
                <w:rFonts w:ascii="宋体" w:hAnsi="宋体" w:cs="宋体"/>
                <w:b/>
                <w:bCs/>
                <w:szCs w:val="21"/>
              </w:rPr>
            </w:pPr>
            <w:r>
              <w:rPr>
                <w:rFonts w:hint="eastAsia" w:ascii="宋体" w:hAnsi="宋体" w:cs="宋体"/>
                <w:b/>
                <w:bCs/>
                <w:szCs w:val="21"/>
              </w:rPr>
              <w:t>主要参数</w:t>
            </w:r>
          </w:p>
        </w:tc>
      </w:tr>
      <w:tr w14:paraId="24D5D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3C808261">
            <w:pPr>
              <w:jc w:val="center"/>
              <w:textAlignment w:val="center"/>
              <w:rPr>
                <w:rFonts w:ascii="宋体" w:hAnsi="宋体" w:cs="宋体"/>
                <w:szCs w:val="21"/>
              </w:rPr>
            </w:pPr>
            <w:r>
              <w:rPr>
                <w:rFonts w:hint="eastAsia" w:ascii="宋体" w:hAnsi="宋体" w:cs="宋体"/>
                <w:szCs w:val="21"/>
              </w:rPr>
              <w:t>1</w:t>
            </w:r>
          </w:p>
        </w:tc>
        <w:tc>
          <w:tcPr>
            <w:tcW w:w="608" w:type="pct"/>
            <w:shd w:val="clear" w:color="auto" w:fill="auto"/>
            <w:vAlign w:val="center"/>
          </w:tcPr>
          <w:p w14:paraId="575BE1DF">
            <w:pPr>
              <w:jc w:val="center"/>
              <w:textAlignment w:val="center"/>
              <w:rPr>
                <w:rFonts w:ascii="宋体" w:hAnsi="宋体" w:cs="宋体"/>
                <w:szCs w:val="21"/>
              </w:rPr>
            </w:pPr>
            <w:r>
              <w:rPr>
                <w:rFonts w:hint="eastAsia" w:ascii="宋体" w:hAnsi="宋体" w:cs="宋体"/>
                <w:szCs w:val="21"/>
              </w:rPr>
              <w:t>多系统接入平台（POI）服务</w:t>
            </w:r>
          </w:p>
        </w:tc>
        <w:tc>
          <w:tcPr>
            <w:tcW w:w="461" w:type="pct"/>
            <w:shd w:val="clear" w:color="auto" w:fill="auto"/>
            <w:vAlign w:val="center"/>
          </w:tcPr>
          <w:p w14:paraId="052141EB">
            <w:pPr>
              <w:jc w:val="center"/>
              <w:textAlignment w:val="center"/>
              <w:rPr>
                <w:rFonts w:hint="eastAsia" w:ascii="宋体" w:hAnsi="宋体" w:eastAsia="宋体" w:cs="宋体"/>
                <w:szCs w:val="21"/>
                <w:lang w:val="en-US" w:eastAsia="zh-CN"/>
              </w:rPr>
            </w:pPr>
            <w:r>
              <w:rPr>
                <w:rFonts w:hint="eastAsia" w:ascii="宋体" w:hAnsi="宋体" w:eastAsia="宋体" w:cs="宋体"/>
                <w:szCs w:val="21"/>
                <w:lang w:val="en-US" w:eastAsia="zh-CN"/>
              </w:rPr>
              <w:t>7</w:t>
            </w:r>
          </w:p>
        </w:tc>
        <w:tc>
          <w:tcPr>
            <w:tcW w:w="350" w:type="pct"/>
            <w:shd w:val="clear" w:color="auto" w:fill="auto"/>
            <w:vAlign w:val="center"/>
          </w:tcPr>
          <w:p w14:paraId="3CE90372">
            <w:pPr>
              <w:jc w:val="center"/>
              <w:textAlignment w:val="center"/>
              <w:rPr>
                <w:rFonts w:ascii="宋体" w:hAnsi="宋体" w:cs="宋体"/>
                <w:szCs w:val="21"/>
              </w:rPr>
            </w:pPr>
            <w:r>
              <w:rPr>
                <w:rFonts w:hint="eastAsia" w:ascii="宋体" w:hAnsi="宋体" w:cs="宋体"/>
                <w:szCs w:val="21"/>
              </w:rPr>
              <w:t>个</w:t>
            </w:r>
          </w:p>
        </w:tc>
        <w:tc>
          <w:tcPr>
            <w:tcW w:w="413" w:type="pct"/>
            <w:shd w:val="clear" w:color="auto" w:fill="auto"/>
            <w:vAlign w:val="center"/>
          </w:tcPr>
          <w:p w14:paraId="6FA04064">
            <w:pPr>
              <w:jc w:val="center"/>
              <w:textAlignment w:val="center"/>
              <w:rPr>
                <w:rFonts w:ascii="宋体" w:hAnsi="宋体" w:cs="宋体"/>
                <w:szCs w:val="21"/>
              </w:rPr>
            </w:pPr>
            <w:r>
              <w:rPr>
                <w:rFonts w:hint="eastAsia" w:ascii="宋体" w:hAnsi="宋体" w:cs="宋体"/>
                <w:szCs w:val="21"/>
              </w:rPr>
              <w:t>京信</w:t>
            </w:r>
          </w:p>
        </w:tc>
        <w:tc>
          <w:tcPr>
            <w:tcW w:w="2789" w:type="pct"/>
            <w:shd w:val="clear" w:color="auto" w:fill="auto"/>
            <w:vAlign w:val="center"/>
          </w:tcPr>
          <w:p w14:paraId="51222E71">
            <w:pPr>
              <w:textAlignment w:val="center"/>
              <w:rPr>
                <w:rFonts w:hint="eastAsia" w:ascii="宋体" w:hAnsi="宋体" w:eastAsia="宋体" w:cs="宋体"/>
                <w:szCs w:val="21"/>
                <w:lang w:eastAsia="zh-CN"/>
              </w:rPr>
            </w:pPr>
            <w:r>
              <w:rPr>
                <w:rFonts w:hint="eastAsia" w:ascii="宋体" w:hAnsi="宋体" w:cs="宋体"/>
                <w:szCs w:val="21"/>
              </w:rPr>
              <w:t>1.名称：多系统接入平台（POI）服务</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2.规格：12进2出POI合路器、满足三大运营商2G/3G/4G/5G接入，频率800-3700MHz范围、插入损耗：3.5G≤4.0,联通、移动TD-LTE≤5.5,其他端口≤5.0，，器件满足三阶互调指标</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3.工作内容：含安装调试，含所需辅材,满足通管办验收</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4.符合设计、图纸、</w:t>
            </w:r>
            <w:r>
              <w:rPr>
                <w:rFonts w:hint="eastAsia" w:ascii="宋体" w:hAnsi="宋体" w:cs="宋体"/>
                <w:szCs w:val="21"/>
                <w:lang w:eastAsia="zh-CN"/>
              </w:rPr>
              <w:t>技术规范书</w:t>
            </w:r>
            <w:r>
              <w:rPr>
                <w:rFonts w:hint="eastAsia" w:ascii="宋体" w:hAnsi="宋体" w:cs="宋体"/>
                <w:szCs w:val="21"/>
              </w:rPr>
              <w:t>、规范要求完成该清单其他一切相关服务内容及材料费用</w:t>
            </w:r>
            <w:r>
              <w:rPr>
                <w:rFonts w:hint="eastAsia" w:ascii="宋体" w:hAnsi="宋体" w:cs="宋体"/>
                <w:szCs w:val="21"/>
                <w:lang w:eastAsia="zh-CN"/>
              </w:rPr>
              <w:t>。</w:t>
            </w:r>
          </w:p>
        </w:tc>
      </w:tr>
      <w:tr w14:paraId="067BE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4F2730FA">
            <w:pPr>
              <w:jc w:val="center"/>
              <w:textAlignment w:val="center"/>
              <w:rPr>
                <w:rFonts w:ascii="宋体" w:hAnsi="宋体" w:cs="宋体"/>
                <w:szCs w:val="21"/>
              </w:rPr>
            </w:pPr>
            <w:r>
              <w:rPr>
                <w:rFonts w:hint="eastAsia" w:ascii="宋体" w:hAnsi="宋体" w:cs="宋体"/>
                <w:szCs w:val="21"/>
              </w:rPr>
              <w:t>2</w:t>
            </w:r>
          </w:p>
        </w:tc>
        <w:tc>
          <w:tcPr>
            <w:tcW w:w="608" w:type="pct"/>
            <w:shd w:val="clear" w:color="auto" w:fill="auto"/>
            <w:vAlign w:val="center"/>
          </w:tcPr>
          <w:p w14:paraId="667E03F8">
            <w:pPr>
              <w:jc w:val="center"/>
              <w:textAlignment w:val="center"/>
              <w:rPr>
                <w:rFonts w:ascii="宋体" w:hAnsi="宋体" w:cs="宋体"/>
                <w:szCs w:val="21"/>
              </w:rPr>
            </w:pPr>
            <w:r>
              <w:rPr>
                <w:rFonts w:hint="eastAsia" w:ascii="宋体" w:hAnsi="宋体" w:cs="宋体"/>
                <w:szCs w:val="21"/>
              </w:rPr>
              <w:t>耦合服务</w:t>
            </w:r>
          </w:p>
        </w:tc>
        <w:tc>
          <w:tcPr>
            <w:tcW w:w="461" w:type="pct"/>
            <w:shd w:val="clear" w:color="auto" w:fill="auto"/>
            <w:vAlign w:val="center"/>
          </w:tcPr>
          <w:p w14:paraId="4D05F67E">
            <w:pPr>
              <w:jc w:val="center"/>
              <w:textAlignment w:val="center"/>
              <w:rPr>
                <w:rFonts w:hint="default" w:ascii="宋体" w:hAnsi="宋体" w:eastAsia="宋体" w:cs="宋体"/>
                <w:szCs w:val="21"/>
                <w:lang w:val="en-US" w:eastAsia="zh-CN"/>
              </w:rPr>
            </w:pPr>
            <w:r>
              <w:rPr>
                <w:rFonts w:hint="eastAsia" w:ascii="宋体" w:hAnsi="宋体" w:eastAsia="宋体" w:cs="宋体"/>
                <w:szCs w:val="21"/>
                <w:lang w:val="en-US" w:eastAsia="zh-CN"/>
              </w:rPr>
              <w:t>151</w:t>
            </w:r>
          </w:p>
        </w:tc>
        <w:tc>
          <w:tcPr>
            <w:tcW w:w="350" w:type="pct"/>
            <w:shd w:val="clear" w:color="auto" w:fill="auto"/>
            <w:vAlign w:val="center"/>
          </w:tcPr>
          <w:p w14:paraId="5EB83D7A">
            <w:pPr>
              <w:jc w:val="center"/>
              <w:textAlignment w:val="center"/>
              <w:rPr>
                <w:rFonts w:ascii="宋体" w:hAnsi="宋体" w:cs="宋体"/>
                <w:szCs w:val="21"/>
              </w:rPr>
            </w:pPr>
            <w:r>
              <w:rPr>
                <w:rFonts w:hint="eastAsia" w:ascii="宋体" w:hAnsi="宋体" w:cs="宋体"/>
                <w:szCs w:val="21"/>
              </w:rPr>
              <w:t>个</w:t>
            </w:r>
          </w:p>
        </w:tc>
        <w:tc>
          <w:tcPr>
            <w:tcW w:w="413" w:type="pct"/>
            <w:shd w:val="clear" w:color="auto" w:fill="auto"/>
            <w:vAlign w:val="center"/>
          </w:tcPr>
          <w:p w14:paraId="77302C9B">
            <w:pPr>
              <w:jc w:val="center"/>
              <w:textAlignment w:val="center"/>
              <w:rPr>
                <w:rFonts w:ascii="宋体" w:hAnsi="宋体" w:cs="宋体"/>
                <w:szCs w:val="21"/>
              </w:rPr>
            </w:pPr>
            <w:r>
              <w:rPr>
                <w:rFonts w:ascii="宋体" w:hAnsi="宋体" w:cs="宋体"/>
                <w:szCs w:val="21"/>
                <w:highlight w:val="none"/>
              </w:rPr>
              <w:t>国人</w:t>
            </w:r>
            <w:r>
              <w:rPr>
                <w:rFonts w:hint="eastAsia" w:ascii="宋体" w:hAnsi="宋体" w:cs="宋体"/>
                <w:szCs w:val="21"/>
                <w:highlight w:val="none"/>
              </w:rPr>
              <w:t>通信</w:t>
            </w:r>
          </w:p>
        </w:tc>
        <w:tc>
          <w:tcPr>
            <w:tcW w:w="2789" w:type="pct"/>
            <w:shd w:val="clear" w:color="auto" w:fill="auto"/>
            <w:vAlign w:val="center"/>
          </w:tcPr>
          <w:p w14:paraId="49175819">
            <w:pPr>
              <w:textAlignment w:val="center"/>
              <w:rPr>
                <w:rFonts w:hint="eastAsia" w:ascii="宋体" w:hAnsi="宋体" w:eastAsia="宋体" w:cs="宋体"/>
                <w:szCs w:val="21"/>
                <w:lang w:eastAsia="zh-CN"/>
              </w:rPr>
            </w:pPr>
            <w:r>
              <w:rPr>
                <w:rFonts w:hint="eastAsia" w:ascii="宋体" w:hAnsi="宋体" w:cs="宋体"/>
                <w:szCs w:val="21"/>
              </w:rPr>
              <w:t>1.名称：耦合服务</w:t>
            </w:r>
            <w:r>
              <w:rPr>
                <w:rFonts w:hint="eastAsia" w:ascii="宋体" w:hAnsi="宋体" w:cs="宋体"/>
                <w:szCs w:val="21"/>
              </w:rPr>
              <w:br w:type="textWrapping"/>
            </w:r>
            <w:r>
              <w:rPr>
                <w:rFonts w:hint="eastAsia" w:ascii="宋体" w:hAnsi="宋体" w:cs="宋体"/>
                <w:szCs w:val="21"/>
              </w:rPr>
              <w:t>2.规格：工作频率：800~3700MHz、器件满足三阶互调指标，天馈系统前三级器件采用500W高功率器件，器件满足三阶互调指标-150dBc@2X43dBm。三级往后器件采用300W功率器件，器件满足三阶互调指标-140dBc@2X43dBm。</w:t>
            </w:r>
            <w:r>
              <w:rPr>
                <w:rFonts w:hint="eastAsia" w:ascii="宋体" w:hAnsi="宋体" w:cs="宋体"/>
                <w:szCs w:val="21"/>
              </w:rPr>
              <w:br w:type="textWrapping"/>
            </w:r>
            <w:r>
              <w:rPr>
                <w:rFonts w:hint="eastAsia" w:ascii="宋体" w:hAnsi="宋体" w:cs="宋体"/>
                <w:szCs w:val="21"/>
              </w:rPr>
              <w:t>3.工作内容：含安装调试，含所需辅材，满足通管办验收</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4.符合设计、图纸、</w:t>
            </w:r>
            <w:r>
              <w:rPr>
                <w:rFonts w:hint="eastAsia" w:ascii="宋体" w:hAnsi="宋体" w:cs="宋体"/>
                <w:szCs w:val="21"/>
                <w:lang w:eastAsia="zh-CN"/>
              </w:rPr>
              <w:t>技术规范书</w:t>
            </w:r>
            <w:r>
              <w:rPr>
                <w:rFonts w:hint="eastAsia" w:ascii="宋体" w:hAnsi="宋体" w:cs="宋体"/>
                <w:szCs w:val="21"/>
              </w:rPr>
              <w:t>、规范要求完成该清单其他一切相关服务内容及材料费用</w:t>
            </w:r>
            <w:r>
              <w:rPr>
                <w:rFonts w:hint="eastAsia" w:ascii="宋体" w:hAnsi="宋体" w:cs="宋体"/>
                <w:szCs w:val="21"/>
                <w:lang w:eastAsia="zh-CN"/>
              </w:rPr>
              <w:t>。</w:t>
            </w:r>
          </w:p>
        </w:tc>
      </w:tr>
      <w:tr w14:paraId="0682A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0E569C69">
            <w:pPr>
              <w:jc w:val="center"/>
              <w:textAlignment w:val="center"/>
              <w:rPr>
                <w:rFonts w:ascii="宋体" w:hAnsi="宋体" w:cs="宋体"/>
                <w:szCs w:val="21"/>
              </w:rPr>
            </w:pPr>
            <w:r>
              <w:rPr>
                <w:rFonts w:hint="eastAsia" w:ascii="宋体" w:hAnsi="宋体" w:cs="宋体"/>
                <w:szCs w:val="21"/>
              </w:rPr>
              <w:t>3</w:t>
            </w:r>
          </w:p>
        </w:tc>
        <w:tc>
          <w:tcPr>
            <w:tcW w:w="608" w:type="pct"/>
            <w:shd w:val="clear" w:color="auto" w:fill="auto"/>
            <w:vAlign w:val="center"/>
          </w:tcPr>
          <w:p w14:paraId="1F91A949">
            <w:pPr>
              <w:jc w:val="center"/>
              <w:textAlignment w:val="center"/>
              <w:rPr>
                <w:rFonts w:ascii="宋体" w:hAnsi="宋体" w:cs="宋体"/>
                <w:szCs w:val="21"/>
              </w:rPr>
            </w:pPr>
            <w:r>
              <w:rPr>
                <w:rFonts w:hint="eastAsia" w:ascii="宋体" w:hAnsi="宋体" w:cs="宋体"/>
                <w:szCs w:val="21"/>
              </w:rPr>
              <w:t>功分服务</w:t>
            </w:r>
          </w:p>
        </w:tc>
        <w:tc>
          <w:tcPr>
            <w:tcW w:w="461" w:type="pct"/>
            <w:shd w:val="clear" w:color="auto" w:fill="auto"/>
            <w:vAlign w:val="center"/>
          </w:tcPr>
          <w:p w14:paraId="6259E9CD">
            <w:pPr>
              <w:jc w:val="center"/>
              <w:textAlignment w:val="center"/>
              <w:rPr>
                <w:rFonts w:hint="default" w:ascii="宋体" w:hAnsi="宋体" w:eastAsia="宋体" w:cs="宋体"/>
                <w:szCs w:val="21"/>
                <w:lang w:val="en-US" w:eastAsia="zh-CN"/>
              </w:rPr>
            </w:pPr>
            <w:r>
              <w:rPr>
                <w:rFonts w:hint="eastAsia" w:ascii="宋体" w:hAnsi="宋体" w:eastAsia="宋体" w:cs="宋体"/>
                <w:szCs w:val="21"/>
                <w:lang w:val="en-US" w:eastAsia="zh-CN"/>
              </w:rPr>
              <w:t>137</w:t>
            </w:r>
          </w:p>
        </w:tc>
        <w:tc>
          <w:tcPr>
            <w:tcW w:w="350" w:type="pct"/>
            <w:shd w:val="clear" w:color="auto" w:fill="auto"/>
            <w:vAlign w:val="center"/>
          </w:tcPr>
          <w:p w14:paraId="55ADEFBD">
            <w:pPr>
              <w:jc w:val="center"/>
              <w:textAlignment w:val="center"/>
              <w:rPr>
                <w:rFonts w:ascii="宋体" w:hAnsi="宋体" w:cs="宋体"/>
                <w:szCs w:val="21"/>
              </w:rPr>
            </w:pPr>
            <w:r>
              <w:rPr>
                <w:rFonts w:hint="eastAsia" w:ascii="宋体" w:hAnsi="宋体" w:cs="宋体"/>
                <w:szCs w:val="21"/>
              </w:rPr>
              <w:t>个</w:t>
            </w:r>
          </w:p>
        </w:tc>
        <w:tc>
          <w:tcPr>
            <w:tcW w:w="413" w:type="pct"/>
            <w:shd w:val="clear" w:color="auto" w:fill="auto"/>
            <w:vAlign w:val="center"/>
          </w:tcPr>
          <w:p w14:paraId="61398A76">
            <w:pPr>
              <w:jc w:val="center"/>
              <w:textAlignment w:val="center"/>
              <w:rPr>
                <w:rFonts w:ascii="宋体" w:hAnsi="宋体" w:cs="宋体"/>
                <w:szCs w:val="21"/>
              </w:rPr>
            </w:pPr>
            <w:r>
              <w:rPr>
                <w:rFonts w:ascii="宋体" w:hAnsi="宋体" w:cs="宋体"/>
                <w:szCs w:val="21"/>
                <w:highlight w:val="none"/>
              </w:rPr>
              <w:t>国人</w:t>
            </w:r>
            <w:r>
              <w:rPr>
                <w:rFonts w:hint="eastAsia" w:ascii="宋体" w:hAnsi="宋体" w:cs="宋体"/>
                <w:szCs w:val="21"/>
                <w:highlight w:val="none"/>
              </w:rPr>
              <w:t>通信</w:t>
            </w:r>
          </w:p>
        </w:tc>
        <w:tc>
          <w:tcPr>
            <w:tcW w:w="2789" w:type="pct"/>
            <w:shd w:val="clear" w:color="auto" w:fill="auto"/>
            <w:vAlign w:val="center"/>
          </w:tcPr>
          <w:p w14:paraId="5FC6AA81">
            <w:pPr>
              <w:textAlignment w:val="center"/>
              <w:rPr>
                <w:rFonts w:hint="eastAsia" w:ascii="宋体" w:hAnsi="宋体" w:eastAsia="宋体" w:cs="宋体"/>
                <w:szCs w:val="21"/>
                <w:lang w:eastAsia="zh-CN"/>
              </w:rPr>
            </w:pPr>
            <w:r>
              <w:rPr>
                <w:rFonts w:hint="eastAsia" w:ascii="宋体" w:hAnsi="宋体" w:cs="宋体"/>
                <w:szCs w:val="21"/>
              </w:rPr>
              <w:t>1.名称：功分服务</w:t>
            </w:r>
            <w:r>
              <w:rPr>
                <w:rFonts w:hint="eastAsia" w:ascii="宋体" w:hAnsi="宋体" w:cs="宋体"/>
                <w:szCs w:val="21"/>
              </w:rPr>
              <w:br w:type="textWrapping"/>
            </w:r>
            <w:r>
              <w:rPr>
                <w:rFonts w:hint="eastAsia" w:ascii="宋体" w:hAnsi="宋体" w:cs="宋体"/>
                <w:szCs w:val="21"/>
              </w:rPr>
              <w:t>2.规格：工作频率：800~3700MHz、器件满足三阶互调指标，天馈系统前三级器件采用500W高功率器件，器件满足三阶互调指标-150dBc@2X43dBm。三级往后器件采用300W功率器件，器件满足三阶互调指标-140dBc@2X43dBm。</w:t>
            </w:r>
            <w:r>
              <w:rPr>
                <w:rFonts w:hint="eastAsia" w:ascii="宋体" w:hAnsi="宋体" w:cs="宋体"/>
                <w:szCs w:val="21"/>
              </w:rPr>
              <w:br w:type="textWrapping"/>
            </w:r>
            <w:r>
              <w:rPr>
                <w:rFonts w:hint="eastAsia" w:ascii="宋体" w:hAnsi="宋体" w:cs="宋体"/>
                <w:szCs w:val="21"/>
              </w:rPr>
              <w:t>3.工作内容：含安装调试，含所需辅材，满足通管办验收</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4.符合设计、图纸、</w:t>
            </w:r>
            <w:r>
              <w:rPr>
                <w:rFonts w:hint="eastAsia" w:ascii="宋体" w:hAnsi="宋体" w:cs="宋体"/>
                <w:szCs w:val="21"/>
                <w:lang w:eastAsia="zh-CN"/>
              </w:rPr>
              <w:t>技术规范书</w:t>
            </w:r>
            <w:r>
              <w:rPr>
                <w:rFonts w:hint="eastAsia" w:ascii="宋体" w:hAnsi="宋体" w:cs="宋体"/>
                <w:szCs w:val="21"/>
              </w:rPr>
              <w:t>、规范要求完成该清单其他一切相关服务内容及材料费用</w:t>
            </w:r>
            <w:r>
              <w:rPr>
                <w:rFonts w:hint="eastAsia" w:ascii="宋体" w:hAnsi="宋体" w:cs="宋体"/>
                <w:szCs w:val="21"/>
                <w:lang w:eastAsia="zh-CN"/>
              </w:rPr>
              <w:t>。</w:t>
            </w:r>
          </w:p>
        </w:tc>
      </w:tr>
      <w:tr w14:paraId="5FA85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7EC08D96">
            <w:pPr>
              <w:jc w:val="center"/>
              <w:textAlignment w:val="center"/>
              <w:rPr>
                <w:rFonts w:ascii="宋体" w:hAnsi="宋体" w:cs="宋体"/>
                <w:szCs w:val="21"/>
              </w:rPr>
            </w:pPr>
            <w:r>
              <w:rPr>
                <w:rFonts w:hint="eastAsia" w:ascii="宋体" w:hAnsi="宋体" w:cs="宋体"/>
                <w:szCs w:val="21"/>
              </w:rPr>
              <w:t>4</w:t>
            </w:r>
          </w:p>
        </w:tc>
        <w:tc>
          <w:tcPr>
            <w:tcW w:w="608" w:type="pct"/>
            <w:shd w:val="clear" w:color="auto" w:fill="auto"/>
            <w:vAlign w:val="center"/>
          </w:tcPr>
          <w:p w14:paraId="074AF86A">
            <w:pPr>
              <w:jc w:val="center"/>
              <w:textAlignment w:val="center"/>
              <w:rPr>
                <w:rFonts w:ascii="宋体" w:hAnsi="宋体" w:cs="宋体"/>
                <w:szCs w:val="21"/>
              </w:rPr>
            </w:pPr>
            <w:r>
              <w:rPr>
                <w:rFonts w:hint="eastAsia" w:ascii="宋体" w:hAnsi="宋体" w:cs="宋体"/>
                <w:szCs w:val="21"/>
              </w:rPr>
              <w:t>连接服务</w:t>
            </w:r>
          </w:p>
        </w:tc>
        <w:tc>
          <w:tcPr>
            <w:tcW w:w="461" w:type="pct"/>
            <w:shd w:val="clear" w:color="auto" w:fill="auto"/>
            <w:vAlign w:val="center"/>
          </w:tcPr>
          <w:p w14:paraId="03F0550A">
            <w:pPr>
              <w:jc w:val="center"/>
              <w:textAlignment w:val="center"/>
              <w:rPr>
                <w:rFonts w:hint="default" w:ascii="宋体" w:hAnsi="宋体" w:eastAsia="宋体" w:cs="宋体"/>
                <w:szCs w:val="21"/>
                <w:lang w:val="en-US" w:eastAsia="zh-CN"/>
              </w:rPr>
            </w:pPr>
            <w:r>
              <w:rPr>
                <w:rFonts w:hint="eastAsia" w:ascii="宋体" w:hAnsi="宋体" w:eastAsia="宋体" w:cs="宋体"/>
                <w:szCs w:val="21"/>
                <w:lang w:val="en-US" w:eastAsia="zh-CN"/>
              </w:rPr>
              <w:t>1262</w:t>
            </w:r>
          </w:p>
        </w:tc>
        <w:tc>
          <w:tcPr>
            <w:tcW w:w="350" w:type="pct"/>
            <w:shd w:val="clear" w:color="auto" w:fill="auto"/>
            <w:vAlign w:val="center"/>
          </w:tcPr>
          <w:p w14:paraId="63FF7070">
            <w:pPr>
              <w:jc w:val="center"/>
              <w:textAlignment w:val="center"/>
              <w:rPr>
                <w:rFonts w:ascii="宋体" w:hAnsi="宋体" w:cs="宋体"/>
                <w:szCs w:val="21"/>
              </w:rPr>
            </w:pPr>
            <w:r>
              <w:rPr>
                <w:rFonts w:hint="eastAsia" w:ascii="宋体" w:hAnsi="宋体" w:cs="宋体"/>
                <w:szCs w:val="21"/>
              </w:rPr>
              <w:t>个</w:t>
            </w:r>
          </w:p>
        </w:tc>
        <w:tc>
          <w:tcPr>
            <w:tcW w:w="413" w:type="pct"/>
            <w:shd w:val="clear" w:color="auto" w:fill="auto"/>
            <w:vAlign w:val="center"/>
          </w:tcPr>
          <w:p w14:paraId="6DDAF2C6">
            <w:pPr>
              <w:jc w:val="center"/>
              <w:textAlignment w:val="center"/>
              <w:rPr>
                <w:rFonts w:ascii="宋体" w:hAnsi="宋体" w:cs="宋体"/>
                <w:szCs w:val="21"/>
              </w:rPr>
            </w:pPr>
            <w:r>
              <w:rPr>
                <w:rFonts w:hint="eastAsia" w:ascii="宋体" w:hAnsi="宋体" w:cs="宋体"/>
                <w:szCs w:val="21"/>
                <w:highlight w:val="none"/>
              </w:rPr>
              <w:t>江苏亨鑫</w:t>
            </w:r>
          </w:p>
        </w:tc>
        <w:tc>
          <w:tcPr>
            <w:tcW w:w="2789" w:type="pct"/>
            <w:shd w:val="clear" w:color="auto" w:fill="auto"/>
            <w:vAlign w:val="center"/>
          </w:tcPr>
          <w:p w14:paraId="172D0949">
            <w:pPr>
              <w:textAlignment w:val="center"/>
              <w:rPr>
                <w:rFonts w:hint="eastAsia" w:ascii="宋体" w:hAnsi="宋体" w:eastAsia="宋体" w:cs="宋体"/>
                <w:szCs w:val="21"/>
                <w:lang w:eastAsia="zh-CN"/>
              </w:rPr>
            </w:pPr>
            <w:r>
              <w:rPr>
                <w:rFonts w:hint="eastAsia" w:ascii="宋体" w:hAnsi="宋体" w:cs="宋体"/>
                <w:szCs w:val="21"/>
              </w:rPr>
              <w:t>1.名称：连接服务</w:t>
            </w:r>
            <w:r>
              <w:rPr>
                <w:rFonts w:hint="eastAsia" w:ascii="宋体" w:hAnsi="宋体" w:cs="宋体"/>
                <w:szCs w:val="21"/>
              </w:rPr>
              <w:br w:type="textWrapping"/>
            </w:r>
            <w:r>
              <w:rPr>
                <w:rFonts w:hint="eastAsia" w:ascii="宋体" w:hAnsi="宋体" w:cs="宋体"/>
                <w:szCs w:val="21"/>
              </w:rPr>
              <w:t>2.规格：1/2"N型(公头)、使用频率范围≤18GHz</w:t>
            </w:r>
            <w:r>
              <w:rPr>
                <w:rFonts w:hint="eastAsia" w:ascii="宋体" w:hAnsi="宋体" w:cs="宋体"/>
                <w:szCs w:val="21"/>
              </w:rPr>
              <w:br w:type="textWrapping"/>
            </w:r>
            <w:r>
              <w:rPr>
                <w:rFonts w:hint="eastAsia" w:ascii="宋体" w:hAnsi="宋体" w:cs="宋体"/>
                <w:szCs w:val="21"/>
              </w:rPr>
              <w:t>3.工作内容：含安装调试，含所需辅材，器件满足三阶互调指标,满足通管办验收</w:t>
            </w:r>
            <w:r>
              <w:rPr>
                <w:rFonts w:hint="eastAsia" w:ascii="宋体" w:hAnsi="宋体" w:cs="宋体"/>
                <w:szCs w:val="21"/>
              </w:rPr>
              <w:br w:type="textWrapping"/>
            </w:r>
            <w:r>
              <w:rPr>
                <w:rFonts w:hint="eastAsia" w:ascii="宋体" w:hAnsi="宋体" w:cs="宋体"/>
                <w:szCs w:val="21"/>
              </w:rPr>
              <w:t>4.符合设计、图纸、</w:t>
            </w:r>
            <w:r>
              <w:rPr>
                <w:rFonts w:hint="eastAsia" w:ascii="宋体" w:hAnsi="宋体" w:cs="宋体"/>
                <w:szCs w:val="21"/>
                <w:lang w:eastAsia="zh-CN"/>
              </w:rPr>
              <w:t>技术规范书</w:t>
            </w:r>
            <w:r>
              <w:rPr>
                <w:rFonts w:hint="eastAsia" w:ascii="宋体" w:hAnsi="宋体" w:cs="宋体"/>
                <w:szCs w:val="21"/>
              </w:rPr>
              <w:t>、规范要求完成该清单其他一切相关服务内容及材料费用</w:t>
            </w:r>
            <w:r>
              <w:rPr>
                <w:rFonts w:hint="eastAsia" w:ascii="宋体" w:hAnsi="宋体" w:cs="宋体"/>
                <w:szCs w:val="21"/>
                <w:lang w:eastAsia="zh-CN"/>
              </w:rPr>
              <w:t>。</w:t>
            </w:r>
          </w:p>
        </w:tc>
      </w:tr>
      <w:tr w14:paraId="09E9C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1C4B8DAD">
            <w:pPr>
              <w:jc w:val="center"/>
              <w:textAlignment w:val="center"/>
              <w:rPr>
                <w:rFonts w:ascii="宋体" w:hAnsi="宋体" w:cs="宋体"/>
                <w:szCs w:val="21"/>
              </w:rPr>
            </w:pPr>
            <w:r>
              <w:rPr>
                <w:rFonts w:hint="eastAsia" w:ascii="宋体" w:hAnsi="宋体" w:cs="宋体"/>
                <w:szCs w:val="21"/>
              </w:rPr>
              <w:t>5</w:t>
            </w:r>
          </w:p>
        </w:tc>
        <w:tc>
          <w:tcPr>
            <w:tcW w:w="608" w:type="pct"/>
            <w:shd w:val="clear" w:color="auto" w:fill="auto"/>
            <w:vAlign w:val="center"/>
          </w:tcPr>
          <w:p w14:paraId="16E929FA">
            <w:pPr>
              <w:jc w:val="center"/>
              <w:textAlignment w:val="center"/>
              <w:rPr>
                <w:rFonts w:ascii="宋体" w:hAnsi="宋体" w:cs="宋体"/>
                <w:szCs w:val="21"/>
              </w:rPr>
            </w:pPr>
            <w:r>
              <w:rPr>
                <w:rFonts w:hint="eastAsia" w:ascii="宋体" w:hAnsi="宋体" w:cs="宋体"/>
                <w:szCs w:val="21"/>
              </w:rPr>
              <w:t>连接服务</w:t>
            </w:r>
          </w:p>
        </w:tc>
        <w:tc>
          <w:tcPr>
            <w:tcW w:w="461" w:type="pct"/>
            <w:shd w:val="clear" w:color="auto" w:fill="auto"/>
            <w:vAlign w:val="center"/>
          </w:tcPr>
          <w:p w14:paraId="32F9EC64">
            <w:pPr>
              <w:jc w:val="center"/>
              <w:textAlignment w:val="center"/>
              <w:rPr>
                <w:rFonts w:hint="default" w:ascii="宋体" w:hAnsi="宋体" w:eastAsia="宋体" w:cs="宋体"/>
                <w:szCs w:val="21"/>
                <w:lang w:val="en-US" w:eastAsia="zh-CN"/>
              </w:rPr>
            </w:pPr>
            <w:r>
              <w:rPr>
                <w:rFonts w:hint="eastAsia" w:ascii="宋体" w:hAnsi="宋体" w:eastAsia="宋体" w:cs="宋体"/>
                <w:szCs w:val="21"/>
                <w:lang w:val="en-US" w:eastAsia="zh-CN"/>
              </w:rPr>
              <w:t>28</w:t>
            </w:r>
          </w:p>
        </w:tc>
        <w:tc>
          <w:tcPr>
            <w:tcW w:w="350" w:type="pct"/>
            <w:shd w:val="clear" w:color="auto" w:fill="auto"/>
            <w:vAlign w:val="center"/>
          </w:tcPr>
          <w:p w14:paraId="6CEEE963">
            <w:pPr>
              <w:jc w:val="center"/>
              <w:textAlignment w:val="center"/>
              <w:rPr>
                <w:rFonts w:ascii="宋体" w:hAnsi="宋体" w:cs="宋体"/>
                <w:szCs w:val="21"/>
              </w:rPr>
            </w:pPr>
            <w:r>
              <w:rPr>
                <w:rFonts w:hint="eastAsia" w:ascii="宋体" w:hAnsi="宋体" w:cs="宋体"/>
                <w:szCs w:val="21"/>
              </w:rPr>
              <w:t>个</w:t>
            </w:r>
          </w:p>
        </w:tc>
        <w:tc>
          <w:tcPr>
            <w:tcW w:w="413" w:type="pct"/>
            <w:shd w:val="clear" w:color="auto" w:fill="auto"/>
            <w:vAlign w:val="center"/>
          </w:tcPr>
          <w:p w14:paraId="3550C67B">
            <w:pPr>
              <w:jc w:val="center"/>
              <w:textAlignment w:val="center"/>
              <w:rPr>
                <w:rFonts w:ascii="宋体" w:hAnsi="宋体" w:cs="宋体"/>
                <w:szCs w:val="21"/>
              </w:rPr>
            </w:pPr>
            <w:r>
              <w:rPr>
                <w:rFonts w:hint="eastAsia" w:ascii="宋体" w:hAnsi="宋体" w:cs="宋体"/>
                <w:szCs w:val="21"/>
                <w:highlight w:val="none"/>
              </w:rPr>
              <w:t>江苏亨鑫</w:t>
            </w:r>
          </w:p>
        </w:tc>
        <w:tc>
          <w:tcPr>
            <w:tcW w:w="2789" w:type="pct"/>
            <w:shd w:val="clear" w:color="auto" w:fill="auto"/>
            <w:vAlign w:val="center"/>
          </w:tcPr>
          <w:p w14:paraId="0FBC3AAA">
            <w:pPr>
              <w:textAlignment w:val="center"/>
              <w:rPr>
                <w:rFonts w:hint="eastAsia" w:ascii="宋体" w:hAnsi="宋体" w:eastAsia="宋体" w:cs="宋体"/>
                <w:szCs w:val="21"/>
                <w:lang w:eastAsia="zh-CN"/>
              </w:rPr>
            </w:pPr>
            <w:r>
              <w:rPr>
                <w:rFonts w:hint="eastAsia" w:ascii="宋体" w:hAnsi="宋体" w:cs="宋体"/>
                <w:szCs w:val="21"/>
              </w:rPr>
              <w:t>1.名称：连接服务</w:t>
            </w:r>
            <w:r>
              <w:rPr>
                <w:rFonts w:hint="eastAsia" w:ascii="宋体" w:hAnsi="宋体" w:cs="宋体"/>
                <w:szCs w:val="21"/>
              </w:rPr>
              <w:br w:type="textWrapping"/>
            </w:r>
            <w:r>
              <w:rPr>
                <w:rFonts w:hint="eastAsia" w:ascii="宋体" w:hAnsi="宋体" w:cs="宋体"/>
                <w:szCs w:val="21"/>
              </w:rPr>
              <w:t>2.规格：7/8"N型(公头)、使用频率范围≤18GHz，器件满足三阶互调指标</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3.工作内容：含安装调试，含所需辅材,满足通管办验收</w:t>
            </w:r>
            <w:r>
              <w:rPr>
                <w:rFonts w:hint="eastAsia" w:ascii="宋体" w:hAnsi="宋体" w:cs="宋体"/>
                <w:szCs w:val="21"/>
                <w:lang w:eastAsia="zh-CN"/>
              </w:rPr>
              <w:t>；</w:t>
            </w:r>
            <w:r>
              <w:rPr>
                <w:rFonts w:hint="eastAsia" w:ascii="宋体" w:hAnsi="宋体" w:cs="宋体"/>
                <w:szCs w:val="21"/>
              </w:rPr>
              <w:br w:type="textWrapping"/>
            </w:r>
            <w:r>
              <w:rPr>
                <w:rFonts w:hint="eastAsia" w:ascii="宋体" w:hAnsi="宋体" w:cs="宋体"/>
                <w:szCs w:val="21"/>
              </w:rPr>
              <w:t>4.符合设计、图纸、</w:t>
            </w:r>
            <w:r>
              <w:rPr>
                <w:rFonts w:hint="eastAsia" w:ascii="宋体" w:hAnsi="宋体" w:cs="宋体"/>
                <w:szCs w:val="21"/>
                <w:lang w:eastAsia="zh-CN"/>
              </w:rPr>
              <w:t>技术规范书</w:t>
            </w:r>
            <w:r>
              <w:rPr>
                <w:rFonts w:hint="eastAsia" w:ascii="宋体" w:hAnsi="宋体" w:cs="宋体"/>
                <w:szCs w:val="21"/>
              </w:rPr>
              <w:t>、规范要求完成该清单其他一切相关服务内容及材料费用</w:t>
            </w:r>
            <w:r>
              <w:rPr>
                <w:rFonts w:hint="eastAsia" w:ascii="宋体" w:hAnsi="宋体" w:cs="宋体"/>
                <w:szCs w:val="21"/>
                <w:lang w:eastAsia="zh-CN"/>
              </w:rPr>
              <w:t>。</w:t>
            </w:r>
          </w:p>
        </w:tc>
      </w:tr>
      <w:tr w14:paraId="672A6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6" w:type="pct"/>
            <w:shd w:val="clear" w:color="auto" w:fill="auto"/>
            <w:vAlign w:val="center"/>
          </w:tcPr>
          <w:p w14:paraId="02358A58">
            <w:pPr>
              <w:jc w:val="center"/>
              <w:textAlignment w:val="center"/>
              <w:rPr>
                <w:rFonts w:ascii="宋体" w:hAnsi="宋体" w:cs="宋体"/>
                <w:szCs w:val="21"/>
              </w:rPr>
            </w:pPr>
            <w:r>
              <w:rPr>
                <w:rFonts w:hint="eastAsia" w:ascii="宋体" w:hAnsi="宋体" w:cs="宋体"/>
                <w:szCs w:val="21"/>
              </w:rPr>
              <w:t>6</w:t>
            </w:r>
          </w:p>
        </w:tc>
        <w:tc>
          <w:tcPr>
            <w:tcW w:w="608" w:type="pct"/>
            <w:shd w:val="clear" w:color="auto" w:fill="auto"/>
            <w:vAlign w:val="center"/>
          </w:tcPr>
          <w:p w14:paraId="0161EEED">
            <w:pPr>
              <w:jc w:val="center"/>
              <w:textAlignment w:val="center"/>
              <w:rPr>
                <w:rFonts w:ascii="宋体" w:hAnsi="宋体" w:cs="宋体"/>
                <w:szCs w:val="21"/>
              </w:rPr>
            </w:pPr>
            <w:r>
              <w:rPr>
                <w:rFonts w:hint="eastAsia" w:ascii="宋体" w:hAnsi="宋体" w:cs="宋体"/>
                <w:szCs w:val="21"/>
              </w:rPr>
              <w:t>信号放大服务</w:t>
            </w:r>
          </w:p>
        </w:tc>
        <w:tc>
          <w:tcPr>
            <w:tcW w:w="461" w:type="pct"/>
            <w:shd w:val="clear" w:color="auto" w:fill="auto"/>
            <w:vAlign w:val="center"/>
          </w:tcPr>
          <w:p w14:paraId="2025E763">
            <w:pPr>
              <w:jc w:val="center"/>
              <w:textAlignment w:val="center"/>
              <w:rPr>
                <w:rFonts w:hint="default" w:ascii="宋体" w:hAnsi="宋体" w:eastAsia="宋体" w:cs="宋体"/>
                <w:szCs w:val="21"/>
                <w:lang w:val="en-US" w:eastAsia="zh-CN"/>
              </w:rPr>
            </w:pPr>
            <w:r>
              <w:rPr>
                <w:rFonts w:hint="eastAsia" w:ascii="宋体" w:hAnsi="宋体" w:eastAsia="宋体" w:cs="宋体"/>
                <w:szCs w:val="21"/>
                <w:lang w:val="en-US" w:eastAsia="zh-CN"/>
              </w:rPr>
              <w:t>327</w:t>
            </w:r>
          </w:p>
        </w:tc>
        <w:tc>
          <w:tcPr>
            <w:tcW w:w="350" w:type="pct"/>
            <w:shd w:val="clear" w:color="auto" w:fill="auto"/>
            <w:vAlign w:val="center"/>
          </w:tcPr>
          <w:p w14:paraId="4252F978">
            <w:pPr>
              <w:jc w:val="center"/>
              <w:textAlignment w:val="center"/>
              <w:rPr>
                <w:rFonts w:ascii="宋体" w:hAnsi="宋体" w:cs="宋体"/>
                <w:szCs w:val="21"/>
              </w:rPr>
            </w:pPr>
            <w:r>
              <w:rPr>
                <w:rFonts w:hint="eastAsia" w:ascii="宋体" w:hAnsi="宋体" w:cs="宋体"/>
                <w:szCs w:val="21"/>
              </w:rPr>
              <w:t>个</w:t>
            </w:r>
          </w:p>
        </w:tc>
        <w:tc>
          <w:tcPr>
            <w:tcW w:w="413" w:type="pct"/>
            <w:shd w:val="clear" w:color="auto" w:fill="auto"/>
            <w:vAlign w:val="center"/>
          </w:tcPr>
          <w:p w14:paraId="1264F283">
            <w:pPr>
              <w:jc w:val="center"/>
              <w:textAlignment w:val="center"/>
              <w:rPr>
                <w:rFonts w:ascii="宋体" w:hAnsi="宋体" w:cs="宋体"/>
                <w:szCs w:val="21"/>
              </w:rPr>
            </w:pPr>
            <w:r>
              <w:rPr>
                <w:rFonts w:hint="eastAsia" w:ascii="宋体" w:hAnsi="宋体" w:cs="宋体"/>
                <w:szCs w:val="21"/>
              </w:rPr>
              <w:t>京信</w:t>
            </w:r>
          </w:p>
        </w:tc>
        <w:tc>
          <w:tcPr>
            <w:tcW w:w="2789" w:type="pct"/>
            <w:shd w:val="clear" w:color="auto" w:fill="auto"/>
            <w:vAlign w:val="center"/>
          </w:tcPr>
          <w:p w14:paraId="142C66FF">
            <w:pPr>
              <w:textAlignment w:val="center"/>
              <w:rPr>
                <w:rFonts w:hint="eastAsia" w:ascii="宋体" w:hAnsi="宋体" w:eastAsia="宋体" w:cs="宋体"/>
                <w:szCs w:val="21"/>
                <w:lang w:eastAsia="zh-CN"/>
              </w:rPr>
            </w:pPr>
            <w:r>
              <w:rPr>
                <w:rFonts w:hint="eastAsia" w:ascii="宋体" w:hAnsi="宋体" w:cs="宋体"/>
                <w:szCs w:val="21"/>
              </w:rPr>
              <w:t>1.名称：室内吸顶全向天线</w:t>
            </w:r>
            <w:r>
              <w:rPr>
                <w:rFonts w:hint="eastAsia" w:ascii="宋体" w:hAnsi="宋体" w:cs="宋体"/>
                <w:szCs w:val="21"/>
              </w:rPr>
              <w:br w:type="textWrapping"/>
            </w:r>
            <w:r>
              <w:rPr>
                <w:rFonts w:hint="eastAsia" w:ascii="宋体" w:hAnsi="宋体" w:cs="宋体"/>
                <w:szCs w:val="21"/>
              </w:rPr>
              <w:t>2.规格：工作频率：800~3700MHz、VSWR≤1.5，器件满足三阶互调指标</w:t>
            </w:r>
            <w:r>
              <w:rPr>
                <w:rFonts w:hint="eastAsia" w:ascii="宋体" w:hAnsi="宋体" w:cs="宋体"/>
                <w:szCs w:val="21"/>
              </w:rPr>
              <w:br w:type="textWrapping"/>
            </w:r>
            <w:r>
              <w:rPr>
                <w:rFonts w:hint="eastAsia" w:ascii="宋体" w:hAnsi="宋体" w:cs="宋体"/>
                <w:szCs w:val="21"/>
              </w:rPr>
              <w:t>3.工作内容：含安装调试，含所需辅材，满足通管办验收</w:t>
            </w:r>
            <w:r>
              <w:rPr>
                <w:rFonts w:hint="eastAsia" w:ascii="宋体" w:hAnsi="宋体" w:cs="宋体"/>
                <w:szCs w:val="21"/>
              </w:rPr>
              <w:br w:type="textWrapping"/>
            </w:r>
            <w:r>
              <w:rPr>
                <w:rFonts w:hint="eastAsia" w:ascii="宋体" w:hAnsi="宋体" w:cs="宋体"/>
                <w:szCs w:val="21"/>
              </w:rPr>
              <w:t>4.符合设计、图纸、</w:t>
            </w:r>
            <w:r>
              <w:rPr>
                <w:rFonts w:hint="eastAsia" w:ascii="宋体" w:hAnsi="宋体" w:cs="宋体"/>
                <w:szCs w:val="21"/>
                <w:lang w:eastAsia="zh-CN"/>
              </w:rPr>
              <w:t>技术规范书</w:t>
            </w:r>
            <w:r>
              <w:rPr>
                <w:rFonts w:hint="eastAsia" w:ascii="宋体" w:hAnsi="宋体" w:cs="宋体"/>
                <w:szCs w:val="21"/>
              </w:rPr>
              <w:t>、规范要求完成该清单其他一切相关服务内容及材料费用</w:t>
            </w:r>
            <w:r>
              <w:rPr>
                <w:rFonts w:hint="eastAsia" w:ascii="宋体" w:hAnsi="宋体" w:cs="宋体"/>
                <w:szCs w:val="21"/>
                <w:lang w:eastAsia="zh-CN"/>
              </w:rPr>
              <w:t>。</w:t>
            </w:r>
          </w:p>
        </w:tc>
      </w:tr>
    </w:tbl>
    <w:p w14:paraId="3E24CF42">
      <w:pPr>
        <w:pStyle w:val="12"/>
        <w:rPr>
          <w:rFonts w:hAnsi="宋体" w:eastAsia="宋体"/>
          <w:b/>
          <w:sz w:val="21"/>
          <w:szCs w:val="21"/>
        </w:rPr>
      </w:pPr>
    </w:p>
    <w:p w14:paraId="11610943">
      <w:pPr>
        <w:pStyle w:val="12"/>
        <w:rPr>
          <w:rFonts w:hAnsi="宋体" w:eastAsia="宋体"/>
          <w:b/>
          <w:sz w:val="21"/>
          <w:szCs w:val="21"/>
        </w:rPr>
      </w:pPr>
    </w:p>
    <w:p w14:paraId="644CF68F">
      <w:pPr>
        <w:pStyle w:val="12"/>
        <w:rPr>
          <w:rFonts w:hAnsi="宋体" w:eastAsia="宋体"/>
          <w:b/>
          <w:sz w:val="21"/>
          <w:szCs w:val="21"/>
        </w:rPr>
      </w:pPr>
    </w:p>
    <w:p w14:paraId="5D240E31">
      <w:pPr>
        <w:pStyle w:val="10"/>
        <w:spacing w:line="460" w:lineRule="exact"/>
        <w:ind w:firstLine="0" w:firstLineChars="0"/>
        <w:jc w:val="left"/>
        <w:outlineLvl w:val="9"/>
        <w:rPr>
          <w:rFonts w:hint="eastAsia" w:hAnsi="宋体"/>
          <w:sz w:val="21"/>
          <w:szCs w:val="21"/>
          <w:lang w:val="en-US" w:eastAsia="zh-CN"/>
        </w:rPr>
      </w:pPr>
      <w:r>
        <w:rPr>
          <w:rFonts w:hint="eastAsia" w:hAnsi="宋体"/>
          <w:sz w:val="21"/>
          <w:szCs w:val="21"/>
          <w:lang w:val="en-US" w:eastAsia="zh-CN"/>
        </w:rPr>
        <w:t>四、工期要求</w:t>
      </w:r>
    </w:p>
    <w:p w14:paraId="26CB71FA">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20" w:firstLineChars="200"/>
        <w:contextualSpacing/>
        <w:jc w:val="left"/>
        <w:textAlignment w:val="auto"/>
        <w:rPr>
          <w:rFonts w:hint="default" w:ascii="宋体" w:hAnsi="宋体"/>
          <w:sz w:val="21"/>
          <w:szCs w:val="21"/>
          <w:lang w:val="en-US" w:eastAsia="zh-CN"/>
        </w:rPr>
      </w:pPr>
      <w:r>
        <w:rPr>
          <w:rFonts w:hint="eastAsia" w:ascii="宋体" w:hAnsi="宋体"/>
          <w:b/>
          <w:bCs/>
          <w:sz w:val="21"/>
          <w:szCs w:val="21"/>
          <w:lang w:val="en-US" w:eastAsia="zh-CN"/>
        </w:rPr>
        <w:t>4.1</w:t>
      </w:r>
      <w:r>
        <w:rPr>
          <w:rFonts w:hint="eastAsia" w:ascii="宋体" w:hAnsi="宋体"/>
          <w:sz w:val="21"/>
          <w:szCs w:val="21"/>
          <w:lang w:val="en-US" w:eastAsia="zh-CN"/>
        </w:rPr>
        <w:t xml:space="preserve"> 自合同签订之日起，需承诺在60个自然日内完成本项目范围内所有4G/5G信号覆盖率达到95%以上；手机能通过三大电信运营商4G/5G信号进行正常通信。如延期见2.5违约责任。</w:t>
      </w:r>
    </w:p>
    <w:p w14:paraId="541D6CA7">
      <w:pPr>
        <w:outlineLvl w:val="9"/>
        <w:rPr>
          <w:rFonts w:hint="eastAsia" w:ascii="宋体" w:hAnsi="宋体" w:eastAsia="宋体" w:cs="Times New Roman"/>
          <w:b/>
          <w:bCs/>
          <w:kern w:val="44"/>
          <w:sz w:val="21"/>
          <w:szCs w:val="21"/>
          <w:lang w:val="en-US" w:eastAsia="zh-CN" w:bidi="ar-SA"/>
        </w:rPr>
      </w:pPr>
    </w:p>
    <w:p w14:paraId="24C9CBBE">
      <w:pPr>
        <w:keepNext w:val="0"/>
        <w:keepLines w:val="0"/>
        <w:pageBreakBefore w:val="0"/>
        <w:widowControl/>
        <w:kinsoku/>
        <w:wordWrap/>
        <w:overflowPunct/>
        <w:topLinePunct w:val="0"/>
        <w:autoSpaceDE/>
        <w:autoSpaceDN/>
        <w:bidi w:val="0"/>
        <w:adjustRightInd/>
        <w:snapToGrid/>
        <w:spacing w:line="360" w:lineRule="auto"/>
        <w:ind w:left="-2" w:leftChars="0" w:firstLine="0" w:firstLineChars="0"/>
        <w:textAlignment w:val="auto"/>
        <w:outlineLvl w:val="9"/>
        <w:rPr>
          <w:rFonts w:hint="default" w:ascii="宋体" w:hAnsi="宋体"/>
          <w:sz w:val="21"/>
          <w:szCs w:val="21"/>
          <w:lang w:val="en-US" w:eastAsia="zh-CN"/>
        </w:rPr>
      </w:pPr>
      <w:r>
        <w:rPr>
          <w:rFonts w:hint="eastAsia" w:ascii="宋体" w:hAnsi="宋体" w:eastAsia="宋体" w:cs="Times New Roman"/>
          <w:b/>
          <w:bCs/>
          <w:kern w:val="44"/>
          <w:sz w:val="21"/>
          <w:szCs w:val="21"/>
          <w:lang w:val="en-US" w:eastAsia="zh-CN" w:bidi="ar-SA"/>
        </w:rPr>
        <w:t>五、违约责任</w:t>
      </w:r>
      <w:r>
        <w:rPr>
          <w:rFonts w:ascii="宋体" w:hAnsi="宋体" w:eastAsia="宋体" w:cs="宋体"/>
          <w:sz w:val="21"/>
          <w:szCs w:val="21"/>
        </w:rPr>
        <w:br w:type="textWrapping"/>
      </w:r>
      <w:r>
        <w:rPr>
          <w:rFonts w:hint="eastAsia" w:ascii="宋体" w:hAnsi="宋体"/>
          <w:sz w:val="21"/>
          <w:szCs w:val="21"/>
          <w:lang w:val="en-US" w:eastAsia="zh-CN"/>
        </w:rPr>
        <w:t>1、按甲方批准的施工进度计算考核工期，因乙方原因造成工期延长，除赔偿甲方直接损失外，乙方每逾期1日还应按合同总价的3‰向甲方支付违约金，甲方可按本条规定自行在应支付给乙方的任何一期项目款或履约保函中扣除违约金。</w:t>
      </w:r>
      <w:r>
        <w:rPr>
          <w:rFonts w:hint="eastAsia" w:ascii="宋体" w:hAnsi="宋体"/>
          <w:sz w:val="21"/>
          <w:szCs w:val="21"/>
          <w:lang w:val="en-US" w:eastAsia="zh-CN"/>
        </w:rPr>
        <w:br w:type="textWrapping"/>
      </w:r>
      <w:r>
        <w:rPr>
          <w:rFonts w:hint="eastAsia" w:ascii="宋体" w:hAnsi="宋体"/>
          <w:sz w:val="21"/>
          <w:szCs w:val="21"/>
          <w:lang w:val="en-US" w:eastAsia="zh-CN"/>
        </w:rPr>
        <w:t>2、乙方接到甲方开工通知后应在24小时内响应并在规定时间（见甲方书面通知）内到达现场。乙方在24小时内未作响应的（不可抗力因素除外），甲方有权终止合同，并追究乙方违约责任；未在规定时间到达现场的（不可抗力因素除外），按合同总价的3%向甲方支付违约金。</w:t>
      </w:r>
      <w:r>
        <w:rPr>
          <w:rFonts w:hint="eastAsia" w:ascii="宋体" w:hAnsi="宋体"/>
          <w:sz w:val="21"/>
          <w:szCs w:val="21"/>
          <w:lang w:val="en-US" w:eastAsia="zh-CN"/>
        </w:rPr>
        <w:br w:type="textWrapping"/>
      </w:r>
      <w:r>
        <w:rPr>
          <w:rFonts w:hint="eastAsia" w:ascii="宋体" w:hAnsi="宋体"/>
          <w:sz w:val="21"/>
          <w:szCs w:val="21"/>
          <w:lang w:val="en-US" w:eastAsia="zh-CN"/>
        </w:rPr>
        <w:t>3、本项目不允许任何分包、转包，否则甲方有权解除合同，乙方应赔偿甲方损失并按合同总价的3%向甲方支付违约金。</w:t>
      </w:r>
      <w:r>
        <w:rPr>
          <w:rFonts w:hint="eastAsia" w:ascii="宋体" w:hAnsi="宋体"/>
          <w:sz w:val="21"/>
          <w:szCs w:val="21"/>
          <w:lang w:val="en-US" w:eastAsia="zh-CN"/>
        </w:rPr>
        <w:br w:type="textWrapping"/>
      </w:r>
      <w:r>
        <w:rPr>
          <w:rFonts w:hint="eastAsia" w:ascii="宋体" w:hAnsi="宋体"/>
          <w:sz w:val="21"/>
          <w:szCs w:val="21"/>
          <w:lang w:val="en-US" w:eastAsia="zh-CN"/>
        </w:rPr>
        <w:t>4、因乙方项目质量问题影响正常运行或造成人员伤亡和设备损坏的，乙方应根据其过错程度赔偿甲方可预见的损失。</w:t>
      </w:r>
      <w:r>
        <w:rPr>
          <w:rFonts w:hint="eastAsia" w:ascii="宋体" w:hAnsi="宋体"/>
          <w:sz w:val="21"/>
          <w:szCs w:val="21"/>
          <w:lang w:val="en-US" w:eastAsia="zh-CN"/>
        </w:rPr>
        <w:br w:type="textWrapping"/>
      </w:r>
      <w:r>
        <w:rPr>
          <w:rFonts w:hint="eastAsia" w:ascii="宋体" w:hAnsi="宋体"/>
          <w:sz w:val="21"/>
          <w:szCs w:val="21"/>
          <w:lang w:val="en-US" w:eastAsia="zh-CN"/>
        </w:rPr>
        <w:t>5、项目竣工验收未一次合格通过，竣工结算时甲方可以扣除相应项目总价的5%作为违约金。对不合格的项目，乙方无条件进行修补直至达到符合设计和规范要求为止，并承担由此造成的直接损失。</w:t>
      </w:r>
      <w:r>
        <w:rPr>
          <w:rFonts w:hint="eastAsia" w:ascii="宋体" w:hAnsi="宋体"/>
          <w:sz w:val="21"/>
          <w:szCs w:val="21"/>
          <w:lang w:val="en-US" w:eastAsia="zh-CN"/>
        </w:rPr>
        <w:br w:type="textWrapping"/>
      </w:r>
      <w:r>
        <w:rPr>
          <w:rFonts w:hint="eastAsia" w:ascii="宋体" w:hAnsi="宋体"/>
          <w:sz w:val="21"/>
          <w:szCs w:val="21"/>
          <w:lang w:val="en-US" w:eastAsia="zh-CN"/>
        </w:rPr>
        <w:t>6、如因甲方原因，甲方未按合同约定向乙方支付合同价款的，每延迟一天甲方应按应付未付金额的3‰向乙方支付违约金。</w:t>
      </w:r>
      <w:r>
        <w:rPr>
          <w:rFonts w:hint="eastAsia" w:ascii="宋体" w:hAnsi="宋体"/>
          <w:sz w:val="21"/>
          <w:szCs w:val="21"/>
          <w:lang w:val="en-US" w:eastAsia="zh-CN"/>
        </w:rPr>
        <w:br w:type="textWrapping"/>
      </w:r>
      <w:r>
        <w:rPr>
          <w:rFonts w:hint="eastAsia" w:ascii="宋体" w:hAnsi="宋体"/>
          <w:sz w:val="21"/>
          <w:szCs w:val="21"/>
          <w:lang w:val="en-US" w:eastAsia="zh-CN"/>
        </w:rPr>
        <w:t>7、乙方人员如违反相关的规章制度、文明生产管理规定，造成甲乙双方人员的人身伤亡、设备损坏、生产安全等事故的由乙方承担全部责任，并赔偿甲方经济损失。</w:t>
      </w:r>
      <w:r>
        <w:rPr>
          <w:rFonts w:hint="eastAsia" w:ascii="宋体" w:hAnsi="宋体"/>
          <w:sz w:val="21"/>
          <w:szCs w:val="21"/>
          <w:lang w:val="en-US" w:eastAsia="zh-CN"/>
        </w:rPr>
        <w:br w:type="textWrapping"/>
      </w:r>
      <w:r>
        <w:rPr>
          <w:rFonts w:hint="eastAsia" w:ascii="宋体" w:hAnsi="宋体"/>
          <w:sz w:val="21"/>
          <w:szCs w:val="21"/>
          <w:lang w:val="en-US" w:eastAsia="zh-CN"/>
        </w:rPr>
        <w:t>8、乙方人员由于非甲方原因（包括但不限于乙方人员过错或过失、不可抗力）造成工伤，由乙方负责；由于甲方原因造成的乙方人员工伤，由甲方负责。</w:t>
      </w:r>
      <w:r>
        <w:rPr>
          <w:rFonts w:hint="eastAsia" w:ascii="宋体" w:hAnsi="宋体"/>
          <w:sz w:val="21"/>
          <w:szCs w:val="21"/>
          <w:lang w:val="en-US" w:eastAsia="zh-CN"/>
        </w:rPr>
        <w:br w:type="textWrapping"/>
      </w:r>
      <w:r>
        <w:rPr>
          <w:rFonts w:hint="eastAsia" w:ascii="宋体" w:hAnsi="宋体"/>
          <w:sz w:val="21"/>
          <w:szCs w:val="21"/>
          <w:lang w:val="en-US" w:eastAsia="zh-CN"/>
        </w:rPr>
        <w:t>9、对质保期内（如有）因乙方施工原因引起质量问题而采取修复措施仍未达到技术要求的或乙方在接到通知后的五日内不作任何响应的，按情节轻重，甲方有权扣除质保金的50%-100%作为赔偿金，并不免除乙方修复的义务。</w:t>
      </w:r>
    </w:p>
    <w:p w14:paraId="7EBA6151">
      <w:pPr>
        <w:rPr>
          <w:rFonts w:hint="eastAsia"/>
          <w:szCs w:val="21"/>
          <w:lang w:val="en-US" w:eastAsia="zh-CN"/>
        </w:rPr>
      </w:pPr>
    </w:p>
    <w:p w14:paraId="2A8678CF">
      <w:pPr>
        <w:pStyle w:val="10"/>
        <w:spacing w:line="460" w:lineRule="exact"/>
        <w:ind w:firstLine="0" w:firstLineChars="0"/>
        <w:jc w:val="left"/>
        <w:outlineLvl w:val="9"/>
        <w:rPr>
          <w:rFonts w:hint="eastAsia" w:hAnsi="宋体"/>
          <w:sz w:val="21"/>
          <w:szCs w:val="21"/>
          <w:lang w:val="en-US" w:eastAsia="zh-CN"/>
        </w:rPr>
      </w:pPr>
      <w:r>
        <w:rPr>
          <w:rFonts w:hint="eastAsia" w:hAnsi="宋体"/>
          <w:sz w:val="21"/>
          <w:szCs w:val="21"/>
          <w:lang w:val="en-US" w:eastAsia="zh-CN"/>
        </w:rPr>
        <w:t>六、其它要求</w:t>
      </w:r>
    </w:p>
    <w:p w14:paraId="0AA8DF92">
      <w:pPr>
        <w:pStyle w:val="13"/>
        <w:keepNext w:val="0"/>
        <w:keepLines w:val="0"/>
        <w:pageBreakBefore w:val="0"/>
        <w:kinsoku/>
        <w:wordWrap/>
        <w:overflowPunct/>
        <w:topLinePunct w:val="0"/>
        <w:autoSpaceDE/>
        <w:autoSpaceDN/>
        <w:bidi w:val="0"/>
        <w:adjustRightInd/>
        <w:snapToGrid/>
        <w:textAlignment w:val="auto"/>
        <w:rPr>
          <w:rFonts w:hint="default"/>
          <w:sz w:val="21"/>
          <w:lang w:val="en-US" w:eastAsia="zh-CN"/>
        </w:rPr>
      </w:pPr>
      <w:r>
        <w:rPr>
          <w:rFonts w:hint="eastAsia" w:ascii="宋体" w:hAnsi="宋体" w:cs="Times New Roman"/>
          <w:b/>
          <w:bCs w:val="0"/>
          <w:kern w:val="0"/>
          <w:sz w:val="21"/>
          <w:szCs w:val="21"/>
          <w:lang w:val="en-US" w:eastAsia="zh-CN" w:bidi="ar-SA"/>
        </w:rPr>
        <w:t>6</w:t>
      </w:r>
      <w:r>
        <w:rPr>
          <w:rFonts w:hint="eastAsia" w:ascii="宋体" w:hAnsi="宋体" w:eastAsia="宋体" w:cs="Times New Roman"/>
          <w:b/>
          <w:bCs w:val="0"/>
          <w:kern w:val="0"/>
          <w:sz w:val="21"/>
          <w:szCs w:val="21"/>
          <w:lang w:val="en-US" w:eastAsia="zh-CN" w:bidi="ar-SA"/>
        </w:rPr>
        <w:t>.1</w:t>
      </w:r>
      <w:r>
        <w:rPr>
          <w:rFonts w:hint="eastAsia" w:ascii="宋体" w:hAnsi="宋体" w:cs="Times New Roman"/>
          <w:b/>
          <w:bCs w:val="0"/>
          <w:kern w:val="0"/>
          <w:sz w:val="21"/>
          <w:szCs w:val="21"/>
          <w:lang w:val="en-US" w:eastAsia="zh-CN" w:bidi="ar-SA"/>
        </w:rPr>
        <w:t xml:space="preserve"> </w:t>
      </w:r>
      <w:r>
        <w:rPr>
          <w:rFonts w:hint="eastAsia" w:hAnsi="宋体"/>
          <w:sz w:val="21"/>
          <w:szCs w:val="21"/>
          <w:lang w:val="en-US" w:eastAsia="zh-CN"/>
        </w:rPr>
        <w:t>投标人必须到工地进行实地踏勘，并编制具有针对性、可操作的施工方案。</w:t>
      </w:r>
    </w:p>
    <w:p w14:paraId="06FEB711">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default" w:eastAsia="宋体"/>
          <w:bCs/>
          <w:sz w:val="21"/>
          <w:szCs w:val="21"/>
          <w:highlight w:val="yellow"/>
          <w:lang w:val="en-US" w:eastAsia="zh-CN"/>
        </w:rPr>
      </w:pPr>
      <w:r>
        <w:rPr>
          <w:rFonts w:hint="eastAsia" w:ascii="宋体" w:hAnsi="宋体" w:cs="Times New Roman"/>
          <w:b/>
          <w:bCs w:val="0"/>
          <w:kern w:val="0"/>
          <w:sz w:val="21"/>
          <w:szCs w:val="21"/>
          <w:lang w:val="en-US" w:eastAsia="zh-CN" w:bidi="ar-SA"/>
        </w:rPr>
        <w:t>6</w:t>
      </w:r>
      <w:r>
        <w:rPr>
          <w:rFonts w:hint="eastAsia" w:ascii="宋体" w:hAnsi="宋体" w:eastAsia="宋体" w:cs="Times New Roman"/>
          <w:b/>
          <w:bCs w:val="0"/>
          <w:kern w:val="0"/>
          <w:sz w:val="21"/>
          <w:szCs w:val="21"/>
          <w:lang w:val="en-US" w:eastAsia="zh-CN" w:bidi="ar-SA"/>
        </w:rPr>
        <w:t xml:space="preserve">.2 </w:t>
      </w:r>
      <w:r>
        <w:rPr>
          <w:rFonts w:hint="eastAsia"/>
          <w:bCs/>
          <w:sz w:val="21"/>
          <w:szCs w:val="21"/>
          <w:lang w:val="en-US" w:eastAsia="zh-CN"/>
        </w:rPr>
        <w:t>投标</w:t>
      </w:r>
      <w:r>
        <w:rPr>
          <w:rFonts w:hint="eastAsia"/>
          <w:bCs/>
          <w:sz w:val="21"/>
          <w:szCs w:val="21"/>
        </w:rPr>
        <w:t>人需根据</w:t>
      </w:r>
      <w:r>
        <w:rPr>
          <w:rFonts w:hint="eastAsia"/>
          <w:bCs/>
          <w:sz w:val="21"/>
          <w:szCs w:val="21"/>
          <w:lang w:val="en-US" w:eastAsia="zh-CN"/>
        </w:rPr>
        <w:t>招标</w:t>
      </w:r>
      <w:r>
        <w:rPr>
          <w:rFonts w:hint="eastAsia"/>
          <w:bCs/>
          <w:sz w:val="21"/>
          <w:szCs w:val="21"/>
        </w:rPr>
        <w:t>人所提供的</w:t>
      </w:r>
      <w:r>
        <w:rPr>
          <w:rFonts w:hint="eastAsia"/>
          <w:bCs/>
          <w:sz w:val="21"/>
          <w:szCs w:val="21"/>
          <w:lang w:val="en-US" w:eastAsia="zh-CN"/>
        </w:rPr>
        <w:t>建筑平面图</w:t>
      </w:r>
      <w:r>
        <w:rPr>
          <w:rFonts w:hint="eastAsia"/>
          <w:bCs/>
          <w:sz w:val="21"/>
          <w:szCs w:val="21"/>
        </w:rPr>
        <w:t>、结合现场勘查情况综合考虑自行出具报价清单</w:t>
      </w:r>
      <w:r>
        <w:rPr>
          <w:rFonts w:hint="eastAsia"/>
          <w:bCs/>
          <w:sz w:val="21"/>
          <w:szCs w:val="21"/>
          <w:lang w:eastAsia="zh-CN"/>
        </w:rPr>
        <w:t>，</w:t>
      </w:r>
      <w:r>
        <w:rPr>
          <w:rFonts w:hint="eastAsia"/>
          <w:bCs/>
          <w:sz w:val="21"/>
          <w:szCs w:val="21"/>
        </w:rPr>
        <w:t>清单中的设备</w:t>
      </w:r>
      <w:r>
        <w:rPr>
          <w:rFonts w:hint="eastAsia"/>
          <w:bCs/>
          <w:sz w:val="21"/>
          <w:szCs w:val="21"/>
          <w:lang w:val="en-US" w:eastAsia="zh-CN"/>
        </w:rPr>
        <w:t>需从品牌推荐短名单中选取</w:t>
      </w:r>
      <w:r>
        <w:rPr>
          <w:rFonts w:hint="eastAsia"/>
          <w:bCs/>
          <w:sz w:val="21"/>
          <w:szCs w:val="21"/>
        </w:rPr>
        <w:t>，报价</w:t>
      </w:r>
      <w:r>
        <w:rPr>
          <w:rFonts w:hint="eastAsia"/>
          <w:bCs/>
          <w:sz w:val="21"/>
          <w:szCs w:val="21"/>
          <w:lang w:val="en-US" w:eastAsia="zh-CN"/>
        </w:rPr>
        <w:t>需</w:t>
      </w:r>
      <w:r>
        <w:rPr>
          <w:rFonts w:hint="eastAsia"/>
          <w:bCs/>
          <w:sz w:val="21"/>
          <w:szCs w:val="21"/>
        </w:rPr>
        <w:t>含2年维保。中</w:t>
      </w:r>
      <w:r>
        <w:rPr>
          <w:rFonts w:hint="eastAsia"/>
          <w:bCs/>
          <w:sz w:val="21"/>
          <w:szCs w:val="21"/>
          <w:lang w:val="en-US" w:eastAsia="zh-CN"/>
        </w:rPr>
        <w:t>标人</w:t>
      </w:r>
      <w:r>
        <w:rPr>
          <w:rFonts w:hint="eastAsia"/>
          <w:bCs/>
          <w:sz w:val="21"/>
          <w:szCs w:val="21"/>
        </w:rPr>
        <w:t>后期需出具深化设计图纸。服务材料以“广州市5G通信配套设施及室内分布系统设计方案会审申请需提交材料清单”为准</w:t>
      </w:r>
      <w:r>
        <w:rPr>
          <w:rFonts w:hint="eastAsia"/>
          <w:bCs/>
          <w:sz w:val="21"/>
          <w:szCs w:val="21"/>
          <w:lang w:eastAsia="zh-CN"/>
        </w:rPr>
        <w:t>。</w:t>
      </w:r>
      <w:r>
        <w:rPr>
          <w:rFonts w:hint="eastAsia"/>
          <w:bCs/>
          <w:sz w:val="21"/>
          <w:szCs w:val="21"/>
        </w:rPr>
        <w:t>如因</w:t>
      </w:r>
      <w:r>
        <w:rPr>
          <w:rFonts w:hint="eastAsia"/>
          <w:bCs/>
          <w:sz w:val="21"/>
          <w:szCs w:val="21"/>
          <w:lang w:val="en-US" w:eastAsia="zh-CN"/>
        </w:rPr>
        <w:t>达到通过广州市通信管理局验收</w:t>
      </w:r>
      <w:r>
        <w:rPr>
          <w:rFonts w:hint="eastAsia"/>
          <w:bCs/>
          <w:sz w:val="21"/>
          <w:szCs w:val="21"/>
        </w:rPr>
        <w:t>需要，清单中未体现的其他费用</w:t>
      </w:r>
      <w:r>
        <w:rPr>
          <w:rFonts w:hint="eastAsia"/>
          <w:bCs/>
          <w:sz w:val="21"/>
          <w:szCs w:val="21"/>
          <w:lang w:val="en-US" w:eastAsia="zh-CN"/>
        </w:rPr>
        <w:t>投标人</w:t>
      </w:r>
      <w:r>
        <w:rPr>
          <w:rFonts w:hint="eastAsia"/>
          <w:bCs/>
          <w:sz w:val="21"/>
          <w:szCs w:val="21"/>
        </w:rPr>
        <w:t>需一并考虑</w:t>
      </w:r>
      <w:r>
        <w:rPr>
          <w:rFonts w:hint="eastAsia"/>
          <w:bCs/>
          <w:sz w:val="21"/>
          <w:szCs w:val="21"/>
          <w:lang w:eastAsia="zh-CN"/>
        </w:rPr>
        <w:t>，</w:t>
      </w:r>
      <w:r>
        <w:rPr>
          <w:rFonts w:ascii="宋体" w:hAnsi="宋体" w:eastAsia="宋体" w:cs="宋体"/>
          <w:sz w:val="21"/>
          <w:szCs w:val="21"/>
        </w:rPr>
        <w:t>由投标人</w:t>
      </w:r>
      <w:r>
        <w:rPr>
          <w:rFonts w:hint="eastAsia" w:ascii="宋体" w:hAnsi="宋体" w:cs="宋体"/>
          <w:sz w:val="21"/>
          <w:szCs w:val="21"/>
          <w:lang w:val="en-US" w:eastAsia="zh-CN"/>
        </w:rPr>
        <w:t>承担，</w:t>
      </w:r>
      <w:r>
        <w:rPr>
          <w:rFonts w:hint="eastAsia"/>
          <w:bCs/>
          <w:sz w:val="21"/>
          <w:szCs w:val="21"/>
          <w:lang w:val="en-US" w:eastAsia="zh-CN"/>
        </w:rPr>
        <w:t>不再发生费用变化。</w:t>
      </w:r>
    </w:p>
    <w:p w14:paraId="4C4B57E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5A9D8"/>
    <w:multiLevelType w:val="singleLevel"/>
    <w:tmpl w:val="B0B5A9D8"/>
    <w:lvl w:ilvl="0" w:tentative="0">
      <w:start w:val="1"/>
      <w:numFmt w:val="decimal"/>
      <w:lvlText w:val="(%1)"/>
      <w:lvlJc w:val="left"/>
      <w:pPr>
        <w:ind w:left="425" w:hanging="425"/>
      </w:pPr>
      <w:rPr>
        <w:rFonts w:hint="default"/>
      </w:rPr>
    </w:lvl>
  </w:abstractNum>
  <w:abstractNum w:abstractNumId="1">
    <w:nsid w:val="DB6005B8"/>
    <w:multiLevelType w:val="singleLevel"/>
    <w:tmpl w:val="DB6005B8"/>
    <w:lvl w:ilvl="0" w:tentative="0">
      <w:start w:val="1"/>
      <w:numFmt w:val="decimal"/>
      <w:lvlText w:val="(%1)"/>
      <w:lvlJc w:val="left"/>
      <w:pPr>
        <w:ind w:left="425" w:hanging="425"/>
      </w:pPr>
      <w:rPr>
        <w:rFonts w:hint="default"/>
      </w:rPr>
    </w:lvl>
  </w:abstractNum>
  <w:abstractNum w:abstractNumId="2">
    <w:nsid w:val="0D299490"/>
    <w:multiLevelType w:val="multilevel"/>
    <w:tmpl w:val="0D299490"/>
    <w:lvl w:ilvl="0" w:tentative="0">
      <w:start w:val="1"/>
      <w:numFmt w:val="decimal"/>
      <w:lvlText w:val="%1."/>
      <w:lvlJc w:val="left"/>
      <w:pPr>
        <w:ind w:left="425" w:hanging="425"/>
      </w:pPr>
      <w:rPr>
        <w:rFonts w:hint="eastAsia"/>
      </w:rPr>
    </w:lvl>
    <w:lvl w:ilvl="1" w:tentative="0">
      <w:start w:val="1"/>
      <w:numFmt w:val="decimal"/>
      <w:pStyle w:val="2"/>
      <w:lvlText w:val="%1.%2."/>
      <w:lvlJc w:val="left"/>
      <w:pPr>
        <w:ind w:left="567" w:hanging="567"/>
      </w:pPr>
      <w:rPr>
        <w:b w:val="0"/>
        <w:bCs w:val="0"/>
      </w:rPr>
    </w:lvl>
    <w:lvl w:ilvl="2" w:tentative="0">
      <w:start w:val="1"/>
      <w:numFmt w:val="decimal"/>
      <w:lvlText w:val="%1.%2.%3."/>
      <w:lvlJc w:val="left"/>
      <w:pPr>
        <w:ind w:left="709" w:hanging="709"/>
      </w:pPr>
      <w:rPr>
        <w:rFonts w:hint="eastAsia"/>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pStyle w:val="5"/>
      <w:lvlText w:val="%1.%2.%3.%4.%5.%6."/>
      <w:lvlJc w:val="left"/>
      <w:pPr>
        <w:ind w:left="1134" w:hanging="1134"/>
      </w:pPr>
      <w:rPr>
        <w:rFonts w:hint="eastAsia"/>
      </w:rPr>
    </w:lvl>
    <w:lvl w:ilvl="6" w:tentative="0">
      <w:start w:val="1"/>
      <w:numFmt w:val="decimal"/>
      <w:pStyle w:val="6"/>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3">
    <w:nsid w:val="59FC6735"/>
    <w:multiLevelType w:val="multilevel"/>
    <w:tmpl w:val="59FC673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FDB1E39"/>
    <w:multiLevelType w:val="multilevel"/>
    <w:tmpl w:val="5FDB1E3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6E2E27E1"/>
    <w:multiLevelType w:val="multilevel"/>
    <w:tmpl w:val="6E2E27E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3"/>
  </w:num>
  <w:num w:numId="3">
    <w:abstractNumId w:val="5"/>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43793E"/>
    <w:rsid w:val="089E6E2C"/>
    <w:rsid w:val="0C6B66D1"/>
    <w:rsid w:val="125B6B90"/>
    <w:rsid w:val="18FA4C9E"/>
    <w:rsid w:val="206D2E2D"/>
    <w:rsid w:val="3443793E"/>
    <w:rsid w:val="382E5165"/>
    <w:rsid w:val="38984C65"/>
    <w:rsid w:val="4F193F99"/>
    <w:rsid w:val="626C3AD2"/>
    <w:rsid w:val="764845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0"/>
    <w:pPr>
      <w:spacing w:beforeLines="0" w:afterLines="0"/>
      <w:jc w:val="both"/>
    </w:pPr>
    <w:rPr>
      <w:rFonts w:hint="eastAsia" w:ascii="Times New Roman" w:hAnsi="Times New Roman" w:eastAsia="Times New Roman" w:cs="Times New Roman"/>
      <w:kern w:val="2"/>
      <w:sz w:val="21"/>
    </w:rPr>
  </w:style>
  <w:style w:type="paragraph" w:styleId="2">
    <w:name w:val="heading 2"/>
    <w:basedOn w:val="1"/>
    <w:next w:val="1"/>
    <w:semiHidden/>
    <w:unhideWhenUsed/>
    <w:qFormat/>
    <w:uiPriority w:val="0"/>
    <w:pPr>
      <w:keepNext/>
      <w:keepLines/>
      <w:numPr>
        <w:ilvl w:val="1"/>
        <w:numId w:val="1"/>
      </w:numPr>
      <w:spacing w:before="160" w:after="80"/>
      <w:outlineLvl w:val="1"/>
    </w:pPr>
    <w:rPr>
      <w:rFonts w:asciiTheme="majorAscii" w:hAnsiTheme="majorAscii" w:eastAsiaTheme="majorEastAsia" w:cstheme="majorBidi"/>
      <w:color w:val="000000" w:themeColor="text1"/>
      <w:sz w:val="30"/>
      <w:szCs w:val="40"/>
      <w14:textFill>
        <w14:solidFill>
          <w14:schemeClr w14:val="tx1"/>
        </w14:solidFill>
      </w14:textFill>
    </w:rPr>
  </w:style>
  <w:style w:type="paragraph" w:styleId="3">
    <w:name w:val="heading 3"/>
    <w:basedOn w:val="1"/>
    <w:next w:val="1"/>
    <w:semiHidden/>
    <w:unhideWhenUsed/>
    <w:qFormat/>
    <w:uiPriority w:val="0"/>
    <w:pPr>
      <w:keepNext/>
      <w:keepLines/>
      <w:spacing w:before="160" w:after="80"/>
      <w:outlineLvl w:val="2"/>
    </w:pPr>
    <w:rPr>
      <w:rFonts w:asciiTheme="majorAscii" w:hAnsiTheme="majorAscii" w:eastAsiaTheme="majorEastAsia" w:cstheme="majorBidi"/>
      <w:color w:val="000000" w:themeColor="text1"/>
      <w:sz w:val="28"/>
      <w:szCs w:val="32"/>
      <w14:textFill>
        <w14:solidFill>
          <w14:schemeClr w14:val="tx1"/>
        </w14:solidFill>
      </w14:textFill>
    </w:rPr>
  </w:style>
  <w:style w:type="paragraph" w:styleId="4">
    <w:name w:val="heading 5"/>
    <w:basedOn w:val="1"/>
    <w:next w:val="1"/>
    <w:semiHidden/>
    <w:unhideWhenUsed/>
    <w:qFormat/>
    <w:uiPriority w:val="0"/>
    <w:pPr>
      <w:keepNext/>
      <w:keepLines/>
      <w:spacing w:before="80" w:after="40"/>
      <w:outlineLvl w:val="4"/>
    </w:pPr>
    <w:rPr>
      <w:rFonts w:asciiTheme="minorAscii" w:hAnsiTheme="minorAscii" w:eastAsiaTheme="minorEastAsia" w:cstheme="majorBidi"/>
      <w:color w:val="000000" w:themeColor="text1"/>
      <w:sz w:val="24"/>
      <w14:textFill>
        <w14:solidFill>
          <w14:schemeClr w14:val="tx1"/>
        </w14:solidFill>
      </w14:textFill>
    </w:rPr>
  </w:style>
  <w:style w:type="paragraph" w:styleId="5">
    <w:name w:val="heading 6"/>
    <w:basedOn w:val="1"/>
    <w:next w:val="1"/>
    <w:semiHidden/>
    <w:unhideWhenUsed/>
    <w:qFormat/>
    <w:uiPriority w:val="0"/>
    <w:pPr>
      <w:keepNext/>
      <w:keepLines/>
      <w:numPr>
        <w:ilvl w:val="5"/>
        <w:numId w:val="1"/>
      </w:numPr>
      <w:spacing w:before="40"/>
      <w:outlineLvl w:val="5"/>
    </w:pPr>
    <w:rPr>
      <w:rFonts w:asciiTheme="minorAscii" w:hAnsiTheme="minorAscii" w:cstheme="majorBidi"/>
      <w:bCs/>
      <w:color w:val="000000" w:themeColor="text1"/>
      <w14:textFill>
        <w14:solidFill>
          <w14:schemeClr w14:val="tx1"/>
        </w14:solidFill>
      </w14:textFill>
    </w:rPr>
  </w:style>
  <w:style w:type="paragraph" w:styleId="6">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76" w:hanging="1276"/>
      <w:outlineLvl w:val="6"/>
    </w:pPr>
    <w:rPr>
      <w:b/>
      <w:sz w:val="24"/>
    </w:rPr>
  </w:style>
  <w:style w:type="character" w:default="1" w:styleId="8">
    <w:name w:val="Default Paragraph Font"/>
    <w:semiHidden/>
    <w:qFormat/>
    <w:uiPriority w:val="0"/>
  </w:style>
  <w:style w:type="table" w:default="1" w:styleId="7">
    <w:name w:val="Normal Table"/>
    <w:semiHidden/>
    <w:uiPriority w:val="0"/>
    <w:tblPr>
      <w:tblCellMar>
        <w:top w:w="0" w:type="dxa"/>
        <w:left w:w="108" w:type="dxa"/>
        <w:bottom w:w="0" w:type="dxa"/>
        <w:right w:w="108" w:type="dxa"/>
      </w:tblCellMar>
    </w:tblPr>
  </w:style>
  <w:style w:type="paragraph" w:customStyle="1" w:styleId="9">
    <w:name w:val="正文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
    <w:name w:val="标题 2_0"/>
    <w:basedOn w:val="11"/>
    <w:next w:val="13"/>
    <w:qFormat/>
    <w:uiPriority w:val="0"/>
    <w:pPr>
      <w:adjustRightInd w:val="0"/>
      <w:snapToGrid w:val="0"/>
      <w:spacing w:line="360" w:lineRule="auto"/>
      <w:jc w:val="center"/>
      <w:outlineLvl w:val="1"/>
    </w:pPr>
    <w:rPr>
      <w:rFonts w:ascii="宋体" w:hAnsi="Arial"/>
      <w:sz w:val="32"/>
    </w:rPr>
  </w:style>
  <w:style w:type="paragraph" w:customStyle="1" w:styleId="11">
    <w:name w:val="标题 1_0"/>
    <w:basedOn w:val="12"/>
    <w:next w:val="13"/>
    <w:qFormat/>
    <w:uiPriority w:val="0"/>
    <w:pPr>
      <w:keepNext/>
      <w:keepLines/>
      <w:spacing w:before="340" w:after="330" w:line="576" w:lineRule="auto"/>
      <w:outlineLvl w:val="0"/>
    </w:pPr>
    <w:rPr>
      <w:rFonts w:ascii="Calibri" w:hAnsi="Calibri" w:cs="Times New Roman"/>
      <w:b/>
      <w:bCs/>
      <w:kern w:val="44"/>
      <w:sz w:val="36"/>
      <w:szCs w:val="44"/>
    </w:rPr>
  </w:style>
  <w:style w:type="paragraph" w:customStyle="1" w:styleId="12">
    <w:name w:val="正文_0_0"/>
    <w:qFormat/>
    <w:uiPriority w:val="0"/>
    <w:pPr>
      <w:widowControl w:val="0"/>
      <w:spacing w:line="360" w:lineRule="auto"/>
      <w:ind w:firstLine="200" w:firstLineChars="200"/>
      <w:jc w:val="both"/>
    </w:pPr>
    <w:rPr>
      <w:rFonts w:ascii="Times New Roman" w:hAnsi="Times New Roman" w:eastAsia="宋体" w:cs="宋体"/>
      <w:kern w:val="2"/>
      <w:sz w:val="24"/>
      <w:szCs w:val="24"/>
      <w:lang w:val="en-US" w:eastAsia="zh-CN" w:bidi="ar-SA"/>
    </w:rPr>
  </w:style>
  <w:style w:type="paragraph" w:customStyle="1" w:styleId="13">
    <w:name w:val="方案正文"/>
    <w:basedOn w:val="12"/>
    <w:qFormat/>
    <w:uiPriority w:val="0"/>
    <w:rPr>
      <w:rFonts w:cs="Times New Roman"/>
      <w:bCs/>
      <w:szCs w:val="21"/>
    </w:rPr>
  </w:style>
  <w:style w:type="paragraph" w:customStyle="1" w:styleId="14">
    <w:name w:val="标题 3_0"/>
    <w:basedOn w:val="12"/>
    <w:next w:val="12"/>
    <w:qFormat/>
    <w:uiPriority w:val="0"/>
    <w:pPr>
      <w:tabs>
        <w:tab w:val="left" w:pos="851"/>
      </w:tabs>
      <w:autoSpaceDE w:val="0"/>
      <w:autoSpaceDN w:val="0"/>
      <w:adjustRightInd w:val="0"/>
      <w:snapToGrid w:val="0"/>
      <w:ind w:firstLine="0" w:firstLineChars="0"/>
      <w:outlineLvl w:val="2"/>
    </w:pPr>
    <w:rPr>
      <w:rFonts w:ascii="宋体" w:hAnsi="Calibri" w:eastAsia="仿宋" w:cs="Times New Roman"/>
      <w:kern w:val="0"/>
      <w:szCs w:val="20"/>
    </w:rPr>
  </w:style>
  <w:style w:type="paragraph" w:customStyle="1" w:styleId="15">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
    <w:name w:val="Default Text"/>
    <w:basedOn w:val="1"/>
    <w:qFormat/>
    <w:uiPriority w:val="0"/>
    <w:pPr>
      <w:widowControl/>
      <w:autoSpaceDE w:val="0"/>
      <w:autoSpaceDN w:val="0"/>
      <w:adjustRightInd w:val="0"/>
      <w:spacing w:line="360" w:lineRule="auto"/>
      <w:jc w:val="left"/>
      <w:textAlignment w:val="baseline"/>
    </w:pPr>
    <w:rPr>
      <w:rFonts w:ascii="楷体" w:hAnsi="Tms Rmn" w:eastAsia="楷体"/>
      <w:kern w:val="0"/>
      <w:sz w:val="28"/>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3723</Words>
  <Characters>4455</Characters>
  <Lines>0</Lines>
  <Paragraphs>0</Paragraphs>
  <TotalTime>0</TotalTime>
  <ScaleCrop>false</ScaleCrop>
  <LinksUpToDate>false</LinksUpToDate>
  <CharactersWithSpaces>4540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2025-03-12T06:18:00Z</dcterms:created>
  <dc:creator>Admin</dc:creator>
  <cp:lastModifiedBy>Admin</cp:lastModifiedBy>
  <dcterms:modified xsi:type="dcterms:W3CDTF">2025-03-14T10:05:51Z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18BC0041D52643CD8183AD4AB62340CF_13</vt:lpwstr>
  </property>
  <property fmtid="{D5CDD505-2E9C-101B-9397-08002B2CF9AE}" pid="4" name="KSOTemplateDocerSaveRecord">
    <vt:lpwstr>eyJoZGlkIjoiMGEzOTUwNGM3MmU5ODE4MDJiZmIzMzY4M2RmYTA2NGQiLCJ1c2VySWQiOiIxNTY2Mjk5MSJ9</vt:lpwstr>
  </property>
</Properties>
</file>