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8A67F3">
      <w:pPr>
        <w:jc w:val="center"/>
        <w:rPr>
          <w:rFonts w:hint="eastAsia" w:asciiTheme="majorEastAsia" w:hAnsiTheme="majorEastAsia" w:eastAsiaTheme="majorEastAsia" w:cstheme="majorEastAsia"/>
          <w:b w:val="0"/>
          <w:bCs w:val="0"/>
          <w:color w:val="auto"/>
          <w:sz w:val="44"/>
          <w:szCs w:val="44"/>
          <w:highlight w:val="none"/>
          <w:lang w:val="en-US" w:eastAsia="zh-CN"/>
        </w:rPr>
      </w:pPr>
      <w:r>
        <w:rPr>
          <w:rFonts w:hint="eastAsia" w:asciiTheme="majorEastAsia" w:hAnsiTheme="majorEastAsia" w:eastAsiaTheme="majorEastAsia" w:cstheme="majorEastAsia"/>
          <w:b w:val="0"/>
          <w:bCs w:val="0"/>
          <w:color w:val="auto"/>
          <w:sz w:val="44"/>
          <w:szCs w:val="44"/>
          <w:highlight w:val="none"/>
          <w:lang w:eastAsia="zh-CN"/>
        </w:rPr>
        <w:t>2025年体育赛事后勤保障服务项目</w:t>
      </w:r>
    </w:p>
    <w:p w14:paraId="6A190D40">
      <w:pPr>
        <w:rPr>
          <w:rFonts w:hint="eastAsia"/>
          <w:color w:val="auto"/>
          <w:highlight w:val="none"/>
        </w:rPr>
      </w:pPr>
    </w:p>
    <w:p w14:paraId="46018973">
      <w:pPr>
        <w:pStyle w:val="6"/>
        <w:rPr>
          <w:rFonts w:hint="eastAsia"/>
          <w:color w:val="auto"/>
          <w:highlight w:val="none"/>
        </w:rPr>
      </w:pPr>
    </w:p>
    <w:p w14:paraId="46499114">
      <w:pPr>
        <w:rPr>
          <w:rFonts w:hint="eastAsia"/>
          <w:color w:val="auto"/>
          <w:highlight w:val="none"/>
        </w:rPr>
      </w:pPr>
    </w:p>
    <w:p w14:paraId="243452A4">
      <w:pPr>
        <w:pStyle w:val="6"/>
        <w:rPr>
          <w:rFonts w:hint="eastAsia"/>
          <w:color w:val="auto"/>
          <w:highlight w:val="none"/>
        </w:rPr>
      </w:pPr>
    </w:p>
    <w:p w14:paraId="210FFFD4">
      <w:pPr>
        <w:pStyle w:val="6"/>
        <w:spacing w:before="0" w:after="0" w:line="240" w:lineRule="auto"/>
        <w:ind w:firstLine="0" w:firstLineChars="0"/>
        <w:rPr>
          <w:rFonts w:hint="eastAsia"/>
          <w:color w:val="auto"/>
          <w:highlight w:val="none"/>
        </w:rPr>
      </w:pPr>
    </w:p>
    <w:p w14:paraId="10D4010D">
      <w:pPr>
        <w:jc w:val="both"/>
        <w:rPr>
          <w:rFonts w:hint="eastAsia" w:ascii="宋体" w:hAnsi="宋体" w:cs="宋体"/>
          <w:b/>
          <w:bCs/>
          <w:color w:val="auto"/>
          <w:sz w:val="72"/>
          <w:szCs w:val="72"/>
          <w:highlight w:val="none"/>
        </w:rPr>
      </w:pPr>
    </w:p>
    <w:p w14:paraId="52568651">
      <w:pPr>
        <w:jc w:val="center"/>
        <w:rPr>
          <w:rFonts w:hint="eastAsia" w:ascii="宋体" w:hAnsi="宋体" w:cs="宋体"/>
          <w:b/>
          <w:bCs/>
          <w:color w:val="auto"/>
          <w:sz w:val="72"/>
          <w:szCs w:val="72"/>
          <w:highlight w:val="none"/>
        </w:rPr>
      </w:pPr>
      <w:r>
        <w:rPr>
          <w:rFonts w:hint="eastAsia" w:ascii="宋体" w:hAnsi="宋体" w:cs="宋体"/>
          <w:b/>
          <w:bCs/>
          <w:color w:val="auto"/>
          <w:sz w:val="60"/>
          <w:szCs w:val="60"/>
          <w:highlight w:val="none"/>
        </w:rPr>
        <w:t>邀请招标文件</w:t>
      </w:r>
    </w:p>
    <w:p w14:paraId="399C31B3">
      <w:pPr>
        <w:jc w:val="center"/>
        <w:rPr>
          <w:rFonts w:hint="eastAsia" w:ascii="黑体" w:hAnsi="黑体" w:eastAsia="黑体" w:cs="黑体"/>
          <w:color w:val="auto"/>
          <w:sz w:val="72"/>
          <w:szCs w:val="72"/>
          <w:highlight w:val="none"/>
        </w:rPr>
      </w:pPr>
    </w:p>
    <w:p w14:paraId="59640E8F">
      <w:pPr>
        <w:jc w:val="center"/>
        <w:rPr>
          <w:rFonts w:hint="eastAsia" w:ascii="黑体" w:hAnsi="黑体" w:eastAsia="黑体" w:cs="黑体"/>
          <w:color w:val="auto"/>
          <w:sz w:val="72"/>
          <w:szCs w:val="72"/>
          <w:highlight w:val="none"/>
        </w:rPr>
      </w:pPr>
    </w:p>
    <w:p w14:paraId="641B2632">
      <w:pPr>
        <w:jc w:val="center"/>
        <w:rPr>
          <w:rFonts w:hint="eastAsia" w:ascii="黑体" w:hAnsi="黑体" w:eastAsia="黑体" w:cs="黑体"/>
          <w:color w:val="auto"/>
          <w:sz w:val="72"/>
          <w:szCs w:val="72"/>
          <w:highlight w:val="none"/>
        </w:rPr>
      </w:pPr>
    </w:p>
    <w:p w14:paraId="36393F89">
      <w:pPr>
        <w:pStyle w:val="6"/>
        <w:rPr>
          <w:rFonts w:hint="eastAsia" w:ascii="黑体" w:hAnsi="黑体" w:eastAsia="黑体" w:cs="黑体"/>
          <w:color w:val="auto"/>
          <w:sz w:val="72"/>
          <w:szCs w:val="72"/>
          <w:highlight w:val="none"/>
        </w:rPr>
      </w:pPr>
    </w:p>
    <w:p w14:paraId="6D05610D">
      <w:pPr>
        <w:pStyle w:val="6"/>
        <w:rPr>
          <w:rFonts w:hint="eastAsia"/>
          <w:color w:val="auto"/>
          <w:highlight w:val="none"/>
        </w:rPr>
      </w:pPr>
    </w:p>
    <w:p w14:paraId="0B5616D3">
      <w:pPr>
        <w:rPr>
          <w:rFonts w:hint="eastAsia"/>
          <w:color w:val="auto"/>
          <w:highlight w:val="none"/>
        </w:rPr>
      </w:pPr>
    </w:p>
    <w:p w14:paraId="52A5B0FD">
      <w:pPr>
        <w:ind w:firstLine="440" w:firstLineChars="100"/>
        <w:jc w:val="both"/>
        <w:rPr>
          <w:rFonts w:hint="eastAsia" w:asciiTheme="majorEastAsia" w:hAnsiTheme="majorEastAsia" w:eastAsiaTheme="majorEastAsia" w:cstheme="majorEastAsia"/>
          <w:color w:val="auto"/>
          <w:sz w:val="44"/>
          <w:szCs w:val="44"/>
          <w:highlight w:val="none"/>
        </w:rPr>
      </w:pPr>
      <w:r>
        <w:rPr>
          <w:rFonts w:hint="eastAsia" w:asciiTheme="majorEastAsia" w:hAnsiTheme="majorEastAsia" w:eastAsiaTheme="majorEastAsia" w:cstheme="majorEastAsia"/>
          <w:color w:val="auto"/>
          <w:sz w:val="44"/>
          <w:szCs w:val="44"/>
          <w:highlight w:val="none"/>
        </w:rPr>
        <w:t>招标人：广州南沙文体投资有限公司</w:t>
      </w:r>
    </w:p>
    <w:p w14:paraId="3082B3AE">
      <w:pPr>
        <w:ind w:firstLine="440" w:firstLineChars="100"/>
        <w:jc w:val="both"/>
        <w:rPr>
          <w:rFonts w:hint="eastAsia" w:asciiTheme="majorEastAsia" w:hAnsiTheme="majorEastAsia" w:eastAsiaTheme="majorEastAsia" w:cstheme="majorEastAsia"/>
          <w:color w:val="auto"/>
          <w:sz w:val="44"/>
          <w:szCs w:val="44"/>
          <w:highlight w:val="none"/>
        </w:rPr>
      </w:pPr>
      <w:r>
        <w:rPr>
          <w:rFonts w:hint="eastAsia" w:asciiTheme="majorEastAsia" w:hAnsiTheme="majorEastAsia" w:eastAsiaTheme="majorEastAsia" w:cstheme="majorEastAsia"/>
          <w:color w:val="auto"/>
          <w:sz w:val="44"/>
          <w:szCs w:val="44"/>
          <w:highlight w:val="none"/>
        </w:rPr>
        <w:t>日  期：202</w:t>
      </w:r>
      <w:r>
        <w:rPr>
          <w:rFonts w:hint="eastAsia" w:asciiTheme="majorEastAsia" w:hAnsiTheme="majorEastAsia" w:eastAsiaTheme="majorEastAsia" w:cstheme="majorEastAsia"/>
          <w:color w:val="auto"/>
          <w:sz w:val="44"/>
          <w:szCs w:val="44"/>
          <w:highlight w:val="none"/>
          <w:lang w:val="en-US" w:eastAsia="zh-CN"/>
        </w:rPr>
        <w:t>5</w:t>
      </w:r>
      <w:r>
        <w:rPr>
          <w:rFonts w:hint="eastAsia" w:asciiTheme="majorEastAsia" w:hAnsiTheme="majorEastAsia" w:eastAsiaTheme="majorEastAsia" w:cstheme="majorEastAsia"/>
          <w:color w:val="auto"/>
          <w:sz w:val="44"/>
          <w:szCs w:val="44"/>
          <w:highlight w:val="none"/>
        </w:rPr>
        <w:t>年</w:t>
      </w:r>
      <w:r>
        <w:rPr>
          <w:rFonts w:hint="eastAsia" w:asciiTheme="majorEastAsia" w:hAnsiTheme="majorEastAsia" w:eastAsiaTheme="majorEastAsia" w:cstheme="majorEastAsia"/>
          <w:color w:val="auto"/>
          <w:sz w:val="44"/>
          <w:szCs w:val="44"/>
          <w:highlight w:val="none"/>
          <w:lang w:val="en-US" w:eastAsia="zh-CN"/>
        </w:rPr>
        <w:t>4</w:t>
      </w:r>
      <w:r>
        <w:rPr>
          <w:rFonts w:hint="eastAsia" w:asciiTheme="majorEastAsia" w:hAnsiTheme="majorEastAsia" w:eastAsiaTheme="majorEastAsia" w:cstheme="majorEastAsia"/>
          <w:color w:val="auto"/>
          <w:sz w:val="44"/>
          <w:szCs w:val="44"/>
          <w:highlight w:val="none"/>
        </w:rPr>
        <w:t>月</w:t>
      </w:r>
    </w:p>
    <w:p w14:paraId="27AC718D">
      <w:pPr>
        <w:spacing w:line="360" w:lineRule="auto"/>
        <w:jc w:val="center"/>
        <w:rPr>
          <w:rFonts w:hint="eastAsia" w:ascii="宋体" w:hAnsi="宋体" w:cs="宋体"/>
          <w:b/>
          <w:color w:val="auto"/>
          <w:sz w:val="44"/>
          <w:szCs w:val="44"/>
          <w:highlight w:val="none"/>
        </w:rPr>
        <w:sectPr>
          <w:footerReference r:id="rId3" w:type="default"/>
          <w:pgSz w:w="11906" w:h="16838"/>
          <w:pgMar w:top="1440" w:right="1800" w:bottom="1440" w:left="1800" w:header="794" w:footer="850" w:gutter="0"/>
          <w:pgNumType w:fmt="decimal"/>
          <w:cols w:space="425" w:num="1"/>
          <w:docGrid w:type="lines" w:linePitch="312" w:charSpace="0"/>
        </w:sectPr>
      </w:pPr>
    </w:p>
    <w:p w14:paraId="7993BDAA">
      <w:pPr>
        <w:spacing w:line="360" w:lineRule="auto"/>
        <w:jc w:val="center"/>
        <w:rPr>
          <w:rFonts w:hint="eastAsia" w:ascii="宋体" w:hAnsi="宋体" w:cs="宋体"/>
          <w:b/>
          <w:color w:val="auto"/>
          <w:sz w:val="40"/>
          <w:szCs w:val="40"/>
          <w:highlight w:val="none"/>
        </w:rPr>
      </w:pPr>
      <w:r>
        <w:rPr>
          <w:rFonts w:hint="eastAsia" w:ascii="宋体" w:hAnsi="宋体" w:cs="宋体"/>
          <w:b/>
          <w:color w:val="auto"/>
          <w:sz w:val="44"/>
          <w:szCs w:val="44"/>
          <w:highlight w:val="none"/>
        </w:rPr>
        <w:t>温馨提示</w:t>
      </w:r>
    </w:p>
    <w:p w14:paraId="34972300">
      <w:pPr>
        <w:pStyle w:val="4"/>
        <w:rPr>
          <w:color w:val="auto"/>
          <w:highlight w:val="none"/>
        </w:rPr>
      </w:pPr>
    </w:p>
    <w:p w14:paraId="01499BFD">
      <w:pPr>
        <w:numPr>
          <w:ilvl w:val="0"/>
          <w:numId w:val="1"/>
        </w:numPr>
        <w:tabs>
          <w:tab w:val="left" w:pos="0"/>
          <w:tab w:val="left" w:pos="1080"/>
        </w:tabs>
        <w:spacing w:line="480" w:lineRule="auto"/>
        <w:ind w:left="0" w:firstLine="435"/>
        <w:rPr>
          <w:rFonts w:hint="eastAsia" w:ascii="宋体" w:hAnsi="宋体" w:cs="宋体"/>
          <w:color w:val="auto"/>
          <w:sz w:val="24"/>
          <w:szCs w:val="24"/>
          <w:highlight w:val="none"/>
        </w:rPr>
      </w:pPr>
      <w:r>
        <w:rPr>
          <w:rFonts w:hint="eastAsia" w:ascii="宋体" w:hAnsi="宋体" w:cs="宋体"/>
          <w:color w:val="auto"/>
          <w:sz w:val="24"/>
          <w:szCs w:val="24"/>
          <w:highlight w:val="none"/>
          <w:lang w:val="zh-CN"/>
        </w:rPr>
        <w:t>请投标人特别留意</w:t>
      </w:r>
      <w:r>
        <w:rPr>
          <w:rFonts w:hint="eastAsia" w:ascii="宋体" w:hAnsi="宋体" w:cs="宋体"/>
          <w:color w:val="auto"/>
          <w:sz w:val="24"/>
          <w:szCs w:val="24"/>
          <w:highlight w:val="none"/>
        </w:rPr>
        <w:t>招标</w:t>
      </w:r>
      <w:r>
        <w:rPr>
          <w:rFonts w:hint="eastAsia" w:ascii="宋体" w:hAnsi="宋体" w:cs="宋体"/>
          <w:color w:val="auto"/>
          <w:sz w:val="24"/>
          <w:szCs w:val="24"/>
          <w:highlight w:val="none"/>
          <w:lang w:val="zh-CN"/>
        </w:rPr>
        <w:t>文件上注明的投标截止和开标时间，逾期送达或</w:t>
      </w:r>
      <w:r>
        <w:rPr>
          <w:rFonts w:hint="eastAsia" w:ascii="宋体" w:hAnsi="宋体" w:cs="宋体"/>
          <w:bCs/>
          <w:color w:val="auto"/>
          <w:sz w:val="24"/>
          <w:szCs w:val="24"/>
          <w:highlight w:val="none"/>
          <w:lang w:val="zh-CN"/>
        </w:rPr>
        <w:t>邮寄送达的投标文件</w:t>
      </w:r>
      <w:r>
        <w:rPr>
          <w:rFonts w:hint="eastAsia" w:ascii="宋体" w:hAnsi="宋体" w:cs="宋体"/>
          <w:color w:val="auto"/>
          <w:sz w:val="24"/>
          <w:szCs w:val="24"/>
          <w:highlight w:val="none"/>
          <w:lang w:val="zh-CN"/>
        </w:rPr>
        <w:t>招标人恕不接收，请投标人适当提前到达</w:t>
      </w:r>
      <w:r>
        <w:rPr>
          <w:rFonts w:hint="eastAsia" w:ascii="宋体" w:hAnsi="宋体" w:cs="宋体"/>
          <w:color w:val="auto"/>
          <w:sz w:val="24"/>
          <w:szCs w:val="24"/>
          <w:highlight w:val="none"/>
        </w:rPr>
        <w:t>评标室</w:t>
      </w:r>
      <w:r>
        <w:rPr>
          <w:rFonts w:hint="eastAsia" w:ascii="宋体" w:hAnsi="宋体" w:cs="宋体"/>
          <w:color w:val="auto"/>
          <w:sz w:val="24"/>
          <w:szCs w:val="24"/>
          <w:highlight w:val="none"/>
          <w:lang w:val="zh-CN"/>
        </w:rPr>
        <w:t>；</w:t>
      </w:r>
    </w:p>
    <w:p w14:paraId="4ECBD579">
      <w:pPr>
        <w:numPr>
          <w:ilvl w:val="0"/>
          <w:numId w:val="1"/>
        </w:numPr>
        <w:tabs>
          <w:tab w:val="left" w:pos="0"/>
          <w:tab w:val="left" w:pos="1080"/>
        </w:tabs>
        <w:spacing w:line="480" w:lineRule="auto"/>
        <w:ind w:left="0" w:firstLine="435"/>
        <w:rPr>
          <w:rStyle w:val="26"/>
          <w:rFonts w:hint="eastAsia" w:ascii="宋体" w:hAnsi="宋体" w:cs="宋体"/>
          <w:color w:val="auto"/>
          <w:sz w:val="24"/>
          <w:szCs w:val="24"/>
          <w:highlight w:val="none"/>
        </w:rPr>
      </w:pPr>
      <w:r>
        <w:rPr>
          <w:rFonts w:hint="eastAsia" w:ascii="宋体" w:hAnsi="宋体" w:cs="宋体"/>
          <w:color w:val="auto"/>
          <w:sz w:val="24"/>
          <w:szCs w:val="24"/>
          <w:highlight w:val="none"/>
        </w:rPr>
        <w:t>招标</w:t>
      </w:r>
      <w:r>
        <w:rPr>
          <w:rFonts w:hint="eastAsia" w:ascii="宋体" w:hAnsi="宋体" w:cs="宋体"/>
          <w:color w:val="auto"/>
          <w:sz w:val="24"/>
          <w:szCs w:val="24"/>
          <w:highlight w:val="none"/>
          <w:lang w:val="zh-CN"/>
        </w:rPr>
        <w:t>文件</w:t>
      </w:r>
      <w:r>
        <w:rPr>
          <w:rFonts w:hint="eastAsia" w:ascii="宋体" w:hAnsi="宋体" w:cs="宋体"/>
          <w:bCs/>
          <w:color w:val="auto"/>
          <w:sz w:val="24"/>
          <w:szCs w:val="24"/>
          <w:highlight w:val="none"/>
        </w:rPr>
        <w:t>中标有“★”的地方均被视为重要的指标要求，</w:t>
      </w:r>
      <w:r>
        <w:rPr>
          <w:rFonts w:hint="eastAsia" w:ascii="宋体" w:hAnsi="宋体" w:cs="宋体"/>
          <w:color w:val="auto"/>
          <w:sz w:val="24"/>
          <w:szCs w:val="24"/>
          <w:highlight w:val="none"/>
        </w:rPr>
        <w:t>必须一一响应。</w:t>
      </w:r>
      <w:r>
        <w:rPr>
          <w:rFonts w:hint="eastAsia" w:ascii="宋体" w:hAnsi="宋体" w:cs="宋体"/>
          <w:bCs/>
          <w:color w:val="auto"/>
          <w:sz w:val="24"/>
          <w:szCs w:val="24"/>
          <w:highlight w:val="none"/>
        </w:rPr>
        <w:t>若有一项带“★”的指标要求未响应或不满足，将按投标无效处理</w:t>
      </w:r>
      <w:r>
        <w:rPr>
          <w:rFonts w:hint="eastAsia" w:ascii="宋体" w:hAnsi="宋体" w:cs="宋体"/>
          <w:color w:val="auto"/>
          <w:sz w:val="24"/>
          <w:szCs w:val="24"/>
          <w:highlight w:val="none"/>
        </w:rPr>
        <w:t>；</w:t>
      </w:r>
    </w:p>
    <w:p w14:paraId="48131B76">
      <w:pPr>
        <w:numPr>
          <w:ilvl w:val="0"/>
          <w:numId w:val="1"/>
        </w:numPr>
        <w:tabs>
          <w:tab w:val="left" w:pos="0"/>
          <w:tab w:val="left" w:pos="1080"/>
        </w:tabs>
        <w:spacing w:line="480" w:lineRule="auto"/>
        <w:ind w:left="0" w:firstLine="435"/>
        <w:rPr>
          <w:rFonts w:hint="eastAsia" w:ascii="宋体" w:hAnsi="宋体" w:cs="宋体"/>
          <w:color w:val="auto"/>
          <w:sz w:val="24"/>
          <w:szCs w:val="24"/>
          <w:highlight w:val="none"/>
        </w:rPr>
      </w:pPr>
      <w:r>
        <w:rPr>
          <w:rFonts w:hint="eastAsia" w:ascii="宋体" w:hAnsi="宋体" w:cs="宋体"/>
          <w:color w:val="auto"/>
          <w:sz w:val="24"/>
          <w:szCs w:val="24"/>
          <w:highlight w:val="none"/>
        </w:rPr>
        <w:t>投标文件应由投标人的授权代表送达开标现场（携带身份证原件核对，授权代表必须与投标文件所授权的人员一致）；</w:t>
      </w:r>
    </w:p>
    <w:p w14:paraId="09860CD6">
      <w:pPr>
        <w:numPr>
          <w:ilvl w:val="0"/>
          <w:numId w:val="1"/>
        </w:numPr>
        <w:tabs>
          <w:tab w:val="left" w:pos="0"/>
          <w:tab w:val="left" w:pos="1080"/>
        </w:tabs>
        <w:spacing w:line="480" w:lineRule="auto"/>
        <w:ind w:left="0" w:firstLine="435"/>
        <w:rPr>
          <w:rFonts w:hint="eastAsia" w:ascii="宋体" w:hAnsi="宋体" w:cs="宋体"/>
          <w:color w:val="auto"/>
          <w:sz w:val="24"/>
          <w:szCs w:val="24"/>
          <w:highlight w:val="none"/>
        </w:rPr>
      </w:pPr>
      <w:r>
        <w:rPr>
          <w:rFonts w:hint="eastAsia" w:ascii="宋体" w:hAnsi="宋体" w:cs="宋体"/>
          <w:color w:val="auto"/>
          <w:sz w:val="24"/>
          <w:szCs w:val="24"/>
          <w:highlight w:val="none"/>
        </w:rPr>
        <w:t>为保证投标人的切身利益，避免评委小组在评审过程中遗漏，建议将投标文件按招标</w:t>
      </w:r>
      <w:r>
        <w:rPr>
          <w:rFonts w:hint="eastAsia" w:ascii="宋体" w:hAnsi="宋体" w:cs="宋体"/>
          <w:color w:val="auto"/>
          <w:sz w:val="24"/>
          <w:szCs w:val="24"/>
          <w:highlight w:val="none"/>
          <w:lang w:val="zh-CN"/>
        </w:rPr>
        <w:t>文件</w:t>
      </w:r>
      <w:r>
        <w:rPr>
          <w:rFonts w:hint="eastAsia" w:ascii="宋体" w:hAnsi="宋体" w:cs="宋体"/>
          <w:color w:val="auto"/>
          <w:sz w:val="24"/>
          <w:szCs w:val="24"/>
          <w:highlight w:val="none"/>
        </w:rPr>
        <w:t>描述的顺序编制页码；</w:t>
      </w:r>
    </w:p>
    <w:p w14:paraId="3CAE71AE">
      <w:pPr>
        <w:numPr>
          <w:ilvl w:val="0"/>
          <w:numId w:val="1"/>
        </w:numPr>
        <w:tabs>
          <w:tab w:val="left" w:pos="0"/>
          <w:tab w:val="left" w:pos="1080"/>
        </w:tabs>
        <w:spacing w:line="480" w:lineRule="auto"/>
        <w:ind w:left="0" w:firstLine="435"/>
        <w:rPr>
          <w:rFonts w:hint="eastAsia" w:ascii="宋体" w:hAnsi="宋体" w:cs="Times New Roman"/>
          <w:color w:val="auto"/>
          <w:sz w:val="24"/>
          <w:szCs w:val="20"/>
          <w:highlight w:val="none"/>
        </w:rPr>
      </w:pPr>
      <w:r>
        <w:rPr>
          <w:rStyle w:val="26"/>
          <w:rFonts w:hint="eastAsia" w:ascii="宋体" w:hAnsi="宋体" w:cs="宋体"/>
          <w:color w:val="auto"/>
          <w:sz w:val="24"/>
          <w:szCs w:val="24"/>
          <w:highlight w:val="none"/>
        </w:rPr>
        <w:t>招标人不对投标人领取</w:t>
      </w:r>
      <w:r>
        <w:rPr>
          <w:rFonts w:hint="eastAsia" w:ascii="宋体" w:hAnsi="宋体" w:cs="宋体"/>
          <w:color w:val="auto"/>
          <w:sz w:val="24"/>
          <w:szCs w:val="24"/>
          <w:highlight w:val="none"/>
        </w:rPr>
        <w:t>招标</w:t>
      </w:r>
      <w:r>
        <w:rPr>
          <w:rFonts w:hint="eastAsia" w:ascii="宋体" w:hAnsi="宋体" w:cs="宋体"/>
          <w:color w:val="auto"/>
          <w:sz w:val="24"/>
          <w:szCs w:val="24"/>
          <w:highlight w:val="none"/>
          <w:lang w:val="zh-CN"/>
        </w:rPr>
        <w:t>文件</w:t>
      </w:r>
      <w:r>
        <w:rPr>
          <w:rStyle w:val="26"/>
          <w:rFonts w:hint="eastAsia" w:ascii="宋体" w:hAnsi="宋体" w:cs="宋体"/>
          <w:color w:val="auto"/>
          <w:sz w:val="24"/>
          <w:szCs w:val="24"/>
          <w:highlight w:val="none"/>
        </w:rPr>
        <w:t>时提交的相关资料的真伪做出判断，如投标人发现相关资料被盗用或复制，建议遵循法律途径解决，追究侵权者责任。</w:t>
      </w:r>
    </w:p>
    <w:p w14:paraId="493B8BF0">
      <w:pPr>
        <w:spacing w:line="480" w:lineRule="auto"/>
        <w:rPr>
          <w:rFonts w:hint="eastAsia" w:ascii="宋体" w:hAnsi="宋体" w:cs="仿宋_GB2312"/>
          <w:color w:val="auto"/>
          <w:sz w:val="24"/>
          <w:szCs w:val="20"/>
          <w:highlight w:val="none"/>
          <w:lang w:val="zh-CN"/>
        </w:rPr>
      </w:pPr>
      <w:r>
        <w:rPr>
          <w:rFonts w:hint="eastAsia" w:ascii="宋体" w:hAnsi="宋体" w:cs="仿宋_GB2312"/>
          <w:color w:val="auto"/>
          <w:sz w:val="24"/>
          <w:szCs w:val="20"/>
          <w:highlight w:val="none"/>
          <w:lang w:val="zh-CN"/>
        </w:rPr>
        <w:t>（本注意事项非</w:t>
      </w:r>
      <w:r>
        <w:rPr>
          <w:rFonts w:hint="eastAsia" w:ascii="宋体" w:hAnsi="宋体" w:cs="宋体"/>
          <w:color w:val="auto"/>
          <w:sz w:val="24"/>
          <w:szCs w:val="20"/>
          <w:highlight w:val="none"/>
          <w:lang w:val="zh-CN"/>
        </w:rPr>
        <w:t>招标文件</w:t>
      </w:r>
      <w:r>
        <w:rPr>
          <w:rFonts w:hint="eastAsia" w:ascii="宋体" w:hAnsi="宋体" w:cs="仿宋_GB2312"/>
          <w:color w:val="auto"/>
          <w:sz w:val="24"/>
          <w:szCs w:val="20"/>
          <w:highlight w:val="none"/>
          <w:lang w:val="zh-CN"/>
        </w:rPr>
        <w:t>的组成部分，仅作善意提醒。若有不同，均以</w:t>
      </w:r>
      <w:r>
        <w:rPr>
          <w:rFonts w:hint="eastAsia" w:ascii="宋体" w:hAnsi="宋体" w:cs="宋体"/>
          <w:color w:val="auto"/>
          <w:sz w:val="24"/>
          <w:szCs w:val="20"/>
          <w:highlight w:val="none"/>
          <w:lang w:val="zh-CN"/>
        </w:rPr>
        <w:t>招标文件</w:t>
      </w:r>
      <w:r>
        <w:rPr>
          <w:rFonts w:hint="eastAsia" w:ascii="宋体" w:hAnsi="宋体" w:cs="仿宋_GB2312"/>
          <w:color w:val="auto"/>
          <w:sz w:val="24"/>
          <w:szCs w:val="20"/>
          <w:highlight w:val="none"/>
          <w:lang w:val="zh-CN"/>
        </w:rPr>
        <w:t>为准。）</w:t>
      </w:r>
    </w:p>
    <w:p w14:paraId="69815C8E">
      <w:pPr>
        <w:pStyle w:val="4"/>
        <w:rPr>
          <w:color w:val="auto"/>
          <w:highlight w:val="none"/>
        </w:rPr>
      </w:pPr>
    </w:p>
    <w:p w14:paraId="1E707A03">
      <w:pPr>
        <w:rPr>
          <w:color w:val="auto"/>
          <w:highlight w:val="none"/>
        </w:rPr>
      </w:pPr>
    </w:p>
    <w:p w14:paraId="19F8189B">
      <w:pPr>
        <w:pStyle w:val="4"/>
        <w:rPr>
          <w:color w:val="auto"/>
          <w:highlight w:val="none"/>
        </w:rPr>
      </w:pPr>
    </w:p>
    <w:p w14:paraId="5892DD61">
      <w:pPr>
        <w:rPr>
          <w:color w:val="auto"/>
          <w:highlight w:val="none"/>
        </w:rPr>
      </w:pPr>
    </w:p>
    <w:p w14:paraId="178AB551">
      <w:pPr>
        <w:pStyle w:val="4"/>
        <w:rPr>
          <w:color w:val="auto"/>
          <w:highlight w:val="none"/>
        </w:rPr>
      </w:pPr>
    </w:p>
    <w:p w14:paraId="12E2B701">
      <w:pPr>
        <w:rPr>
          <w:color w:val="auto"/>
          <w:highlight w:val="none"/>
        </w:rPr>
      </w:pPr>
    </w:p>
    <w:p w14:paraId="6927614F">
      <w:pPr>
        <w:pStyle w:val="4"/>
        <w:rPr>
          <w:color w:val="auto"/>
          <w:highlight w:val="none"/>
        </w:rPr>
      </w:pPr>
    </w:p>
    <w:p w14:paraId="252E8FD9">
      <w:pPr>
        <w:rPr>
          <w:color w:val="auto"/>
          <w:highlight w:val="none"/>
        </w:rPr>
      </w:pPr>
    </w:p>
    <w:p w14:paraId="704A2F21">
      <w:pPr>
        <w:pStyle w:val="4"/>
        <w:rPr>
          <w:color w:val="auto"/>
          <w:highlight w:val="none"/>
        </w:rPr>
      </w:pPr>
    </w:p>
    <w:p w14:paraId="7942933C">
      <w:pPr>
        <w:rPr>
          <w:b/>
          <w:bCs/>
          <w:color w:val="auto"/>
          <w:sz w:val="44"/>
          <w:szCs w:val="48"/>
          <w:highlight w:val="none"/>
        </w:rPr>
      </w:pPr>
    </w:p>
    <w:p w14:paraId="23997DE6">
      <w:pPr>
        <w:jc w:val="left"/>
        <w:rPr>
          <w:color w:val="auto"/>
          <w:highlight w:val="none"/>
        </w:rPr>
        <w:sectPr>
          <w:footerReference r:id="rId4" w:type="default"/>
          <w:pgSz w:w="11906" w:h="16838"/>
          <w:pgMar w:top="1440" w:right="1800" w:bottom="1440" w:left="1800" w:header="794" w:footer="850" w:gutter="0"/>
          <w:pgNumType w:fmt="decimal" w:start="1"/>
          <w:cols w:space="425" w:num="1"/>
          <w:docGrid w:type="lines" w:linePitch="312" w:charSpace="0"/>
        </w:sectPr>
      </w:pPr>
    </w:p>
    <w:p w14:paraId="7B45F078">
      <w:pPr>
        <w:pStyle w:val="4"/>
        <w:rPr>
          <w:color w:val="auto"/>
          <w:highlight w:val="none"/>
        </w:rPr>
      </w:pPr>
    </w:p>
    <w:p w14:paraId="6882C344">
      <w:pPr>
        <w:jc w:val="center"/>
        <w:rPr>
          <w:b/>
          <w:bCs/>
          <w:color w:val="auto"/>
          <w:sz w:val="44"/>
          <w:szCs w:val="48"/>
          <w:highlight w:val="none"/>
        </w:rPr>
      </w:pPr>
      <w:r>
        <w:rPr>
          <w:rFonts w:hint="eastAsia"/>
          <w:b/>
          <w:bCs/>
          <w:color w:val="auto"/>
          <w:sz w:val="44"/>
          <w:szCs w:val="48"/>
          <w:highlight w:val="none"/>
        </w:rPr>
        <w:t>目录</w:t>
      </w:r>
    </w:p>
    <w:p w14:paraId="2843E1B1">
      <w:pPr>
        <w:rPr>
          <w:b/>
          <w:bCs/>
          <w:color w:val="auto"/>
          <w:sz w:val="44"/>
          <w:szCs w:val="48"/>
          <w:highlight w:val="none"/>
        </w:rPr>
      </w:pPr>
    </w:p>
    <w:p w14:paraId="6FABB59B">
      <w:pPr>
        <w:numPr>
          <w:ilvl w:val="-1"/>
          <w:numId w:val="0"/>
        </w:numPr>
        <w:ind w:firstLine="0" w:firstLineChars="0"/>
        <w:rPr>
          <w:rFonts w:hint="default"/>
          <w:color w:val="auto"/>
          <w:sz w:val="32"/>
          <w:szCs w:val="36"/>
          <w:highlight w:val="none"/>
          <w:lang w:val="en-US"/>
        </w:rPr>
      </w:pPr>
      <w:r>
        <w:rPr>
          <w:rFonts w:hint="eastAsia"/>
          <w:b/>
          <w:bCs/>
          <w:color w:val="auto"/>
          <w:sz w:val="32"/>
          <w:szCs w:val="36"/>
          <w:highlight w:val="none"/>
          <w:lang w:val="en-US" w:eastAsia="zh-CN"/>
        </w:rPr>
        <w:t xml:space="preserve">招标公告  </w:t>
      </w:r>
      <w:r>
        <w:rPr>
          <w:rFonts w:hint="eastAsia" w:asciiTheme="majorEastAsia" w:hAnsiTheme="majorEastAsia" w:eastAsiaTheme="majorEastAsia" w:cstheme="majorEastAsia"/>
          <w:color w:val="auto"/>
          <w:sz w:val="32"/>
          <w:szCs w:val="36"/>
          <w:highlight w:val="none"/>
          <w:lang w:val="en-US" w:eastAsia="zh-CN"/>
        </w:rPr>
        <w:t>……………………………………………………</w:t>
      </w:r>
      <w:r>
        <w:rPr>
          <w:rFonts w:hint="eastAsia" w:asciiTheme="majorEastAsia" w:hAnsiTheme="majorEastAsia" w:eastAsiaTheme="majorEastAsia" w:cstheme="majorEastAsia"/>
          <w:color w:val="auto"/>
          <w:sz w:val="36"/>
          <w:szCs w:val="36"/>
          <w:highlight w:val="none"/>
          <w:lang w:val="en-US" w:eastAsia="zh-CN"/>
        </w:rPr>
        <w:t>3</w:t>
      </w:r>
    </w:p>
    <w:p w14:paraId="69E5B049">
      <w:pPr>
        <w:numPr>
          <w:ilvl w:val="0"/>
          <w:numId w:val="2"/>
        </w:numPr>
        <w:rPr>
          <w:color w:val="auto"/>
          <w:sz w:val="32"/>
          <w:szCs w:val="36"/>
          <w:highlight w:val="none"/>
        </w:rPr>
      </w:pPr>
      <w:r>
        <w:rPr>
          <w:rFonts w:hint="eastAsia"/>
          <w:color w:val="auto"/>
          <w:sz w:val="32"/>
          <w:szCs w:val="36"/>
          <w:highlight w:val="none"/>
        </w:rPr>
        <w:t>投标人须知</w:t>
      </w:r>
      <w:r>
        <w:rPr>
          <w:rFonts w:hint="eastAsia"/>
          <w:color w:val="auto"/>
          <w:sz w:val="32"/>
          <w:szCs w:val="36"/>
          <w:highlight w:val="none"/>
          <w:lang w:val="en-US" w:eastAsia="zh-CN"/>
        </w:rPr>
        <w:t xml:space="preserve"> </w:t>
      </w:r>
      <w:r>
        <w:rPr>
          <w:rFonts w:hint="eastAsia" w:asciiTheme="majorEastAsia" w:hAnsiTheme="majorEastAsia" w:eastAsiaTheme="majorEastAsia" w:cstheme="majorEastAsia"/>
          <w:color w:val="auto"/>
          <w:sz w:val="32"/>
          <w:szCs w:val="36"/>
          <w:highlight w:val="none"/>
          <w:lang w:val="en-US" w:eastAsia="zh-CN"/>
        </w:rPr>
        <w:t>…………………………………………5</w:t>
      </w:r>
    </w:p>
    <w:p w14:paraId="287FB0A9">
      <w:pPr>
        <w:numPr>
          <w:ilvl w:val="0"/>
          <w:numId w:val="2"/>
        </w:numPr>
        <w:rPr>
          <w:color w:val="auto"/>
          <w:sz w:val="32"/>
          <w:szCs w:val="36"/>
          <w:highlight w:val="none"/>
        </w:rPr>
      </w:pPr>
      <w:r>
        <w:rPr>
          <w:rFonts w:hint="eastAsia"/>
          <w:color w:val="auto"/>
          <w:sz w:val="32"/>
          <w:szCs w:val="36"/>
          <w:highlight w:val="none"/>
        </w:rPr>
        <w:t>用户</w:t>
      </w:r>
      <w:r>
        <w:rPr>
          <w:color w:val="auto"/>
          <w:sz w:val="32"/>
          <w:szCs w:val="36"/>
          <w:highlight w:val="none"/>
        </w:rPr>
        <w:t>需求</w:t>
      </w:r>
      <w:r>
        <w:rPr>
          <w:rFonts w:hint="eastAsia"/>
          <w:color w:val="auto"/>
          <w:sz w:val="32"/>
          <w:szCs w:val="36"/>
          <w:highlight w:val="none"/>
        </w:rPr>
        <w:t>书</w:t>
      </w:r>
      <w:r>
        <w:rPr>
          <w:rFonts w:hint="eastAsia"/>
          <w:color w:val="auto"/>
          <w:sz w:val="32"/>
          <w:szCs w:val="36"/>
          <w:highlight w:val="none"/>
          <w:lang w:val="en-US" w:eastAsia="zh-CN"/>
        </w:rPr>
        <w:t xml:space="preserve">  </w:t>
      </w:r>
      <w:r>
        <w:rPr>
          <w:rFonts w:hint="eastAsia" w:asciiTheme="majorEastAsia" w:hAnsiTheme="majorEastAsia" w:eastAsiaTheme="majorEastAsia" w:cstheme="majorEastAsia"/>
          <w:color w:val="auto"/>
          <w:sz w:val="32"/>
          <w:szCs w:val="36"/>
          <w:highlight w:val="none"/>
          <w:lang w:val="en-US" w:eastAsia="zh-CN"/>
        </w:rPr>
        <w:t>………………………………………14</w:t>
      </w:r>
    </w:p>
    <w:p w14:paraId="13EA7408">
      <w:pPr>
        <w:numPr>
          <w:ilvl w:val="0"/>
          <w:numId w:val="2"/>
        </w:numPr>
        <w:rPr>
          <w:color w:val="auto"/>
          <w:sz w:val="32"/>
          <w:szCs w:val="36"/>
          <w:highlight w:val="none"/>
        </w:rPr>
      </w:pPr>
      <w:r>
        <w:rPr>
          <w:rFonts w:hint="eastAsia"/>
          <w:color w:val="auto"/>
          <w:sz w:val="32"/>
          <w:szCs w:val="36"/>
          <w:highlight w:val="none"/>
        </w:rPr>
        <w:t>附件（格式）</w:t>
      </w:r>
      <w:r>
        <w:rPr>
          <w:rFonts w:hint="eastAsia" w:asciiTheme="majorEastAsia" w:hAnsiTheme="majorEastAsia" w:eastAsiaTheme="majorEastAsia" w:cstheme="majorEastAsia"/>
          <w:color w:val="auto"/>
          <w:sz w:val="32"/>
          <w:szCs w:val="36"/>
          <w:highlight w:val="none"/>
          <w:lang w:val="en-US" w:eastAsia="zh-CN"/>
        </w:rPr>
        <w:t>………………………………………16</w:t>
      </w:r>
    </w:p>
    <w:p w14:paraId="5A5638EC">
      <w:pPr>
        <w:numPr>
          <w:ilvl w:val="0"/>
          <w:numId w:val="2"/>
        </w:numPr>
        <w:rPr>
          <w:color w:val="auto"/>
          <w:sz w:val="32"/>
          <w:szCs w:val="36"/>
          <w:highlight w:val="none"/>
        </w:rPr>
      </w:pPr>
      <w:r>
        <w:rPr>
          <w:rFonts w:hint="eastAsia"/>
          <w:color w:val="auto"/>
          <w:sz w:val="32"/>
          <w:szCs w:val="36"/>
          <w:highlight w:val="none"/>
        </w:rPr>
        <w:t>评标细则</w:t>
      </w:r>
      <w:r>
        <w:rPr>
          <w:rFonts w:hint="eastAsia"/>
          <w:color w:val="auto"/>
          <w:sz w:val="32"/>
          <w:szCs w:val="36"/>
          <w:highlight w:val="none"/>
          <w:lang w:val="en-US" w:eastAsia="zh-CN"/>
        </w:rPr>
        <w:t xml:space="preserve">  </w:t>
      </w:r>
      <w:r>
        <w:rPr>
          <w:rFonts w:hint="eastAsia" w:asciiTheme="majorEastAsia" w:hAnsiTheme="majorEastAsia" w:eastAsiaTheme="majorEastAsia" w:cstheme="majorEastAsia"/>
          <w:color w:val="auto"/>
          <w:sz w:val="32"/>
          <w:szCs w:val="36"/>
          <w:highlight w:val="none"/>
          <w:lang w:val="en-US" w:eastAsia="zh-CN"/>
        </w:rPr>
        <w:t>…………………………………………31</w:t>
      </w:r>
    </w:p>
    <w:p w14:paraId="430C8FBB">
      <w:pPr>
        <w:numPr>
          <w:ilvl w:val="0"/>
          <w:numId w:val="2"/>
        </w:numPr>
        <w:rPr>
          <w:color w:val="auto"/>
          <w:sz w:val="32"/>
          <w:szCs w:val="36"/>
          <w:highlight w:val="none"/>
        </w:rPr>
      </w:pPr>
      <w:r>
        <w:rPr>
          <w:rFonts w:hint="eastAsia"/>
          <w:color w:val="auto"/>
          <w:sz w:val="32"/>
          <w:szCs w:val="36"/>
          <w:highlight w:val="none"/>
        </w:rPr>
        <w:t>合同文本</w:t>
      </w:r>
      <w:r>
        <w:rPr>
          <w:rFonts w:hint="eastAsia"/>
          <w:color w:val="auto"/>
          <w:sz w:val="32"/>
          <w:szCs w:val="36"/>
          <w:highlight w:val="none"/>
          <w:lang w:val="en-US" w:eastAsia="zh-CN"/>
        </w:rPr>
        <w:t xml:space="preserve"> </w:t>
      </w:r>
      <w:r>
        <w:rPr>
          <w:rFonts w:hint="eastAsia"/>
          <w:color w:val="auto"/>
          <w:sz w:val="32"/>
          <w:szCs w:val="36"/>
          <w:highlight w:val="none"/>
        </w:rPr>
        <w:t xml:space="preserve"> </w:t>
      </w:r>
      <w:r>
        <w:rPr>
          <w:rFonts w:hint="eastAsia" w:asciiTheme="majorEastAsia" w:hAnsiTheme="majorEastAsia" w:eastAsiaTheme="majorEastAsia" w:cstheme="majorEastAsia"/>
          <w:color w:val="auto"/>
          <w:sz w:val="32"/>
          <w:szCs w:val="36"/>
          <w:highlight w:val="none"/>
          <w:lang w:val="en-US" w:eastAsia="zh-CN"/>
        </w:rPr>
        <w:t>…………………………………………40</w:t>
      </w:r>
      <w:r>
        <w:rPr>
          <w:rFonts w:hint="eastAsia"/>
          <w:color w:val="auto"/>
          <w:sz w:val="32"/>
          <w:szCs w:val="36"/>
          <w:highlight w:val="none"/>
        </w:rPr>
        <w:t xml:space="preserve">  </w:t>
      </w:r>
    </w:p>
    <w:p w14:paraId="163FDADA">
      <w:pPr>
        <w:rPr>
          <w:color w:val="auto"/>
          <w:highlight w:val="none"/>
        </w:rPr>
      </w:pPr>
      <w:r>
        <w:rPr>
          <w:color w:val="auto"/>
          <w:highlight w:val="none"/>
        </w:rPr>
        <w:br w:type="page"/>
      </w:r>
    </w:p>
    <w:p w14:paraId="7374C68B">
      <w:pPr>
        <w:spacing w:line="360" w:lineRule="auto"/>
        <w:jc w:val="center"/>
        <w:rPr>
          <w:rFonts w:hint="default" w:ascii="宋体" w:hAnsi="宋体" w:eastAsia="宋体"/>
          <w:b/>
          <w:bCs/>
          <w:color w:val="auto"/>
          <w:sz w:val="44"/>
          <w:szCs w:val="44"/>
          <w:highlight w:val="none"/>
          <w:lang w:val="en-US" w:eastAsia="zh-CN"/>
        </w:rPr>
      </w:pPr>
      <w:r>
        <w:rPr>
          <w:rFonts w:hint="eastAsia"/>
          <w:b/>
          <w:color w:val="auto"/>
          <w:sz w:val="44"/>
          <w:szCs w:val="44"/>
          <w:highlight w:val="none"/>
          <w:lang w:val="en-US" w:eastAsia="zh-CN"/>
        </w:rPr>
        <w:t>招标公告</w:t>
      </w:r>
    </w:p>
    <w:p w14:paraId="1CADEC82">
      <w:pPr>
        <w:spacing w:line="360" w:lineRule="auto"/>
        <w:jc w:val="center"/>
        <w:rPr>
          <w:rFonts w:hint="eastAsia" w:ascii="宋体" w:hAnsi="宋体"/>
          <w:b/>
          <w:color w:val="auto"/>
          <w:sz w:val="32"/>
          <w:highlight w:val="none"/>
        </w:rPr>
      </w:pPr>
    </w:p>
    <w:p w14:paraId="1EE63E9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广州南沙文体投资有限公司</w:t>
      </w:r>
      <w:r>
        <w:rPr>
          <w:rFonts w:hint="eastAsia" w:ascii="宋体" w:hAnsi="宋体"/>
          <w:color w:val="auto"/>
          <w:sz w:val="24"/>
          <w:szCs w:val="24"/>
          <w:highlight w:val="none"/>
        </w:rPr>
        <w:t>对</w:t>
      </w:r>
      <w:r>
        <w:rPr>
          <w:rFonts w:hint="eastAsia" w:ascii="宋体" w:hAnsi="宋体"/>
          <w:color w:val="auto"/>
          <w:sz w:val="24"/>
          <w:szCs w:val="24"/>
          <w:highlight w:val="none"/>
          <w:lang w:eastAsia="zh-CN"/>
        </w:rPr>
        <w:t>《</w:t>
      </w:r>
      <w:r>
        <w:rPr>
          <w:rFonts w:hint="eastAsia" w:ascii="宋体" w:hAnsi="宋体" w:cs="宋体"/>
          <w:sz w:val="24"/>
          <w:szCs w:val="24"/>
          <w:highlight w:val="none"/>
          <w:u w:val="single"/>
          <w:lang w:eastAsia="zh-CN"/>
        </w:rPr>
        <w:t>2025年体育赛事后勤保障服务项目</w:t>
      </w:r>
      <w:r>
        <w:rPr>
          <w:rFonts w:hint="eastAsia" w:ascii="宋体" w:hAnsi="宋体"/>
          <w:color w:val="auto"/>
          <w:sz w:val="24"/>
          <w:szCs w:val="24"/>
          <w:highlight w:val="none"/>
          <w:lang w:eastAsia="zh-CN"/>
        </w:rPr>
        <w:t>》</w:t>
      </w:r>
      <w:r>
        <w:rPr>
          <w:rFonts w:hint="eastAsia" w:ascii="宋体" w:hAnsi="宋体"/>
          <w:color w:val="auto"/>
          <w:sz w:val="24"/>
          <w:szCs w:val="24"/>
          <w:highlight w:val="none"/>
        </w:rPr>
        <w:t>进行</w:t>
      </w:r>
      <w:r>
        <w:rPr>
          <w:rFonts w:hint="eastAsia" w:ascii="宋体" w:hAnsi="宋体"/>
          <w:color w:val="auto"/>
          <w:sz w:val="24"/>
          <w:szCs w:val="24"/>
          <w:highlight w:val="none"/>
          <w:u w:val="single"/>
          <w:lang w:val="en-US" w:eastAsia="zh-CN"/>
        </w:rPr>
        <w:t>非定向</w:t>
      </w:r>
      <w:r>
        <w:rPr>
          <w:rFonts w:hint="eastAsia" w:ascii="宋体" w:hAnsi="宋体"/>
          <w:color w:val="auto"/>
          <w:sz w:val="24"/>
          <w:szCs w:val="24"/>
          <w:highlight w:val="none"/>
          <w:u w:val="single"/>
        </w:rPr>
        <w:t>邀请招标</w:t>
      </w:r>
      <w:r>
        <w:rPr>
          <w:rFonts w:hint="eastAsia" w:ascii="宋体" w:hAnsi="宋体"/>
          <w:color w:val="auto"/>
          <w:sz w:val="24"/>
          <w:szCs w:val="24"/>
          <w:highlight w:val="none"/>
        </w:rPr>
        <w:t>，欢迎符合资格条件的供应商</w:t>
      </w:r>
      <w:r>
        <w:rPr>
          <w:rFonts w:hint="eastAsia" w:ascii="宋体" w:hAnsi="宋体"/>
          <w:color w:val="auto"/>
          <w:sz w:val="24"/>
          <w:szCs w:val="24"/>
          <w:highlight w:val="none"/>
          <w:lang w:val="en-US" w:eastAsia="zh-CN"/>
        </w:rPr>
        <w:t>参与</w:t>
      </w:r>
      <w:r>
        <w:rPr>
          <w:rFonts w:hint="eastAsia" w:ascii="宋体" w:hAnsi="宋体"/>
          <w:color w:val="auto"/>
          <w:sz w:val="24"/>
          <w:szCs w:val="24"/>
          <w:highlight w:val="none"/>
        </w:rPr>
        <w:t>投标。</w:t>
      </w:r>
    </w:p>
    <w:p w14:paraId="2D431974">
      <w:pPr>
        <w:spacing w:line="360" w:lineRule="auto"/>
        <w:ind w:firstLine="480" w:firstLineChars="200"/>
        <w:rPr>
          <w:rFonts w:hint="eastAsia" w:ascii="宋体" w:hAnsi="宋体"/>
          <w:color w:val="auto"/>
          <w:sz w:val="24"/>
          <w:szCs w:val="24"/>
          <w:highlight w:val="none"/>
        </w:rPr>
      </w:pPr>
      <w:r>
        <w:rPr>
          <w:rFonts w:hint="eastAsia" w:ascii="宋体" w:hAnsi="宋体"/>
          <w:b/>
          <w:bCs/>
          <w:color w:val="auto"/>
          <w:sz w:val="24"/>
          <w:szCs w:val="24"/>
          <w:highlight w:val="none"/>
        </w:rPr>
        <w:t>一、项目名称：</w:t>
      </w:r>
      <w:r>
        <w:rPr>
          <w:rFonts w:hint="eastAsia" w:ascii="宋体" w:hAnsi="宋体" w:cs="宋体"/>
          <w:sz w:val="24"/>
          <w:szCs w:val="24"/>
          <w:highlight w:val="none"/>
          <w:u w:val="single"/>
          <w:lang w:eastAsia="zh-CN"/>
        </w:rPr>
        <w:t>2025年体育赛事后勤保障服务项目</w:t>
      </w:r>
      <w:r>
        <w:rPr>
          <w:rFonts w:hint="eastAsia" w:ascii="宋体" w:hAnsi="宋体"/>
          <w:color w:val="auto"/>
          <w:sz w:val="24"/>
          <w:szCs w:val="24"/>
          <w:highlight w:val="none"/>
        </w:rPr>
        <w:t>。</w:t>
      </w:r>
    </w:p>
    <w:p w14:paraId="1A59F82F">
      <w:pPr>
        <w:spacing w:line="360" w:lineRule="auto"/>
        <w:ind w:firstLine="480" w:firstLineChars="200"/>
        <w:rPr>
          <w:rFonts w:hint="eastAsia" w:ascii="宋体" w:hAnsi="宋体"/>
          <w:color w:val="auto"/>
          <w:sz w:val="24"/>
          <w:szCs w:val="24"/>
          <w:highlight w:val="none"/>
        </w:rPr>
      </w:pPr>
      <w:r>
        <w:rPr>
          <w:rFonts w:hint="eastAsia" w:ascii="宋体" w:hAnsi="宋体"/>
          <w:b/>
          <w:bCs/>
          <w:color w:val="auto"/>
          <w:sz w:val="24"/>
          <w:szCs w:val="24"/>
          <w:highlight w:val="none"/>
        </w:rPr>
        <w:t>二、项目最高限价：</w:t>
      </w:r>
      <w:r>
        <w:rPr>
          <w:rFonts w:hint="eastAsia" w:ascii="宋体" w:hAnsi="宋体"/>
          <w:b w:val="0"/>
          <w:bCs/>
          <w:color w:val="auto"/>
          <w:sz w:val="24"/>
          <w:szCs w:val="24"/>
          <w:highlight w:val="none"/>
          <w:u w:val="single"/>
        </w:rPr>
        <w:t>人民币</w:t>
      </w:r>
      <w:r>
        <w:rPr>
          <w:rFonts w:hint="eastAsia" w:ascii="宋体" w:hAnsi="宋体"/>
          <w:b w:val="0"/>
          <w:bCs/>
          <w:color w:val="auto"/>
          <w:sz w:val="24"/>
          <w:szCs w:val="24"/>
          <w:highlight w:val="none"/>
          <w:u w:val="single"/>
          <w:lang w:val="en-US" w:eastAsia="zh-CN"/>
        </w:rPr>
        <w:t>450,000</w:t>
      </w:r>
      <w:r>
        <w:rPr>
          <w:rFonts w:hint="eastAsia" w:ascii="宋体" w:hAnsi="宋体"/>
          <w:b w:val="0"/>
          <w:bCs/>
          <w:color w:val="auto"/>
          <w:sz w:val="24"/>
          <w:szCs w:val="24"/>
          <w:highlight w:val="none"/>
          <w:u w:val="single"/>
          <w:lang w:eastAsia="zh-CN"/>
        </w:rPr>
        <w:t>（</w:t>
      </w:r>
      <w:r>
        <w:rPr>
          <w:rFonts w:hint="eastAsia" w:ascii="宋体" w:hAnsi="宋体"/>
          <w:b w:val="0"/>
          <w:bCs/>
          <w:color w:val="auto"/>
          <w:sz w:val="24"/>
          <w:szCs w:val="24"/>
          <w:highlight w:val="none"/>
          <w:u w:val="single"/>
          <w:lang w:val="en-US" w:eastAsia="zh-CN"/>
        </w:rPr>
        <w:t>含税）</w:t>
      </w:r>
      <w:r>
        <w:rPr>
          <w:rFonts w:hint="eastAsia" w:ascii="宋体" w:hAnsi="宋体"/>
          <w:b w:val="0"/>
          <w:bCs/>
          <w:color w:val="auto"/>
          <w:sz w:val="24"/>
          <w:szCs w:val="24"/>
          <w:highlight w:val="none"/>
          <w:u w:val="single"/>
        </w:rPr>
        <w:t>。</w:t>
      </w:r>
    </w:p>
    <w:p w14:paraId="5829407E">
      <w:pPr>
        <w:spacing w:line="360" w:lineRule="auto"/>
        <w:ind w:firstLine="480" w:firstLineChars="200"/>
        <w:rPr>
          <w:rFonts w:hint="eastAsia" w:ascii="宋体" w:hAnsi="宋体"/>
          <w:color w:val="auto"/>
          <w:sz w:val="24"/>
          <w:szCs w:val="24"/>
          <w:highlight w:val="none"/>
        </w:rPr>
      </w:pPr>
      <w:r>
        <w:rPr>
          <w:rFonts w:hint="eastAsia" w:ascii="宋体" w:hAnsi="宋体"/>
          <w:b/>
          <w:bCs/>
          <w:color w:val="auto"/>
          <w:sz w:val="24"/>
          <w:szCs w:val="24"/>
          <w:highlight w:val="none"/>
        </w:rPr>
        <w:t>三、</w:t>
      </w:r>
      <w:r>
        <w:rPr>
          <w:rFonts w:hint="eastAsia" w:ascii="宋体" w:hAnsi="宋体"/>
          <w:b/>
          <w:bCs/>
          <w:color w:val="auto"/>
          <w:sz w:val="24"/>
          <w:szCs w:val="24"/>
          <w:highlight w:val="none"/>
          <w:lang w:val="en-US" w:eastAsia="zh-CN"/>
        </w:rPr>
        <w:t>招标</w:t>
      </w:r>
      <w:r>
        <w:rPr>
          <w:rFonts w:hint="eastAsia" w:ascii="宋体" w:hAnsi="宋体"/>
          <w:b/>
          <w:bCs/>
          <w:color w:val="auto"/>
          <w:sz w:val="24"/>
          <w:szCs w:val="24"/>
          <w:highlight w:val="none"/>
        </w:rPr>
        <w:t>方式：</w:t>
      </w:r>
      <w:r>
        <w:rPr>
          <w:rFonts w:hint="eastAsia" w:ascii="宋体" w:hAnsi="宋体" w:cs="宋体"/>
          <w:color w:val="auto"/>
          <w:sz w:val="24"/>
          <w:szCs w:val="24"/>
          <w:highlight w:val="none"/>
          <w:u w:val="single"/>
          <w:lang w:val="en-US" w:eastAsia="zh-CN"/>
        </w:rPr>
        <w:t>邀请招标</w:t>
      </w:r>
      <w:r>
        <w:rPr>
          <w:rFonts w:hint="eastAsia" w:ascii="宋体" w:hAnsi="宋体" w:eastAsia="宋体" w:cs="宋体"/>
          <w:color w:val="auto"/>
          <w:sz w:val="24"/>
          <w:szCs w:val="24"/>
          <w:highlight w:val="none"/>
        </w:rPr>
        <w:t>。</w:t>
      </w:r>
      <w:r>
        <w:rPr>
          <w:rFonts w:hint="eastAsia" w:ascii="宋体" w:hAnsi="宋体"/>
          <w:color w:val="auto"/>
          <w:sz w:val="24"/>
          <w:szCs w:val="24"/>
          <w:highlight w:val="none"/>
        </w:rPr>
        <w:t xml:space="preserve">              </w:t>
      </w:r>
    </w:p>
    <w:p w14:paraId="550E1571">
      <w:pPr>
        <w:tabs>
          <w:tab w:val="left" w:pos="425"/>
        </w:tabs>
        <w:autoSpaceDE w:val="0"/>
        <w:autoSpaceDN w:val="0"/>
        <w:adjustRightInd w:val="0"/>
        <w:snapToGrid w:val="0"/>
        <w:spacing w:line="360" w:lineRule="auto"/>
        <w:ind w:firstLine="480" w:firstLineChars="200"/>
        <w:jc w:val="left"/>
        <w:rPr>
          <w:rFonts w:hint="eastAsia" w:ascii="宋体" w:hAnsi="宋体"/>
          <w:b w:val="0"/>
          <w:bCs w:val="0"/>
          <w:color w:val="auto"/>
          <w:sz w:val="24"/>
          <w:szCs w:val="24"/>
          <w:highlight w:val="none"/>
        </w:rPr>
      </w:pPr>
      <w:r>
        <w:rPr>
          <w:rFonts w:hint="eastAsia" w:ascii="宋体" w:hAnsi="宋体"/>
          <w:b/>
          <w:bCs/>
          <w:color w:val="auto"/>
          <w:sz w:val="24"/>
          <w:szCs w:val="24"/>
          <w:highlight w:val="none"/>
        </w:rPr>
        <w:t>四、项目内容及需求：</w:t>
      </w:r>
      <w:r>
        <w:rPr>
          <w:rFonts w:hint="eastAsia" w:ascii="宋体" w:hAnsi="宋体"/>
          <w:b w:val="0"/>
          <w:bCs w:val="0"/>
          <w:color w:val="auto"/>
          <w:sz w:val="24"/>
          <w:szCs w:val="24"/>
          <w:highlight w:val="none"/>
        </w:rPr>
        <w:t>为“2025年青少年参加市级运动会”提供后勤保障服务，包括但不仅限于：</w:t>
      </w:r>
    </w:p>
    <w:p w14:paraId="7F6F77B0">
      <w:pPr>
        <w:tabs>
          <w:tab w:val="left" w:pos="425"/>
        </w:tabs>
        <w:autoSpaceDE w:val="0"/>
        <w:autoSpaceDN w:val="0"/>
        <w:adjustRightInd w:val="0"/>
        <w:snapToGrid w:val="0"/>
        <w:spacing w:line="360" w:lineRule="auto"/>
        <w:ind w:firstLine="480" w:firstLineChars="200"/>
        <w:jc w:val="left"/>
        <w:rPr>
          <w:rFonts w:hint="eastAsia" w:ascii="宋体" w:hAnsi="宋体"/>
          <w:b/>
          <w:bCs/>
          <w:color w:val="auto"/>
          <w:sz w:val="24"/>
          <w:szCs w:val="24"/>
          <w:highlight w:val="none"/>
        </w:rPr>
      </w:pPr>
      <w:r>
        <w:rPr>
          <w:rFonts w:hint="eastAsia" w:ascii="宋体" w:hAnsi="宋体"/>
          <w:b w:val="0"/>
          <w:bCs w:val="0"/>
          <w:color w:val="auto"/>
          <w:sz w:val="24"/>
          <w:szCs w:val="24"/>
          <w:highlight w:val="none"/>
        </w:rPr>
        <w:t>须负责相关参赛人员住宿、伙食、保险、体检、医药品、能量补给等涉及的所有工作事项，具体包括：1、安排落实部分参赛项目运动员、教练员、领队等工作人员因参赛所需的住宿，提供足够数量的、符合标准的住宿房间，协调解决相关的住宿服务；2、安排落实参赛运动员、教练员、领队等工作人员因参赛所需的伙食，提供足够数量的、符合标准的食物，协调解决相关的餐饮服务；3、组织落实运动员比赛保险、体检，办理保险理赔等相关事宜；4、购买落实参赛所需的应急医药品、能量补给品(包括但不限于葡萄糖、氨基酸、巧克力、香蕉、功能饮料等)，确保产品数量、质量符合参赛及安全要求；5、购买保险：必须为参赛运动员购买人身意外险。6、安排落实参赛运动员、教练员、领队等工作人员因参赛所需其他不可预计的工作事项。7、赛前体检：成交供应商负责为参赛运动员做基本的身体健康体检，检查结果须提交体检资料给赛事组委会，保证参赛队伍顺利参赛。</w:t>
      </w:r>
    </w:p>
    <w:p w14:paraId="6DBBC339">
      <w:pPr>
        <w:spacing w:line="360" w:lineRule="auto"/>
        <w:ind w:firstLine="480" w:firstLineChars="200"/>
        <w:rPr>
          <w:b/>
          <w:bCs/>
          <w:color w:val="auto"/>
          <w:highlight w:val="none"/>
        </w:rPr>
      </w:pPr>
      <w:r>
        <w:rPr>
          <w:rFonts w:hint="eastAsia" w:ascii="宋体" w:hAnsi="宋体"/>
          <w:b/>
          <w:bCs/>
          <w:color w:val="auto"/>
          <w:sz w:val="24"/>
          <w:szCs w:val="24"/>
          <w:highlight w:val="none"/>
        </w:rPr>
        <w:t>五、投标单位资格要求：</w:t>
      </w:r>
    </w:p>
    <w:p w14:paraId="3C0DC06A">
      <w:pPr>
        <w:tabs>
          <w:tab w:val="left" w:pos="425"/>
        </w:tabs>
        <w:autoSpaceDE w:val="0"/>
        <w:autoSpaceDN w:val="0"/>
        <w:adjustRightInd w:val="0"/>
        <w:snapToGrid w:val="0"/>
        <w:spacing w:line="360" w:lineRule="auto"/>
        <w:ind w:firstLine="480" w:firstLineChars="200"/>
        <w:jc w:val="left"/>
        <w:rPr>
          <w:rFonts w:ascii="宋体"/>
          <w:bCs/>
          <w:color w:val="auto"/>
          <w:kern w:val="0"/>
          <w:sz w:val="24"/>
          <w:szCs w:val="24"/>
          <w:highlight w:val="none"/>
        </w:rPr>
      </w:pPr>
      <w:r>
        <w:rPr>
          <w:rFonts w:hint="eastAsia" w:ascii="宋体" w:hAnsi="宋体"/>
          <w:color w:val="auto"/>
          <w:sz w:val="24"/>
          <w:szCs w:val="24"/>
          <w:highlight w:val="none"/>
        </w:rPr>
        <w:t>1、具有独立承担民事责任能力的在中华人民共和国境内注册的法人或其他组织，并取得合法企业工商营业执照；</w:t>
      </w:r>
    </w:p>
    <w:p w14:paraId="624BF017">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2、本项目不拆分，不接受联合体投标，否则，相关投标均无效；</w:t>
      </w:r>
    </w:p>
    <w:p w14:paraId="223C67A0">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3、单位负责人为同一人或者存在直接控股、管理关系的不同供应商，不得同时参加本项目投标；</w:t>
      </w:r>
    </w:p>
    <w:p w14:paraId="6CAC262F">
      <w:pPr>
        <w:tabs>
          <w:tab w:val="left" w:pos="280"/>
          <w:tab w:val="left" w:pos="425"/>
        </w:tabs>
        <w:autoSpaceDE w:val="0"/>
        <w:autoSpaceDN w:val="0"/>
        <w:adjustRightInd w:val="0"/>
        <w:snapToGrid w:val="0"/>
        <w:spacing w:line="360" w:lineRule="auto"/>
        <w:ind w:firstLine="480" w:firstLineChars="200"/>
        <w:jc w:val="left"/>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zh-CN"/>
        </w:rPr>
        <w:t>未被列入</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信用中国</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网站</w:t>
      </w:r>
      <w:r>
        <w:rPr>
          <w:rFonts w:hint="eastAsia" w:ascii="宋体" w:hAnsi="宋体" w:cs="Times New Roman"/>
          <w:color w:val="auto"/>
          <w:sz w:val="24"/>
          <w:szCs w:val="24"/>
          <w:highlight w:val="none"/>
          <w:lang w:val="en-US"/>
        </w:rPr>
        <w:t>(www.creditchina.gov.cn)“</w:t>
      </w:r>
      <w:r>
        <w:rPr>
          <w:rFonts w:hint="eastAsia" w:ascii="宋体" w:hAnsi="宋体" w:cs="Times New Roman"/>
          <w:color w:val="auto"/>
          <w:sz w:val="24"/>
          <w:szCs w:val="24"/>
          <w:highlight w:val="none"/>
          <w:lang w:val="zh-CN"/>
        </w:rPr>
        <w:t>记录失信被执行人或重大税收违法案件当事人名单或政府采购严重违法失信行为</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记录名单</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rPr>
        <w:t>以</w:t>
      </w:r>
      <w:r>
        <w:rPr>
          <w:rFonts w:hint="eastAsia" w:ascii="宋体" w:hAnsi="宋体" w:cs="Times New Roman"/>
          <w:color w:val="auto"/>
          <w:sz w:val="24"/>
          <w:szCs w:val="24"/>
          <w:highlight w:val="none"/>
          <w:lang w:val="zh-CN"/>
        </w:rPr>
        <w:t>在</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信用中国</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网站</w:t>
      </w:r>
      <w:r>
        <w:rPr>
          <w:rFonts w:hint="eastAsia" w:ascii="宋体" w:hAnsi="宋体" w:cs="Times New Roman"/>
          <w:color w:val="auto"/>
          <w:sz w:val="24"/>
          <w:szCs w:val="24"/>
          <w:highlight w:val="none"/>
          <w:lang w:val="en-US"/>
        </w:rPr>
        <w:t>（www.creditchina.gov.cn）</w:t>
      </w:r>
      <w:r>
        <w:rPr>
          <w:rFonts w:hint="eastAsia" w:ascii="宋体" w:hAnsi="宋体" w:cs="Times New Roman"/>
          <w:color w:val="auto"/>
          <w:sz w:val="24"/>
          <w:szCs w:val="24"/>
          <w:highlight w:val="none"/>
          <w:lang w:val="zh-CN"/>
        </w:rPr>
        <w:t>及中国政府采购网查询结果为准</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rPr>
        <w:t>加盖公章</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如相关失信记录已失效</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lang w:val="zh-CN"/>
        </w:rPr>
        <w:t>投标人需提供相关证明资料。）</w:t>
      </w:r>
    </w:p>
    <w:p w14:paraId="632D91FF">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5、投标人按要求提供投标申请人声明原件（签署、盖章）。</w:t>
      </w:r>
    </w:p>
    <w:p w14:paraId="5CA41414">
      <w:pPr>
        <w:snapToGrid w:val="0"/>
        <w:spacing w:line="360" w:lineRule="auto"/>
        <w:ind w:firstLine="480" w:firstLineChars="200"/>
        <w:rPr>
          <w:rFonts w:ascii="宋体"/>
          <w:b/>
          <w:bCs/>
          <w:color w:val="auto"/>
          <w:sz w:val="24"/>
          <w:szCs w:val="24"/>
          <w:highlight w:val="none"/>
        </w:rPr>
      </w:pPr>
      <w:r>
        <w:rPr>
          <w:rFonts w:hint="eastAsia" w:ascii="宋体"/>
          <w:b/>
          <w:bCs/>
          <w:color w:val="auto"/>
          <w:sz w:val="24"/>
          <w:szCs w:val="24"/>
          <w:highlight w:val="none"/>
        </w:rPr>
        <w:t>六、获取</w:t>
      </w:r>
      <w:r>
        <w:rPr>
          <w:rFonts w:hint="eastAsia" w:ascii="宋体"/>
          <w:b/>
          <w:bCs/>
          <w:color w:val="auto"/>
          <w:sz w:val="24"/>
          <w:szCs w:val="24"/>
          <w:highlight w:val="none"/>
          <w:lang w:val="en-US" w:eastAsia="zh-CN"/>
        </w:rPr>
        <w:t>招标</w:t>
      </w:r>
      <w:r>
        <w:rPr>
          <w:rFonts w:hint="eastAsia" w:ascii="宋体"/>
          <w:b/>
          <w:bCs/>
          <w:color w:val="auto"/>
          <w:sz w:val="24"/>
          <w:szCs w:val="24"/>
          <w:highlight w:val="none"/>
        </w:rPr>
        <w:t>文件方式</w:t>
      </w:r>
    </w:p>
    <w:p w14:paraId="42062885">
      <w:pPr>
        <w:tabs>
          <w:tab w:val="left" w:pos="280"/>
          <w:tab w:val="left" w:pos="425"/>
        </w:tabs>
        <w:autoSpaceDE w:val="0"/>
        <w:autoSpaceDN w:val="0"/>
        <w:adjustRightInd w:val="0"/>
        <w:snapToGrid w:val="0"/>
        <w:spacing w:line="360" w:lineRule="auto"/>
        <w:ind w:firstLine="480" w:firstLineChars="200"/>
        <w:jc w:val="left"/>
        <w:rPr>
          <w:rFonts w:hint="eastAsia" w:ascii="宋体" w:hAnsi="宋体" w:cs="Times New Roman"/>
          <w:color w:val="auto"/>
          <w:sz w:val="24"/>
          <w:szCs w:val="24"/>
          <w:highlight w:val="none"/>
          <w:lang w:val="zh-CN"/>
        </w:rPr>
      </w:pPr>
      <w:r>
        <w:rPr>
          <w:rFonts w:hint="eastAsia" w:ascii="宋体" w:hAnsi="宋体" w:cs="Times New Roman"/>
          <w:color w:val="auto"/>
          <w:sz w:val="24"/>
          <w:szCs w:val="24"/>
          <w:highlight w:val="none"/>
        </w:rPr>
        <w:t>项目</w:t>
      </w:r>
      <w:r>
        <w:rPr>
          <w:rFonts w:hint="eastAsia" w:ascii="宋体" w:hAnsi="宋体" w:cs="Times New Roman"/>
          <w:color w:val="auto"/>
          <w:sz w:val="24"/>
          <w:szCs w:val="24"/>
          <w:highlight w:val="none"/>
          <w:lang w:val="zh-CN"/>
        </w:rPr>
        <w:t>信息发布及结果公告网站</w:t>
      </w:r>
      <w:r>
        <w:rPr>
          <w:rFonts w:hint="eastAsia" w:ascii="宋体" w:hAnsi="宋体" w:cs="Times New Roman"/>
          <w:color w:val="auto"/>
          <w:sz w:val="24"/>
          <w:szCs w:val="24"/>
          <w:highlight w:val="none"/>
          <w:lang w:val="en-US"/>
        </w:rPr>
        <w:t>：</w:t>
      </w:r>
      <w:r>
        <w:rPr>
          <w:rFonts w:hint="eastAsia" w:ascii="宋体" w:hAnsi="宋体" w:cs="Times New Roman"/>
          <w:color w:val="auto"/>
          <w:sz w:val="24"/>
          <w:szCs w:val="24"/>
          <w:highlight w:val="none"/>
        </w:rPr>
        <w:t>广州国企阳光采购信息发布平台https://ygcg.gzggzy.cn/p92/index.html</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rPr>
        <w:t>广州南沙资产经营集团有限公司网站(http//www.gnao.com.cn)</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zh-CN"/>
        </w:rPr>
        <w:t>招标公告及</w:t>
      </w:r>
      <w:r>
        <w:rPr>
          <w:rFonts w:hint="eastAsia" w:ascii="宋体" w:hAnsi="宋体" w:cs="Times New Roman"/>
          <w:color w:val="auto"/>
          <w:sz w:val="24"/>
          <w:szCs w:val="24"/>
          <w:highlight w:val="none"/>
        </w:rPr>
        <w:t>招标</w:t>
      </w:r>
      <w:r>
        <w:rPr>
          <w:rFonts w:hint="eastAsia" w:ascii="宋体" w:hAnsi="宋体" w:cs="Times New Roman"/>
          <w:color w:val="auto"/>
          <w:sz w:val="24"/>
          <w:szCs w:val="24"/>
          <w:highlight w:val="none"/>
          <w:lang w:val="zh-CN"/>
        </w:rPr>
        <w:t>文件的</w:t>
      </w:r>
      <w:r>
        <w:rPr>
          <w:rFonts w:hint="eastAsia" w:ascii="宋体" w:hAnsi="宋体" w:cs="Times New Roman"/>
          <w:color w:val="auto"/>
          <w:sz w:val="24"/>
          <w:szCs w:val="24"/>
          <w:highlight w:val="none"/>
        </w:rPr>
        <w:t>发布、</w:t>
      </w:r>
      <w:r>
        <w:rPr>
          <w:rFonts w:hint="eastAsia" w:ascii="宋体" w:hAnsi="宋体" w:cs="Times New Roman"/>
          <w:color w:val="auto"/>
          <w:sz w:val="24"/>
          <w:szCs w:val="24"/>
          <w:highlight w:val="none"/>
          <w:lang w:val="zh-CN"/>
        </w:rPr>
        <w:t>修改、补充以</w:t>
      </w:r>
      <w:r>
        <w:rPr>
          <w:rFonts w:hint="eastAsia" w:ascii="宋体" w:hAnsi="宋体" w:cs="Times New Roman"/>
          <w:color w:val="auto"/>
          <w:sz w:val="24"/>
          <w:szCs w:val="24"/>
          <w:highlight w:val="none"/>
          <w:lang w:val="en-US" w:eastAsia="zh-CN"/>
        </w:rPr>
        <w:t>在上述两个网站发布的</w:t>
      </w:r>
      <w:r>
        <w:rPr>
          <w:rFonts w:hint="eastAsia" w:ascii="宋体" w:hAnsi="宋体" w:cs="Times New Roman"/>
          <w:color w:val="auto"/>
          <w:sz w:val="24"/>
          <w:szCs w:val="24"/>
          <w:highlight w:val="none"/>
          <w:lang w:val="zh-CN"/>
        </w:rPr>
        <w:t>为准。相关公告在</w:t>
      </w:r>
      <w:r>
        <w:rPr>
          <w:rFonts w:hint="eastAsia" w:ascii="宋体" w:hAnsi="宋体" w:cs="Times New Roman"/>
          <w:color w:val="auto"/>
          <w:sz w:val="24"/>
          <w:szCs w:val="24"/>
          <w:highlight w:val="none"/>
          <w:lang w:val="en-US" w:eastAsia="zh-CN"/>
        </w:rPr>
        <w:t>上述</w:t>
      </w:r>
      <w:r>
        <w:rPr>
          <w:rFonts w:hint="eastAsia" w:ascii="宋体" w:hAnsi="宋体" w:cs="Times New Roman"/>
          <w:color w:val="auto"/>
          <w:sz w:val="24"/>
          <w:szCs w:val="24"/>
          <w:highlight w:val="none"/>
          <w:lang w:val="zh-CN"/>
        </w:rPr>
        <w:t>网站公布之日即视为有效送达，不再另行通知。本项目不举行集中答疑会，如有任何疑问请以书面形式至</w:t>
      </w:r>
      <w:r>
        <w:rPr>
          <w:rFonts w:hint="eastAsia" w:ascii="宋体" w:hAnsi="宋体" w:cs="Times New Roman"/>
          <w:color w:val="auto"/>
          <w:sz w:val="24"/>
          <w:szCs w:val="24"/>
          <w:highlight w:val="none"/>
        </w:rPr>
        <w:t>招标</w:t>
      </w:r>
      <w:r>
        <w:rPr>
          <w:rFonts w:hint="eastAsia" w:ascii="宋体" w:hAnsi="宋体" w:cs="Times New Roman"/>
          <w:color w:val="auto"/>
          <w:sz w:val="24"/>
          <w:szCs w:val="24"/>
          <w:highlight w:val="none"/>
          <w:lang w:val="zh-CN"/>
        </w:rPr>
        <w:t>单位释疑。投标人自行前往现场踏勘。</w:t>
      </w:r>
    </w:p>
    <w:p w14:paraId="17282EFD">
      <w:pPr>
        <w:tabs>
          <w:tab w:val="left" w:pos="280"/>
          <w:tab w:val="left" w:pos="425"/>
        </w:tabs>
        <w:autoSpaceDE w:val="0"/>
        <w:autoSpaceDN w:val="0"/>
        <w:adjustRightInd w:val="0"/>
        <w:snapToGrid w:val="0"/>
        <w:spacing w:line="360" w:lineRule="auto"/>
        <w:ind w:firstLine="480" w:firstLineChars="200"/>
        <w:jc w:val="left"/>
        <w:rPr>
          <w:rFonts w:hint="eastAsia" w:ascii="宋体" w:hAnsi="宋体" w:cs="Times New Roman"/>
          <w:color w:val="auto"/>
          <w:sz w:val="24"/>
          <w:szCs w:val="24"/>
          <w:highlight w:val="none"/>
          <w:lang w:val="zh-CN"/>
        </w:rPr>
      </w:pPr>
      <w:r>
        <w:rPr>
          <w:rFonts w:hint="eastAsia" w:ascii="宋体" w:hAnsi="宋体" w:cs="Times New Roman"/>
          <w:color w:val="auto"/>
          <w:sz w:val="24"/>
          <w:szCs w:val="24"/>
          <w:highlight w:val="none"/>
          <w:lang w:val="en-US" w:eastAsia="zh-CN"/>
        </w:rPr>
        <w:t>报名</w:t>
      </w:r>
      <w:r>
        <w:rPr>
          <w:rFonts w:hint="eastAsia" w:ascii="宋体" w:hAnsi="宋体" w:eastAsia="宋体" w:cs="Times New Roman"/>
          <w:color w:val="auto"/>
          <w:sz w:val="24"/>
          <w:szCs w:val="24"/>
          <w:highlight w:val="none"/>
          <w:lang w:val="en-US"/>
        </w:rPr>
        <w:t>时间：</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lang w:eastAsia="zh-TW"/>
        </w:rPr>
        <w:t>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lang w:eastAsia="zh-TW"/>
        </w:rPr>
        <w:t>月</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lang w:eastAsia="zh-TW"/>
        </w:rPr>
        <w:t>日</w:t>
      </w:r>
      <w:r>
        <w:rPr>
          <w:rFonts w:hint="eastAsia" w:ascii="宋体" w:hAnsi="宋体" w:cs="宋体"/>
          <w:color w:val="auto"/>
          <w:sz w:val="24"/>
          <w:szCs w:val="24"/>
          <w:highlight w:val="none"/>
          <w:u w:val="single"/>
          <w:lang w:val="en-US" w:eastAsia="zh-CN"/>
        </w:rPr>
        <w:t>09</w:t>
      </w:r>
      <w:r>
        <w:rPr>
          <w:rFonts w:hint="eastAsia" w:ascii="宋体" w:hAnsi="宋体" w:eastAsia="宋体" w:cs="Times New Roman"/>
          <w:color w:val="auto"/>
          <w:sz w:val="24"/>
          <w:szCs w:val="24"/>
          <w:highlight w:val="none"/>
          <w:lang w:val="en-US"/>
        </w:rPr>
        <w:t>时</w:t>
      </w:r>
      <w:r>
        <w:rPr>
          <w:rFonts w:hint="eastAsia" w:ascii="宋体" w:hAnsi="宋体" w:cs="Times New Roman"/>
          <w:color w:val="auto"/>
          <w:sz w:val="24"/>
          <w:szCs w:val="24"/>
          <w:highlight w:val="none"/>
          <w:lang w:val="en-US" w:eastAsia="zh-CN"/>
        </w:rPr>
        <w:t>分-09时</w:t>
      </w:r>
      <w:r>
        <w:rPr>
          <w:rFonts w:hint="eastAsia" w:ascii="宋体" w:hAnsi="宋体" w:eastAsia="宋体" w:cs="Times New Roman"/>
          <w:color w:val="auto"/>
          <w:sz w:val="24"/>
          <w:szCs w:val="24"/>
          <w:highlight w:val="none"/>
          <w:lang w:val="en-US"/>
        </w:rPr>
        <w:t>：</w:t>
      </w:r>
      <w:r>
        <w:rPr>
          <w:rFonts w:hint="eastAsia" w:ascii="宋体" w:hAnsi="宋体" w:eastAsia="宋体" w:cs="Times New Roman"/>
          <w:color w:val="auto"/>
          <w:sz w:val="24"/>
          <w:szCs w:val="24"/>
          <w:highlight w:val="none"/>
          <w:lang w:val="en-US" w:eastAsia="zh-CN"/>
        </w:rPr>
        <w:t>30</w:t>
      </w:r>
      <w:r>
        <w:rPr>
          <w:rFonts w:hint="eastAsia" w:ascii="宋体" w:hAnsi="宋体" w:eastAsia="宋体" w:cs="Times New Roman"/>
          <w:color w:val="auto"/>
          <w:sz w:val="24"/>
          <w:szCs w:val="24"/>
          <w:highlight w:val="none"/>
          <w:lang w:val="en-US"/>
        </w:rPr>
        <w:t>分</w:t>
      </w:r>
      <w:r>
        <w:rPr>
          <w:rFonts w:hint="eastAsia" w:ascii="宋体" w:hAnsi="宋体" w:eastAsia="宋体" w:cs="Times New Roman"/>
          <w:color w:val="auto"/>
          <w:sz w:val="24"/>
          <w:szCs w:val="24"/>
          <w:highlight w:val="none"/>
          <w:lang w:val="en-US" w:eastAsia="zh-CN"/>
        </w:rPr>
        <w:t>，</w:t>
      </w:r>
      <w:r>
        <w:rPr>
          <w:rFonts w:hint="eastAsia" w:ascii="宋体" w:hAnsi="宋体" w:cs="Times New Roman"/>
          <w:color w:val="auto"/>
          <w:sz w:val="24"/>
          <w:szCs w:val="24"/>
          <w:highlight w:val="none"/>
          <w:lang w:val="en-US" w:eastAsia="zh-CN"/>
        </w:rPr>
        <w:t>所需资料：</w:t>
      </w:r>
      <w:r>
        <w:rPr>
          <w:rFonts w:hint="eastAsia" w:ascii="宋体" w:hAnsi="宋体" w:eastAsia="宋体" w:cs="Times New Roman"/>
          <w:color w:val="auto"/>
          <w:sz w:val="24"/>
          <w:szCs w:val="24"/>
          <w:highlight w:val="none"/>
          <w:lang w:val="en-US" w:eastAsia="zh-CN"/>
        </w:rPr>
        <w:t>公司营业执照副本</w:t>
      </w:r>
      <w:r>
        <w:rPr>
          <w:rFonts w:hint="eastAsia" w:ascii="宋体" w:hAnsi="宋体"/>
          <w:color w:val="auto"/>
          <w:sz w:val="24"/>
          <w:szCs w:val="24"/>
          <w:highlight w:val="none"/>
          <w:lang w:val="en-US" w:eastAsia="zh-CN"/>
        </w:rPr>
        <w:t>。</w:t>
      </w:r>
    </w:p>
    <w:p w14:paraId="06FB8B1A">
      <w:pPr>
        <w:pStyle w:val="22"/>
        <w:spacing w:line="360" w:lineRule="auto"/>
        <w:ind w:firstLine="480" w:firstLineChars="200"/>
        <w:rPr>
          <w:rFonts w:hint="eastAsia" w:ascii="宋体" w:hAnsi="宋体" w:eastAsia="宋体" w:cs="宋体"/>
          <w:b/>
          <w:color w:val="auto"/>
          <w:highlight w:val="none"/>
        </w:rPr>
      </w:pPr>
      <w:r>
        <w:rPr>
          <w:rFonts w:hint="eastAsia" w:ascii="宋体" w:hAnsi="宋体" w:eastAsia="宋体" w:cs="宋体"/>
          <w:b/>
          <w:color w:val="auto"/>
          <w:highlight w:val="none"/>
          <w:lang w:val="en-US" w:eastAsia="zh-CN"/>
        </w:rPr>
        <w:t>七</w:t>
      </w:r>
      <w:r>
        <w:rPr>
          <w:rFonts w:hint="eastAsia" w:ascii="宋体" w:hAnsi="宋体" w:eastAsia="宋体" w:cs="宋体"/>
          <w:b/>
          <w:color w:val="auto"/>
          <w:highlight w:val="none"/>
        </w:rPr>
        <w:t>、递交</w:t>
      </w:r>
      <w:r>
        <w:rPr>
          <w:rFonts w:hint="eastAsia" w:ascii="宋体" w:hAnsi="宋体" w:eastAsia="宋体" w:cs="宋体"/>
          <w:b/>
          <w:color w:val="auto"/>
          <w:highlight w:val="none"/>
          <w:lang w:val="en-US" w:eastAsia="zh-CN"/>
        </w:rPr>
        <w:t>投</w:t>
      </w:r>
      <w:r>
        <w:rPr>
          <w:rFonts w:hint="eastAsia" w:ascii="宋体" w:hAnsi="宋体" w:eastAsia="宋体" w:cs="宋体"/>
          <w:b/>
          <w:color w:val="auto"/>
          <w:highlight w:val="none"/>
        </w:rPr>
        <w:t>标文件时间、投标截止时间、开标时间及地点：</w:t>
      </w:r>
    </w:p>
    <w:p w14:paraId="78AD6DCF">
      <w:pPr>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1、递交投标文件时间</w:t>
      </w:r>
      <w:r>
        <w:rPr>
          <w:rFonts w:hint="eastAsia" w:ascii="宋体" w:hAnsi="宋体" w:cs="宋体"/>
          <w:color w:val="auto"/>
          <w:sz w:val="24"/>
          <w:szCs w:val="24"/>
          <w:highlight w:val="none"/>
          <w:lang w:eastAsia="zh-TW"/>
        </w:rPr>
        <w:t>：</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lang w:eastAsia="zh-TW"/>
        </w:rPr>
        <w:t>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lang w:eastAsia="zh-TW"/>
        </w:rPr>
        <w:t>月</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lang w:eastAsia="zh-TW"/>
        </w:rPr>
        <w:t>日</w:t>
      </w:r>
      <w:r>
        <w:rPr>
          <w:rFonts w:hint="eastAsia" w:ascii="宋体" w:hAnsi="宋体" w:cs="宋体"/>
          <w:color w:val="auto"/>
          <w:sz w:val="24"/>
          <w:szCs w:val="24"/>
          <w:highlight w:val="none"/>
          <w:u w:val="single"/>
          <w:lang w:val="en-US" w:eastAsia="zh-CN"/>
        </w:rPr>
        <w:t>09</w:t>
      </w:r>
      <w:r>
        <w:rPr>
          <w:rFonts w:hint="eastAsia" w:ascii="宋体" w:hAnsi="宋体" w:eastAsia="宋体" w:cs="Times New Roman"/>
          <w:color w:val="auto"/>
          <w:sz w:val="24"/>
          <w:szCs w:val="24"/>
          <w:highlight w:val="none"/>
          <w:lang w:val="en-US"/>
        </w:rPr>
        <w:t>时</w:t>
      </w:r>
      <w:r>
        <w:rPr>
          <w:rFonts w:hint="eastAsia" w:ascii="宋体" w:hAnsi="宋体" w:cs="Times New Roman"/>
          <w:color w:val="auto"/>
          <w:sz w:val="24"/>
          <w:szCs w:val="24"/>
          <w:highlight w:val="none"/>
          <w:lang w:val="en-US" w:eastAsia="zh-CN"/>
        </w:rPr>
        <w:t>分-09时</w:t>
      </w:r>
      <w:r>
        <w:rPr>
          <w:rFonts w:hint="eastAsia" w:ascii="宋体" w:hAnsi="宋体" w:eastAsia="宋体" w:cs="Times New Roman"/>
          <w:color w:val="auto"/>
          <w:sz w:val="24"/>
          <w:szCs w:val="24"/>
          <w:highlight w:val="none"/>
          <w:lang w:val="en-US"/>
        </w:rPr>
        <w:t>：</w:t>
      </w:r>
      <w:r>
        <w:rPr>
          <w:rFonts w:hint="eastAsia" w:ascii="宋体" w:hAnsi="宋体" w:eastAsia="宋体" w:cs="Times New Roman"/>
          <w:color w:val="auto"/>
          <w:sz w:val="24"/>
          <w:szCs w:val="24"/>
          <w:highlight w:val="none"/>
          <w:lang w:val="en-US" w:eastAsia="zh-CN"/>
        </w:rPr>
        <w:t>30</w:t>
      </w:r>
      <w:r>
        <w:rPr>
          <w:rFonts w:hint="eastAsia" w:ascii="宋体" w:hAnsi="宋体" w:eastAsia="宋体" w:cs="Times New Roman"/>
          <w:color w:val="auto"/>
          <w:sz w:val="24"/>
          <w:szCs w:val="24"/>
          <w:highlight w:val="none"/>
          <w:lang w:val="en-US"/>
        </w:rPr>
        <w:t>分</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邮寄或</w:t>
      </w:r>
      <w:r>
        <w:rPr>
          <w:rFonts w:hint="eastAsia" w:ascii="宋体" w:hAnsi="宋体" w:cs="宋体"/>
          <w:b/>
          <w:bCs/>
          <w:color w:val="auto"/>
          <w:sz w:val="24"/>
          <w:szCs w:val="24"/>
          <w:highlight w:val="none"/>
        </w:rPr>
        <w:t>现场提交</w:t>
      </w:r>
      <w:r>
        <w:rPr>
          <w:rFonts w:hint="eastAsia" w:ascii="宋体" w:hAnsi="宋体" w:cs="宋体"/>
          <w:color w:val="auto"/>
          <w:sz w:val="24"/>
          <w:szCs w:val="24"/>
          <w:highlight w:val="none"/>
        </w:rPr>
        <w:t>）；</w:t>
      </w:r>
    </w:p>
    <w:p w14:paraId="7CB418E4">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TW"/>
        </w:rPr>
        <w:t>投标文件递交</w:t>
      </w:r>
      <w:r>
        <w:rPr>
          <w:rFonts w:hint="eastAsia" w:ascii="宋体" w:hAnsi="宋体" w:cs="宋体"/>
          <w:color w:val="auto"/>
          <w:sz w:val="24"/>
          <w:szCs w:val="24"/>
          <w:highlight w:val="none"/>
          <w:lang w:val="en-US" w:eastAsia="zh-CN"/>
        </w:rPr>
        <w:t>/邮寄</w:t>
      </w:r>
      <w:r>
        <w:rPr>
          <w:rFonts w:hint="eastAsia" w:ascii="宋体" w:hAnsi="宋体" w:cs="宋体"/>
          <w:color w:val="auto"/>
          <w:sz w:val="24"/>
          <w:szCs w:val="24"/>
          <w:highlight w:val="none"/>
          <w:lang w:eastAsia="zh-TW"/>
        </w:rPr>
        <w:t>地点：广州市南沙区海滨路171号南沙金融大厦1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TW"/>
        </w:rPr>
        <w:t>楼</w:t>
      </w:r>
      <w:r>
        <w:rPr>
          <w:rFonts w:hint="eastAsia" w:ascii="宋体" w:hAnsi="宋体" w:cs="宋体"/>
          <w:color w:val="auto"/>
          <w:sz w:val="24"/>
          <w:szCs w:val="24"/>
          <w:highlight w:val="none"/>
          <w:lang w:val="en-US" w:eastAsia="zh-CN"/>
        </w:rPr>
        <w:t>南沙文体</w:t>
      </w:r>
      <w:r>
        <w:rPr>
          <w:rFonts w:hint="eastAsia" w:ascii="宋体" w:hAnsi="宋体" w:cs="宋体"/>
          <w:color w:val="auto"/>
          <w:sz w:val="24"/>
          <w:szCs w:val="24"/>
          <w:highlight w:val="none"/>
        </w:rPr>
        <w:t>；</w:t>
      </w:r>
    </w:p>
    <w:p w14:paraId="27A8C221">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eastAsia="zh-TW"/>
        </w:rPr>
        <w:t>开标评标时间：</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lang w:eastAsia="zh-TW"/>
        </w:rPr>
        <w:t>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lang w:eastAsia="zh-TW"/>
        </w:rPr>
        <w:t>月</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lang w:eastAsia="zh-TW"/>
        </w:rPr>
        <w:t>日</w:t>
      </w:r>
      <w:r>
        <w:rPr>
          <w:rFonts w:hint="eastAsia" w:ascii="宋体" w:hAnsi="宋体" w:cs="Times New Roman"/>
          <w:color w:val="auto"/>
          <w:sz w:val="24"/>
          <w:szCs w:val="24"/>
          <w:highlight w:val="none"/>
          <w:lang w:val="en-US" w:eastAsia="zh-CN"/>
        </w:rPr>
        <w:t>09时</w:t>
      </w:r>
      <w:r>
        <w:rPr>
          <w:rFonts w:hint="eastAsia" w:ascii="宋体" w:hAnsi="宋体" w:eastAsia="宋体" w:cs="Times New Roman"/>
          <w:color w:val="auto"/>
          <w:sz w:val="24"/>
          <w:szCs w:val="24"/>
          <w:highlight w:val="none"/>
          <w:lang w:val="en-US"/>
        </w:rPr>
        <w:t>：</w:t>
      </w:r>
      <w:r>
        <w:rPr>
          <w:rFonts w:hint="eastAsia" w:ascii="宋体" w:hAnsi="宋体" w:eastAsia="宋体" w:cs="Times New Roman"/>
          <w:color w:val="auto"/>
          <w:sz w:val="24"/>
          <w:szCs w:val="24"/>
          <w:highlight w:val="none"/>
          <w:lang w:val="en-US" w:eastAsia="zh-CN"/>
        </w:rPr>
        <w:t>30</w:t>
      </w:r>
      <w:r>
        <w:rPr>
          <w:rFonts w:hint="eastAsia" w:ascii="宋体" w:hAnsi="宋体" w:eastAsia="宋体" w:cs="Times New Roman"/>
          <w:color w:val="auto"/>
          <w:sz w:val="24"/>
          <w:szCs w:val="24"/>
          <w:highlight w:val="none"/>
          <w:lang w:val="en-US"/>
        </w:rPr>
        <w:t>分</w:t>
      </w:r>
      <w:r>
        <w:rPr>
          <w:rFonts w:hint="eastAsia" w:ascii="宋体" w:hAnsi="宋体" w:cs="宋体"/>
          <w:color w:val="auto"/>
          <w:sz w:val="24"/>
          <w:szCs w:val="24"/>
          <w:highlight w:val="none"/>
          <w:u w:val="single"/>
        </w:rPr>
        <w:t>；</w:t>
      </w:r>
    </w:p>
    <w:p w14:paraId="2931203E">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eastAsia="zh-TW"/>
        </w:rPr>
        <w:t>开标评标地点：广州市南沙区海滨路171号南沙金融大厦1</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eastAsia="zh-TW"/>
        </w:rPr>
        <w:t>楼</w:t>
      </w:r>
      <w:r>
        <w:rPr>
          <w:rFonts w:hint="eastAsia" w:ascii="宋体" w:hAnsi="宋体" w:cs="宋体"/>
          <w:color w:val="auto"/>
          <w:sz w:val="24"/>
          <w:szCs w:val="24"/>
          <w:highlight w:val="none"/>
          <w:lang w:val="en-US" w:eastAsia="zh-CN"/>
        </w:rPr>
        <w:t>1807。</w:t>
      </w:r>
    </w:p>
    <w:p w14:paraId="396EFFD9">
      <w:pPr>
        <w:pStyle w:val="22"/>
        <w:spacing w:line="360" w:lineRule="auto"/>
        <w:ind w:firstLine="480" w:firstLineChars="200"/>
        <w:rPr>
          <w:rFonts w:hint="eastAsia" w:ascii="宋体" w:hAnsi="宋体" w:eastAsia="宋体" w:cs="宋体"/>
          <w:b/>
          <w:color w:val="auto"/>
          <w:highlight w:val="none"/>
        </w:rPr>
      </w:pPr>
      <w:r>
        <w:rPr>
          <w:rFonts w:hint="eastAsia" w:ascii="宋体" w:hAnsi="宋体" w:eastAsia="宋体" w:cs="宋体"/>
          <w:b/>
          <w:color w:val="auto"/>
          <w:highlight w:val="none"/>
          <w:lang w:val="en-US" w:eastAsia="zh-CN"/>
        </w:rPr>
        <w:t>八</w:t>
      </w:r>
      <w:r>
        <w:rPr>
          <w:rFonts w:hint="eastAsia" w:ascii="宋体" w:hAnsi="宋体" w:eastAsia="宋体" w:cs="宋体"/>
          <w:b/>
          <w:color w:val="auto"/>
          <w:highlight w:val="none"/>
        </w:rPr>
        <w:t>、招标单位</w:t>
      </w:r>
      <w:r>
        <w:rPr>
          <w:rFonts w:ascii="宋体" w:hAnsi="宋体" w:eastAsia="宋体" w:cs="宋体"/>
          <w:b/>
          <w:color w:val="auto"/>
          <w:highlight w:val="none"/>
        </w:rPr>
        <w:t>联系方式</w:t>
      </w:r>
      <w:r>
        <w:rPr>
          <w:rFonts w:hint="eastAsia" w:ascii="宋体" w:hAnsi="宋体" w:eastAsia="宋体" w:cs="宋体"/>
          <w:b/>
          <w:color w:val="auto"/>
          <w:highlight w:val="none"/>
        </w:rPr>
        <w:t>：</w:t>
      </w:r>
    </w:p>
    <w:p w14:paraId="034BDE98">
      <w:pPr>
        <w:pStyle w:val="22"/>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1、项目</w:t>
      </w:r>
      <w:r>
        <w:rPr>
          <w:rFonts w:hint="eastAsia" w:ascii="宋体" w:hAnsi="宋体" w:eastAsia="宋体" w:cs="宋体"/>
          <w:color w:val="auto"/>
          <w:highlight w:val="none"/>
        </w:rPr>
        <w:t>联系人：</w:t>
      </w:r>
      <w:r>
        <w:rPr>
          <w:rFonts w:hint="eastAsia" w:ascii="宋体" w:hAnsi="宋体" w:eastAsia="宋体" w:cs="宋体"/>
          <w:color w:val="auto"/>
          <w:highlight w:val="none"/>
          <w:lang w:val="en-US" w:eastAsia="zh-CN"/>
        </w:rPr>
        <w:t>官小姐，</w:t>
      </w:r>
      <w:r>
        <w:rPr>
          <w:rFonts w:hint="eastAsia" w:ascii="宋体" w:hAnsi="宋体" w:eastAsia="宋体" w:cs="宋体"/>
          <w:color w:val="auto"/>
          <w:highlight w:val="none"/>
        </w:rPr>
        <w:t>联系电话：</w:t>
      </w:r>
      <w:r>
        <w:rPr>
          <w:rFonts w:hint="eastAsia" w:ascii="宋体" w:hAnsi="宋体" w:eastAsia="宋体" w:cs="宋体"/>
          <w:color w:val="auto"/>
          <w:highlight w:val="none"/>
          <w:lang w:val="en-US" w:eastAsia="zh-CN"/>
        </w:rPr>
        <w:t>13711073736</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9：00-17：30</w:t>
      </w:r>
      <w:r>
        <w:rPr>
          <w:rFonts w:hint="eastAsia" w:ascii="宋体" w:hAnsi="宋体" w:eastAsia="宋体" w:cs="宋体"/>
          <w:color w:val="auto"/>
          <w:highlight w:val="none"/>
          <w:lang w:eastAsia="zh-CN"/>
        </w:rPr>
        <w:t>）</w:t>
      </w:r>
    </w:p>
    <w:p w14:paraId="236A2F89">
      <w:pPr>
        <w:pStyle w:val="22"/>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2、联系</w:t>
      </w:r>
      <w:r>
        <w:rPr>
          <w:rFonts w:hint="eastAsia" w:ascii="宋体" w:hAnsi="宋体" w:eastAsia="宋体" w:cs="宋体"/>
          <w:color w:val="auto"/>
          <w:highlight w:val="none"/>
        </w:rPr>
        <w:t>地址：</w:t>
      </w:r>
      <w:r>
        <w:rPr>
          <w:rFonts w:hint="eastAsia" w:ascii="宋体" w:hAnsi="宋体" w:eastAsia="宋体" w:cs="宋体"/>
          <w:color w:val="auto"/>
          <w:sz w:val="24"/>
          <w:szCs w:val="24"/>
          <w:highlight w:val="none"/>
          <w:lang w:eastAsia="zh-TW"/>
        </w:rPr>
        <w:t>广州市南沙区海滨路171号南沙金融大厦16楼</w:t>
      </w:r>
    </w:p>
    <w:p w14:paraId="33F2298E">
      <w:pPr>
        <w:pStyle w:val="22"/>
        <w:spacing w:line="360" w:lineRule="auto"/>
        <w:ind w:firstLine="480" w:firstLineChars="200"/>
        <w:jc w:val="right"/>
        <w:rPr>
          <w:rFonts w:eastAsia="宋体"/>
          <w:color w:val="auto"/>
          <w:highlight w:val="none"/>
        </w:rPr>
      </w:pPr>
    </w:p>
    <w:p w14:paraId="4BAC42E9">
      <w:pPr>
        <w:pStyle w:val="22"/>
        <w:spacing w:line="360" w:lineRule="auto"/>
        <w:ind w:firstLine="480" w:firstLineChars="200"/>
        <w:jc w:val="right"/>
        <w:rPr>
          <w:rFonts w:eastAsia="宋体"/>
          <w:color w:val="auto"/>
          <w:highlight w:val="none"/>
        </w:rPr>
      </w:pPr>
    </w:p>
    <w:p w14:paraId="721B579C">
      <w:pPr>
        <w:pStyle w:val="22"/>
        <w:spacing w:line="360" w:lineRule="auto"/>
        <w:ind w:firstLine="480" w:firstLineChars="200"/>
        <w:jc w:val="right"/>
        <w:rPr>
          <w:rFonts w:eastAsia="宋体"/>
          <w:color w:val="auto"/>
          <w:highlight w:val="none"/>
        </w:rPr>
      </w:pPr>
      <w:r>
        <w:rPr>
          <w:rFonts w:hint="eastAsia" w:eastAsia="宋体"/>
          <w:color w:val="auto"/>
          <w:highlight w:val="none"/>
        </w:rPr>
        <w:t>广州南沙</w:t>
      </w:r>
      <w:r>
        <w:rPr>
          <w:rFonts w:hint="eastAsia" w:eastAsia="宋体"/>
          <w:color w:val="auto"/>
          <w:highlight w:val="none"/>
          <w:lang w:val="en-US" w:eastAsia="zh-CN"/>
        </w:rPr>
        <w:t>文体投资</w:t>
      </w:r>
      <w:r>
        <w:rPr>
          <w:rFonts w:hint="eastAsia" w:eastAsia="宋体"/>
          <w:color w:val="auto"/>
          <w:highlight w:val="none"/>
        </w:rPr>
        <w:t>有限公司</w:t>
      </w:r>
    </w:p>
    <w:p w14:paraId="6205421F">
      <w:pPr>
        <w:pStyle w:val="22"/>
        <w:spacing w:line="360" w:lineRule="auto"/>
        <w:ind w:firstLine="480" w:firstLineChars="200"/>
        <w:jc w:val="center"/>
        <w:rPr>
          <w:rFonts w:hint="eastAsia" w:eastAsia="宋体"/>
          <w:color w:val="auto"/>
          <w:highlight w:val="none"/>
          <w:lang w:val="en-US" w:eastAsia="zh-CN"/>
        </w:rPr>
      </w:pPr>
      <w:r>
        <w:rPr>
          <w:rFonts w:hint="eastAsia" w:ascii="宋体" w:hAnsi="宋体" w:eastAsia="宋体" w:cs="宋体"/>
          <w:color w:val="auto"/>
          <w:highlight w:val="none"/>
        </w:rPr>
        <w:t xml:space="preserve">                                        202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 xml:space="preserve"> 4</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25</w:t>
      </w: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p>
    <w:p w14:paraId="4DF14246">
      <w:pPr>
        <w:pStyle w:val="22"/>
        <w:spacing w:line="360" w:lineRule="auto"/>
        <w:ind w:firstLine="480" w:firstLineChars="200"/>
        <w:jc w:val="right"/>
        <w:rPr>
          <w:rFonts w:eastAsia="宋体"/>
          <w:color w:val="auto"/>
          <w:highlight w:val="none"/>
        </w:rPr>
      </w:pPr>
    </w:p>
    <w:p w14:paraId="26BA21B9">
      <w:pPr>
        <w:pStyle w:val="23"/>
        <w:widowControl w:val="0"/>
        <w:spacing w:before="0" w:beforeAutospacing="0" w:after="0" w:afterAutospacing="0" w:line="360" w:lineRule="auto"/>
        <w:rPr>
          <w:rFonts w:hint="eastAsia"/>
          <w:b/>
          <w:color w:val="auto"/>
          <w:sz w:val="44"/>
          <w:szCs w:val="44"/>
          <w:highlight w:val="none"/>
        </w:rPr>
      </w:pPr>
    </w:p>
    <w:p w14:paraId="4D192DE1">
      <w:pPr>
        <w:pStyle w:val="23"/>
        <w:widowControl w:val="0"/>
        <w:spacing w:before="0" w:beforeAutospacing="0" w:after="0" w:afterAutospacing="0" w:line="360" w:lineRule="auto"/>
        <w:jc w:val="both"/>
        <w:rPr>
          <w:rFonts w:hint="eastAsia"/>
          <w:b/>
          <w:color w:val="auto"/>
          <w:sz w:val="44"/>
          <w:szCs w:val="44"/>
          <w:highlight w:val="none"/>
        </w:rPr>
      </w:pPr>
    </w:p>
    <w:p w14:paraId="78E1947C">
      <w:pPr>
        <w:rPr>
          <w:rFonts w:hint="eastAsia" w:cs="Times New Roman"/>
          <w:b/>
          <w:bCs/>
          <w:color w:val="auto"/>
          <w:sz w:val="32"/>
          <w:szCs w:val="32"/>
          <w:highlight w:val="none"/>
        </w:rPr>
      </w:pPr>
      <w:r>
        <w:rPr>
          <w:rFonts w:hint="eastAsia" w:cs="Times New Roman"/>
          <w:b/>
          <w:bCs/>
          <w:color w:val="auto"/>
          <w:sz w:val="32"/>
          <w:szCs w:val="32"/>
          <w:highlight w:val="none"/>
        </w:rPr>
        <w:br w:type="page"/>
      </w:r>
    </w:p>
    <w:p w14:paraId="175C7FED">
      <w:pPr>
        <w:keepNext/>
        <w:keepLines/>
        <w:spacing w:before="340" w:after="330" w:line="578" w:lineRule="auto"/>
        <w:ind w:right="-588"/>
        <w:jc w:val="center"/>
        <w:outlineLvl w:val="0"/>
        <w:rPr>
          <w:rFonts w:cs="Times New Roman"/>
          <w:b/>
          <w:bCs/>
          <w:color w:val="auto"/>
          <w:kern w:val="44"/>
          <w:sz w:val="44"/>
          <w:szCs w:val="44"/>
          <w:highlight w:val="none"/>
        </w:rPr>
      </w:pPr>
      <w:bookmarkStart w:id="0" w:name="_Toc14450807"/>
      <w:bookmarkStart w:id="1" w:name="_Toc458795996"/>
      <w:bookmarkStart w:id="2" w:name="_Toc28489434"/>
      <w:bookmarkStart w:id="3" w:name="_Toc6555"/>
      <w:bookmarkStart w:id="4" w:name="_Toc16402"/>
      <w:bookmarkStart w:id="5" w:name="_Toc22648"/>
      <w:bookmarkStart w:id="6" w:name="_Toc31772"/>
      <w:bookmarkStart w:id="7" w:name="_Toc1563"/>
      <w:bookmarkStart w:id="8" w:name="_Toc27703"/>
      <w:bookmarkStart w:id="9" w:name="_Toc13149"/>
      <w:bookmarkStart w:id="10" w:name="_Toc11737"/>
      <w:bookmarkStart w:id="11" w:name="_Toc20486"/>
      <w:bookmarkStart w:id="12" w:name="_Toc16301"/>
      <w:r>
        <w:rPr>
          <w:rFonts w:hint="eastAsia" w:cs="Times New Roman"/>
          <w:b/>
          <w:bCs/>
          <w:color w:val="auto"/>
          <w:kern w:val="44"/>
          <w:sz w:val="44"/>
          <w:szCs w:val="44"/>
          <w:highlight w:val="none"/>
        </w:rPr>
        <w:t>第</w:t>
      </w:r>
      <w:r>
        <w:rPr>
          <w:rFonts w:hint="eastAsia" w:cs="Times New Roman"/>
          <w:b/>
          <w:bCs/>
          <w:color w:val="auto"/>
          <w:kern w:val="44"/>
          <w:sz w:val="44"/>
          <w:szCs w:val="44"/>
          <w:highlight w:val="none"/>
          <w:lang w:val="en-US" w:eastAsia="zh-CN"/>
        </w:rPr>
        <w:t>一</w:t>
      </w:r>
      <w:r>
        <w:rPr>
          <w:rFonts w:hint="eastAsia" w:cs="Times New Roman"/>
          <w:b/>
          <w:bCs/>
          <w:color w:val="auto"/>
          <w:kern w:val="44"/>
          <w:sz w:val="44"/>
          <w:szCs w:val="44"/>
          <w:highlight w:val="none"/>
        </w:rPr>
        <w:t>章</w:t>
      </w:r>
      <w:bookmarkEnd w:id="0"/>
      <w:bookmarkEnd w:id="1"/>
      <w:bookmarkEnd w:id="2"/>
      <w:r>
        <w:rPr>
          <w:rFonts w:hint="eastAsia" w:cs="Times New Roman"/>
          <w:b/>
          <w:bCs/>
          <w:color w:val="auto"/>
          <w:kern w:val="44"/>
          <w:sz w:val="44"/>
          <w:szCs w:val="44"/>
          <w:highlight w:val="none"/>
        </w:rPr>
        <w:t xml:space="preserve"> 投标人须知</w:t>
      </w:r>
      <w:bookmarkEnd w:id="3"/>
      <w:bookmarkEnd w:id="4"/>
      <w:bookmarkEnd w:id="5"/>
      <w:bookmarkEnd w:id="6"/>
      <w:bookmarkEnd w:id="7"/>
      <w:bookmarkEnd w:id="8"/>
      <w:bookmarkEnd w:id="9"/>
      <w:bookmarkEnd w:id="10"/>
      <w:bookmarkEnd w:id="11"/>
      <w:bookmarkEnd w:id="12"/>
    </w:p>
    <w:p w14:paraId="2C7550C0">
      <w:pPr>
        <w:spacing w:line="360" w:lineRule="auto"/>
        <w:jc w:val="center"/>
        <w:rPr>
          <w:rFonts w:hint="eastAsia" w:ascii="宋体" w:hAnsi="宋体" w:cs="Times New Roman"/>
          <w:b/>
          <w:bCs/>
          <w:color w:val="auto"/>
          <w:sz w:val="30"/>
          <w:szCs w:val="20"/>
          <w:highlight w:val="none"/>
        </w:rPr>
      </w:pPr>
      <w:r>
        <w:rPr>
          <w:rFonts w:hint="eastAsia" w:ascii="宋体" w:hAnsi="宋体" w:cs="Times New Roman"/>
          <w:b/>
          <w:bCs/>
          <w:color w:val="auto"/>
          <w:sz w:val="30"/>
          <w:szCs w:val="20"/>
          <w:highlight w:val="none"/>
        </w:rPr>
        <w:t>投标人须知一览表</w:t>
      </w:r>
    </w:p>
    <w:tbl>
      <w:tblPr>
        <w:tblStyle w:val="17"/>
        <w:tblW w:w="88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4"/>
        <w:gridCol w:w="1777"/>
        <w:gridCol w:w="1803"/>
        <w:gridCol w:w="1914"/>
        <w:gridCol w:w="2221"/>
      </w:tblGrid>
      <w:tr w14:paraId="17A73831">
        <w:trPr>
          <w:trHeight w:val="619"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72446C9F">
            <w:pPr>
              <w:jc w:val="center"/>
              <w:rPr>
                <w:rFonts w:hint="eastAsia" w:ascii="宋体" w:hAnsi="宋体" w:cs="Times New Roman"/>
                <w:b/>
                <w:color w:val="auto"/>
                <w:sz w:val="24"/>
                <w:szCs w:val="20"/>
                <w:highlight w:val="none"/>
              </w:rPr>
            </w:pPr>
            <w:r>
              <w:rPr>
                <w:rFonts w:hint="eastAsia" w:ascii="宋体" w:hAnsi="宋体" w:cs="Times New Roman"/>
                <w:b/>
                <w:color w:val="auto"/>
                <w:sz w:val="24"/>
                <w:szCs w:val="20"/>
                <w:highlight w:val="none"/>
              </w:rPr>
              <w:t>序号</w:t>
            </w:r>
          </w:p>
        </w:tc>
        <w:tc>
          <w:tcPr>
            <w:tcW w:w="1777" w:type="dxa"/>
            <w:tcBorders>
              <w:top w:val="single" w:color="auto" w:sz="4" w:space="0"/>
              <w:left w:val="single" w:color="auto" w:sz="4" w:space="0"/>
              <w:bottom w:val="single" w:color="auto" w:sz="4" w:space="0"/>
              <w:right w:val="single" w:color="auto" w:sz="4" w:space="0"/>
            </w:tcBorders>
            <w:vAlign w:val="center"/>
          </w:tcPr>
          <w:p w14:paraId="66391C81">
            <w:pPr>
              <w:spacing w:line="360" w:lineRule="auto"/>
              <w:jc w:val="center"/>
              <w:rPr>
                <w:rFonts w:hint="eastAsia" w:ascii="宋体" w:hAnsi="宋体" w:cs="Times New Roman"/>
                <w:b/>
                <w:color w:val="auto"/>
                <w:sz w:val="24"/>
                <w:szCs w:val="20"/>
                <w:highlight w:val="none"/>
              </w:rPr>
            </w:pPr>
            <w:r>
              <w:rPr>
                <w:rFonts w:hint="eastAsia" w:ascii="宋体" w:hAnsi="宋体" w:cs="Times New Roman"/>
                <w:b/>
                <w:color w:val="auto"/>
                <w:sz w:val="24"/>
                <w:szCs w:val="20"/>
                <w:highlight w:val="none"/>
              </w:rPr>
              <w:t>项</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目</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784976F0">
            <w:pPr>
              <w:spacing w:line="360" w:lineRule="auto"/>
              <w:jc w:val="center"/>
              <w:rPr>
                <w:rFonts w:hint="eastAsia" w:ascii="宋体" w:hAnsi="宋体" w:cs="Times New Roman"/>
                <w:b/>
                <w:color w:val="auto"/>
                <w:sz w:val="24"/>
                <w:szCs w:val="20"/>
                <w:highlight w:val="none"/>
              </w:rPr>
            </w:pPr>
            <w:r>
              <w:rPr>
                <w:rFonts w:hint="eastAsia" w:ascii="宋体" w:hAnsi="宋体" w:cs="Times New Roman"/>
                <w:b/>
                <w:color w:val="auto"/>
                <w:sz w:val="24"/>
                <w:szCs w:val="20"/>
                <w:highlight w:val="none"/>
              </w:rPr>
              <w:t>主</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要</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内</w:t>
            </w:r>
            <w:r>
              <w:rPr>
                <w:rFonts w:ascii="宋体" w:hAnsi="宋体" w:cs="Times New Roman"/>
                <w:b/>
                <w:color w:val="auto"/>
                <w:sz w:val="24"/>
                <w:szCs w:val="20"/>
                <w:highlight w:val="none"/>
              </w:rPr>
              <w:t xml:space="preserve">  </w:t>
            </w:r>
            <w:r>
              <w:rPr>
                <w:rFonts w:hint="eastAsia" w:ascii="宋体" w:hAnsi="宋体" w:cs="Times New Roman"/>
                <w:b/>
                <w:color w:val="auto"/>
                <w:sz w:val="24"/>
                <w:szCs w:val="20"/>
                <w:highlight w:val="none"/>
              </w:rPr>
              <w:t>容</w:t>
            </w:r>
          </w:p>
        </w:tc>
      </w:tr>
      <w:tr w14:paraId="22AD1A04">
        <w:trPr>
          <w:trHeight w:val="1083" w:hRule="atLeast"/>
          <w:jc w:val="center"/>
        </w:trPr>
        <w:tc>
          <w:tcPr>
            <w:tcW w:w="1104" w:type="dxa"/>
            <w:tcBorders>
              <w:top w:val="single" w:color="auto" w:sz="4" w:space="0"/>
              <w:left w:val="single" w:color="auto" w:sz="4" w:space="0"/>
              <w:right w:val="single" w:color="auto" w:sz="4" w:space="0"/>
            </w:tcBorders>
            <w:vAlign w:val="center"/>
          </w:tcPr>
          <w:p w14:paraId="2CAF945A">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（1）</w:t>
            </w:r>
          </w:p>
        </w:tc>
        <w:tc>
          <w:tcPr>
            <w:tcW w:w="1777" w:type="dxa"/>
            <w:tcBorders>
              <w:top w:val="single" w:color="auto" w:sz="4" w:space="0"/>
              <w:left w:val="single" w:color="auto" w:sz="4" w:space="0"/>
              <w:right w:val="single" w:color="auto" w:sz="4" w:space="0"/>
            </w:tcBorders>
            <w:vAlign w:val="center"/>
          </w:tcPr>
          <w:p w14:paraId="3FB00F61">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项目名称</w:t>
            </w:r>
          </w:p>
        </w:tc>
        <w:tc>
          <w:tcPr>
            <w:tcW w:w="5938" w:type="dxa"/>
            <w:gridSpan w:val="3"/>
            <w:tcBorders>
              <w:top w:val="single" w:color="auto" w:sz="4" w:space="0"/>
              <w:left w:val="single" w:color="auto" w:sz="4" w:space="0"/>
              <w:right w:val="single" w:color="auto" w:sz="4" w:space="0"/>
            </w:tcBorders>
            <w:vAlign w:val="center"/>
          </w:tcPr>
          <w:p w14:paraId="384A6FCE">
            <w:pPr>
              <w:spacing w:before="220" w:line="360" w:lineRule="auto"/>
              <w:jc w:val="both"/>
              <w:outlineLvl w:val="9"/>
              <w:rPr>
                <w:rFonts w:hint="eastAsia" w:ascii="宋体" w:hAnsi="宋体" w:cs="Times New Roman"/>
                <w:color w:val="auto"/>
                <w:sz w:val="24"/>
                <w:szCs w:val="20"/>
                <w:highlight w:val="none"/>
              </w:rPr>
            </w:pPr>
            <w:r>
              <w:rPr>
                <w:rFonts w:hint="eastAsia" w:ascii="宋体" w:hAnsi="宋体" w:cs="Times New Roman"/>
                <w:color w:val="auto"/>
                <w:sz w:val="24"/>
                <w:szCs w:val="20"/>
                <w:highlight w:val="none"/>
                <w:lang w:val="en-US" w:eastAsia="zh-CN"/>
              </w:rPr>
              <w:t>2025年体育赛事后勤保障服务项目</w:t>
            </w:r>
          </w:p>
        </w:tc>
      </w:tr>
      <w:tr w14:paraId="5948F53F">
        <w:trPr>
          <w:trHeight w:val="956"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1B2FA167">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（2）</w:t>
            </w:r>
          </w:p>
        </w:tc>
        <w:tc>
          <w:tcPr>
            <w:tcW w:w="1777" w:type="dxa"/>
            <w:tcBorders>
              <w:top w:val="single" w:color="auto" w:sz="4" w:space="0"/>
              <w:left w:val="single" w:color="auto" w:sz="4" w:space="0"/>
              <w:bottom w:val="single" w:color="auto" w:sz="4" w:space="0"/>
              <w:right w:val="single" w:color="auto" w:sz="4" w:space="0"/>
            </w:tcBorders>
            <w:vAlign w:val="center"/>
          </w:tcPr>
          <w:p w14:paraId="50EAE3C9">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招标人</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59CA6BCA">
            <w:pPr>
              <w:pStyle w:val="7"/>
              <w:jc w:val="left"/>
              <w:rPr>
                <w:color w:val="auto"/>
                <w:highlight w:val="none"/>
              </w:rPr>
            </w:pPr>
            <w:r>
              <w:rPr>
                <w:rFonts w:hint="eastAsia" w:ascii="宋体" w:hAnsi="宋体"/>
                <w:color w:val="auto"/>
                <w:highlight w:val="none"/>
              </w:rPr>
              <w:t>广州南沙</w:t>
            </w:r>
            <w:r>
              <w:rPr>
                <w:rFonts w:hint="eastAsia" w:ascii="宋体" w:hAnsi="宋体"/>
                <w:color w:val="auto"/>
                <w:highlight w:val="none"/>
                <w:lang w:val="en-US" w:eastAsia="zh-CN"/>
              </w:rPr>
              <w:t>文体投资</w:t>
            </w:r>
            <w:r>
              <w:rPr>
                <w:rFonts w:hint="eastAsia" w:ascii="宋体" w:hAnsi="宋体"/>
                <w:color w:val="auto"/>
                <w:highlight w:val="none"/>
              </w:rPr>
              <w:t>有限公司</w:t>
            </w:r>
          </w:p>
        </w:tc>
      </w:tr>
      <w:tr w14:paraId="16F08963">
        <w:trPr>
          <w:trHeight w:val="956"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35B5AD33">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（3）</w:t>
            </w:r>
          </w:p>
        </w:tc>
        <w:tc>
          <w:tcPr>
            <w:tcW w:w="1777" w:type="dxa"/>
            <w:tcBorders>
              <w:top w:val="single" w:color="auto" w:sz="4" w:space="0"/>
              <w:left w:val="single" w:color="auto" w:sz="4" w:space="0"/>
              <w:bottom w:val="single" w:color="auto" w:sz="4" w:space="0"/>
              <w:right w:val="single" w:color="auto" w:sz="4" w:space="0"/>
            </w:tcBorders>
            <w:vAlign w:val="center"/>
          </w:tcPr>
          <w:p w14:paraId="12778C20">
            <w:pPr>
              <w:keepNext/>
              <w:keepLines/>
              <w:tabs>
                <w:tab w:val="left" w:pos="630"/>
                <w:tab w:val="left" w:pos="1981"/>
              </w:tabs>
              <w:adjustRightInd w:val="0"/>
              <w:spacing w:before="40" w:after="40"/>
              <w:ind w:firstLine="240" w:firstLineChars="100"/>
              <w:textAlignment w:val="baseline"/>
              <w:outlineLvl w:val="2"/>
              <w:rPr>
                <w:rFonts w:hint="eastAsia" w:ascii="宋体" w:hAnsi="宋体" w:cs="Times New Roman"/>
                <w:b/>
                <w:color w:val="auto"/>
                <w:sz w:val="24"/>
                <w:highlight w:val="none"/>
              </w:rPr>
            </w:pPr>
            <w:r>
              <w:rPr>
                <w:rFonts w:ascii="宋体" w:hAnsi="宋体" w:cs="Times New Roman"/>
                <w:bCs/>
                <w:color w:val="auto"/>
                <w:sz w:val="24"/>
                <w:highlight w:val="none"/>
              </w:rPr>
              <w:t>投标有效期</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306751A0">
            <w:pPr>
              <w:jc w:val="left"/>
              <w:rPr>
                <w:rFonts w:cs="Times New Roman"/>
                <w:color w:val="auto"/>
                <w:sz w:val="24"/>
                <w:szCs w:val="20"/>
                <w:highlight w:val="none"/>
              </w:rPr>
            </w:pPr>
            <w:r>
              <w:rPr>
                <w:rFonts w:hint="eastAsia" w:ascii="宋体" w:hAnsi="宋体" w:cs="Times New Roman"/>
                <w:color w:val="auto"/>
                <w:sz w:val="24"/>
                <w:szCs w:val="20"/>
                <w:highlight w:val="none"/>
              </w:rPr>
              <w:t>从投标截止日起，投标有效期为90天，中标人的投标有效期自动延长至合同终止为止。</w:t>
            </w:r>
          </w:p>
        </w:tc>
      </w:tr>
      <w:tr w14:paraId="2B5605C3">
        <w:trPr>
          <w:trHeight w:val="771"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2FC0E50C">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（4）</w:t>
            </w:r>
          </w:p>
        </w:tc>
        <w:tc>
          <w:tcPr>
            <w:tcW w:w="1777" w:type="dxa"/>
            <w:tcBorders>
              <w:top w:val="single" w:color="auto" w:sz="4" w:space="0"/>
              <w:left w:val="single" w:color="auto" w:sz="4" w:space="0"/>
              <w:bottom w:val="single" w:color="auto" w:sz="4" w:space="0"/>
              <w:right w:val="single" w:color="auto" w:sz="4" w:space="0"/>
            </w:tcBorders>
            <w:vAlign w:val="center"/>
          </w:tcPr>
          <w:p w14:paraId="0B288B80">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招标内容</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45EE30B4">
            <w:pPr>
              <w:jc w:val="left"/>
              <w:rPr>
                <w:rFonts w:hint="eastAsia" w:ascii="宋体" w:hAnsi="宋体" w:cs="Times New Roman"/>
                <w:color w:val="auto"/>
                <w:sz w:val="24"/>
                <w:szCs w:val="20"/>
                <w:highlight w:val="none"/>
              </w:rPr>
            </w:pPr>
            <w:r>
              <w:rPr>
                <w:rFonts w:hint="eastAsia" w:ascii="宋体" w:hAnsi="宋体" w:cs="Times New Roman"/>
                <w:color w:val="auto"/>
                <w:sz w:val="24"/>
                <w:szCs w:val="24"/>
                <w:highlight w:val="none"/>
              </w:rPr>
              <w:t>详见用户需求书。</w:t>
            </w:r>
          </w:p>
        </w:tc>
      </w:tr>
      <w:tr w14:paraId="1550563C">
        <w:trPr>
          <w:trHeight w:val="837"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280BE15A">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（5）</w:t>
            </w:r>
          </w:p>
        </w:tc>
        <w:tc>
          <w:tcPr>
            <w:tcW w:w="1777" w:type="dxa"/>
            <w:tcBorders>
              <w:top w:val="single" w:color="auto" w:sz="4" w:space="0"/>
              <w:left w:val="single" w:color="auto" w:sz="4" w:space="0"/>
              <w:bottom w:val="single" w:color="auto" w:sz="4" w:space="0"/>
              <w:right w:val="single" w:color="auto" w:sz="4" w:space="0"/>
            </w:tcBorders>
            <w:vAlign w:val="center"/>
          </w:tcPr>
          <w:p w14:paraId="661E1D89">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服务质量</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7D19C2DE">
            <w:pPr>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必须符合国家、省、市、区的相关法律法规和招标人的要求。</w:t>
            </w:r>
          </w:p>
        </w:tc>
      </w:tr>
      <w:tr w14:paraId="5B4920FD">
        <w:trPr>
          <w:trHeight w:val="895"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68BDE5D3">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（6）</w:t>
            </w:r>
          </w:p>
        </w:tc>
        <w:tc>
          <w:tcPr>
            <w:tcW w:w="1777" w:type="dxa"/>
            <w:tcBorders>
              <w:top w:val="single" w:color="auto" w:sz="4" w:space="0"/>
              <w:left w:val="single" w:color="auto" w:sz="4" w:space="0"/>
              <w:bottom w:val="single" w:color="auto" w:sz="4" w:space="0"/>
              <w:right w:val="single" w:color="auto" w:sz="4" w:space="0"/>
            </w:tcBorders>
            <w:vAlign w:val="center"/>
          </w:tcPr>
          <w:p w14:paraId="73FEDC36">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统一结算币种</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0058651C">
            <w:pPr>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均不计息以人民币元结算。</w:t>
            </w:r>
          </w:p>
        </w:tc>
      </w:tr>
      <w:tr w14:paraId="709EBA9B">
        <w:trPr>
          <w:trHeight w:val="1260"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0CA1846D">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（7）</w:t>
            </w:r>
          </w:p>
        </w:tc>
        <w:tc>
          <w:tcPr>
            <w:tcW w:w="1777" w:type="dxa"/>
            <w:tcBorders>
              <w:top w:val="single" w:color="auto" w:sz="4" w:space="0"/>
              <w:left w:val="single" w:color="auto" w:sz="4" w:space="0"/>
              <w:bottom w:val="single" w:color="auto" w:sz="4" w:space="0"/>
              <w:right w:val="single" w:color="auto" w:sz="4" w:space="0"/>
            </w:tcBorders>
            <w:vAlign w:val="center"/>
          </w:tcPr>
          <w:p w14:paraId="7D122966">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投标文件数量</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0C829B28">
            <w:pPr>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五份（一份正本、</w:t>
            </w:r>
            <w:r>
              <w:rPr>
                <w:rFonts w:hint="eastAsia" w:ascii="宋体" w:hAnsi="宋体" w:cs="宋体"/>
                <w:color w:val="auto"/>
                <w:sz w:val="24"/>
                <w:szCs w:val="20"/>
                <w:highlight w:val="none"/>
              </w:rPr>
              <w:t>四</w:t>
            </w:r>
            <w:r>
              <w:rPr>
                <w:rFonts w:hint="eastAsia" w:ascii="宋体" w:hAnsi="宋体" w:cs="Times New Roman"/>
                <w:color w:val="auto"/>
                <w:sz w:val="24"/>
                <w:szCs w:val="20"/>
                <w:highlight w:val="none"/>
              </w:rPr>
              <w:t>份副本）、电子文件一份（电子文件为U盘介质，采用Word和PDF格式，Word内容应与投标人打印产生的纸质投标文件内容一致，PDF内容必须是纸质投标文件正本扫描件（含盖章、签署），不留密码，无病毒，不压缩）。</w:t>
            </w:r>
          </w:p>
        </w:tc>
      </w:tr>
      <w:tr w14:paraId="6CEB8F67">
        <w:trPr>
          <w:trHeight w:val="688"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5EEAB5C5">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（8）</w:t>
            </w:r>
          </w:p>
        </w:tc>
        <w:tc>
          <w:tcPr>
            <w:tcW w:w="1777" w:type="dxa"/>
            <w:tcBorders>
              <w:top w:val="single" w:color="auto" w:sz="4" w:space="0"/>
              <w:left w:val="single" w:color="auto" w:sz="4" w:space="0"/>
              <w:bottom w:val="single" w:color="auto" w:sz="4" w:space="0"/>
              <w:right w:val="single" w:color="auto" w:sz="4" w:space="0"/>
            </w:tcBorders>
            <w:vAlign w:val="center"/>
          </w:tcPr>
          <w:p w14:paraId="54A0B5DB">
            <w:pPr>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开标时间</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1555D98F">
            <w:pPr>
              <w:jc w:val="left"/>
              <w:rPr>
                <w:rFonts w:hint="eastAsia" w:ascii="宋体" w:hAnsi="宋体" w:cs="Times New Roman"/>
                <w:color w:val="auto"/>
                <w:sz w:val="24"/>
                <w:szCs w:val="20"/>
                <w:highlight w:val="none"/>
              </w:rPr>
            </w:pP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u w:val="single"/>
                <w:lang w:eastAsia="zh-TW"/>
              </w:rPr>
              <w:t>年</w:t>
            </w:r>
            <w:r>
              <w:rPr>
                <w:rFonts w:hint="eastAsia" w:ascii="宋体" w:hAnsi="宋体" w:cs="宋体"/>
                <w:color w:val="auto"/>
                <w:sz w:val="24"/>
                <w:szCs w:val="24"/>
                <w:highlight w:val="none"/>
                <w:u w:val="single"/>
                <w:lang w:val="en-US" w:eastAsia="zh-CN"/>
              </w:rPr>
              <w:t>4</w:t>
            </w:r>
            <w:r>
              <w:rPr>
                <w:rFonts w:hint="eastAsia" w:ascii="宋体" w:hAnsi="宋体" w:cs="宋体"/>
                <w:color w:val="auto"/>
                <w:sz w:val="24"/>
                <w:szCs w:val="24"/>
                <w:highlight w:val="none"/>
                <w:u w:val="single"/>
                <w:lang w:eastAsia="zh-TW"/>
              </w:rPr>
              <w:t>月</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u w:val="single"/>
                <w:lang w:eastAsia="zh-TW"/>
              </w:rPr>
              <w:t>日</w:t>
            </w:r>
            <w:r>
              <w:rPr>
                <w:rFonts w:hint="eastAsia" w:ascii="宋体" w:hAnsi="宋体" w:cs="Times New Roman"/>
                <w:color w:val="auto"/>
                <w:sz w:val="24"/>
                <w:szCs w:val="24"/>
                <w:highlight w:val="none"/>
                <w:lang w:val="en-US" w:eastAsia="zh-CN"/>
              </w:rPr>
              <w:t>09时</w:t>
            </w:r>
            <w:r>
              <w:rPr>
                <w:rFonts w:hint="eastAsia" w:ascii="宋体" w:hAnsi="宋体" w:eastAsia="宋体" w:cs="Times New Roman"/>
                <w:color w:val="auto"/>
                <w:sz w:val="24"/>
                <w:szCs w:val="24"/>
                <w:highlight w:val="none"/>
                <w:lang w:val="en-US"/>
              </w:rPr>
              <w:t>：</w:t>
            </w:r>
            <w:r>
              <w:rPr>
                <w:rFonts w:hint="eastAsia" w:ascii="宋体" w:hAnsi="宋体" w:eastAsia="宋体" w:cs="Times New Roman"/>
                <w:color w:val="auto"/>
                <w:sz w:val="24"/>
                <w:szCs w:val="24"/>
                <w:highlight w:val="none"/>
                <w:lang w:val="en-US" w:eastAsia="zh-CN"/>
              </w:rPr>
              <w:t>30</w:t>
            </w:r>
            <w:r>
              <w:rPr>
                <w:rFonts w:hint="eastAsia" w:ascii="宋体" w:hAnsi="宋体" w:eastAsia="宋体" w:cs="Times New Roman"/>
                <w:color w:val="auto"/>
                <w:sz w:val="24"/>
                <w:szCs w:val="24"/>
                <w:highlight w:val="none"/>
                <w:lang w:val="en-US"/>
              </w:rPr>
              <w:t>分</w:t>
            </w:r>
            <w:r>
              <w:rPr>
                <w:rFonts w:hint="eastAsia" w:ascii="宋体" w:hAnsi="宋体" w:cs="Times New Roman"/>
                <w:color w:val="auto"/>
                <w:sz w:val="24"/>
                <w:szCs w:val="20"/>
                <w:highlight w:val="none"/>
              </w:rPr>
              <w:t>（北京时间）</w:t>
            </w:r>
            <w:r>
              <w:rPr>
                <w:rFonts w:hint="eastAsia" w:ascii="宋体" w:hAnsi="宋体" w:cs="Times New Roman"/>
                <w:color w:val="auto"/>
                <w:sz w:val="24"/>
                <w:szCs w:val="20"/>
                <w:highlight w:val="none"/>
              </w:rPr>
              <w:t>。</w:t>
            </w:r>
          </w:p>
        </w:tc>
      </w:tr>
      <w:tr w14:paraId="06582643">
        <w:trPr>
          <w:trHeight w:val="1212" w:hRule="atLeast"/>
          <w:jc w:val="center"/>
        </w:trPr>
        <w:tc>
          <w:tcPr>
            <w:tcW w:w="1104" w:type="dxa"/>
            <w:tcBorders>
              <w:top w:val="single" w:color="auto" w:sz="4" w:space="0"/>
              <w:left w:val="single" w:color="auto" w:sz="4" w:space="0"/>
              <w:right w:val="single" w:color="auto" w:sz="4" w:space="0"/>
            </w:tcBorders>
            <w:vAlign w:val="center"/>
          </w:tcPr>
          <w:p w14:paraId="5117AC13">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（9）</w:t>
            </w:r>
          </w:p>
        </w:tc>
        <w:tc>
          <w:tcPr>
            <w:tcW w:w="1777" w:type="dxa"/>
            <w:tcBorders>
              <w:top w:val="single" w:color="auto" w:sz="4" w:space="0"/>
              <w:left w:val="single" w:color="auto" w:sz="4" w:space="0"/>
              <w:right w:val="single" w:color="auto" w:sz="4" w:space="0"/>
            </w:tcBorders>
            <w:vAlign w:val="center"/>
          </w:tcPr>
          <w:p w14:paraId="44C9AE9F">
            <w:pPr>
              <w:spacing w:line="360" w:lineRule="auto"/>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投标最高限价</w:t>
            </w:r>
          </w:p>
        </w:tc>
        <w:tc>
          <w:tcPr>
            <w:tcW w:w="5938" w:type="dxa"/>
            <w:gridSpan w:val="3"/>
            <w:tcBorders>
              <w:top w:val="single" w:color="auto" w:sz="4" w:space="0"/>
              <w:left w:val="single" w:color="auto" w:sz="4" w:space="0"/>
              <w:right w:val="single" w:color="auto" w:sz="4" w:space="0"/>
            </w:tcBorders>
            <w:vAlign w:val="center"/>
          </w:tcPr>
          <w:p w14:paraId="585A276B">
            <w:pPr>
              <w:spacing w:line="400" w:lineRule="exact"/>
              <w:jc w:val="left"/>
              <w:rPr>
                <w:rFonts w:hint="eastAsia" w:ascii="宋体" w:hAnsi="宋体" w:eastAsia="宋体" w:cs="Times New Roman"/>
                <w:color w:val="auto"/>
                <w:sz w:val="24"/>
                <w:szCs w:val="20"/>
                <w:highlight w:val="none"/>
                <w:lang w:eastAsia="zh-CN"/>
              </w:rPr>
            </w:pPr>
            <w:r>
              <w:rPr>
                <w:rFonts w:hint="eastAsia" w:ascii="宋体" w:hAnsi="宋体" w:cs="Times New Roman"/>
                <w:color w:val="auto"/>
                <w:sz w:val="24"/>
                <w:szCs w:val="24"/>
                <w:highlight w:val="none"/>
              </w:rPr>
              <w:t>人民币</w:t>
            </w:r>
            <w:r>
              <w:rPr>
                <w:rFonts w:hint="eastAsia" w:ascii="宋体" w:hAnsi="宋体" w:cs="Times New Roman"/>
                <w:color w:val="auto"/>
                <w:sz w:val="24"/>
                <w:szCs w:val="24"/>
                <w:highlight w:val="none"/>
                <w:lang w:val="en-US" w:eastAsia="zh-CN"/>
              </w:rPr>
              <w:t>450,000元</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含税）</w:t>
            </w:r>
            <w:r>
              <w:rPr>
                <w:rFonts w:hint="eastAsia" w:ascii="宋体" w:hAnsi="宋体" w:cs="Times New Roman"/>
                <w:color w:val="auto"/>
                <w:sz w:val="24"/>
                <w:szCs w:val="24"/>
                <w:highlight w:val="none"/>
                <w:lang w:eastAsia="zh-CN"/>
              </w:rPr>
              <w:t>。</w:t>
            </w:r>
          </w:p>
        </w:tc>
      </w:tr>
      <w:tr w14:paraId="3B5F05ED">
        <w:trPr>
          <w:cantSplit/>
          <w:trHeight w:val="834" w:hRule="atLeast"/>
          <w:jc w:val="center"/>
        </w:trPr>
        <w:tc>
          <w:tcPr>
            <w:tcW w:w="1104" w:type="dxa"/>
            <w:vMerge w:val="restart"/>
            <w:tcBorders>
              <w:top w:val="single" w:color="auto" w:sz="4" w:space="0"/>
              <w:left w:val="single" w:color="auto" w:sz="4" w:space="0"/>
              <w:right w:val="single" w:color="auto" w:sz="4" w:space="0"/>
            </w:tcBorders>
            <w:vAlign w:val="center"/>
          </w:tcPr>
          <w:p w14:paraId="0D332F03">
            <w:pPr>
              <w:jc w:val="center"/>
              <w:rPr>
                <w:rFonts w:hint="eastAsia" w:ascii="宋体" w:hAnsi="宋体" w:cs="Times New Roman"/>
                <w:bCs/>
                <w:color w:val="auto"/>
                <w:sz w:val="24"/>
                <w:szCs w:val="20"/>
                <w:highlight w:val="none"/>
              </w:rPr>
            </w:pPr>
            <w:r>
              <w:rPr>
                <w:rFonts w:hint="eastAsia" w:ascii="宋体" w:hAnsi="宋体" w:cs="Times New Roman"/>
                <w:bCs/>
                <w:color w:val="auto"/>
                <w:sz w:val="24"/>
                <w:szCs w:val="20"/>
                <w:highlight w:val="none"/>
              </w:rPr>
              <w:t>（10）</w:t>
            </w:r>
          </w:p>
        </w:tc>
        <w:tc>
          <w:tcPr>
            <w:tcW w:w="1777" w:type="dxa"/>
            <w:vMerge w:val="restart"/>
            <w:tcBorders>
              <w:top w:val="single" w:color="auto" w:sz="4" w:space="0"/>
              <w:left w:val="single" w:color="auto" w:sz="4" w:space="0"/>
              <w:right w:val="single" w:color="auto" w:sz="4" w:space="0"/>
            </w:tcBorders>
            <w:vAlign w:val="center"/>
          </w:tcPr>
          <w:p w14:paraId="5FE4409C">
            <w:pPr>
              <w:spacing w:line="360" w:lineRule="auto"/>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评审方法</w:t>
            </w:r>
          </w:p>
        </w:tc>
        <w:tc>
          <w:tcPr>
            <w:tcW w:w="5938" w:type="dxa"/>
            <w:gridSpan w:val="3"/>
            <w:tcBorders>
              <w:top w:val="single" w:color="auto" w:sz="4" w:space="0"/>
              <w:left w:val="single" w:color="auto" w:sz="4" w:space="0"/>
              <w:bottom w:val="single" w:color="auto" w:sz="4" w:space="0"/>
              <w:right w:val="single" w:color="auto" w:sz="4" w:space="0"/>
            </w:tcBorders>
            <w:vAlign w:val="center"/>
          </w:tcPr>
          <w:p w14:paraId="0D4E1CBC">
            <w:pPr>
              <w:spacing w:line="400" w:lineRule="exact"/>
              <w:jc w:val="left"/>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综合评审法（</w:t>
            </w:r>
            <w:r>
              <w:rPr>
                <w:rFonts w:ascii="宋体" w:hAnsi="宋体" w:cs="Times New Roman"/>
                <w:color w:val="auto"/>
                <w:sz w:val="24"/>
                <w:szCs w:val="20"/>
                <w:highlight w:val="none"/>
              </w:rPr>
              <w:t>100%</w:t>
            </w:r>
            <w:r>
              <w:rPr>
                <w:rFonts w:hint="eastAsia" w:ascii="宋体" w:hAnsi="宋体" w:cs="Times New Roman"/>
                <w:color w:val="auto"/>
                <w:sz w:val="24"/>
                <w:szCs w:val="20"/>
                <w:highlight w:val="none"/>
              </w:rPr>
              <w:t>）</w:t>
            </w:r>
          </w:p>
        </w:tc>
      </w:tr>
      <w:tr w14:paraId="09E5EF00">
        <w:trPr>
          <w:cantSplit/>
          <w:trHeight w:val="855" w:hRule="atLeast"/>
          <w:jc w:val="center"/>
        </w:trPr>
        <w:tc>
          <w:tcPr>
            <w:tcW w:w="1104" w:type="dxa"/>
            <w:vMerge w:val="continue"/>
            <w:tcBorders>
              <w:left w:val="single" w:color="auto" w:sz="4" w:space="0"/>
              <w:bottom w:val="single" w:color="auto" w:sz="4" w:space="0"/>
              <w:right w:val="single" w:color="auto" w:sz="4" w:space="0"/>
            </w:tcBorders>
            <w:vAlign w:val="center"/>
          </w:tcPr>
          <w:p w14:paraId="512BD4AC">
            <w:pPr>
              <w:widowControl/>
              <w:jc w:val="left"/>
              <w:rPr>
                <w:rFonts w:hint="eastAsia" w:ascii="宋体" w:hAnsi="宋体" w:cs="Times New Roman"/>
                <w:color w:val="auto"/>
                <w:sz w:val="24"/>
                <w:szCs w:val="20"/>
                <w:highlight w:val="none"/>
              </w:rPr>
            </w:pPr>
          </w:p>
        </w:tc>
        <w:tc>
          <w:tcPr>
            <w:tcW w:w="1777" w:type="dxa"/>
            <w:vMerge w:val="continue"/>
            <w:tcBorders>
              <w:left w:val="single" w:color="auto" w:sz="4" w:space="0"/>
              <w:bottom w:val="single" w:color="auto" w:sz="4" w:space="0"/>
              <w:right w:val="single" w:color="auto" w:sz="4" w:space="0"/>
            </w:tcBorders>
            <w:vAlign w:val="center"/>
          </w:tcPr>
          <w:p w14:paraId="1F88473A">
            <w:pPr>
              <w:widowControl/>
              <w:jc w:val="left"/>
              <w:rPr>
                <w:rFonts w:hint="eastAsia" w:ascii="宋体" w:hAnsi="宋体" w:cs="Times New Roman"/>
                <w:color w:val="auto"/>
                <w:sz w:val="24"/>
                <w:szCs w:val="20"/>
                <w:highlight w:val="none"/>
              </w:rPr>
            </w:pPr>
          </w:p>
        </w:tc>
        <w:tc>
          <w:tcPr>
            <w:tcW w:w="1803" w:type="dxa"/>
            <w:tcBorders>
              <w:top w:val="single" w:color="auto" w:sz="4" w:space="0"/>
              <w:left w:val="single" w:color="auto" w:sz="4" w:space="0"/>
              <w:bottom w:val="single" w:color="auto" w:sz="4" w:space="0"/>
              <w:right w:val="single" w:color="auto" w:sz="4" w:space="0"/>
            </w:tcBorders>
            <w:vAlign w:val="center"/>
          </w:tcPr>
          <w:p w14:paraId="559A28DC">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技术权重</w:t>
            </w:r>
            <w:r>
              <w:rPr>
                <w:rFonts w:hint="eastAsia" w:ascii="宋体" w:hAnsi="宋体" w:cs="Times New Roman"/>
                <w:color w:val="auto"/>
                <w:sz w:val="24"/>
                <w:szCs w:val="20"/>
                <w:highlight w:val="none"/>
                <w:lang w:val="en-US" w:eastAsia="zh-CN"/>
              </w:rPr>
              <w:t>30</w:t>
            </w:r>
            <w:r>
              <w:rPr>
                <w:rFonts w:ascii="宋体" w:hAnsi="宋体" w:cs="Times New Roman"/>
                <w:color w:val="auto"/>
                <w:sz w:val="24"/>
                <w:szCs w:val="20"/>
                <w:highlight w:val="none"/>
              </w:rPr>
              <w:t>%</w:t>
            </w:r>
          </w:p>
        </w:tc>
        <w:tc>
          <w:tcPr>
            <w:tcW w:w="1914" w:type="dxa"/>
            <w:tcBorders>
              <w:top w:val="single" w:color="auto" w:sz="4" w:space="0"/>
              <w:left w:val="single" w:color="auto" w:sz="4" w:space="0"/>
              <w:bottom w:val="single" w:color="auto" w:sz="4" w:space="0"/>
              <w:right w:val="single" w:color="auto" w:sz="4" w:space="0"/>
            </w:tcBorders>
            <w:vAlign w:val="center"/>
          </w:tcPr>
          <w:p w14:paraId="4DB6B4B5">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商务权重</w:t>
            </w:r>
            <w:r>
              <w:rPr>
                <w:rFonts w:hint="eastAsia" w:ascii="宋体" w:hAnsi="宋体" w:cs="Times New Roman"/>
                <w:color w:val="auto"/>
                <w:sz w:val="24"/>
                <w:szCs w:val="20"/>
                <w:highlight w:val="none"/>
                <w:lang w:val="en-US" w:eastAsia="zh-CN"/>
              </w:rPr>
              <w:t>40</w:t>
            </w:r>
            <w:r>
              <w:rPr>
                <w:rFonts w:ascii="宋体" w:hAnsi="宋体" w:cs="Times New Roman"/>
                <w:color w:val="auto"/>
                <w:sz w:val="24"/>
                <w:szCs w:val="20"/>
                <w:highlight w:val="none"/>
              </w:rPr>
              <w:t>%</w:t>
            </w:r>
          </w:p>
        </w:tc>
        <w:tc>
          <w:tcPr>
            <w:tcW w:w="2221" w:type="dxa"/>
            <w:tcBorders>
              <w:top w:val="single" w:color="auto" w:sz="4" w:space="0"/>
              <w:left w:val="single" w:color="auto" w:sz="4" w:space="0"/>
              <w:bottom w:val="single" w:color="auto" w:sz="4" w:space="0"/>
              <w:right w:val="single" w:color="auto" w:sz="4" w:space="0"/>
            </w:tcBorders>
            <w:vAlign w:val="center"/>
          </w:tcPr>
          <w:p w14:paraId="7F9C9D01">
            <w:pPr>
              <w:spacing w:line="400" w:lineRule="exact"/>
              <w:jc w:val="center"/>
              <w:rPr>
                <w:rFonts w:hint="eastAsia" w:ascii="宋体" w:hAnsi="宋体" w:cs="Times New Roman"/>
                <w:color w:val="auto"/>
                <w:sz w:val="24"/>
                <w:szCs w:val="20"/>
                <w:highlight w:val="none"/>
              </w:rPr>
            </w:pPr>
            <w:r>
              <w:rPr>
                <w:rFonts w:hint="eastAsia" w:ascii="宋体" w:hAnsi="宋体" w:cs="Times New Roman"/>
                <w:color w:val="auto"/>
                <w:sz w:val="24"/>
                <w:szCs w:val="20"/>
                <w:highlight w:val="none"/>
              </w:rPr>
              <w:t>价格权重</w:t>
            </w:r>
            <w:r>
              <w:rPr>
                <w:rFonts w:hint="eastAsia" w:ascii="宋体" w:hAnsi="宋体" w:cs="Times New Roman"/>
                <w:color w:val="auto"/>
                <w:sz w:val="24"/>
                <w:szCs w:val="20"/>
                <w:highlight w:val="none"/>
                <w:lang w:val="en-US" w:eastAsia="zh-CN"/>
              </w:rPr>
              <w:t>3</w:t>
            </w:r>
            <w:r>
              <w:rPr>
                <w:rFonts w:hint="eastAsia" w:ascii="宋体" w:hAnsi="宋体" w:cs="Times New Roman"/>
                <w:color w:val="auto"/>
                <w:sz w:val="24"/>
                <w:szCs w:val="20"/>
                <w:highlight w:val="none"/>
              </w:rPr>
              <w:t>0</w:t>
            </w:r>
            <w:r>
              <w:rPr>
                <w:rFonts w:ascii="宋体" w:hAnsi="宋体" w:cs="Times New Roman"/>
                <w:color w:val="auto"/>
                <w:sz w:val="24"/>
                <w:szCs w:val="20"/>
                <w:highlight w:val="none"/>
              </w:rPr>
              <w:t>%</w:t>
            </w:r>
          </w:p>
        </w:tc>
      </w:tr>
    </w:tbl>
    <w:p w14:paraId="629B650F">
      <w:pPr>
        <w:pStyle w:val="23"/>
        <w:widowControl w:val="0"/>
        <w:spacing w:before="0" w:beforeAutospacing="0" w:after="0" w:afterAutospacing="0" w:line="360" w:lineRule="auto"/>
        <w:rPr>
          <w:rFonts w:hint="eastAsia"/>
          <w:b/>
          <w:color w:val="auto"/>
          <w:sz w:val="44"/>
          <w:szCs w:val="44"/>
          <w:highlight w:val="none"/>
        </w:rPr>
      </w:pPr>
    </w:p>
    <w:p w14:paraId="605434E9">
      <w:pPr>
        <w:spacing w:line="360" w:lineRule="auto"/>
        <w:ind w:firstLine="480" w:firstLineChars="200"/>
        <w:jc w:val="center"/>
        <w:rPr>
          <w:rFonts w:hint="eastAsia" w:ascii="宋体" w:hAnsi="宋体" w:cs="宋体"/>
          <w:b/>
          <w:color w:val="auto"/>
          <w:sz w:val="24"/>
          <w:highlight w:val="none"/>
        </w:rPr>
      </w:pPr>
      <w:r>
        <w:rPr>
          <w:rFonts w:hint="eastAsia" w:ascii="宋体" w:hAnsi="宋体" w:cs="宋体"/>
          <w:b/>
          <w:color w:val="auto"/>
          <w:sz w:val="24"/>
          <w:highlight w:val="none"/>
        </w:rPr>
        <w:t>投标人必须认真阅读以下内容，以免造成投标失败。</w:t>
      </w:r>
    </w:p>
    <w:p w14:paraId="302E2B2A">
      <w:pPr>
        <w:pStyle w:val="21"/>
        <w:rPr>
          <w:rFonts w:hint="eastAsia" w:ascii="宋体" w:hAnsi="宋体" w:eastAsia="宋体" w:cs="宋体"/>
          <w:color w:val="auto"/>
          <w:highlight w:val="none"/>
        </w:rPr>
      </w:pPr>
    </w:p>
    <w:p w14:paraId="3F413E6C">
      <w:pPr>
        <w:pStyle w:val="4"/>
        <w:spacing w:before="48" w:after="48"/>
        <w:rPr>
          <w:rFonts w:hint="eastAsia" w:ascii="宋体" w:hAnsi="宋体" w:eastAsia="宋体" w:cs="宋体"/>
          <w:color w:val="auto"/>
          <w:sz w:val="28"/>
          <w:szCs w:val="28"/>
          <w:highlight w:val="none"/>
        </w:rPr>
      </w:pPr>
      <w:bookmarkStart w:id="13" w:name="_Toc184442574"/>
      <w:r>
        <w:rPr>
          <w:rFonts w:hint="eastAsia" w:ascii="宋体" w:hAnsi="宋体" w:eastAsia="宋体" w:cs="宋体"/>
          <w:color w:val="auto"/>
          <w:sz w:val="28"/>
          <w:szCs w:val="28"/>
          <w:highlight w:val="none"/>
        </w:rPr>
        <w:t>一、总体说明</w:t>
      </w:r>
      <w:bookmarkEnd w:id="13"/>
    </w:p>
    <w:p w14:paraId="38BABB67">
      <w:pPr>
        <w:pStyle w:val="5"/>
        <w:keepLines w:val="0"/>
        <w:numPr>
          <w:ilvl w:val="1"/>
          <w:numId w:val="3"/>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适用范围</w:t>
      </w:r>
    </w:p>
    <w:p w14:paraId="75241666">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本招标文件仅适用于本次</w:t>
      </w:r>
      <w:r>
        <w:rPr>
          <w:rFonts w:hint="eastAsia" w:ascii="宋体" w:hAnsi="宋体" w:cs="宋体"/>
          <w:color w:val="auto"/>
          <w:sz w:val="24"/>
          <w:highlight w:val="none"/>
          <w:lang w:val="en-US" w:eastAsia="zh-CN"/>
        </w:rPr>
        <w:t>招标公告</w:t>
      </w:r>
      <w:r>
        <w:rPr>
          <w:rFonts w:hint="eastAsia" w:ascii="宋体" w:hAnsi="宋体" w:cs="宋体"/>
          <w:color w:val="auto"/>
          <w:sz w:val="24"/>
          <w:highlight w:val="none"/>
        </w:rPr>
        <w:t>中所叙述的项目采购。本次</w:t>
      </w:r>
      <w:r>
        <w:rPr>
          <w:rFonts w:hint="eastAsia" w:ascii="宋体" w:hAnsi="宋体" w:cs="宋体"/>
          <w:color w:val="auto"/>
          <w:sz w:val="24"/>
          <w:highlight w:val="none"/>
          <w:lang w:val="en-US" w:eastAsia="zh-CN"/>
        </w:rPr>
        <w:t>招标</w:t>
      </w:r>
      <w:r>
        <w:rPr>
          <w:rFonts w:hint="eastAsia" w:ascii="宋体" w:hAnsi="宋体" w:cs="宋体"/>
          <w:color w:val="auto"/>
          <w:sz w:val="24"/>
          <w:highlight w:val="none"/>
        </w:rPr>
        <w:t>采用一次报价一次评标定标的方式，投标人的报价必须固定，且只能作一个最有竞争力的报价和方案，否则将作无效投标处理。</w:t>
      </w:r>
    </w:p>
    <w:p w14:paraId="32C60397">
      <w:pPr>
        <w:pStyle w:val="5"/>
        <w:keepLines w:val="0"/>
        <w:numPr>
          <w:ilvl w:val="1"/>
          <w:numId w:val="3"/>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招标内容</w:t>
      </w:r>
    </w:p>
    <w:p w14:paraId="7D912110">
      <w:pPr>
        <w:pStyle w:val="2"/>
        <w:spacing w:line="380" w:lineRule="exact"/>
        <w:ind w:firstLine="480" w:firstLineChars="200"/>
        <w:jc w:val="left"/>
        <w:rPr>
          <w:rFonts w:hint="eastAsia" w:ascii="宋体" w:hAnsi="宋体" w:eastAsia="宋体" w:cs="宋体"/>
          <w:b w:val="0"/>
          <w:color w:val="auto"/>
          <w:kern w:val="0"/>
          <w:sz w:val="24"/>
          <w:highlight w:val="none"/>
        </w:rPr>
      </w:pPr>
      <w:r>
        <w:rPr>
          <w:rFonts w:hint="eastAsia" w:ascii="宋体" w:hAnsi="宋体" w:eastAsia="宋体" w:cs="宋体"/>
          <w:b w:val="0"/>
          <w:color w:val="auto"/>
          <w:kern w:val="0"/>
          <w:sz w:val="24"/>
          <w:highlight w:val="none"/>
        </w:rPr>
        <w:t>本次招标的内容为确定广州南沙</w:t>
      </w:r>
      <w:r>
        <w:rPr>
          <w:rFonts w:hint="eastAsia" w:ascii="宋体" w:hAnsi="宋体" w:eastAsia="宋体" w:cs="宋体"/>
          <w:b w:val="0"/>
          <w:color w:val="auto"/>
          <w:kern w:val="0"/>
          <w:sz w:val="24"/>
          <w:highlight w:val="none"/>
          <w:lang w:val="en-US" w:eastAsia="zh-CN"/>
        </w:rPr>
        <w:t>文体投资</w:t>
      </w:r>
      <w:r>
        <w:rPr>
          <w:rFonts w:hint="eastAsia" w:ascii="宋体" w:hAnsi="宋体" w:eastAsia="宋体" w:cs="宋体"/>
          <w:b w:val="0"/>
          <w:color w:val="auto"/>
          <w:kern w:val="0"/>
          <w:sz w:val="24"/>
          <w:highlight w:val="none"/>
        </w:rPr>
        <w:t>有限公司</w:t>
      </w:r>
      <w:r>
        <w:rPr>
          <w:rFonts w:hint="eastAsia" w:ascii="宋体" w:hAnsi="宋体" w:eastAsia="宋体" w:cs="宋体"/>
          <w:b w:val="0"/>
          <w:color w:val="auto"/>
          <w:kern w:val="0"/>
          <w:sz w:val="24"/>
          <w:highlight w:val="none"/>
          <w:lang w:eastAsia="zh-CN"/>
        </w:rPr>
        <w:t>《</w:t>
      </w:r>
      <w:r>
        <w:rPr>
          <w:rFonts w:hint="eastAsia" w:ascii="宋体" w:hAnsi="宋体" w:eastAsia="宋体" w:cs="宋体"/>
          <w:b w:val="0"/>
          <w:color w:val="auto"/>
          <w:kern w:val="0"/>
          <w:sz w:val="24"/>
          <w:highlight w:val="none"/>
          <w:u w:val="single"/>
          <w:lang w:val="en-US" w:eastAsia="zh-CN"/>
        </w:rPr>
        <w:t>2025年体育赛事后勤保障服务项目》</w:t>
      </w:r>
      <w:r>
        <w:rPr>
          <w:rFonts w:hint="eastAsia" w:ascii="宋体" w:hAnsi="宋体" w:eastAsia="宋体" w:cs="宋体"/>
          <w:b w:val="0"/>
          <w:color w:val="auto"/>
          <w:kern w:val="0"/>
          <w:sz w:val="24"/>
          <w:highlight w:val="none"/>
        </w:rPr>
        <w:t>的供应商。</w:t>
      </w:r>
    </w:p>
    <w:p w14:paraId="535AF577">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color w:val="auto"/>
          <w:sz w:val="24"/>
          <w:highlight w:val="none"/>
          <w:lang w:val="en-US" w:eastAsia="zh-CN"/>
        </w:rPr>
        <w:t>广州市内</w:t>
      </w:r>
      <w:r>
        <w:rPr>
          <w:rFonts w:hint="eastAsia" w:ascii="宋体" w:hAnsi="宋体" w:cs="宋体"/>
          <w:color w:val="auto"/>
          <w:sz w:val="24"/>
          <w:highlight w:val="none"/>
        </w:rPr>
        <w:t>。</w:t>
      </w:r>
    </w:p>
    <w:p w14:paraId="76241EE0">
      <w:pPr>
        <w:pStyle w:val="5"/>
        <w:keepLines w:val="0"/>
        <w:numPr>
          <w:ilvl w:val="1"/>
          <w:numId w:val="3"/>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关于投标费用</w:t>
      </w:r>
    </w:p>
    <w:p w14:paraId="547E2566">
      <w:pPr>
        <w:spacing w:line="380" w:lineRule="exact"/>
        <w:ind w:firstLine="480" w:firstLineChars="200"/>
        <w:rPr>
          <w:rFonts w:hint="eastAsia" w:ascii="宋体" w:hAnsi="宋体" w:cs="宋体"/>
          <w:color w:val="auto"/>
          <w:sz w:val="24"/>
          <w:highlight w:val="none"/>
          <w:lang w:val="en-GB"/>
        </w:rPr>
      </w:pPr>
      <w:r>
        <w:rPr>
          <w:rFonts w:hint="eastAsia" w:ascii="宋体" w:hAnsi="宋体" w:cs="宋体"/>
          <w:color w:val="auto"/>
          <w:sz w:val="24"/>
          <w:highlight w:val="none"/>
        </w:rPr>
        <w:t>不论招标结果如何，投标人自行承担所有与其参加本次投标活动有关的费用</w:t>
      </w:r>
      <w:r>
        <w:rPr>
          <w:rFonts w:hint="eastAsia" w:ascii="宋体" w:hAnsi="宋体" w:cs="宋体"/>
          <w:color w:val="auto"/>
          <w:sz w:val="24"/>
          <w:highlight w:val="none"/>
          <w:lang w:val="en-GB"/>
        </w:rPr>
        <w:t>。</w:t>
      </w:r>
    </w:p>
    <w:p w14:paraId="40F4DA63">
      <w:pPr>
        <w:pStyle w:val="5"/>
        <w:keepLines w:val="0"/>
        <w:numPr>
          <w:ilvl w:val="1"/>
          <w:numId w:val="3"/>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定义</w:t>
      </w:r>
    </w:p>
    <w:p w14:paraId="13C1F0BE">
      <w:pPr>
        <w:numPr>
          <w:ilvl w:val="2"/>
          <w:numId w:val="3"/>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“招标人”系指依法进行招标的国家机关、事业单位、团体组织，本项目招标人是</w:t>
      </w:r>
      <w:r>
        <w:rPr>
          <w:rFonts w:hint="eastAsia" w:ascii="宋体" w:hAnsi="宋体" w:cs="宋体"/>
          <w:color w:val="auto"/>
          <w:sz w:val="24"/>
          <w:highlight w:val="none"/>
          <w:lang w:eastAsia="zh-CN"/>
        </w:rPr>
        <w:t>广州南沙文体投资有限公司</w:t>
      </w:r>
      <w:r>
        <w:rPr>
          <w:rFonts w:hint="eastAsia" w:ascii="宋体" w:hAnsi="宋体" w:cs="宋体"/>
          <w:color w:val="auto"/>
          <w:sz w:val="24"/>
          <w:highlight w:val="none"/>
        </w:rPr>
        <w:t>。</w:t>
      </w:r>
    </w:p>
    <w:p w14:paraId="6C45FD5C">
      <w:pPr>
        <w:numPr>
          <w:ilvl w:val="2"/>
          <w:numId w:val="3"/>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“投标人”系指向招标人提交投标文件的合格供应商。</w:t>
      </w:r>
    </w:p>
    <w:p w14:paraId="3E7DF0B5">
      <w:pPr>
        <w:numPr>
          <w:ilvl w:val="2"/>
          <w:numId w:val="3"/>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“中标单位”系指经评标委员会评审推荐、招标人确认的获得本项目中标资格的投标人。</w:t>
      </w:r>
    </w:p>
    <w:p w14:paraId="0F0D4B23">
      <w:pPr>
        <w:numPr>
          <w:ilvl w:val="2"/>
          <w:numId w:val="3"/>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“实质性响应”系指符合招标文件的所有要求、条款、条件和规定，且没有不利于项目实施质量效果和服务保障的重大偏离或保留。</w:t>
      </w:r>
    </w:p>
    <w:p w14:paraId="560F66EB">
      <w:pPr>
        <w:numPr>
          <w:ilvl w:val="2"/>
          <w:numId w:val="3"/>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“重大偏离或保留”系指影响到采购文件规定的范围、质量和性能或限制了招标人的权力和投标人义务的规定，而纠正这些偏离将影响到其它投标人的公平竞争地位。</w:t>
      </w:r>
    </w:p>
    <w:p w14:paraId="1FC6BD1E">
      <w:pPr>
        <w:numPr>
          <w:ilvl w:val="2"/>
          <w:numId w:val="3"/>
        </w:numPr>
        <w:tabs>
          <w:tab w:val="left" w:pos="-5220"/>
          <w:tab w:val="left" w:pos="-4320"/>
          <w:tab w:val="left" w:pos="780"/>
        </w:tabs>
        <w:adjustRightInd w:val="0"/>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本招标文件所涉及的日期和时间，除特别说明外均指北京时间，天数为日历日。</w:t>
      </w:r>
    </w:p>
    <w:p w14:paraId="01F5DBFF">
      <w:pPr>
        <w:pStyle w:val="5"/>
        <w:keepLines w:val="0"/>
        <w:numPr>
          <w:ilvl w:val="1"/>
          <w:numId w:val="3"/>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知识产权</w:t>
      </w:r>
    </w:p>
    <w:p w14:paraId="168F4A2E">
      <w:pPr>
        <w:spacing w:line="380" w:lineRule="exact"/>
        <w:ind w:firstLine="480" w:firstLineChars="200"/>
        <w:rPr>
          <w:rFonts w:hint="eastAsia" w:ascii="宋体" w:hAnsi="宋体" w:cs="宋体"/>
          <w:color w:val="auto"/>
          <w:sz w:val="24"/>
          <w:highlight w:val="none"/>
          <w:lang w:val="en-GB"/>
        </w:rPr>
      </w:pPr>
      <w:r>
        <w:rPr>
          <w:rFonts w:hint="eastAsia" w:ascii="宋体" w:hAnsi="宋体" w:cs="宋体"/>
          <w:color w:val="auto"/>
          <w:sz w:val="24"/>
          <w:highlight w:val="none"/>
          <w:lang w:val="en-GB"/>
        </w:rPr>
        <w:t>1.投标人必须保证，招标人在中华人民共和国境内使用投标</w:t>
      </w:r>
      <w:r>
        <w:rPr>
          <w:rFonts w:hint="eastAsia" w:ascii="宋体" w:hAnsi="宋体" w:cs="宋体"/>
          <w:color w:val="auto"/>
          <w:sz w:val="24"/>
          <w:highlight w:val="none"/>
        </w:rPr>
        <w:t>货物</w:t>
      </w:r>
      <w:r>
        <w:rPr>
          <w:rFonts w:hint="eastAsia" w:ascii="宋体" w:hAnsi="宋体" w:cs="宋体"/>
          <w:color w:val="auto"/>
          <w:sz w:val="24"/>
          <w:highlight w:val="none"/>
          <w:lang w:val="en-GB"/>
        </w:rPr>
        <w:t>、资料、技术、服务或其任何一部分时，享有不受限制的无偿使用权，如有第三方向招标人提出侵犯其专利权、商标权或其它知识产权的主张，该责任应由投标人承担。</w:t>
      </w:r>
    </w:p>
    <w:p w14:paraId="04FB4CB3">
      <w:pPr>
        <w:spacing w:line="380" w:lineRule="exact"/>
        <w:ind w:firstLine="480" w:firstLineChars="200"/>
        <w:rPr>
          <w:rFonts w:hint="eastAsia" w:ascii="宋体" w:hAnsi="宋体" w:cs="宋体"/>
          <w:color w:val="auto"/>
          <w:sz w:val="24"/>
          <w:highlight w:val="none"/>
          <w:lang w:val="en-GB"/>
        </w:rPr>
      </w:pPr>
      <w:r>
        <w:rPr>
          <w:rFonts w:hint="eastAsia" w:ascii="宋体" w:hAnsi="宋体" w:cs="宋体"/>
          <w:color w:val="auto"/>
          <w:sz w:val="24"/>
          <w:highlight w:val="none"/>
          <w:lang w:val="en-GB"/>
        </w:rPr>
        <w:t>2.投标报价应包含所有应向所有权人支付的专利权、商标权或其它知识产权的一切相关费用。</w:t>
      </w:r>
    </w:p>
    <w:p w14:paraId="7DB1316E">
      <w:pPr>
        <w:pStyle w:val="5"/>
        <w:keepLines w:val="0"/>
        <w:numPr>
          <w:ilvl w:val="1"/>
          <w:numId w:val="3"/>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纪律与保密事项</w:t>
      </w:r>
    </w:p>
    <w:p w14:paraId="50EA544F">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1.投标人不得相互串通投标报价，不得妨碍其他投标人的公平竞争，不得损害招标人或其他投标人的合法权益。投标人不得以向招标人、评标委员会成员行贿或者采取其他不正当手段谋取中标。</w:t>
      </w:r>
    </w:p>
    <w:p w14:paraId="1D924892">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2.在确定中标供应商之前，投标人不得与招标人就投标价格、投标方案等实质性内容进行谈判，也不得私下接触评标委员会成员。</w:t>
      </w:r>
    </w:p>
    <w:p w14:paraId="1A2933B5">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3.在确定中标供应商之前，投标人试图在投标文件审查、澄清、比较和评价时对评标委员会、招标人和招标人施加任何影响都可能导致其投标无效。</w:t>
      </w:r>
    </w:p>
    <w:p w14:paraId="4559593B">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4.获得本招标文件者，不得将招标文件用作本次投标以外的任何用途，若有要求，开标后，投标人应归还招标文件中的保密文件和资料。</w:t>
      </w:r>
    </w:p>
    <w:p w14:paraId="7A444430">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由招标人向投标人提供招标文件等所有其它资料，均为保密资料，仅被用于它所规定的用途。除得到招标人的同意外，不能向任何第三方透露。开标结束后，应招标人要求，投标人应归还所有从招标人处获得的保密资料。</w:t>
      </w:r>
    </w:p>
    <w:p w14:paraId="6B05F76E">
      <w:pPr>
        <w:pStyle w:val="4"/>
        <w:spacing w:before="48" w:after="48" w:line="380" w:lineRule="exact"/>
        <w:rPr>
          <w:rFonts w:hint="eastAsia" w:ascii="宋体" w:hAnsi="宋体" w:eastAsia="宋体" w:cs="宋体"/>
          <w:color w:val="auto"/>
          <w:sz w:val="28"/>
          <w:szCs w:val="28"/>
          <w:highlight w:val="none"/>
        </w:rPr>
      </w:pPr>
    </w:p>
    <w:p w14:paraId="65758DBA">
      <w:pPr>
        <w:pStyle w:val="4"/>
        <w:spacing w:before="48" w:after="48" w:line="3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二、招标文件</w:t>
      </w:r>
    </w:p>
    <w:p w14:paraId="69259BA5">
      <w:pPr>
        <w:pStyle w:val="5"/>
        <w:keepLines w:val="0"/>
        <w:numPr>
          <w:ilvl w:val="1"/>
          <w:numId w:val="4"/>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关于招标文件</w:t>
      </w:r>
    </w:p>
    <w:p w14:paraId="56FEAEE5">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招标文件是招标人作为阐明所需服务的基本要求，招标文件、投标文件、评标结果和相关承诺确认文件均作为任何一方当事人履约的重要依据。</w:t>
      </w:r>
    </w:p>
    <w:p w14:paraId="64617CDF">
      <w:pPr>
        <w:pStyle w:val="5"/>
        <w:keepLines w:val="0"/>
        <w:numPr>
          <w:ilvl w:val="1"/>
          <w:numId w:val="4"/>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招标文件的组成</w:t>
      </w:r>
    </w:p>
    <w:p w14:paraId="708AA827">
      <w:pPr>
        <w:numPr>
          <w:ilvl w:val="2"/>
          <w:numId w:val="4"/>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招标公告</w:t>
      </w:r>
    </w:p>
    <w:p w14:paraId="28EFFF1B">
      <w:pPr>
        <w:numPr>
          <w:ilvl w:val="2"/>
          <w:numId w:val="4"/>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投标人须知</w:t>
      </w:r>
    </w:p>
    <w:p w14:paraId="6BA9BE6A">
      <w:pPr>
        <w:numPr>
          <w:ilvl w:val="2"/>
          <w:numId w:val="4"/>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用户需求书</w:t>
      </w:r>
    </w:p>
    <w:p w14:paraId="326E881B">
      <w:pPr>
        <w:numPr>
          <w:ilvl w:val="2"/>
          <w:numId w:val="4"/>
        </w:numPr>
        <w:tabs>
          <w:tab w:val="left" w:pos="-522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附件（格式）</w:t>
      </w:r>
    </w:p>
    <w:p w14:paraId="2DD9D324">
      <w:pPr>
        <w:numPr>
          <w:ilvl w:val="2"/>
          <w:numId w:val="4"/>
        </w:numPr>
        <w:tabs>
          <w:tab w:val="left" w:pos="-5220"/>
        </w:tabs>
        <w:spacing w:line="380" w:lineRule="exact"/>
        <w:rPr>
          <w:rFonts w:hint="eastAsia" w:ascii="宋体" w:hAnsi="宋体" w:cs="宋体"/>
          <w:color w:val="auto"/>
          <w:highlight w:val="none"/>
        </w:rPr>
      </w:pPr>
      <w:r>
        <w:rPr>
          <w:rFonts w:hint="eastAsia" w:ascii="宋体" w:hAnsi="宋体" w:cs="宋体"/>
          <w:color w:val="auto"/>
          <w:sz w:val="24"/>
          <w:highlight w:val="none"/>
        </w:rPr>
        <w:t>评标细则</w:t>
      </w:r>
    </w:p>
    <w:p w14:paraId="46747464">
      <w:pPr>
        <w:numPr>
          <w:ilvl w:val="2"/>
          <w:numId w:val="4"/>
        </w:numPr>
        <w:tabs>
          <w:tab w:val="left" w:pos="-5220"/>
        </w:tabs>
        <w:spacing w:line="380" w:lineRule="exact"/>
        <w:rPr>
          <w:rFonts w:hint="eastAsia" w:ascii="宋体" w:hAnsi="宋体" w:cs="宋体"/>
          <w:color w:val="auto"/>
          <w:highlight w:val="none"/>
        </w:rPr>
      </w:pPr>
      <w:r>
        <w:rPr>
          <w:rFonts w:hint="eastAsia" w:ascii="宋体" w:hAnsi="宋体" w:cs="宋体"/>
          <w:color w:val="auto"/>
          <w:sz w:val="24"/>
          <w:highlight w:val="none"/>
        </w:rPr>
        <w:t>合同文本</w:t>
      </w:r>
    </w:p>
    <w:p w14:paraId="484FE79D">
      <w:pPr>
        <w:pStyle w:val="5"/>
        <w:keepLines w:val="0"/>
        <w:numPr>
          <w:ilvl w:val="1"/>
          <w:numId w:val="4"/>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招标文件的澄清和修改</w:t>
      </w:r>
    </w:p>
    <w:p w14:paraId="6DC1250C">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1、投标人对招标文件有疑问的，可向招标人依法提出询问，招标人在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个工作日内对投标人询问的内容作出答复。</w:t>
      </w:r>
    </w:p>
    <w:p w14:paraId="0DA4B2FD">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2、招标文件的修改内容是招标文件的组成部分。</w:t>
      </w:r>
    </w:p>
    <w:p w14:paraId="18866194">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3、为使投标人准备投标时有充分时间对招标文件的修改部分进行研究，招标人可顺延投标截止时间，变更时间信息将在</w:t>
      </w:r>
      <w:r>
        <w:rPr>
          <w:rFonts w:hint="eastAsia" w:ascii="宋体" w:hAnsi="宋体" w:cs="Times New Roman"/>
          <w:color w:val="auto"/>
          <w:sz w:val="24"/>
          <w:szCs w:val="24"/>
          <w:highlight w:val="none"/>
        </w:rPr>
        <w:t>广州国企阳光采购信息发布平台https://ygcg.gzggzy.cn/p92/index.html</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rPr>
        <w:t>广州南沙资产经营集团有限公司网站(http//www.gnao.com.cn)</w:t>
      </w:r>
      <w:r>
        <w:rPr>
          <w:rFonts w:hint="eastAsia" w:ascii="宋体" w:hAnsi="宋体" w:cs="宋体"/>
          <w:color w:val="auto"/>
          <w:sz w:val="24"/>
          <w:highlight w:val="none"/>
        </w:rPr>
        <w:t>上发布。</w:t>
      </w:r>
    </w:p>
    <w:p w14:paraId="065B1BF1">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4、投标人在规定的时间内未对招标文件提出澄清或疑问的，将视为对招标文件无异议。</w:t>
      </w:r>
    </w:p>
    <w:p w14:paraId="61092CBC">
      <w:pPr>
        <w:pStyle w:val="4"/>
        <w:spacing w:before="48" w:after="48" w:line="380" w:lineRule="exact"/>
        <w:rPr>
          <w:rFonts w:hint="eastAsia" w:ascii="宋体" w:hAnsi="宋体" w:eastAsia="宋体" w:cs="宋体"/>
          <w:color w:val="auto"/>
          <w:sz w:val="28"/>
          <w:szCs w:val="28"/>
          <w:highlight w:val="none"/>
        </w:rPr>
      </w:pPr>
      <w:bookmarkStart w:id="14" w:name="_Toc184442576"/>
      <w:r>
        <w:rPr>
          <w:rFonts w:hint="eastAsia" w:ascii="宋体" w:hAnsi="宋体" w:eastAsia="宋体" w:cs="宋体"/>
          <w:color w:val="auto"/>
          <w:sz w:val="28"/>
          <w:szCs w:val="28"/>
          <w:highlight w:val="none"/>
        </w:rPr>
        <w:t>三、投标总则</w:t>
      </w:r>
      <w:bookmarkEnd w:id="14"/>
    </w:p>
    <w:p w14:paraId="4376857A">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投标文件的编写</w:t>
      </w:r>
    </w:p>
    <w:p w14:paraId="1B9FAEDC">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投标人应仔细阅读招标文件的所有内容，并按招标文件的规定及附件要求的内容和格式，提交完整的投标文件，并保证所提供全部资料的真实性，所有不完整的投标将被拒绝。</w:t>
      </w:r>
    </w:p>
    <w:p w14:paraId="0704C1FB">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投标文件和来往函件应用中文书写，投标人提供的支持文件、技术资料和印刷的文献可以用其它语言，但相应内容应附有中文翻译本，以中文为准，计量单位应采用中华人民共和国法定计量单位。</w:t>
      </w:r>
    </w:p>
    <w:p w14:paraId="730F12EE">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投标总价是以投标人可独立完成本项目，并在通过准确核算后，可满足预期实施效果、符合自身合法利益的前提下所作出的综合性合理最终含税报价。投标人应自行增加项目正常、合法及使用所必需但招标文件没有列明或包含的内容及费用，并在投标文件中加以详细说明，如果投标人在中标并签署合同后，在提供招标范围内的货物及服务工作中出现的任何遗漏，均由中标人免费提供，采购人将不再支付任何费用。对超出常规、具有特别意义或会引起竞争非议的报价须作出特别说明。</w:t>
      </w:r>
    </w:p>
    <w:p w14:paraId="29F3A193">
      <w:pPr>
        <w:spacing w:line="38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招标文件中，如标有“★”的地方均为必须完全满足指标，投标人须进行实质性响应，投标人若有一项带“★”的条款未响应或不满足，将按无效投标处理。</w:t>
      </w:r>
    </w:p>
    <w:p w14:paraId="6C50825B">
      <w:pPr>
        <w:spacing w:line="38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招标文件中，如标有“</w:t>
      </w:r>
      <w:r>
        <w:rPr>
          <w:rFonts w:hint="eastAsia" w:ascii="宋体" w:hAnsi="宋体" w:cs="宋体"/>
          <w:color w:val="auto"/>
          <w:sz w:val="24"/>
          <w:highlight w:val="none"/>
        </w:rPr>
        <w:t>▲</w:t>
      </w:r>
      <w:r>
        <w:rPr>
          <w:rFonts w:hint="eastAsia" w:ascii="宋体" w:hAnsi="宋体" w:cs="宋体"/>
          <w:b/>
          <w:color w:val="auto"/>
          <w:sz w:val="24"/>
          <w:highlight w:val="none"/>
        </w:rPr>
        <w:t>”的地方均为重要参数和指标要求条款，投标人若有部分“</w:t>
      </w:r>
      <w:r>
        <w:rPr>
          <w:rFonts w:hint="eastAsia" w:ascii="宋体" w:hAnsi="宋体" w:cs="宋体"/>
          <w:color w:val="auto"/>
          <w:sz w:val="24"/>
          <w:highlight w:val="none"/>
        </w:rPr>
        <w:t>▲</w:t>
      </w:r>
      <w:r>
        <w:rPr>
          <w:rFonts w:hint="eastAsia" w:ascii="宋体" w:hAnsi="宋体" w:cs="宋体"/>
          <w:b/>
          <w:color w:val="auto"/>
          <w:sz w:val="24"/>
          <w:highlight w:val="none"/>
        </w:rPr>
        <w:t>”条款未响应或不满足，将导致其响应性评审严重扣分。</w:t>
      </w:r>
    </w:p>
    <w:p w14:paraId="051E4DEC">
      <w:pPr>
        <w:spacing w:line="38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★本项目最高限价为：</w:t>
      </w:r>
      <w:bookmarkStart w:id="15" w:name="_Toc136682895"/>
      <w:bookmarkStart w:id="16" w:name="_Toc367885865"/>
      <w:bookmarkStart w:id="17" w:name="_Toc119321130"/>
      <w:bookmarkStart w:id="18" w:name="_Toc361989945"/>
      <w:bookmarkStart w:id="19" w:name="_Toc397349687"/>
      <w:bookmarkStart w:id="20" w:name="_Toc397349838"/>
      <w:bookmarkStart w:id="21" w:name="_Toc361990148"/>
      <w:bookmarkStart w:id="22" w:name="_Toc367884850"/>
      <w:bookmarkStart w:id="23" w:name="_Toc157504573"/>
      <w:bookmarkStart w:id="24" w:name="_Toc136662919"/>
      <w:r>
        <w:rPr>
          <w:rFonts w:hint="eastAsia" w:ascii="宋体" w:hAnsi="宋体" w:cs="宋体"/>
          <w:b/>
          <w:color w:val="auto"/>
          <w:sz w:val="24"/>
          <w:highlight w:val="none"/>
          <w:lang w:val="en-US" w:eastAsia="zh-CN"/>
        </w:rPr>
        <w:t>人民币450,000</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投标人报价超出最高限价视为非实质性响应投标而予以拒绝。</w:t>
      </w:r>
    </w:p>
    <w:bookmarkEnd w:id="15"/>
    <w:bookmarkEnd w:id="16"/>
    <w:bookmarkEnd w:id="17"/>
    <w:bookmarkEnd w:id="18"/>
    <w:bookmarkEnd w:id="19"/>
    <w:bookmarkEnd w:id="20"/>
    <w:bookmarkEnd w:id="21"/>
    <w:bookmarkEnd w:id="22"/>
    <w:bookmarkEnd w:id="23"/>
    <w:bookmarkEnd w:id="24"/>
    <w:p w14:paraId="09A42BC6">
      <w:pPr>
        <w:spacing w:line="380" w:lineRule="exact"/>
        <w:ind w:firstLine="480" w:firstLineChars="200"/>
        <w:rPr>
          <w:rFonts w:hint="eastAsia" w:ascii="宋体" w:hAnsi="宋体" w:cs="宋体"/>
          <w:b/>
          <w:color w:val="auto"/>
          <w:sz w:val="24"/>
          <w:highlight w:val="none"/>
        </w:rPr>
      </w:pPr>
      <w:r>
        <w:rPr>
          <w:rFonts w:hint="eastAsia" w:ascii="宋体" w:hAnsi="宋体" w:cs="宋体"/>
          <w:b/>
          <w:color w:val="auto"/>
          <w:sz w:val="24"/>
          <w:highlight w:val="none"/>
        </w:rPr>
        <w:t>★投标人项目报价低于最高限价80%（含80%）的，必须出具详细的成本分析（包含项目实施各项工作的具体成本、办公、交通、税费、利润等的详细说明）及相关佐证材料，投标人未提供成本分析或者不能合理说明成本偏低原因的，评标委员会有权视为以低于成本的报价竞标，按无效投标处理。</w:t>
      </w:r>
    </w:p>
    <w:p w14:paraId="4AA5AD8D">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对投标内容提供完整的、详细的、清晰的技术说明，如投标人对指定的技术要求建议做任何改动，应在投标文件中清楚地注明；投标人对招标文件的对应要求应当给予唯一的实质性响应，否则将视为不响应。技术参数要求中标注有具体数值要求的，投标人必须在服务响应表中标注实际数值，不标注数值者视为不响应。</w:t>
      </w:r>
    </w:p>
    <w:p w14:paraId="60564EA5">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投标人响应招标需求应具体、明确，含糊不清、不确切、直接复制招标需求指标要求的或伪造、变造证明材料的，按照不完全响应或完全不响应处理。构成提供虚假材料的，移送监管部门查处。</w:t>
      </w:r>
    </w:p>
    <w:p w14:paraId="702AE88A">
      <w:pPr>
        <w:spacing w:line="380" w:lineRule="exact"/>
        <w:ind w:firstLine="480" w:firstLineChars="200"/>
        <w:rPr>
          <w:rFonts w:hint="eastAsia" w:ascii="宋体" w:hAnsi="宋体" w:cs="宋体"/>
          <w:color w:val="auto"/>
          <w:highlight w:val="none"/>
        </w:rPr>
      </w:pPr>
      <w:r>
        <w:rPr>
          <w:rFonts w:hint="eastAsia" w:ascii="宋体" w:hAnsi="宋体" w:cs="宋体"/>
          <w:color w:val="auto"/>
          <w:sz w:val="24"/>
          <w:highlight w:val="none"/>
        </w:rPr>
        <w:t>投标文件按规定加盖的投标人公章必须为企业法人公章，且与投标人名称一致，不能以其它业务章或附属机构章代替。需签名之处必须由法定代表人或投标授权代表签署。</w:t>
      </w:r>
    </w:p>
    <w:p w14:paraId="5290AF8A">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投标文件的组成</w:t>
      </w:r>
    </w:p>
    <w:p w14:paraId="2D928647">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投标文件由资格文件、商务文件、技术文件、报价文件构成，按第四章的顺序和要求编制。</w:t>
      </w:r>
    </w:p>
    <w:p w14:paraId="2099E7EC">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w:t>
      </w:r>
    </w:p>
    <w:p w14:paraId="59149EA2">
      <w:pPr>
        <w:spacing w:line="380" w:lineRule="exact"/>
        <w:ind w:firstLine="480" w:firstLineChars="200"/>
        <w:rPr>
          <w:rFonts w:hint="eastAsia" w:ascii="宋体" w:hAnsi="宋体" w:cs="宋体"/>
          <w:b/>
          <w:color w:val="auto"/>
          <w:sz w:val="24"/>
          <w:highlight w:val="none"/>
          <w:u w:val="single"/>
        </w:rPr>
      </w:pPr>
      <w:r>
        <w:rPr>
          <w:rFonts w:hint="eastAsia" w:ascii="宋体" w:hAnsi="宋体" w:cs="宋体"/>
          <w:color w:val="auto"/>
          <w:sz w:val="24"/>
          <w:highlight w:val="none"/>
        </w:rPr>
        <w:t>全部投标文件应一式五份，正本1份（内装投标文件正本1份，投标文件电子文件1份，电子文件为U盘介质，采用Word和PDF格式，Word内容应与投标人打印产生的纸质投标文件内容一致，PDF内容必须是纸质投标文件正本扫描件（含盖章、签署），不留密码，无病毒，不压缩），副本4 份，在文件封面显著注明“正本”和“副本”字样，并加盖公章。 副本内容可采用正本的复印件，如果正本与副本不符，应以正本为准。投标文件应由投标人的合法授权代表正式签署，任何更改（如有）应由原签署人签字。</w:t>
      </w:r>
    </w:p>
    <w:p w14:paraId="59C65C05">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所有投标文件应在投标截止时间前送达投标文件递交地点（时间及地点以第一章投标邀请为准），拒绝以下情况之一的投标文件：</w:t>
      </w:r>
    </w:p>
    <w:p w14:paraId="1ADA76E4">
      <w:pPr>
        <w:numPr>
          <w:ilvl w:val="2"/>
          <w:numId w:val="5"/>
        </w:numPr>
        <w:tabs>
          <w:tab w:val="left" w:pos="-5220"/>
        </w:tabs>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迟于投标截止时间递交的；</w:t>
      </w:r>
    </w:p>
    <w:p w14:paraId="13D36E0F">
      <w:pPr>
        <w:numPr>
          <w:ilvl w:val="2"/>
          <w:numId w:val="5"/>
        </w:numPr>
        <w:tabs>
          <w:tab w:val="left" w:pos="-5220"/>
        </w:tabs>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以电报、电话、电传、传真或邮递形式递交的；</w:t>
      </w:r>
    </w:p>
    <w:p w14:paraId="3844EEB4">
      <w:pPr>
        <w:numPr>
          <w:ilvl w:val="2"/>
          <w:numId w:val="5"/>
        </w:numPr>
        <w:tabs>
          <w:tab w:val="left" w:pos="-5220"/>
        </w:tabs>
        <w:spacing w:line="380" w:lineRule="exact"/>
        <w:ind w:left="0" w:firstLine="480" w:firstLineChars="200"/>
        <w:rPr>
          <w:rFonts w:hint="eastAsia" w:ascii="宋体" w:hAnsi="宋体" w:cs="宋体"/>
          <w:color w:val="auto"/>
          <w:sz w:val="24"/>
          <w:highlight w:val="none"/>
        </w:rPr>
      </w:pPr>
      <w:r>
        <w:rPr>
          <w:rFonts w:hint="eastAsia" w:ascii="宋体" w:hAnsi="宋体" w:cs="宋体"/>
          <w:color w:val="auto"/>
          <w:sz w:val="24"/>
          <w:highlight w:val="none"/>
        </w:rPr>
        <w:t>密封不严、册装不整的；</w:t>
      </w:r>
    </w:p>
    <w:p w14:paraId="2FB30D5E">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所有投标文件必须封入密封的信封或包装，在封口上加盖投标人的公章，并在每一信封或包装的封面上写明：</w:t>
      </w:r>
    </w:p>
    <w:tbl>
      <w:tblPr>
        <w:tblStyle w:val="17"/>
        <w:tblW w:w="7905" w:type="dxa"/>
        <w:tblInd w:w="8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5"/>
      </w:tblGrid>
      <w:tr w14:paraId="70FA7F8B">
        <w:tc>
          <w:tcPr>
            <w:tcW w:w="7905" w:type="dxa"/>
            <w:tcBorders>
              <w:top w:val="single" w:color="auto" w:sz="4" w:space="0"/>
              <w:left w:val="single" w:color="auto" w:sz="4" w:space="0"/>
              <w:bottom w:val="single" w:color="auto" w:sz="4" w:space="0"/>
              <w:right w:val="single" w:color="auto" w:sz="4" w:space="0"/>
            </w:tcBorders>
          </w:tcPr>
          <w:p w14:paraId="29C46772">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收件人名称：</w:t>
            </w:r>
          </w:p>
          <w:p w14:paraId="3E192922">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项目名称：                                </w:t>
            </w:r>
          </w:p>
          <w:p w14:paraId="06FCA4B7">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包装内容：投标文件正本/副本</w:t>
            </w:r>
          </w:p>
          <w:p w14:paraId="594FB8C4">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投标人名称：</w:t>
            </w:r>
          </w:p>
          <w:p w14:paraId="5A544ED0">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投标人地址：</w:t>
            </w:r>
          </w:p>
          <w:p w14:paraId="49A027B6">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 系 人：</w:t>
            </w:r>
          </w:p>
          <w:p w14:paraId="2DED0D3A">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联系电话：</w:t>
            </w:r>
          </w:p>
          <w:p w14:paraId="622DBA32">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在规定的开标时间    年   月   日   时  分前不得启封</w:t>
            </w:r>
          </w:p>
        </w:tc>
      </w:tr>
    </w:tbl>
    <w:p w14:paraId="2AD85B85">
      <w:pPr>
        <w:numPr>
          <w:ilvl w:val="2"/>
          <w:numId w:val="5"/>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招标人对不可抗力事件造成的投标文件的损坏、丢失不承担任何责任。</w:t>
      </w:r>
    </w:p>
    <w:p w14:paraId="316C953D">
      <w:pPr>
        <w:numPr>
          <w:ilvl w:val="2"/>
          <w:numId w:val="5"/>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招标人不退还投标人的投标文件及递交的其它资料。</w:t>
      </w:r>
    </w:p>
    <w:p w14:paraId="7A4DC146">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投标有效期</w:t>
      </w:r>
    </w:p>
    <w:p w14:paraId="173E1C74">
      <w:pPr>
        <w:spacing w:line="380" w:lineRule="exact"/>
        <w:ind w:firstLine="480" w:firstLineChars="200"/>
        <w:rPr>
          <w:rFonts w:hint="eastAsia" w:ascii="宋体" w:hAnsi="宋体" w:cs="宋体"/>
          <w:color w:val="auto"/>
          <w:highlight w:val="none"/>
        </w:rPr>
      </w:pPr>
      <w:r>
        <w:rPr>
          <w:rFonts w:hint="eastAsia" w:ascii="宋体" w:hAnsi="宋体" w:cs="宋体"/>
          <w:color w:val="auto"/>
          <w:sz w:val="24"/>
          <w:highlight w:val="none"/>
        </w:rPr>
        <w:t>从投标截止日起，投标有效期为</w:t>
      </w:r>
      <w:r>
        <w:rPr>
          <w:rFonts w:hint="eastAsia" w:ascii="宋体" w:hAnsi="宋体" w:cs="宋体"/>
          <w:color w:val="auto"/>
          <w:sz w:val="24"/>
          <w:highlight w:val="none"/>
          <w:lang w:val="en-US" w:eastAsia="zh-CN"/>
        </w:rPr>
        <w:t>90</w:t>
      </w:r>
      <w:r>
        <w:rPr>
          <w:rFonts w:hint="eastAsia" w:ascii="宋体" w:hAnsi="宋体" w:cs="宋体"/>
          <w:color w:val="auto"/>
          <w:sz w:val="24"/>
          <w:highlight w:val="none"/>
        </w:rPr>
        <w:t>天，中标人的投标有效期自动延长至合同终止为止。在特殊情况下，招标人可于投标有效期满之前要求投标人同意延长有效期，要求与答复均应以书面形式进行。投标人可以拒绝上述延长投标有效期的要求，但其投标将会被拒绝；同意延期的投标人根据原截止期，其权利及责任相应也延至新的截止期。</w:t>
      </w:r>
    </w:p>
    <w:p w14:paraId="5B93F42E">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投标的修改和撤回</w:t>
      </w:r>
    </w:p>
    <w:p w14:paraId="71A2EFBB">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1、投标人在投标截止时间前，可采用书面通知的形式向招标人修改或撤回其投标文件。</w:t>
      </w:r>
    </w:p>
    <w:p w14:paraId="0A4EC1B6">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2、在投标截止时间后，投标人不得对其投标文件作任何修改及撤回。</w:t>
      </w:r>
    </w:p>
    <w:p w14:paraId="647A473B">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开标</w:t>
      </w:r>
    </w:p>
    <w:p w14:paraId="0C28647B">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开标过程由专人负责记录，并存档备验。</w:t>
      </w:r>
    </w:p>
    <w:p w14:paraId="498F3D2B">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1、开标会由招标人主持，邀请投标人参加，投标人按招标文件中规定的日期、时间和地点自行前往参加开标。</w:t>
      </w:r>
    </w:p>
    <w:p w14:paraId="7013231F">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开标时，由招标人相关工作人员检查投标文件的密封情况；经确认无误后，由招标人相关工作人员当众拆封，宣布投标人名称、投标价格和招标文件规定的需要宣布的其他内容。开标记录表由记录人、唱标人、投标人代表和有关人员签名确认，如开标记录表上内容与投标文件不一致时，投标人代表须当场提出。                                                                              </w:t>
      </w:r>
    </w:p>
    <w:p w14:paraId="228F8A60">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3、开标过程应当由招标人负责记录，由参加开标的各投标人代表和相关工作人员签字确认后随招标文件一并存档。</w:t>
      </w:r>
    </w:p>
    <w:p w14:paraId="038F3084">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4、投标人代表对开标过程和开标记录有疑义，以及认为招标人相关工作人员有需要回避的情形的，应当场提出询问或者回避申请。招标人对投标人代表提出的询问或者回避申请应当及时处理。</w:t>
      </w:r>
    </w:p>
    <w:p w14:paraId="3D0056C6">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5、在招标文件要求提交投标文件截止时间前收到的所有投标文件不足三家时，不予以拆封、宣读，作流标处理。</w:t>
      </w:r>
    </w:p>
    <w:p w14:paraId="20532A90">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、投标文件送交评标委员会评审。投标文件报价出现前后不一致的，除招标文件另有规定外，按照下列规定修正：</w:t>
      </w:r>
    </w:p>
    <w:p w14:paraId="34FADA5B">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（1）投标文件中开标一览表（报价表）内容与投标文件中相应内容不一致的，以开标一览表（报价表）为准；</w:t>
      </w:r>
    </w:p>
    <w:p w14:paraId="10E68D47">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17216F3C">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（3）单价金额小数点或者百分比有明显错位的，以开标一览表（报价表）的总价为准，并修改单价；</w:t>
      </w:r>
    </w:p>
    <w:p w14:paraId="13C18187">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71DCBF58">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同时出现两种以上不一致的，按照前款规定的顺序修正。修正后的报价经投标人确认后产生约束力，投标人不确认的，其投标无效。</w:t>
      </w:r>
    </w:p>
    <w:p w14:paraId="6A4C61E4">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highlight w:val="none"/>
        </w:rPr>
      </w:pPr>
      <w:r>
        <w:rPr>
          <w:rFonts w:hint="eastAsia" w:cs="宋体"/>
          <w:color w:val="auto"/>
          <w:sz w:val="24"/>
          <w:highlight w:val="none"/>
        </w:rPr>
        <w:t>评标</w:t>
      </w:r>
    </w:p>
    <w:p w14:paraId="1ABC73AE">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评标工作由招标人负责组织，具体评标事务由依法组建的评标委员会负责，并独立履行下列职责：</w:t>
      </w:r>
    </w:p>
    <w:p w14:paraId="5E3D4061">
      <w:pPr>
        <w:numPr>
          <w:ilvl w:val="0"/>
          <w:numId w:val="6"/>
        </w:numPr>
        <w:tabs>
          <w:tab w:val="left" w:pos="1134"/>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审查投标文件是否符合招标文件要求，并作出评价；</w:t>
      </w:r>
    </w:p>
    <w:p w14:paraId="1B646761">
      <w:pPr>
        <w:numPr>
          <w:ilvl w:val="0"/>
          <w:numId w:val="6"/>
        </w:numPr>
        <w:tabs>
          <w:tab w:val="left" w:pos="1134"/>
          <w:tab w:val="left" w:pos="1571"/>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要求投标人对投标文件有关事项作出解释或者澄清；</w:t>
      </w:r>
    </w:p>
    <w:p w14:paraId="3B1AD7DF">
      <w:pPr>
        <w:numPr>
          <w:ilvl w:val="0"/>
          <w:numId w:val="6"/>
        </w:numPr>
        <w:tabs>
          <w:tab w:val="left" w:pos="1134"/>
          <w:tab w:val="left" w:pos="1571"/>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推荐中标候选人名单；</w:t>
      </w:r>
    </w:p>
    <w:p w14:paraId="0B320BE7">
      <w:pPr>
        <w:numPr>
          <w:ilvl w:val="0"/>
          <w:numId w:val="6"/>
        </w:numPr>
        <w:tabs>
          <w:tab w:val="left" w:pos="1134"/>
          <w:tab w:val="left" w:pos="1571"/>
          <w:tab w:val="clear" w:pos="1440"/>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向招标人或者有关部门报告非法干预评标工作的行为。</w:t>
      </w:r>
    </w:p>
    <w:p w14:paraId="77383844">
      <w:pPr>
        <w:numPr>
          <w:ilvl w:val="2"/>
          <w:numId w:val="5"/>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评标方法</w:t>
      </w:r>
    </w:p>
    <w:p w14:paraId="2043053F">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本项目采用综合评审法：在最大限度地满足招标文件实质性要求前提下，按照招标文件中规定的各项因素进行综合评审后，以评标总得分最高的投标人作为中标候选人。</w:t>
      </w:r>
    </w:p>
    <w:p w14:paraId="404CE6C4">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综合评审的主要因素是：价格、技术、信誉、业绩、服务、对招标文件的响应程度，以及相应的比重或者权值等（详见评标细则）。</w:t>
      </w:r>
    </w:p>
    <w:p w14:paraId="2934F127">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评标时，评标委员会各成员应当独立对每个有效投标人的标书进行评价、打分，然后汇总每个投标人每项评分因素的得分。</w:t>
      </w:r>
    </w:p>
    <w:p w14:paraId="2999F7D1">
      <w:pPr>
        <w:numPr>
          <w:ilvl w:val="2"/>
          <w:numId w:val="5"/>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评标过程的保密性</w:t>
      </w:r>
    </w:p>
    <w:p w14:paraId="553185B3">
      <w:pPr>
        <w:numPr>
          <w:ilvl w:val="0"/>
          <w:numId w:val="7"/>
        </w:numPr>
        <w:tabs>
          <w:tab w:val="left" w:pos="900"/>
          <w:tab w:val="left" w:pos="2160"/>
        </w:tabs>
        <w:spacing w:line="380" w:lineRule="exact"/>
        <w:ind w:left="1242" w:hanging="737"/>
        <w:rPr>
          <w:rFonts w:hint="eastAsia" w:ascii="宋体" w:hAnsi="宋体" w:cs="宋体"/>
          <w:color w:val="auto"/>
          <w:sz w:val="24"/>
          <w:highlight w:val="none"/>
        </w:rPr>
      </w:pPr>
      <w:r>
        <w:rPr>
          <w:rFonts w:hint="eastAsia" w:ascii="宋体" w:hAnsi="宋体" w:cs="宋体"/>
          <w:color w:val="auto"/>
          <w:sz w:val="24"/>
          <w:highlight w:val="none"/>
        </w:rPr>
        <w:t>公开开标后，直至向中标人授予合同时止，凡与审查、澄清、评价和比较投标有关的资料以及授标意见等，均不得向投标人及与评标无关的其他人透露。</w:t>
      </w:r>
    </w:p>
    <w:p w14:paraId="43C1605B">
      <w:pPr>
        <w:numPr>
          <w:ilvl w:val="0"/>
          <w:numId w:val="7"/>
        </w:numPr>
        <w:tabs>
          <w:tab w:val="left" w:pos="900"/>
          <w:tab w:val="left" w:pos="2160"/>
        </w:tabs>
        <w:spacing w:line="380" w:lineRule="exact"/>
        <w:ind w:left="1242" w:hanging="737"/>
        <w:rPr>
          <w:rFonts w:hint="eastAsia" w:ascii="宋体" w:hAnsi="宋体" w:cs="宋体"/>
          <w:color w:val="auto"/>
          <w:sz w:val="24"/>
          <w:highlight w:val="none"/>
        </w:rPr>
      </w:pPr>
      <w:r>
        <w:rPr>
          <w:rFonts w:hint="eastAsia" w:ascii="宋体" w:hAnsi="宋体" w:cs="宋体"/>
          <w:color w:val="auto"/>
          <w:sz w:val="24"/>
          <w:highlight w:val="none"/>
        </w:rPr>
        <w:t>在评标过程中，如果投标人试图在投标文件审查、澄清、比较及授予合同方面向采购人、评标委员会施加任何影响，其投标将被拒绝。</w:t>
      </w:r>
    </w:p>
    <w:p w14:paraId="5E63F663">
      <w:pPr>
        <w:numPr>
          <w:ilvl w:val="2"/>
          <w:numId w:val="5"/>
        </w:numPr>
        <w:tabs>
          <w:tab w:val="left" w:pos="360"/>
          <w:tab w:val="left" w:pos="780"/>
          <w:tab w:val="left" w:pos="840"/>
        </w:tabs>
        <w:spacing w:line="380" w:lineRule="exact"/>
        <w:ind w:left="840" w:hanging="480"/>
        <w:rPr>
          <w:rFonts w:hint="eastAsia" w:ascii="宋体" w:hAnsi="宋体" w:cs="宋体"/>
          <w:color w:val="auto"/>
          <w:sz w:val="24"/>
          <w:highlight w:val="none"/>
        </w:rPr>
      </w:pPr>
      <w:r>
        <w:rPr>
          <w:rFonts w:hint="eastAsia" w:ascii="宋体" w:hAnsi="宋体" w:cs="宋体"/>
          <w:color w:val="auto"/>
          <w:sz w:val="24"/>
          <w:highlight w:val="none"/>
        </w:rPr>
        <w:t>评标工作程序</w:t>
      </w:r>
    </w:p>
    <w:p w14:paraId="67A41A0A">
      <w:pPr>
        <w:numPr>
          <w:ilvl w:val="0"/>
          <w:numId w:val="8"/>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投标文件初审。</w:t>
      </w:r>
    </w:p>
    <w:p w14:paraId="4E21242E">
      <w:pPr>
        <w:tabs>
          <w:tab w:val="left" w:pos="560"/>
        </w:tabs>
        <w:spacing w:line="380" w:lineRule="exact"/>
        <w:ind w:left="420" w:leftChars="200" w:firstLine="556" w:firstLineChars="232"/>
        <w:rPr>
          <w:rFonts w:hint="eastAsia" w:ascii="宋体" w:hAnsi="宋体" w:cs="宋体"/>
          <w:color w:val="auto"/>
          <w:sz w:val="24"/>
          <w:highlight w:val="none"/>
        </w:rPr>
      </w:pPr>
      <w:r>
        <w:rPr>
          <w:rFonts w:hint="eastAsia" w:ascii="宋体" w:hAnsi="宋体" w:cs="宋体"/>
          <w:color w:val="auto"/>
          <w:sz w:val="24"/>
          <w:highlight w:val="none"/>
        </w:rPr>
        <w:t>符合性检查。依据招标文件的规定，从投标文件的有效性、完整性和对招标文件的响应程度进行审查，以确定是否对招标文件的实质性要求作出响应。若符合要求，则进入下一阶段评审；若不符合要求，则不得进入下一阶段评审。</w:t>
      </w:r>
    </w:p>
    <w:p w14:paraId="11EC4E48">
      <w:pPr>
        <w:spacing w:line="380" w:lineRule="exact"/>
        <w:ind w:left="840" w:leftChars="400"/>
        <w:rPr>
          <w:rFonts w:hint="eastAsia" w:ascii="宋体" w:hAnsi="宋体" w:cs="宋体"/>
          <w:color w:val="auto"/>
          <w:sz w:val="24"/>
          <w:highlight w:val="none"/>
        </w:rPr>
      </w:pPr>
      <w:r>
        <w:rPr>
          <w:rFonts w:hint="eastAsia" w:ascii="宋体" w:hAnsi="宋体" w:cs="宋体"/>
          <w:color w:val="auto"/>
          <w:sz w:val="24"/>
          <w:highlight w:val="none"/>
        </w:rPr>
        <w:t>投标文件应符合下列情况，否则在符合性检查时可按无效投标处理：</w:t>
      </w:r>
    </w:p>
    <w:p w14:paraId="6A2EEE15">
      <w:pPr>
        <w:numPr>
          <w:ilvl w:val="0"/>
          <w:numId w:val="9"/>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投标报价确定且不高于最高限价；</w:t>
      </w:r>
    </w:p>
    <w:p w14:paraId="79D50C6C">
      <w:pPr>
        <w:numPr>
          <w:ilvl w:val="0"/>
          <w:numId w:val="9"/>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按招标文件规定，有投标人盖章及其法定代表人（或法定代表人委托的投标授权代表）的签字或签章；</w:t>
      </w:r>
    </w:p>
    <w:p w14:paraId="77671A20">
      <w:pPr>
        <w:numPr>
          <w:ilvl w:val="0"/>
          <w:numId w:val="9"/>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投标文件完全满足招标文件中带“★”号的条款和指标，符合招标文件的其他要求，没有重大偏离；</w:t>
      </w:r>
    </w:p>
    <w:p w14:paraId="66912322">
      <w:pPr>
        <w:numPr>
          <w:ilvl w:val="0"/>
          <w:numId w:val="9"/>
        </w:numPr>
        <w:spacing w:line="380" w:lineRule="exact"/>
        <w:ind w:left="1701" w:hanging="283"/>
        <w:rPr>
          <w:rFonts w:hint="eastAsia" w:ascii="宋体" w:hAnsi="宋体" w:cs="宋体"/>
          <w:color w:val="auto"/>
          <w:sz w:val="24"/>
          <w:highlight w:val="none"/>
        </w:rPr>
      </w:pPr>
      <w:r>
        <w:rPr>
          <w:rFonts w:hint="eastAsia" w:ascii="宋体" w:hAnsi="宋体" w:cs="宋体"/>
          <w:color w:val="auto"/>
          <w:sz w:val="24"/>
          <w:highlight w:val="none"/>
        </w:rPr>
        <w:t>符合法律、法规和招标文件中规定的其他实质性要求：</w:t>
      </w:r>
    </w:p>
    <w:p w14:paraId="3FC0AE3B">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在参与项目所在地市的各级或以上招投标活动中未被列入不良行为记录名单并正处于处罚期内；</w:t>
      </w:r>
    </w:p>
    <w:p w14:paraId="3F4CB6B7">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投标文件未出现制作严重不符合要求，按要求提供重要的样板、物证或资料；</w:t>
      </w:r>
    </w:p>
    <w:p w14:paraId="537DC1F2">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未故意提供虚假材料谋取中标；</w:t>
      </w:r>
    </w:p>
    <w:p w14:paraId="4B071204">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未采取不正当手段诋毁、排斥其他投标人；</w:t>
      </w:r>
    </w:p>
    <w:p w14:paraId="058EAE19">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未在评标、定标过程中对采购人、评标委员会及其工作人员施加影响，有碍招标公平、公正；</w:t>
      </w:r>
    </w:p>
    <w:p w14:paraId="28214D13">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符合专业条件，对技术、商务要求能有效地作实质性响应，未出现重大偏离或保留；</w:t>
      </w:r>
    </w:p>
    <w:p w14:paraId="536BEC70">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评审期间按评委会要求提交经授权代表签字的澄清、说明、补正或调整补充部分未改变投标文件的实质性内容及修正报价未超出允许规定范围；</w:t>
      </w:r>
    </w:p>
    <w:p w14:paraId="437921AE">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 xml:space="preserve">未拒绝、对抗评委会所作的决定或合理要求； </w:t>
      </w:r>
    </w:p>
    <w:p w14:paraId="7EAD6B66">
      <w:pPr>
        <w:numPr>
          <w:ilvl w:val="0"/>
          <w:numId w:val="10"/>
        </w:numPr>
        <w:spacing w:line="380" w:lineRule="exact"/>
        <w:ind w:left="2121"/>
        <w:rPr>
          <w:rFonts w:hint="eastAsia" w:ascii="宋体" w:hAnsi="宋体" w:cs="宋体"/>
          <w:color w:val="auto"/>
          <w:sz w:val="24"/>
          <w:highlight w:val="none"/>
        </w:rPr>
      </w:pPr>
      <w:r>
        <w:rPr>
          <w:rFonts w:hint="eastAsia" w:ascii="宋体" w:hAnsi="宋体" w:cs="宋体"/>
          <w:color w:val="auto"/>
          <w:sz w:val="24"/>
          <w:highlight w:val="none"/>
        </w:rPr>
        <w:t>未出现按有关法律、法规、规章规定属于中标无效的及符合采购文件中载明会导致无效投标的其它规定和要求。</w:t>
      </w:r>
    </w:p>
    <w:p w14:paraId="34DB3BDA">
      <w:pPr>
        <w:numPr>
          <w:ilvl w:val="0"/>
          <w:numId w:val="8"/>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澄清有关问题。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除上述规定的情形之外，评标委员会在评审过程中，不得接收来自评审现场以外的任何形式的文件资料。除评标委员会主动要求澄清、说明或者纠正外，评标定标期间，任何投标人均不得就与其投标相关的任何问题与评标委员会联系。</w:t>
      </w:r>
    </w:p>
    <w:p w14:paraId="7B4A2EB3">
      <w:pPr>
        <w:numPr>
          <w:ilvl w:val="0"/>
          <w:numId w:val="8"/>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比较与评价。按照招标文件中规定的评标方法和标准，对符合性检查合格的投标文件进行商务和技术评估，综合比较与评价。综合评审法评分权重详见评标细则。</w:t>
      </w:r>
    </w:p>
    <w:p w14:paraId="3B1C28CB">
      <w:pPr>
        <w:numPr>
          <w:ilvl w:val="0"/>
          <w:numId w:val="8"/>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推荐中标候选人名单。综合评审法按评审后综合得分由高到低顺序排列。综合得分相同的，按投标报价由低到高排列。综合得分且投标报价相同的，按技术评分由高到低顺序排列。综合评分相同，且投标报价和技术评分均相同的，名次由评标委员会抽签决定。</w:t>
      </w:r>
    </w:p>
    <w:p w14:paraId="2CD551A6">
      <w:pPr>
        <w:numPr>
          <w:ilvl w:val="0"/>
          <w:numId w:val="8"/>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编写评审报告。</w:t>
      </w:r>
    </w:p>
    <w:p w14:paraId="39976127">
      <w:pPr>
        <w:numPr>
          <w:ilvl w:val="2"/>
          <w:numId w:val="5"/>
        </w:numPr>
        <w:tabs>
          <w:tab w:val="left" w:pos="-3600"/>
          <w:tab w:val="left" w:pos="720"/>
          <w:tab w:val="left" w:pos="780"/>
        </w:tabs>
        <w:spacing w:line="380" w:lineRule="exact"/>
        <w:ind w:left="1080" w:hanging="800"/>
        <w:rPr>
          <w:rFonts w:hint="eastAsia" w:ascii="宋体" w:hAnsi="宋体" w:cs="宋体"/>
          <w:color w:val="auto"/>
          <w:sz w:val="24"/>
          <w:highlight w:val="none"/>
        </w:rPr>
      </w:pPr>
      <w:r>
        <w:rPr>
          <w:rFonts w:hint="eastAsia" w:ascii="宋体" w:hAnsi="宋体" w:cs="宋体"/>
          <w:color w:val="auto"/>
          <w:sz w:val="24"/>
          <w:highlight w:val="none"/>
        </w:rPr>
        <w:t>废标的认定</w:t>
      </w:r>
    </w:p>
    <w:p w14:paraId="64AE5A6B">
      <w:pPr>
        <w:numPr>
          <w:ilvl w:val="0"/>
          <w:numId w:val="11"/>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符合专业条件的承包商或者对招标文件作实质响应的承包商不足三家的；</w:t>
      </w:r>
    </w:p>
    <w:p w14:paraId="35B23B39">
      <w:pPr>
        <w:numPr>
          <w:ilvl w:val="0"/>
          <w:numId w:val="11"/>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出现影响采购公正的违法、违规行为的；</w:t>
      </w:r>
    </w:p>
    <w:p w14:paraId="732D211A">
      <w:pPr>
        <w:numPr>
          <w:ilvl w:val="0"/>
          <w:numId w:val="11"/>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投标人的报价均超过了最高限额的；</w:t>
      </w:r>
    </w:p>
    <w:p w14:paraId="77432F8D">
      <w:pPr>
        <w:numPr>
          <w:ilvl w:val="0"/>
          <w:numId w:val="11"/>
        </w:numPr>
        <w:tabs>
          <w:tab w:val="left" w:pos="900"/>
          <w:tab w:val="left" w:pos="2160"/>
        </w:tabs>
        <w:spacing w:line="380" w:lineRule="exact"/>
        <w:ind w:left="1191" w:hanging="737"/>
        <w:rPr>
          <w:rFonts w:hint="eastAsia" w:ascii="宋体" w:hAnsi="宋体" w:cs="宋体"/>
          <w:color w:val="auto"/>
          <w:sz w:val="24"/>
          <w:highlight w:val="none"/>
        </w:rPr>
      </w:pPr>
      <w:r>
        <w:rPr>
          <w:rFonts w:hint="eastAsia" w:ascii="宋体" w:hAnsi="宋体" w:cs="宋体"/>
          <w:color w:val="auto"/>
          <w:sz w:val="24"/>
          <w:highlight w:val="none"/>
        </w:rPr>
        <w:t>因重大变故，采购任务取消的。</w:t>
      </w:r>
    </w:p>
    <w:p w14:paraId="789F4DAF">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定标</w:t>
      </w:r>
    </w:p>
    <w:p w14:paraId="34B0701A">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招标人确认评标委员会推荐的评标结果后，由招标人对中标候选人的资格和履约能力进行再次审查，凡发现中标候选人有下列情形之一的，将移交招投标监督管理部门依法处理：</w:t>
      </w:r>
    </w:p>
    <w:p w14:paraId="78EFEB9D">
      <w:pPr>
        <w:numPr>
          <w:ilvl w:val="2"/>
          <w:numId w:val="5"/>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提供虚假材料谋取中标的；</w:t>
      </w:r>
    </w:p>
    <w:p w14:paraId="6DDA0910">
      <w:pPr>
        <w:numPr>
          <w:ilvl w:val="2"/>
          <w:numId w:val="5"/>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采取不正当手段诋毁、排挤其他投标人的；</w:t>
      </w:r>
    </w:p>
    <w:p w14:paraId="31C6E304">
      <w:pPr>
        <w:numPr>
          <w:ilvl w:val="2"/>
          <w:numId w:val="5"/>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与招标人、其他投标人恶意串通的；</w:t>
      </w:r>
    </w:p>
    <w:p w14:paraId="3B042A9A">
      <w:pPr>
        <w:numPr>
          <w:ilvl w:val="2"/>
          <w:numId w:val="5"/>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向招标人行贿或者提供其他不正当利益的；</w:t>
      </w:r>
    </w:p>
    <w:p w14:paraId="1A82FB91">
      <w:pPr>
        <w:numPr>
          <w:ilvl w:val="2"/>
          <w:numId w:val="5"/>
        </w:numPr>
        <w:tabs>
          <w:tab w:val="left" w:pos="-3600"/>
          <w:tab w:val="left" w:pos="720"/>
          <w:tab w:val="left" w:pos="780"/>
        </w:tabs>
        <w:spacing w:line="380" w:lineRule="exact"/>
        <w:ind w:left="851" w:leftChars="200" w:hanging="431"/>
        <w:rPr>
          <w:rFonts w:hint="eastAsia" w:ascii="宋体" w:hAnsi="宋体" w:cs="宋体"/>
          <w:color w:val="auto"/>
          <w:sz w:val="24"/>
          <w:highlight w:val="none"/>
        </w:rPr>
      </w:pPr>
      <w:r>
        <w:rPr>
          <w:rFonts w:hint="eastAsia" w:ascii="宋体" w:hAnsi="宋体" w:cs="宋体"/>
          <w:color w:val="auto"/>
          <w:sz w:val="24"/>
          <w:highlight w:val="none"/>
        </w:rPr>
        <w:t>在招标过程中与</w:t>
      </w:r>
      <w:r>
        <w:rPr>
          <w:rFonts w:hint="eastAsia" w:ascii="宋体" w:hAnsi="宋体" w:cs="宋体"/>
          <w:color w:val="auto"/>
          <w:sz w:val="24"/>
          <w:highlight w:val="none"/>
          <w:lang w:eastAsia="zh-CN"/>
        </w:rPr>
        <w:t>招标</w:t>
      </w:r>
      <w:r>
        <w:rPr>
          <w:rFonts w:hint="eastAsia" w:ascii="宋体" w:hAnsi="宋体" w:cs="宋体"/>
          <w:color w:val="auto"/>
          <w:sz w:val="24"/>
          <w:highlight w:val="none"/>
        </w:rPr>
        <w:t>人进行协商谈判、不按照招标文件和中标人的投标文件订立合同，或者与招标人另行订立背离合同实质性内容的协议的；</w:t>
      </w:r>
    </w:p>
    <w:p w14:paraId="6A7BD233">
      <w:pPr>
        <w:numPr>
          <w:ilvl w:val="2"/>
          <w:numId w:val="5"/>
        </w:numPr>
        <w:tabs>
          <w:tab w:val="left" w:pos="-3600"/>
          <w:tab w:val="left" w:pos="720"/>
          <w:tab w:val="left" w:pos="780"/>
          <w:tab w:val="left" w:pos="1440"/>
        </w:tabs>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拒绝有关部门监督检查或者提供虚假情况的。</w:t>
      </w:r>
    </w:p>
    <w:p w14:paraId="5C18759F">
      <w:pPr>
        <w:numPr>
          <w:ilvl w:val="2"/>
          <w:numId w:val="5"/>
        </w:numPr>
        <w:spacing w:line="380" w:lineRule="exact"/>
        <w:ind w:left="1497" w:leftChars="200" w:hanging="1077"/>
        <w:rPr>
          <w:rFonts w:hint="eastAsia" w:ascii="宋体" w:hAnsi="宋体" w:cs="宋体"/>
          <w:color w:val="auto"/>
          <w:sz w:val="24"/>
          <w:highlight w:val="none"/>
        </w:rPr>
      </w:pPr>
      <w:r>
        <w:rPr>
          <w:rFonts w:hint="eastAsia" w:ascii="宋体" w:hAnsi="宋体" w:cs="宋体"/>
          <w:color w:val="auto"/>
          <w:sz w:val="24"/>
          <w:highlight w:val="none"/>
        </w:rPr>
        <w:t>投标人有前款1至6项情形之一的，中标无效。</w:t>
      </w:r>
    </w:p>
    <w:p w14:paraId="1A00AEA6">
      <w:pP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eastAsia="zh-TW"/>
        </w:rPr>
        <w:t>中标</w:t>
      </w:r>
      <w:r>
        <w:rPr>
          <w:rFonts w:hint="eastAsia" w:ascii="宋体" w:hAnsi="宋体" w:cs="宋体"/>
          <w:color w:val="auto"/>
          <w:sz w:val="24"/>
          <w:highlight w:val="none"/>
        </w:rPr>
        <w:t>供应商</w:t>
      </w:r>
      <w:r>
        <w:rPr>
          <w:rFonts w:hint="eastAsia" w:ascii="宋体" w:hAnsi="宋体" w:cs="宋体"/>
          <w:color w:val="auto"/>
          <w:sz w:val="24"/>
          <w:highlight w:val="none"/>
          <w:lang w:eastAsia="zh-TW"/>
        </w:rPr>
        <w:t>确定后</w:t>
      </w:r>
      <w:r>
        <w:rPr>
          <w:rFonts w:hint="eastAsia" w:ascii="宋体" w:hAnsi="宋体" w:cs="宋体"/>
          <w:color w:val="auto"/>
          <w:sz w:val="24"/>
          <w:highlight w:val="none"/>
        </w:rPr>
        <w:t>，招标人</w:t>
      </w:r>
      <w:r>
        <w:rPr>
          <w:rFonts w:hint="eastAsia" w:ascii="宋体" w:hAnsi="宋体" w:cs="宋体"/>
          <w:color w:val="auto"/>
          <w:sz w:val="24"/>
          <w:highlight w:val="none"/>
          <w:lang w:eastAsia="zh-TW"/>
        </w:rPr>
        <w:t>将在广州国企阳光采购信息发布平台(https://ygcg.gzggzy.cn/p92/index.html)和广州南沙资产经营集团有限公司网站(http//www.gnao.com.cn)</w:t>
      </w:r>
      <w:r>
        <w:rPr>
          <w:rFonts w:hint="eastAsia" w:ascii="宋体" w:hAnsi="宋体" w:cs="宋体"/>
          <w:color w:val="auto"/>
          <w:sz w:val="24"/>
          <w:highlight w:val="none"/>
        </w:rPr>
        <w:t>上发布</w:t>
      </w:r>
      <w:r>
        <w:rPr>
          <w:rFonts w:hint="eastAsia" w:ascii="宋体" w:hAnsi="宋体" w:cs="宋体"/>
          <w:color w:val="auto"/>
          <w:sz w:val="24"/>
          <w:highlight w:val="none"/>
          <w:lang w:eastAsia="zh-TW"/>
        </w:rPr>
        <w:t>中标</w:t>
      </w:r>
      <w:r>
        <w:rPr>
          <w:rFonts w:hint="eastAsia" w:ascii="宋体" w:hAnsi="宋体" w:cs="宋体"/>
          <w:color w:val="auto"/>
          <w:sz w:val="24"/>
          <w:highlight w:val="none"/>
        </w:rPr>
        <w:t>结果公告，公告期满后</w:t>
      </w:r>
      <w:r>
        <w:rPr>
          <w:rFonts w:hint="eastAsia" w:ascii="宋体" w:hAnsi="宋体" w:cs="宋体"/>
          <w:color w:val="auto"/>
          <w:sz w:val="24"/>
          <w:highlight w:val="none"/>
          <w:lang w:eastAsia="zh-TW"/>
        </w:rPr>
        <w:t>向中标</w:t>
      </w:r>
      <w:r>
        <w:rPr>
          <w:rFonts w:hint="eastAsia" w:ascii="宋体" w:hAnsi="宋体" w:cs="宋体"/>
          <w:color w:val="auto"/>
          <w:sz w:val="24"/>
          <w:highlight w:val="none"/>
        </w:rPr>
        <w:t>人</w:t>
      </w:r>
      <w:r>
        <w:rPr>
          <w:rFonts w:hint="eastAsia" w:ascii="宋体" w:hAnsi="宋体" w:cs="宋体"/>
          <w:color w:val="auto"/>
          <w:sz w:val="24"/>
          <w:highlight w:val="none"/>
          <w:lang w:eastAsia="zh-TW"/>
        </w:rPr>
        <w:t>发出《中标通知书》</w:t>
      </w:r>
      <w:r>
        <w:rPr>
          <w:rFonts w:hint="eastAsia" w:ascii="宋体" w:hAnsi="宋体" w:cs="宋体"/>
          <w:color w:val="auto"/>
          <w:sz w:val="24"/>
          <w:highlight w:val="none"/>
        </w:rPr>
        <w:t>，</w:t>
      </w:r>
      <w:r>
        <w:rPr>
          <w:rFonts w:hint="eastAsia" w:ascii="宋体" w:hAnsi="宋体" w:cs="宋体"/>
          <w:color w:val="auto"/>
          <w:sz w:val="24"/>
          <w:highlight w:val="none"/>
          <w:lang w:eastAsia="zh-TW"/>
        </w:rPr>
        <w:t>《中标通知书》对中标</w:t>
      </w:r>
      <w:r>
        <w:rPr>
          <w:rFonts w:hint="eastAsia" w:ascii="宋体" w:hAnsi="宋体" w:cs="宋体"/>
          <w:color w:val="auto"/>
          <w:sz w:val="24"/>
          <w:highlight w:val="none"/>
        </w:rPr>
        <w:t>供应商</w:t>
      </w:r>
      <w:r>
        <w:rPr>
          <w:rFonts w:hint="eastAsia" w:ascii="宋体" w:hAnsi="宋体" w:cs="宋体"/>
          <w:color w:val="auto"/>
          <w:sz w:val="24"/>
          <w:highlight w:val="none"/>
          <w:lang w:eastAsia="zh-TW"/>
        </w:rPr>
        <w:t>和</w:t>
      </w:r>
      <w:r>
        <w:rPr>
          <w:rFonts w:hint="eastAsia" w:ascii="宋体" w:hAnsi="宋体" w:cs="宋体"/>
          <w:color w:val="auto"/>
          <w:sz w:val="24"/>
          <w:highlight w:val="none"/>
        </w:rPr>
        <w:t>招标人</w:t>
      </w:r>
      <w:r>
        <w:rPr>
          <w:rFonts w:hint="eastAsia" w:ascii="宋体" w:hAnsi="宋体" w:cs="宋体"/>
          <w:color w:val="auto"/>
          <w:sz w:val="24"/>
          <w:highlight w:val="none"/>
          <w:lang w:eastAsia="zh-TW"/>
        </w:rPr>
        <w:t>具有同等法律效力。</w:t>
      </w:r>
      <w:r>
        <w:rPr>
          <w:rFonts w:hint="eastAsia" w:ascii="宋体" w:hAnsi="宋体" w:cs="宋体"/>
          <w:color w:val="auto"/>
          <w:sz w:val="24"/>
          <w:highlight w:val="none"/>
        </w:rPr>
        <w:t>中标人放弃中标的，应当依法承担法律责任。</w:t>
      </w:r>
    </w:p>
    <w:p w14:paraId="503BE64F">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bookmarkStart w:id="25" w:name="_Toc184442577"/>
      <w:r>
        <w:rPr>
          <w:rFonts w:hint="eastAsia" w:cs="宋体"/>
          <w:color w:val="auto"/>
          <w:sz w:val="24"/>
          <w:highlight w:val="none"/>
        </w:rPr>
        <w:t>签约</w:t>
      </w:r>
      <w:bookmarkEnd w:id="25"/>
    </w:p>
    <w:p w14:paraId="6BCF60B4">
      <w:pPr>
        <w:keepNext w:val="0"/>
        <w:keepLines w:val="0"/>
        <w:widowControl/>
        <w:numPr>
          <w:ilvl w:val="-1"/>
          <w:numId w:val="0"/>
        </w:numPr>
        <w:autoSpaceDE w:val="0"/>
        <w:autoSpaceDN w:val="0"/>
        <w:adjustRightInd w:val="0"/>
        <w:snapToGrid w:val="0"/>
        <w:spacing w:before="0" w:after="0" w:line="380" w:lineRule="exact"/>
        <w:ind w:left="11" w:right="32" w:firstLine="549" w:firstLineChars="0"/>
        <w:jc w:val="left"/>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采购人应当自《中标通知书》发出之日起</w:t>
      </w:r>
      <w:r>
        <w:rPr>
          <w:rFonts w:hint="eastAsia" w:ascii="宋体" w:hAnsi="宋体" w:cs="宋体"/>
          <w:b w:val="0"/>
          <w:bCs w:val="0"/>
          <w:color w:val="auto"/>
          <w:kern w:val="2"/>
          <w:sz w:val="24"/>
          <w:szCs w:val="24"/>
          <w:highlight w:val="none"/>
          <w:lang w:val="en-US" w:eastAsia="zh-CN" w:bidi="ar-SA"/>
        </w:rPr>
        <w:t>5</w:t>
      </w:r>
      <w:r>
        <w:rPr>
          <w:rFonts w:hint="eastAsia" w:ascii="宋体" w:hAnsi="宋体" w:eastAsia="宋体" w:cs="宋体"/>
          <w:b w:val="0"/>
          <w:bCs w:val="0"/>
          <w:color w:val="auto"/>
          <w:kern w:val="2"/>
          <w:sz w:val="24"/>
          <w:szCs w:val="24"/>
          <w:highlight w:val="none"/>
          <w:lang w:val="en-US" w:eastAsia="zh-CN" w:bidi="ar-SA"/>
        </w:rPr>
        <w:t>日内，按照招标文件和中标供应商投标文件的约定，与中标供应商签订合同。所签订的合同不得对招标文件和中标供应商投标文件作实质性修改。</w:t>
      </w:r>
    </w:p>
    <w:p w14:paraId="77F806F2">
      <w:pPr>
        <w:pStyle w:val="5"/>
        <w:keepLines w:val="0"/>
        <w:numPr>
          <w:ilvl w:val="1"/>
          <w:numId w:val="5"/>
        </w:numPr>
        <w:tabs>
          <w:tab w:val="left" w:pos="630"/>
          <w:tab w:val="left" w:pos="1981"/>
        </w:tabs>
        <w:adjustRightInd/>
        <w:spacing w:before="0" w:after="0" w:line="380" w:lineRule="exact"/>
        <w:ind w:left="630" w:hanging="630"/>
        <w:textAlignment w:val="auto"/>
        <w:rPr>
          <w:rFonts w:hint="eastAsia" w:cs="宋体"/>
          <w:color w:val="auto"/>
          <w:sz w:val="24"/>
          <w:highlight w:val="none"/>
        </w:rPr>
      </w:pPr>
      <w:r>
        <w:rPr>
          <w:rFonts w:hint="eastAsia" w:cs="宋体"/>
          <w:color w:val="auto"/>
          <w:sz w:val="24"/>
          <w:highlight w:val="none"/>
        </w:rPr>
        <w:t>投标费用说明</w:t>
      </w:r>
    </w:p>
    <w:p w14:paraId="10A1E2AD">
      <w:pPr>
        <w:autoSpaceDE w:val="0"/>
        <w:autoSpaceDN w:val="0"/>
        <w:adjustRightInd w:val="0"/>
        <w:snapToGrid w:val="0"/>
        <w:spacing w:line="380" w:lineRule="exact"/>
        <w:ind w:left="11" w:right="32" w:firstLine="549"/>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投标供应商应承担所有与准备和参加投标有关的费用。不论投标的结果如何，招标人均无义务和责任承担。</w:t>
      </w:r>
    </w:p>
    <w:p w14:paraId="0F53BA5F">
      <w:pPr>
        <w:pStyle w:val="22"/>
        <w:spacing w:line="360" w:lineRule="auto"/>
        <w:ind w:firstLine="480" w:firstLineChars="200"/>
        <w:jc w:val="right"/>
        <w:rPr>
          <w:rFonts w:hint="eastAsia" w:ascii="宋体" w:hAnsi="宋体" w:eastAsia="宋体" w:cs="宋体"/>
          <w:color w:val="auto"/>
          <w:highlight w:val="none"/>
        </w:rPr>
      </w:pPr>
    </w:p>
    <w:p w14:paraId="70A19E14">
      <w:pPr>
        <w:pStyle w:val="22"/>
        <w:spacing w:line="360" w:lineRule="auto"/>
        <w:ind w:firstLine="480" w:firstLineChars="200"/>
        <w:jc w:val="right"/>
        <w:rPr>
          <w:rFonts w:hint="eastAsia" w:ascii="宋体" w:hAnsi="宋体" w:eastAsia="宋体" w:cs="宋体"/>
          <w:color w:val="auto"/>
          <w:highlight w:val="none"/>
        </w:rPr>
      </w:pPr>
    </w:p>
    <w:p w14:paraId="39661288">
      <w:pPr>
        <w:pStyle w:val="22"/>
        <w:spacing w:line="360" w:lineRule="auto"/>
        <w:ind w:firstLine="480" w:firstLineChars="200"/>
        <w:jc w:val="right"/>
        <w:rPr>
          <w:rFonts w:hint="eastAsia" w:ascii="宋体" w:hAnsi="宋体" w:eastAsia="宋体" w:cs="宋体"/>
          <w:color w:val="auto"/>
          <w:highlight w:val="none"/>
        </w:rPr>
      </w:pPr>
    </w:p>
    <w:p w14:paraId="6340A029">
      <w:pPr>
        <w:pStyle w:val="22"/>
        <w:spacing w:line="360" w:lineRule="auto"/>
        <w:ind w:firstLine="480" w:firstLineChars="200"/>
        <w:jc w:val="right"/>
        <w:rPr>
          <w:rFonts w:hint="eastAsia" w:ascii="宋体" w:hAnsi="宋体" w:eastAsia="宋体" w:cs="宋体"/>
          <w:color w:val="auto"/>
          <w:highlight w:val="none"/>
        </w:rPr>
      </w:pPr>
    </w:p>
    <w:p w14:paraId="5DA950C6">
      <w:pPr>
        <w:pStyle w:val="22"/>
        <w:spacing w:line="360" w:lineRule="auto"/>
        <w:ind w:firstLine="480" w:firstLineChars="200"/>
        <w:jc w:val="right"/>
        <w:rPr>
          <w:rFonts w:hint="eastAsia" w:ascii="宋体" w:hAnsi="宋体" w:eastAsia="宋体" w:cs="宋体"/>
          <w:color w:val="auto"/>
          <w:highlight w:val="none"/>
        </w:rPr>
      </w:pPr>
    </w:p>
    <w:p w14:paraId="5AD8F887">
      <w:pPr>
        <w:pStyle w:val="22"/>
        <w:spacing w:line="360" w:lineRule="auto"/>
        <w:ind w:firstLine="480" w:firstLineChars="200"/>
        <w:jc w:val="right"/>
        <w:rPr>
          <w:rFonts w:hint="eastAsia" w:ascii="宋体" w:hAnsi="宋体" w:eastAsia="宋体" w:cs="宋体"/>
          <w:color w:val="auto"/>
          <w:highlight w:val="none"/>
        </w:rPr>
      </w:pPr>
    </w:p>
    <w:p w14:paraId="0871B05A">
      <w:pPr>
        <w:pStyle w:val="22"/>
        <w:spacing w:line="360" w:lineRule="auto"/>
        <w:ind w:firstLine="480" w:firstLineChars="200"/>
        <w:jc w:val="right"/>
        <w:rPr>
          <w:rFonts w:hint="eastAsia" w:ascii="宋体" w:hAnsi="宋体" w:eastAsia="宋体" w:cs="宋体"/>
          <w:color w:val="auto"/>
          <w:highlight w:val="none"/>
        </w:rPr>
      </w:pPr>
    </w:p>
    <w:p w14:paraId="5FC7420A">
      <w:pPr>
        <w:pStyle w:val="22"/>
        <w:spacing w:line="360" w:lineRule="auto"/>
        <w:ind w:firstLine="480" w:firstLineChars="200"/>
        <w:jc w:val="right"/>
        <w:rPr>
          <w:rFonts w:hint="eastAsia" w:ascii="宋体" w:hAnsi="宋体" w:eastAsia="宋体" w:cs="宋体"/>
          <w:color w:val="auto"/>
          <w:highlight w:val="none"/>
        </w:rPr>
      </w:pPr>
    </w:p>
    <w:p w14:paraId="5D193AC0">
      <w:pPr>
        <w:pStyle w:val="22"/>
        <w:spacing w:line="360" w:lineRule="auto"/>
        <w:ind w:firstLine="480" w:firstLineChars="200"/>
        <w:jc w:val="right"/>
        <w:rPr>
          <w:rFonts w:hint="eastAsia" w:ascii="宋体" w:hAnsi="宋体" w:eastAsia="宋体" w:cs="宋体"/>
          <w:color w:val="auto"/>
          <w:highlight w:val="none"/>
        </w:rPr>
      </w:pPr>
    </w:p>
    <w:p w14:paraId="368ED30B">
      <w:pPr>
        <w:pStyle w:val="22"/>
        <w:spacing w:line="360" w:lineRule="auto"/>
        <w:ind w:firstLine="480" w:firstLineChars="200"/>
        <w:jc w:val="right"/>
        <w:rPr>
          <w:rFonts w:hint="eastAsia" w:ascii="宋体" w:hAnsi="宋体" w:eastAsia="宋体" w:cs="宋体"/>
          <w:color w:val="auto"/>
          <w:highlight w:val="none"/>
        </w:rPr>
      </w:pPr>
    </w:p>
    <w:p w14:paraId="15C29DDA">
      <w:pPr>
        <w:pStyle w:val="22"/>
        <w:spacing w:line="360" w:lineRule="auto"/>
        <w:ind w:firstLine="480" w:firstLineChars="200"/>
        <w:jc w:val="right"/>
        <w:rPr>
          <w:rFonts w:hint="eastAsia" w:ascii="宋体" w:hAnsi="宋体" w:eastAsia="宋体" w:cs="宋体"/>
          <w:color w:val="auto"/>
          <w:highlight w:val="none"/>
        </w:rPr>
      </w:pPr>
    </w:p>
    <w:p w14:paraId="247F8F0D">
      <w:pPr>
        <w:pStyle w:val="22"/>
        <w:spacing w:line="360" w:lineRule="auto"/>
        <w:ind w:firstLine="480" w:firstLineChars="200"/>
        <w:jc w:val="right"/>
        <w:rPr>
          <w:rFonts w:hint="eastAsia" w:ascii="宋体" w:hAnsi="宋体" w:eastAsia="宋体" w:cs="宋体"/>
          <w:color w:val="auto"/>
          <w:highlight w:val="none"/>
        </w:rPr>
      </w:pPr>
    </w:p>
    <w:p w14:paraId="1A0EAFC3">
      <w:pPr>
        <w:pStyle w:val="22"/>
        <w:spacing w:line="360" w:lineRule="auto"/>
        <w:ind w:firstLine="480" w:firstLineChars="200"/>
        <w:jc w:val="right"/>
        <w:rPr>
          <w:rFonts w:hint="eastAsia" w:ascii="宋体" w:hAnsi="宋体" w:eastAsia="宋体" w:cs="宋体"/>
          <w:color w:val="auto"/>
          <w:highlight w:val="none"/>
        </w:rPr>
      </w:pPr>
    </w:p>
    <w:p w14:paraId="37E1F7AE">
      <w:pPr>
        <w:pStyle w:val="22"/>
        <w:spacing w:line="360" w:lineRule="auto"/>
        <w:ind w:firstLine="480" w:firstLineChars="200"/>
        <w:jc w:val="right"/>
        <w:rPr>
          <w:rFonts w:hint="eastAsia" w:ascii="宋体" w:hAnsi="宋体" w:eastAsia="宋体" w:cs="宋体"/>
          <w:color w:val="auto"/>
          <w:highlight w:val="none"/>
        </w:rPr>
      </w:pPr>
    </w:p>
    <w:p w14:paraId="4C470446">
      <w:pPr>
        <w:pStyle w:val="22"/>
        <w:spacing w:line="360" w:lineRule="auto"/>
        <w:ind w:firstLine="480" w:firstLineChars="200"/>
        <w:jc w:val="right"/>
        <w:rPr>
          <w:rFonts w:hint="eastAsia" w:ascii="宋体" w:hAnsi="宋体" w:eastAsia="宋体" w:cs="宋体"/>
          <w:color w:val="auto"/>
          <w:highlight w:val="none"/>
        </w:rPr>
      </w:pPr>
    </w:p>
    <w:p w14:paraId="0EDDB2AC">
      <w:pPr>
        <w:jc w:val="left"/>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br w:type="page"/>
      </w:r>
    </w:p>
    <w:p w14:paraId="4FF1B0AC">
      <w:pPr>
        <w:jc w:val="center"/>
        <w:rPr>
          <w:rFonts w:hint="eastAsia" w:ascii="宋体" w:hAnsi="宋体" w:eastAsia="宋体" w:cs="宋体"/>
          <w:b/>
          <w:bCs/>
          <w:color w:val="auto"/>
          <w:sz w:val="44"/>
          <w:szCs w:val="44"/>
          <w:highlight w:val="none"/>
          <w:lang w:eastAsia="zh-CN"/>
        </w:rPr>
      </w:pPr>
      <w:r>
        <w:rPr>
          <w:rFonts w:hint="eastAsia" w:ascii="宋体" w:hAnsi="宋体" w:cs="宋体"/>
          <w:b/>
          <w:bCs/>
          <w:color w:val="auto"/>
          <w:sz w:val="44"/>
          <w:szCs w:val="44"/>
          <w:highlight w:val="none"/>
        </w:rPr>
        <w:t>第</w:t>
      </w:r>
      <w:r>
        <w:rPr>
          <w:rFonts w:hint="eastAsia" w:ascii="宋体" w:hAnsi="宋体" w:cs="宋体"/>
          <w:b/>
          <w:bCs/>
          <w:color w:val="auto"/>
          <w:sz w:val="44"/>
          <w:szCs w:val="44"/>
          <w:highlight w:val="none"/>
          <w:lang w:val="en-US" w:eastAsia="zh-CN"/>
        </w:rPr>
        <w:t>二</w:t>
      </w:r>
      <w:r>
        <w:rPr>
          <w:rFonts w:hint="eastAsia" w:ascii="宋体" w:hAnsi="宋体" w:cs="宋体"/>
          <w:b/>
          <w:bCs/>
          <w:color w:val="auto"/>
          <w:sz w:val="44"/>
          <w:szCs w:val="44"/>
          <w:highlight w:val="none"/>
        </w:rPr>
        <w:t>章 用户需求书</w:t>
      </w:r>
    </w:p>
    <w:p w14:paraId="296E17FA">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p>
    <w:p w14:paraId="65973BBB">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投标人须对本项目为单位的服务进行整体响应，任何只对其中一部分内容进行的响应都被视为无效响应。</w:t>
      </w:r>
    </w:p>
    <w:p w14:paraId="2F6BD23C">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用户需求书中打“★ ”号条款为实质性条款，投标人如有任何一条负偏离则导致投标无效。</w:t>
      </w:r>
    </w:p>
    <w:p w14:paraId="1527982B">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用户需求书中打“▲ ”号条款为重要技术参数，不作为无效投标条款。</w:t>
      </w:r>
    </w:p>
    <w:p w14:paraId="25BAFDBD">
      <w:pPr>
        <w:spacing w:before="181" w:line="219" w:lineRule="auto"/>
        <w:ind w:left="492"/>
        <w:outlineLvl w:val="1"/>
        <w:rPr>
          <w:rFonts w:hint="eastAsia" w:ascii="宋体" w:hAnsi="宋体" w:eastAsia="宋体" w:cs="宋体"/>
          <w:b/>
          <w:color w:val="auto"/>
          <w:kern w:val="2"/>
          <w:sz w:val="24"/>
          <w:szCs w:val="22"/>
          <w:highlight w:val="none"/>
          <w:lang w:val="en-US" w:eastAsia="zh-CN" w:bidi="ar-SA"/>
        </w:rPr>
      </w:pPr>
      <w:bookmarkStart w:id="26" w:name="_Toc18058"/>
      <w:r>
        <w:rPr>
          <w:rFonts w:hint="eastAsia" w:ascii="宋体" w:hAnsi="宋体" w:eastAsia="宋体" w:cs="宋体"/>
          <w:b/>
          <w:color w:val="auto"/>
          <w:kern w:val="2"/>
          <w:sz w:val="24"/>
          <w:szCs w:val="22"/>
          <w:highlight w:val="none"/>
          <w:lang w:val="en-US" w:eastAsia="zh-CN" w:bidi="ar-SA"/>
        </w:rPr>
        <w:t>一、项目概况</w:t>
      </w:r>
      <w:bookmarkEnd w:id="26"/>
    </w:p>
    <w:p w14:paraId="02A0B74C">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（一）项目名称：</w:t>
      </w:r>
      <w:r>
        <w:rPr>
          <w:rFonts w:hint="eastAsia" w:ascii="宋体" w:hAnsi="宋体" w:cs="宋体"/>
          <w:color w:val="auto"/>
          <w:sz w:val="24"/>
          <w:szCs w:val="24"/>
          <w:highlight w:val="none"/>
          <w:lang w:eastAsia="zh-CN"/>
        </w:rPr>
        <w:t>2025年体育赛事后勤保障服务项目</w:t>
      </w:r>
    </w:p>
    <w:p w14:paraId="30EEEB71">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（二）项目地点：</w:t>
      </w:r>
      <w:r>
        <w:rPr>
          <w:rFonts w:hint="eastAsia" w:ascii="宋体" w:hAnsi="宋体" w:cs="宋体"/>
          <w:color w:val="auto"/>
          <w:sz w:val="24"/>
          <w:szCs w:val="24"/>
          <w:highlight w:val="none"/>
          <w:lang w:val="en-US" w:eastAsia="zh-CN"/>
        </w:rPr>
        <w:t>广州市</w:t>
      </w:r>
      <w:r>
        <w:rPr>
          <w:rFonts w:hint="eastAsia" w:ascii="宋体" w:hAnsi="宋体" w:eastAsia="宋体" w:cs="宋体"/>
          <w:color w:val="auto"/>
          <w:sz w:val="24"/>
          <w:szCs w:val="24"/>
          <w:highlight w:val="none"/>
        </w:rPr>
        <w:t>。</w:t>
      </w:r>
    </w:p>
    <w:p w14:paraId="5225A852">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 最高限价：</w:t>
      </w:r>
      <w:r>
        <w:rPr>
          <w:rFonts w:hint="eastAsia" w:ascii="宋体" w:hAnsi="宋体" w:cs="宋体"/>
          <w:color w:val="auto"/>
          <w:sz w:val="24"/>
          <w:szCs w:val="24"/>
          <w:highlight w:val="none"/>
          <w:lang w:eastAsia="zh-CN"/>
        </w:rPr>
        <w:t>人民币</w:t>
      </w:r>
      <w:r>
        <w:rPr>
          <w:rFonts w:hint="eastAsia" w:ascii="宋体" w:hAnsi="宋体" w:cs="宋体"/>
          <w:color w:val="auto"/>
          <w:sz w:val="24"/>
          <w:szCs w:val="24"/>
          <w:highlight w:val="none"/>
          <w:lang w:val="en-US" w:eastAsia="zh-CN"/>
        </w:rPr>
        <w:t>450,000</w:t>
      </w:r>
      <w:r>
        <w:rPr>
          <w:rFonts w:hint="eastAsia" w:ascii="宋体" w:hAnsi="宋体" w:cs="宋体"/>
          <w:color w:val="auto"/>
          <w:sz w:val="24"/>
          <w:szCs w:val="24"/>
          <w:highlight w:val="none"/>
          <w:lang w:eastAsia="zh-CN"/>
        </w:rPr>
        <w:t>。</w:t>
      </w:r>
    </w:p>
    <w:p w14:paraId="0E97825D">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 合同履行期限：</w:t>
      </w:r>
      <w:r>
        <w:rPr>
          <w:rFonts w:hint="eastAsia" w:ascii="宋体" w:hAnsi="宋体"/>
          <w:color w:val="auto"/>
          <w:sz w:val="24"/>
          <w:szCs w:val="24"/>
          <w:highlight w:val="none"/>
          <w:lang w:val="en-US" w:eastAsia="zh-CN"/>
        </w:rPr>
        <w:t>自</w:t>
      </w:r>
      <w:r>
        <w:rPr>
          <w:rFonts w:hint="eastAsia" w:ascii="宋体" w:hAnsi="宋体"/>
          <w:color w:val="auto"/>
          <w:sz w:val="24"/>
          <w:szCs w:val="24"/>
          <w:highlight w:val="none"/>
        </w:rPr>
        <w:t>“</w:t>
      </w:r>
      <w:r>
        <w:rPr>
          <w:rFonts w:hint="eastAsia" w:ascii="宋体" w:hAnsi="宋体"/>
          <w:color w:val="auto"/>
          <w:sz w:val="24"/>
          <w:szCs w:val="24"/>
          <w:highlight w:val="none"/>
          <w:lang w:eastAsia="zh-CN"/>
        </w:rPr>
        <w:t>2025年体育赛事后勤保障服务项目</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开始直至活动结束</w:t>
      </w:r>
      <w:r>
        <w:rPr>
          <w:rFonts w:hint="eastAsia" w:ascii="宋体" w:hAnsi="宋体" w:eastAsia="宋体" w:cs="宋体"/>
          <w:color w:val="auto"/>
          <w:sz w:val="24"/>
          <w:szCs w:val="24"/>
          <w:highlight w:val="none"/>
        </w:rPr>
        <w:t>。实际履行期限以双方签订合同为准</w:t>
      </w:r>
      <w:r>
        <w:rPr>
          <w:rFonts w:hint="eastAsia" w:ascii="宋体" w:hAnsi="宋体" w:cs="宋体"/>
          <w:color w:val="auto"/>
          <w:sz w:val="24"/>
          <w:szCs w:val="24"/>
          <w:highlight w:val="none"/>
          <w:lang w:eastAsia="zh-CN"/>
        </w:rPr>
        <w:t>。</w:t>
      </w:r>
    </w:p>
    <w:p w14:paraId="4D71296E">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 项目类别：</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类</w:t>
      </w:r>
    </w:p>
    <w:p w14:paraId="3E1374F6">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 招标内容：</w:t>
      </w:r>
    </w:p>
    <w:p w14:paraId="2A629AB6">
      <w:pPr>
        <w:autoSpaceDE w:val="0"/>
        <w:autoSpaceDN w:val="0"/>
        <w:adjustRightInd w:val="0"/>
        <w:snapToGrid w:val="0"/>
        <w:spacing w:line="380" w:lineRule="exact"/>
        <w:ind w:left="11" w:right="32" w:firstLine="54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2025年体育赛事后勤保障服务项目</w:t>
      </w:r>
      <w:r>
        <w:rPr>
          <w:rFonts w:hint="eastAsia" w:ascii="宋体" w:hAnsi="宋体" w:eastAsia="宋体" w:cs="宋体"/>
          <w:color w:val="auto"/>
          <w:sz w:val="24"/>
          <w:szCs w:val="24"/>
          <w:highlight w:val="none"/>
        </w:rPr>
        <w:t>”期间，</w:t>
      </w:r>
      <w:r>
        <w:rPr>
          <w:rFonts w:hint="eastAsia" w:ascii="宋体" w:hAnsi="宋体" w:cs="宋体"/>
          <w:color w:val="auto"/>
          <w:sz w:val="24"/>
          <w:szCs w:val="24"/>
          <w:highlight w:val="none"/>
          <w:lang w:val="en-US" w:eastAsia="zh-CN"/>
        </w:rPr>
        <w:t>提供</w:t>
      </w:r>
      <w:r>
        <w:rPr>
          <w:rFonts w:hint="eastAsia" w:ascii="宋体" w:hAnsi="宋体" w:cs="宋体"/>
          <w:sz w:val="24"/>
          <w:szCs w:val="24"/>
          <w:highlight w:val="none"/>
          <w:u w:val="single"/>
          <w:lang w:eastAsia="zh-CN"/>
        </w:rPr>
        <w:t>2025年体育赛事后勤保障服务项目</w:t>
      </w:r>
      <w:r>
        <w:rPr>
          <w:rFonts w:hint="eastAsia" w:ascii="宋体" w:hAnsi="宋体" w:cs="宋体"/>
          <w:sz w:val="24"/>
          <w:szCs w:val="24"/>
          <w:highlight w:val="none"/>
          <w:u w:val="single"/>
          <w:lang w:val="en-US" w:eastAsia="zh-CN"/>
        </w:rPr>
        <w:t>参赛期间的后勤保障服务，包括</w:t>
      </w:r>
      <w:r>
        <w:rPr>
          <w:rFonts w:hint="default" w:ascii="宋体" w:hAnsi="宋体"/>
          <w:color w:val="auto"/>
          <w:sz w:val="24"/>
          <w:szCs w:val="24"/>
          <w:highlight w:val="none"/>
          <w:lang w:val="en-US"/>
        </w:rPr>
        <w:t>伙食、住宿、</w:t>
      </w:r>
      <w:r>
        <w:rPr>
          <w:rFonts w:hint="eastAsia" w:ascii="宋体" w:hAnsi="宋体"/>
          <w:color w:val="auto"/>
          <w:sz w:val="24"/>
          <w:szCs w:val="24"/>
          <w:highlight w:val="none"/>
          <w:lang w:val="en-US" w:eastAsia="zh-CN"/>
        </w:rPr>
        <w:t>体检、保险、药品等</w:t>
      </w:r>
      <w:r>
        <w:rPr>
          <w:rFonts w:hint="eastAsia" w:ascii="宋体" w:hAnsi="宋体" w:eastAsia="宋体" w:cs="宋体"/>
          <w:color w:val="auto"/>
          <w:sz w:val="24"/>
          <w:szCs w:val="24"/>
          <w:highlight w:val="none"/>
        </w:rPr>
        <w:t>。</w:t>
      </w:r>
    </w:p>
    <w:p w14:paraId="01E041CB">
      <w:pPr>
        <w:spacing w:before="181" w:line="219" w:lineRule="auto"/>
        <w:ind w:firstLine="480" w:firstLineChars="200"/>
        <w:outlineLvl w:val="1"/>
        <w:rPr>
          <w:rFonts w:hint="eastAsia" w:ascii="宋体" w:hAnsi="宋体" w:cs="宋体"/>
          <w:b/>
          <w:color w:val="auto"/>
          <w:kern w:val="2"/>
          <w:sz w:val="24"/>
          <w:szCs w:val="22"/>
          <w:highlight w:val="none"/>
          <w:lang w:val="en-US" w:eastAsia="zh-CN" w:bidi="ar-SA"/>
        </w:rPr>
      </w:pPr>
      <w:r>
        <w:rPr>
          <w:rFonts w:hint="eastAsia" w:ascii="宋体" w:hAnsi="宋体" w:eastAsia="宋体" w:cs="宋体"/>
          <w:b/>
          <w:color w:val="auto"/>
          <w:kern w:val="2"/>
          <w:sz w:val="24"/>
          <w:szCs w:val="22"/>
          <w:highlight w:val="none"/>
          <w:lang w:val="en-US" w:eastAsia="zh-CN" w:bidi="ar-SA"/>
        </w:rPr>
        <w:t>二、</w:t>
      </w:r>
      <w:bookmarkStart w:id="27" w:name="_Toc9205"/>
      <w:r>
        <w:rPr>
          <w:rFonts w:hint="eastAsia" w:ascii="宋体" w:hAnsi="宋体" w:cs="宋体"/>
          <w:b/>
          <w:color w:val="auto"/>
          <w:kern w:val="2"/>
          <w:sz w:val="24"/>
          <w:szCs w:val="22"/>
          <w:highlight w:val="none"/>
          <w:lang w:val="en-US" w:eastAsia="zh-CN" w:bidi="ar-SA"/>
        </w:rPr>
        <w:t>项目主要内容</w:t>
      </w:r>
    </w:p>
    <w:p w14:paraId="42A3622E">
      <w:pPr>
        <w:spacing w:line="360" w:lineRule="auto"/>
        <w:ind w:firstLine="480" w:firstLineChars="200"/>
        <w:rPr>
          <w:rFonts w:ascii="宋体" w:hAnsi="宋体" w:cs="仿宋_GB2312"/>
          <w:bCs/>
          <w:sz w:val="24"/>
          <w:szCs w:val="24"/>
        </w:rPr>
      </w:pPr>
      <w:r>
        <w:rPr>
          <w:rFonts w:hint="eastAsia" w:ascii="宋体" w:hAnsi="宋体" w:cs="仿宋_GB2312"/>
          <w:bCs/>
          <w:sz w:val="24"/>
          <w:szCs w:val="24"/>
          <w:lang w:eastAsia="zh-CN"/>
        </w:rPr>
        <w:t>（</w:t>
      </w:r>
      <w:r>
        <w:rPr>
          <w:rFonts w:hint="eastAsia" w:ascii="宋体" w:hAnsi="宋体" w:cs="仿宋_GB2312"/>
          <w:bCs/>
          <w:sz w:val="24"/>
          <w:szCs w:val="24"/>
          <w:lang w:val="en-US" w:eastAsia="zh-CN"/>
        </w:rPr>
        <w:t>一</w:t>
      </w:r>
      <w:r>
        <w:rPr>
          <w:rFonts w:hint="eastAsia" w:ascii="宋体" w:hAnsi="宋体" w:cs="仿宋_GB2312"/>
          <w:bCs/>
          <w:sz w:val="24"/>
          <w:szCs w:val="24"/>
          <w:lang w:eastAsia="zh-CN"/>
        </w:rPr>
        <w:t>）</w:t>
      </w:r>
      <w:r>
        <w:rPr>
          <w:rFonts w:hint="eastAsia" w:ascii="宋体" w:hAnsi="宋体" w:cs="仿宋_GB2312"/>
          <w:bCs/>
          <w:sz w:val="24"/>
          <w:szCs w:val="24"/>
        </w:rPr>
        <w:t>工作内容：</w:t>
      </w:r>
    </w:p>
    <w:p w14:paraId="4C051967">
      <w:pPr>
        <w:autoSpaceDE w:val="0"/>
        <w:autoSpaceDN w:val="0"/>
        <w:spacing w:line="360" w:lineRule="auto"/>
        <w:ind w:firstLine="480" w:firstLineChars="200"/>
        <w:rPr>
          <w:rFonts w:hint="eastAsia" w:ascii="宋体" w:hAnsi="宋体" w:cs="仿宋_GB2312"/>
          <w:sz w:val="24"/>
          <w:szCs w:val="24"/>
        </w:rPr>
      </w:pPr>
      <w:r>
        <w:rPr>
          <w:rFonts w:hint="eastAsia" w:ascii="宋体" w:hAnsi="宋体" w:cs="仿宋_GB2312"/>
          <w:sz w:val="24"/>
          <w:szCs w:val="24"/>
        </w:rPr>
        <w:t>为“2025年青少年参加市级运动会”提供后勤保障服务，包括但不仅限于：</w:t>
      </w:r>
    </w:p>
    <w:p w14:paraId="2D3FD3BB">
      <w:pPr>
        <w:autoSpaceDE w:val="0"/>
        <w:autoSpaceDN w:val="0"/>
        <w:spacing w:line="360" w:lineRule="auto"/>
        <w:ind w:firstLine="480" w:firstLineChars="200"/>
        <w:rPr>
          <w:rFonts w:hint="eastAsia" w:ascii="宋体" w:hAnsi="宋体" w:cs="仿宋_GB2312"/>
          <w:sz w:val="24"/>
          <w:szCs w:val="24"/>
        </w:rPr>
      </w:pPr>
      <w:r>
        <w:rPr>
          <w:rFonts w:hint="eastAsia" w:ascii="宋体" w:hAnsi="宋体" w:cs="仿宋_GB2312"/>
          <w:sz w:val="24"/>
          <w:szCs w:val="24"/>
        </w:rPr>
        <w:t>须负责相关参赛人员住宿、伙食、保险、体检、医药品、能量补给等涉及的所有工作事项，具体包括：</w:t>
      </w:r>
    </w:p>
    <w:p w14:paraId="01DD5E40">
      <w:pPr>
        <w:autoSpaceDE w:val="0"/>
        <w:autoSpaceDN w:val="0"/>
        <w:spacing w:line="360" w:lineRule="auto"/>
        <w:ind w:firstLine="480" w:firstLineChars="200"/>
        <w:rPr>
          <w:rFonts w:hint="eastAsia" w:ascii="宋体" w:hAnsi="宋体" w:cs="仿宋_GB2312"/>
          <w:sz w:val="24"/>
          <w:szCs w:val="24"/>
        </w:rPr>
      </w:pPr>
      <w:r>
        <w:rPr>
          <w:rFonts w:hint="eastAsia" w:ascii="宋体" w:hAnsi="宋体" w:eastAsia="宋体" w:cs="宋体"/>
          <w:b/>
          <w:color w:val="auto"/>
          <w:kern w:val="2"/>
          <w:sz w:val="24"/>
          <w:szCs w:val="22"/>
          <w:highlight w:val="none"/>
          <w:lang w:val="en-US" w:eastAsia="zh-CN" w:bidi="ar-SA"/>
        </w:rPr>
        <w:t>★</w:t>
      </w:r>
      <w:r>
        <w:rPr>
          <w:rFonts w:hint="eastAsia" w:ascii="宋体" w:hAnsi="宋体" w:cs="仿宋_GB2312"/>
          <w:sz w:val="24"/>
          <w:szCs w:val="24"/>
        </w:rPr>
        <w:t>1、安排落实部分参赛项目运动员、教练员、领队等工作人员因参赛所需的住宿，提供足够数量的、符合标准的住宿房间，协调解决相关的住宿服务；</w:t>
      </w:r>
    </w:p>
    <w:p w14:paraId="7A85AF36">
      <w:pPr>
        <w:autoSpaceDE w:val="0"/>
        <w:autoSpaceDN w:val="0"/>
        <w:spacing w:line="360" w:lineRule="auto"/>
        <w:ind w:firstLine="480" w:firstLineChars="200"/>
        <w:rPr>
          <w:rFonts w:hint="eastAsia" w:ascii="宋体" w:hAnsi="宋体" w:cs="仿宋_GB2312"/>
          <w:sz w:val="24"/>
          <w:szCs w:val="24"/>
        </w:rPr>
      </w:pPr>
      <w:r>
        <w:rPr>
          <w:rFonts w:hint="eastAsia" w:ascii="宋体" w:hAnsi="宋体" w:eastAsia="宋体" w:cs="宋体"/>
          <w:b/>
          <w:color w:val="auto"/>
          <w:kern w:val="2"/>
          <w:sz w:val="24"/>
          <w:szCs w:val="22"/>
          <w:highlight w:val="none"/>
          <w:lang w:val="en-US" w:eastAsia="zh-CN" w:bidi="ar-SA"/>
        </w:rPr>
        <w:t>★</w:t>
      </w:r>
      <w:r>
        <w:rPr>
          <w:rFonts w:hint="eastAsia" w:ascii="宋体" w:hAnsi="宋体" w:cs="仿宋_GB2312"/>
          <w:sz w:val="24"/>
          <w:szCs w:val="24"/>
        </w:rPr>
        <w:t>2、安排落实参赛运动员、教练员、领队等工作人员因参赛所需的伙食，提供足够数量的、符合标准的食物，协调解决相关的餐饮服务；</w:t>
      </w:r>
    </w:p>
    <w:p w14:paraId="5E94D0EB">
      <w:pPr>
        <w:numPr>
          <w:ilvl w:val="-1"/>
          <w:numId w:val="0"/>
        </w:numPr>
        <w:autoSpaceDE w:val="0"/>
        <w:autoSpaceDN w:val="0"/>
        <w:spacing w:line="360" w:lineRule="auto"/>
        <w:ind w:firstLine="480" w:firstLineChars="200"/>
        <w:rPr>
          <w:rFonts w:hint="eastAsia" w:ascii="宋体" w:hAnsi="宋体" w:cs="仿宋_GB2312"/>
          <w:sz w:val="24"/>
          <w:szCs w:val="24"/>
        </w:rPr>
      </w:pPr>
      <w:r>
        <w:rPr>
          <w:rFonts w:hint="eastAsia" w:ascii="宋体" w:hAnsi="宋体" w:eastAsia="宋体" w:cs="宋体"/>
          <w:b/>
          <w:color w:val="auto"/>
          <w:kern w:val="2"/>
          <w:sz w:val="24"/>
          <w:szCs w:val="22"/>
          <w:highlight w:val="none"/>
          <w:lang w:val="en-US" w:eastAsia="zh-CN" w:bidi="ar-SA"/>
        </w:rPr>
        <w:t>★</w:t>
      </w:r>
      <w:r>
        <w:rPr>
          <w:rFonts w:hint="eastAsia" w:ascii="宋体" w:hAnsi="宋体" w:cs="仿宋_GB2312"/>
          <w:sz w:val="24"/>
          <w:szCs w:val="24"/>
          <w:lang w:val="en-US" w:eastAsia="zh-CN"/>
        </w:rPr>
        <w:t>3、</w:t>
      </w:r>
      <w:r>
        <w:rPr>
          <w:rFonts w:hint="eastAsia" w:ascii="宋体" w:hAnsi="宋体" w:cs="仿宋_GB2312"/>
          <w:sz w:val="24"/>
          <w:szCs w:val="24"/>
        </w:rPr>
        <w:t>组织落实运动员比赛保险、体检，办理保险理赔等相关事宜；</w:t>
      </w:r>
    </w:p>
    <w:p w14:paraId="01DDB71D">
      <w:pPr>
        <w:numPr>
          <w:ilvl w:val="-1"/>
          <w:numId w:val="0"/>
        </w:numPr>
        <w:autoSpaceDE w:val="0"/>
        <w:autoSpaceDN w:val="0"/>
        <w:spacing w:line="360" w:lineRule="auto"/>
        <w:ind w:firstLine="480" w:firstLineChars="200"/>
        <w:rPr>
          <w:rFonts w:hint="eastAsia" w:ascii="宋体" w:hAnsi="宋体" w:cs="仿宋_GB2312"/>
          <w:sz w:val="24"/>
          <w:szCs w:val="24"/>
        </w:rPr>
      </w:pPr>
      <w:r>
        <w:rPr>
          <w:rFonts w:hint="eastAsia" w:ascii="宋体" w:hAnsi="宋体" w:eastAsia="宋体" w:cs="宋体"/>
          <w:b/>
          <w:color w:val="auto"/>
          <w:kern w:val="2"/>
          <w:sz w:val="24"/>
          <w:szCs w:val="22"/>
          <w:highlight w:val="none"/>
          <w:lang w:val="en-US" w:eastAsia="zh-CN" w:bidi="ar-SA"/>
        </w:rPr>
        <w:t>★</w:t>
      </w:r>
      <w:r>
        <w:rPr>
          <w:rFonts w:hint="eastAsia" w:ascii="宋体" w:hAnsi="宋体" w:cs="仿宋_GB2312"/>
          <w:sz w:val="24"/>
          <w:szCs w:val="24"/>
          <w:lang w:val="en-US" w:eastAsia="zh-CN"/>
        </w:rPr>
        <w:t>4、</w:t>
      </w:r>
      <w:r>
        <w:rPr>
          <w:rFonts w:hint="eastAsia" w:ascii="宋体" w:hAnsi="宋体" w:cs="仿宋_GB2312"/>
          <w:sz w:val="24"/>
          <w:szCs w:val="24"/>
        </w:rPr>
        <w:t>购买落实参赛所需的应急医药品、能量补给品(包括但不限于葡萄糖、氨基酸、巧克力、香蕉、功能饮料等)，确保产品数量、质量符合参赛及安全要求；</w:t>
      </w:r>
    </w:p>
    <w:p w14:paraId="227C5F69">
      <w:pPr>
        <w:numPr>
          <w:ilvl w:val="-1"/>
          <w:numId w:val="0"/>
        </w:numPr>
        <w:autoSpaceDE w:val="0"/>
        <w:autoSpaceDN w:val="0"/>
        <w:spacing w:line="360" w:lineRule="auto"/>
        <w:ind w:firstLine="480" w:firstLineChars="200"/>
        <w:rPr>
          <w:rFonts w:hint="eastAsia" w:ascii="宋体" w:hAnsi="宋体" w:cs="仿宋_GB2312"/>
          <w:sz w:val="24"/>
          <w:szCs w:val="24"/>
        </w:rPr>
      </w:pPr>
      <w:r>
        <w:rPr>
          <w:rFonts w:hint="eastAsia" w:ascii="宋体" w:hAnsi="宋体" w:eastAsia="宋体" w:cs="宋体"/>
          <w:b/>
          <w:color w:val="auto"/>
          <w:kern w:val="2"/>
          <w:sz w:val="24"/>
          <w:szCs w:val="22"/>
          <w:highlight w:val="none"/>
          <w:lang w:val="en-US" w:eastAsia="zh-CN" w:bidi="ar-SA"/>
        </w:rPr>
        <w:t>★</w:t>
      </w:r>
      <w:r>
        <w:rPr>
          <w:rFonts w:hint="eastAsia" w:ascii="宋体" w:hAnsi="宋体" w:cs="仿宋_GB2312"/>
          <w:sz w:val="24"/>
          <w:szCs w:val="24"/>
        </w:rPr>
        <w:t>5、购买保险：必须为参赛运动员购买人身意外险。</w:t>
      </w:r>
    </w:p>
    <w:p w14:paraId="05BBF4BC">
      <w:pPr>
        <w:numPr>
          <w:ilvl w:val="-1"/>
          <w:numId w:val="0"/>
        </w:numPr>
        <w:autoSpaceDE w:val="0"/>
        <w:autoSpaceDN w:val="0"/>
        <w:spacing w:line="360" w:lineRule="auto"/>
        <w:ind w:firstLine="480" w:firstLineChars="200"/>
        <w:rPr>
          <w:rFonts w:hint="eastAsia" w:ascii="宋体" w:hAnsi="宋体" w:cs="仿宋_GB2312"/>
          <w:sz w:val="24"/>
          <w:szCs w:val="24"/>
        </w:rPr>
      </w:pPr>
      <w:r>
        <w:rPr>
          <w:rFonts w:hint="eastAsia" w:ascii="宋体" w:hAnsi="宋体" w:eastAsia="宋体" w:cs="宋体"/>
          <w:b/>
          <w:color w:val="auto"/>
          <w:kern w:val="2"/>
          <w:sz w:val="24"/>
          <w:szCs w:val="22"/>
          <w:highlight w:val="none"/>
          <w:lang w:val="en-US" w:eastAsia="zh-CN" w:bidi="ar-SA"/>
        </w:rPr>
        <w:t>★</w:t>
      </w:r>
      <w:r>
        <w:rPr>
          <w:rFonts w:hint="eastAsia" w:ascii="宋体" w:hAnsi="宋体" w:cs="仿宋_GB2312"/>
          <w:sz w:val="24"/>
          <w:szCs w:val="24"/>
        </w:rPr>
        <w:t>6、安排落实参赛运动员、教练员、领队等工作人员因参赛所需其他不可预计的工作事项。</w:t>
      </w:r>
    </w:p>
    <w:p w14:paraId="7D8AED08">
      <w:pPr>
        <w:numPr>
          <w:ilvl w:val="-1"/>
          <w:numId w:val="0"/>
        </w:numPr>
        <w:autoSpaceDE w:val="0"/>
        <w:autoSpaceDN w:val="0"/>
        <w:spacing w:line="360" w:lineRule="auto"/>
        <w:ind w:firstLine="480" w:firstLineChars="200"/>
        <w:rPr>
          <w:rFonts w:hint="eastAsia" w:ascii="宋体" w:hAnsi="宋体" w:cs="仿宋_GB2312"/>
          <w:sz w:val="24"/>
          <w:szCs w:val="24"/>
        </w:rPr>
      </w:pPr>
      <w:r>
        <w:rPr>
          <w:rFonts w:hint="eastAsia" w:ascii="宋体" w:hAnsi="宋体" w:eastAsia="宋体" w:cs="宋体"/>
          <w:b/>
          <w:color w:val="auto"/>
          <w:kern w:val="2"/>
          <w:sz w:val="24"/>
          <w:szCs w:val="22"/>
          <w:highlight w:val="none"/>
          <w:lang w:val="en-US" w:eastAsia="zh-CN" w:bidi="ar-SA"/>
        </w:rPr>
        <w:t>★</w:t>
      </w:r>
      <w:r>
        <w:rPr>
          <w:rFonts w:hint="eastAsia" w:ascii="宋体" w:hAnsi="宋体" w:cs="仿宋_GB2312"/>
          <w:sz w:val="24"/>
          <w:szCs w:val="24"/>
        </w:rPr>
        <w:t>7、赛前体检：成交供应商负责为参赛运动员做基本的身体健康体检，检查结果须提交体检资料给赛事组委会，保证参赛队伍顺利参赛。</w:t>
      </w:r>
    </w:p>
    <w:p w14:paraId="04C56419">
      <w:pPr>
        <w:autoSpaceDE w:val="0"/>
        <w:autoSpaceDN w:val="0"/>
        <w:spacing w:line="360" w:lineRule="auto"/>
        <w:ind w:firstLine="480" w:firstLineChars="200"/>
        <w:rPr>
          <w:rFonts w:ascii="宋体" w:hAnsi="宋体" w:cs="仿宋_GB2312"/>
          <w:color w:val="000000"/>
          <w:sz w:val="24"/>
          <w:szCs w:val="24"/>
        </w:rPr>
      </w:pPr>
      <w:r>
        <w:rPr>
          <w:rFonts w:hint="eastAsia" w:ascii="宋体" w:hAnsi="宋体" w:cs="仿宋_GB2312"/>
          <w:sz w:val="24"/>
          <w:szCs w:val="24"/>
          <w:lang w:eastAsia="zh-CN"/>
        </w:rPr>
        <w:t>（</w:t>
      </w:r>
      <w:r>
        <w:rPr>
          <w:rFonts w:hint="eastAsia" w:ascii="宋体" w:hAnsi="宋体" w:cs="仿宋_GB2312"/>
          <w:sz w:val="24"/>
          <w:szCs w:val="24"/>
          <w:lang w:val="en-US" w:eastAsia="zh-CN"/>
        </w:rPr>
        <w:t>二</w:t>
      </w:r>
      <w:r>
        <w:rPr>
          <w:rFonts w:hint="eastAsia" w:ascii="宋体" w:hAnsi="宋体" w:cs="仿宋_GB2312"/>
          <w:sz w:val="24"/>
          <w:szCs w:val="24"/>
          <w:lang w:eastAsia="zh-CN"/>
        </w:rPr>
        <w:t>）</w:t>
      </w:r>
      <w:r>
        <w:rPr>
          <w:rFonts w:hint="eastAsia" w:ascii="宋体" w:hAnsi="宋体" w:cs="仿宋_GB2312"/>
          <w:color w:val="000000"/>
          <w:sz w:val="24"/>
          <w:szCs w:val="24"/>
        </w:rPr>
        <w:t>服务工作标准</w:t>
      </w:r>
    </w:p>
    <w:p w14:paraId="44B446E0">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kern w:val="2"/>
          <w:sz w:val="24"/>
          <w:szCs w:val="24"/>
          <w:lang w:val="en-US" w:eastAsia="zh-CN" w:bidi="ar-SA"/>
        </w:rPr>
        <w:t>1、</w:t>
      </w:r>
      <w:r>
        <w:rPr>
          <w:rFonts w:hint="eastAsia" w:ascii="宋体" w:hAnsi="宋体" w:eastAsia="宋体" w:cs="仿宋_GB2312"/>
          <w:color w:val="auto"/>
          <w:kern w:val="2"/>
          <w:sz w:val="24"/>
          <w:szCs w:val="24"/>
          <w:highlight w:val="none"/>
          <w:lang w:val="en-US" w:eastAsia="zh-CN" w:bidi="ar-SA"/>
        </w:rPr>
        <w:t xml:space="preserve">成交供应商需委派专人负责跟进本次项目全过程，包括跟进就餐、安排住宿等一切事宜。成交供应商还应指派不少于1名工作人员独立跟进单个项目，跟进各项比赛的参赛后勤保障服务，确保服务落实到位； </w:t>
      </w:r>
    </w:p>
    <w:p w14:paraId="63A32DEA">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kern w:val="2"/>
          <w:sz w:val="24"/>
          <w:szCs w:val="24"/>
          <w:lang w:val="en-US" w:eastAsia="zh-CN" w:bidi="ar-SA"/>
        </w:rPr>
        <w:t>2、</w:t>
      </w:r>
      <w:r>
        <w:rPr>
          <w:rFonts w:hint="eastAsia" w:ascii="宋体" w:hAnsi="宋体" w:eastAsia="宋体" w:cs="仿宋_GB2312"/>
          <w:color w:val="auto"/>
          <w:kern w:val="2"/>
          <w:sz w:val="24"/>
          <w:szCs w:val="24"/>
          <w:highlight w:val="none"/>
          <w:lang w:val="en-US" w:eastAsia="zh-CN" w:bidi="ar-SA"/>
        </w:rPr>
        <w:t>若比赛中涉及住宿的，其伙食费应包含一日三餐。住宿标准要求：标准双人间，空调房。两位人员同性别的为一个房间，如出现单数或单男、单女情况，需保证其各自有独立房间。餐食及酒店须经采购人同意后方可预定；</w:t>
      </w:r>
    </w:p>
    <w:p w14:paraId="229F6D12">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kern w:val="2"/>
          <w:sz w:val="24"/>
          <w:szCs w:val="24"/>
          <w:lang w:val="en-US" w:eastAsia="zh-CN" w:bidi="ar-SA"/>
        </w:rPr>
        <w:t>3、</w:t>
      </w:r>
      <w:r>
        <w:rPr>
          <w:rFonts w:hint="eastAsia" w:ascii="宋体" w:hAnsi="宋体" w:eastAsia="宋体" w:cs="仿宋_GB2312"/>
          <w:color w:val="auto"/>
          <w:kern w:val="2"/>
          <w:sz w:val="24"/>
          <w:szCs w:val="24"/>
          <w:highlight w:val="none"/>
          <w:lang w:val="en-US" w:eastAsia="zh-CN" w:bidi="ar-SA"/>
        </w:rPr>
        <w:t xml:space="preserve">若比赛中涉及用餐的，应优先选择住宿酒店自有自助餐。餐食标准不得低于以下标准： 早餐选择种类应包括但不限于鸡蛋、牛奶、粥、粉、面等； 午餐标准应为二菜二肉一汤； 晚餐要求安排围餐或自助餐； 三餐应不限量，以满足参赛运动员在剧烈运动过后的用餐需求； </w:t>
      </w:r>
    </w:p>
    <w:p w14:paraId="78FEE772">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4、成交供应商提供的各项参赛后勤保障服务，均须在事前与采购人充分洽谈，无条件配合采购人的各项工作安排；</w:t>
      </w:r>
    </w:p>
    <w:p w14:paraId="483332A0">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 xml:space="preserve">5、成交供应商须承诺在服务期间，如因赛程调整或突发情况，导致新增运动项目，采购人不另行支付任何费用，成交供应商不得拒绝提供服务。 </w:t>
      </w:r>
    </w:p>
    <w:p w14:paraId="6A080115">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 xml:space="preserve">6、成交供应商拒绝完成或降低质量完成参赛后勤保障服务的，采购人有权终止合同，一切后果由成交供应商自行承担； </w:t>
      </w:r>
    </w:p>
    <w:p w14:paraId="631BC319">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7、成交供应商不得以任何形式转包或分包本项目。</w:t>
      </w:r>
    </w:p>
    <w:p w14:paraId="1C865A34">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 xml:space="preserve">8、投标人的报价中应包含本项目合同实施过程中的可预见和不可预见的全部费用。 </w:t>
      </w:r>
    </w:p>
    <w:p w14:paraId="3CB28101">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9、部分项目因赛制需要，需要提前集训或比赛。如成交供应商中标时部分集训或比赛如已提前进行，成交供应商需支付此部分已使用的资金。</w:t>
      </w:r>
    </w:p>
    <w:p w14:paraId="38C4A32D">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10.投标报价为最高报价，活动项目结束后具体根据实际服务的赛事进行结算，以人民币为结算单位，包括完成本项目全部服务内容所产生的所有费用，以及其他必要的伴随服务、全额含税发票、劳务费用、合同实施过程中应预见和不可预见费用等。</w:t>
      </w:r>
    </w:p>
    <w:p w14:paraId="65B4CACC">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11、若因政府各级部门根据实际情况对活动作出调整、暂停或取消的决定，成交供应商须按政府各级部门的相关要求执行，同时须无条件接受本次活动调整、暂停或取消。</w:t>
      </w:r>
    </w:p>
    <w:p w14:paraId="11A8AAB6">
      <w:pPr>
        <w:numPr>
          <w:ilvl w:val="-1"/>
          <w:numId w:val="0"/>
        </w:numPr>
        <w:autoSpaceDE w:val="0"/>
        <w:autoSpaceDN w:val="0"/>
        <w:spacing w:line="360" w:lineRule="auto"/>
        <w:ind w:firstLine="480" w:firstLineChars="200"/>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仿宋_GB2312"/>
          <w:color w:val="auto"/>
          <w:kern w:val="2"/>
          <w:sz w:val="24"/>
          <w:szCs w:val="24"/>
          <w:highlight w:val="none"/>
          <w:lang w:val="en-US" w:eastAsia="zh-CN" w:bidi="ar-SA"/>
        </w:rPr>
        <w:t>12.成交供应商应在本项目服务期内派驻不少于两位工作人员在采购人指定地点驻点办公，配合采购人做好参加2025年体育赛事后勤保障服务工作。</w:t>
      </w:r>
    </w:p>
    <w:p w14:paraId="601C2F47">
      <w:pPr>
        <w:numPr>
          <w:ilvl w:val="0"/>
          <w:numId w:val="0"/>
        </w:numPr>
        <w:autoSpaceDE w:val="0"/>
        <w:autoSpaceDN w:val="0"/>
        <w:spacing w:line="240" w:lineRule="auto"/>
        <w:jc w:val="center"/>
        <w:rPr>
          <w:rFonts w:hint="default" w:ascii="宋体" w:hAnsi="宋体" w:cs="宋体"/>
          <w:b/>
          <w:color w:val="auto"/>
          <w:kern w:val="2"/>
          <w:sz w:val="24"/>
          <w:szCs w:val="22"/>
          <w:highlight w:val="none"/>
          <w:lang w:val="en-US" w:eastAsia="zh-CN" w:bidi="ar-SA"/>
        </w:rPr>
      </w:pPr>
    </w:p>
    <w:p w14:paraId="2FC9036C">
      <w:pPr>
        <w:spacing w:before="181" w:line="219" w:lineRule="auto"/>
        <w:ind w:firstLine="480" w:firstLineChars="200"/>
        <w:outlineLvl w:val="1"/>
        <w:rPr>
          <w:rFonts w:hint="eastAsia" w:ascii="宋体" w:hAnsi="宋体" w:eastAsia="宋体" w:cs="宋体"/>
          <w:b/>
          <w:color w:val="auto"/>
          <w:kern w:val="2"/>
          <w:sz w:val="24"/>
          <w:szCs w:val="22"/>
          <w:highlight w:val="none"/>
          <w:lang w:val="en-US" w:eastAsia="zh-CN" w:bidi="ar-SA"/>
        </w:rPr>
      </w:pPr>
      <w:r>
        <w:rPr>
          <w:rFonts w:hint="eastAsia" w:ascii="宋体" w:hAnsi="宋体" w:eastAsia="宋体" w:cs="宋体"/>
          <w:b/>
          <w:color w:val="auto"/>
          <w:kern w:val="2"/>
          <w:sz w:val="24"/>
          <w:szCs w:val="22"/>
          <w:highlight w:val="none"/>
          <w:lang w:val="en-US" w:eastAsia="zh-CN" w:bidi="ar-SA"/>
        </w:rPr>
        <w:t>三、付款方式：</w:t>
      </w:r>
      <w:bookmarkEnd w:id="27"/>
    </w:p>
    <w:p w14:paraId="17CC9CE0">
      <w:pPr>
        <w:numPr>
          <w:ilvl w:val="0"/>
          <w:numId w:val="0"/>
        </w:numPr>
        <w:spacing w:before="180" w:line="360" w:lineRule="auto"/>
        <w:ind w:firstLine="472" w:firstLineChars="200"/>
        <w:outlineLvl w:val="2"/>
        <w:rPr>
          <w:rFonts w:ascii="宋体" w:hAnsi="宋体" w:eastAsia="宋体" w:cs="宋体"/>
          <w:spacing w:val="-2"/>
          <w:position w:val="0"/>
          <w:sz w:val="24"/>
          <w:szCs w:val="24"/>
          <w:lang w:eastAsia="zh-CN"/>
        </w:rPr>
      </w:pPr>
      <w:r>
        <w:rPr>
          <w:rFonts w:hint="eastAsia" w:ascii="宋体" w:hAnsi="宋体" w:eastAsia="宋体" w:cs="宋体"/>
          <w:spacing w:val="-2"/>
          <w:sz w:val="24"/>
          <w:szCs w:val="24"/>
          <w:lang w:val="en-US" w:eastAsia="zh-CN"/>
        </w:rPr>
        <w:t>1、</w:t>
      </w:r>
      <w:r>
        <w:rPr>
          <w:rFonts w:hint="eastAsia" w:ascii="宋体" w:hAnsi="宋体" w:cs="宋体"/>
          <w:color w:val="auto"/>
          <w:sz w:val="24"/>
          <w:szCs w:val="24"/>
          <w:highlight w:val="none"/>
          <w:lang w:eastAsia="zh-CN"/>
        </w:rPr>
        <w:t>2025年体育赛事后勤保障服务项目</w:t>
      </w:r>
      <w:r>
        <w:rPr>
          <w:rFonts w:hint="eastAsia" w:ascii="宋体" w:hAnsi="宋体" w:cs="宋体"/>
          <w:color w:val="auto"/>
          <w:sz w:val="24"/>
          <w:szCs w:val="24"/>
          <w:highlight w:val="none"/>
          <w:lang w:val="en-US" w:eastAsia="zh-CN"/>
        </w:rPr>
        <w:t>服务完成</w:t>
      </w:r>
      <w:r>
        <w:rPr>
          <w:rFonts w:hint="eastAsia" w:ascii="宋体" w:hAnsi="宋体" w:eastAsia="宋体" w:cs="宋体"/>
          <w:spacing w:val="-2"/>
          <w:sz w:val="24"/>
          <w:szCs w:val="24"/>
          <w:lang w:eastAsia="zh-CN"/>
        </w:rPr>
        <w:t>后，乙方向甲方提供验收报告、服务结算单并开具相应金额的增值税专用发票，甲方在收到发票后的15个工作日内，</w:t>
      </w:r>
      <w:r>
        <w:rPr>
          <w:rFonts w:hint="eastAsia" w:ascii="宋体" w:hAnsi="宋体" w:cs="宋体"/>
          <w:spacing w:val="-2"/>
          <w:sz w:val="24"/>
          <w:szCs w:val="24"/>
          <w:lang w:val="en-US" w:eastAsia="zh-CN"/>
        </w:rPr>
        <w:t>推进费用结算手续。</w:t>
      </w:r>
    </w:p>
    <w:p w14:paraId="39308E5D">
      <w:pPr>
        <w:pStyle w:val="2"/>
        <w:spacing w:line="366" w:lineRule="auto"/>
        <w:rPr>
          <w:rFonts w:ascii="宋体" w:hAnsi="宋体" w:eastAsia="宋体" w:cs="宋体"/>
          <w:spacing w:val="-2"/>
          <w:sz w:val="24"/>
          <w:szCs w:val="24"/>
          <w:lang w:eastAsia="zh-CN"/>
        </w:rPr>
      </w:pPr>
      <w:r>
        <w:rPr>
          <w:rFonts w:ascii="宋体" w:hAnsi="宋体" w:eastAsia="宋体" w:cs="宋体"/>
          <w:spacing w:val="-2"/>
          <w:position w:val="0"/>
          <w:sz w:val="24"/>
          <w:szCs w:val="24"/>
          <w:lang w:eastAsia="zh-CN"/>
        </w:rPr>
        <w:t>说明：</w:t>
      </w:r>
      <w:r>
        <w:rPr>
          <w:rFonts w:hint="default" w:ascii="宋体" w:hAnsi="宋体" w:eastAsia="宋体" w:cs="宋体"/>
          <w:spacing w:val="-2"/>
          <w:position w:val="0"/>
          <w:sz w:val="24"/>
          <w:szCs w:val="24"/>
          <w:lang w:eastAsia="zh-CN"/>
        </w:rPr>
        <w:t>乙方</w:t>
      </w:r>
      <w:r>
        <w:rPr>
          <w:rFonts w:ascii="宋体" w:hAnsi="宋体" w:eastAsia="宋体" w:cs="宋体"/>
          <w:spacing w:val="-2"/>
          <w:position w:val="0"/>
          <w:sz w:val="24"/>
          <w:szCs w:val="24"/>
          <w:lang w:eastAsia="zh-CN"/>
        </w:rPr>
        <w:t>需向</w:t>
      </w:r>
      <w:r>
        <w:rPr>
          <w:rFonts w:hint="default" w:ascii="宋体" w:hAnsi="宋体" w:eastAsia="宋体" w:cs="宋体"/>
          <w:spacing w:val="-2"/>
          <w:position w:val="0"/>
          <w:sz w:val="24"/>
          <w:szCs w:val="24"/>
          <w:lang w:eastAsia="zh-CN"/>
        </w:rPr>
        <w:t>甲方提</w:t>
      </w:r>
      <w:r>
        <w:rPr>
          <w:rFonts w:ascii="宋体" w:hAnsi="宋体" w:eastAsia="宋体" w:cs="宋体"/>
          <w:spacing w:val="-2"/>
          <w:position w:val="0"/>
          <w:sz w:val="24"/>
          <w:szCs w:val="24"/>
          <w:lang w:eastAsia="zh-CN"/>
        </w:rPr>
        <w:t>供符合国家规定的等额增值税</w:t>
      </w:r>
      <w:r>
        <w:rPr>
          <w:rFonts w:hint="default" w:ascii="宋体" w:hAnsi="宋体" w:eastAsia="宋体" w:cs="宋体"/>
          <w:spacing w:val="-2"/>
          <w:position w:val="0"/>
          <w:sz w:val="24"/>
          <w:szCs w:val="24"/>
          <w:lang w:eastAsia="zh-CN"/>
        </w:rPr>
        <w:t>专用</w:t>
      </w:r>
      <w:r>
        <w:rPr>
          <w:rFonts w:ascii="宋体" w:hAnsi="宋体" w:eastAsia="宋体" w:cs="宋体"/>
          <w:spacing w:val="-2"/>
          <w:position w:val="0"/>
          <w:sz w:val="24"/>
          <w:szCs w:val="24"/>
          <w:lang w:eastAsia="zh-CN"/>
        </w:rPr>
        <w:t>发票。</w:t>
      </w:r>
    </w:p>
    <w:p w14:paraId="602C8674">
      <w:pPr>
        <w:spacing w:line="380" w:lineRule="exact"/>
        <w:rPr>
          <w:rFonts w:hint="eastAsia" w:ascii="宋体" w:hAnsi="宋体"/>
          <w:color w:val="auto"/>
          <w:sz w:val="24"/>
          <w:highlight w:val="none"/>
        </w:rPr>
      </w:pPr>
      <w:r>
        <w:rPr>
          <w:rFonts w:ascii="宋体" w:hAnsi="宋体"/>
          <w:color w:val="auto"/>
          <w:sz w:val="24"/>
          <w:highlight w:val="none"/>
        </w:rPr>
        <w:br w:type="page"/>
      </w:r>
    </w:p>
    <w:p w14:paraId="512D91B2">
      <w:pPr>
        <w:spacing w:line="360" w:lineRule="auto"/>
        <w:jc w:val="center"/>
        <w:rPr>
          <w:color w:val="auto"/>
          <w:sz w:val="44"/>
          <w:highlight w:val="none"/>
        </w:rPr>
      </w:pPr>
      <w:r>
        <w:rPr>
          <w:rFonts w:hint="eastAsia"/>
          <w:b/>
          <w:bCs/>
          <w:color w:val="auto"/>
          <w:sz w:val="44"/>
          <w:highlight w:val="none"/>
        </w:rPr>
        <w:t>第</w:t>
      </w:r>
      <w:r>
        <w:rPr>
          <w:rFonts w:hint="eastAsia"/>
          <w:b/>
          <w:bCs/>
          <w:color w:val="auto"/>
          <w:sz w:val="44"/>
          <w:highlight w:val="none"/>
          <w:lang w:val="en-US" w:eastAsia="zh-CN"/>
        </w:rPr>
        <w:t>三</w:t>
      </w:r>
      <w:r>
        <w:rPr>
          <w:rFonts w:hint="eastAsia"/>
          <w:b/>
          <w:bCs/>
          <w:color w:val="auto"/>
          <w:sz w:val="44"/>
          <w:highlight w:val="none"/>
        </w:rPr>
        <w:t>章 附件（格式）</w:t>
      </w:r>
    </w:p>
    <w:p w14:paraId="3FFF4691">
      <w:pPr>
        <w:pStyle w:val="4"/>
        <w:rPr>
          <w:color w:val="auto"/>
          <w:highlight w:val="none"/>
        </w:rPr>
      </w:pPr>
    </w:p>
    <w:p w14:paraId="586F368B">
      <w:pPr>
        <w:pStyle w:val="10"/>
        <w:tabs>
          <w:tab w:val="left" w:pos="1260"/>
        </w:tabs>
        <w:adjustRightInd w:val="0"/>
        <w:snapToGrid w:val="0"/>
        <w:spacing w:line="360" w:lineRule="auto"/>
        <w:jc w:val="center"/>
        <w:rPr>
          <w:rFonts w:hint="eastAsia" w:hAnsi="宋体"/>
          <w:b/>
          <w:color w:val="auto"/>
          <w:spacing w:val="100"/>
          <w:w w:val="110"/>
          <w:sz w:val="48"/>
          <w:szCs w:val="48"/>
          <w:highlight w:val="none"/>
        </w:rPr>
      </w:pPr>
    </w:p>
    <w:p w14:paraId="1D1A06A2">
      <w:pPr>
        <w:pStyle w:val="10"/>
        <w:tabs>
          <w:tab w:val="left" w:pos="1260"/>
        </w:tabs>
        <w:adjustRightInd w:val="0"/>
        <w:snapToGrid w:val="0"/>
        <w:spacing w:line="360" w:lineRule="auto"/>
        <w:rPr>
          <w:rFonts w:hint="eastAsia" w:hAnsi="宋体"/>
          <w:b/>
          <w:color w:val="auto"/>
          <w:spacing w:val="100"/>
          <w:w w:val="110"/>
          <w:sz w:val="48"/>
          <w:szCs w:val="48"/>
          <w:highlight w:val="none"/>
        </w:rPr>
      </w:pPr>
    </w:p>
    <w:p w14:paraId="0DBA7A9A">
      <w:pPr>
        <w:pStyle w:val="10"/>
        <w:tabs>
          <w:tab w:val="left" w:pos="1260"/>
        </w:tabs>
        <w:adjustRightInd w:val="0"/>
        <w:snapToGrid w:val="0"/>
        <w:spacing w:line="360" w:lineRule="auto"/>
        <w:jc w:val="center"/>
        <w:rPr>
          <w:rFonts w:hint="eastAsia" w:hAnsi="宋体"/>
          <w:b/>
          <w:color w:val="auto"/>
          <w:spacing w:val="100"/>
          <w:w w:val="110"/>
          <w:sz w:val="48"/>
          <w:szCs w:val="48"/>
          <w:highlight w:val="none"/>
        </w:rPr>
      </w:pPr>
    </w:p>
    <w:p w14:paraId="06EA8DE1">
      <w:pPr>
        <w:pStyle w:val="10"/>
        <w:tabs>
          <w:tab w:val="left" w:pos="1260"/>
        </w:tabs>
        <w:adjustRightInd w:val="0"/>
        <w:snapToGrid w:val="0"/>
        <w:spacing w:line="360" w:lineRule="auto"/>
        <w:jc w:val="center"/>
        <w:rPr>
          <w:rFonts w:hint="eastAsia" w:hAnsi="宋体"/>
          <w:b/>
          <w:color w:val="auto"/>
          <w:spacing w:val="100"/>
          <w:sz w:val="48"/>
          <w:szCs w:val="48"/>
          <w:highlight w:val="none"/>
        </w:rPr>
      </w:pPr>
      <w:r>
        <w:rPr>
          <w:rFonts w:hint="eastAsia" w:hAnsi="宋体"/>
          <w:b/>
          <w:color w:val="auto"/>
          <w:spacing w:val="100"/>
          <w:sz w:val="48"/>
          <w:szCs w:val="48"/>
          <w:highlight w:val="none"/>
        </w:rPr>
        <w:t>投标文件</w:t>
      </w:r>
    </w:p>
    <w:p w14:paraId="6D9B6EC9">
      <w:pPr>
        <w:pStyle w:val="10"/>
        <w:adjustRightInd w:val="0"/>
        <w:snapToGrid w:val="0"/>
        <w:spacing w:line="360" w:lineRule="auto"/>
        <w:jc w:val="center"/>
        <w:rPr>
          <w:rFonts w:hint="eastAsia" w:hAnsi="宋体"/>
          <w:b/>
          <w:color w:val="auto"/>
          <w:sz w:val="48"/>
          <w:szCs w:val="48"/>
          <w:highlight w:val="none"/>
        </w:rPr>
      </w:pPr>
      <w:r>
        <w:rPr>
          <w:rFonts w:hint="eastAsia" w:hAnsi="宋体"/>
          <w:b/>
          <w:color w:val="auto"/>
          <w:sz w:val="48"/>
          <w:szCs w:val="48"/>
          <w:highlight w:val="none"/>
        </w:rPr>
        <w:t>（正本/副本）</w:t>
      </w:r>
    </w:p>
    <w:p w14:paraId="049C5237">
      <w:pPr>
        <w:pStyle w:val="10"/>
        <w:adjustRightInd w:val="0"/>
        <w:snapToGrid w:val="0"/>
        <w:spacing w:line="360" w:lineRule="auto"/>
        <w:rPr>
          <w:rFonts w:hint="eastAsia" w:hAnsi="宋体"/>
          <w:b/>
          <w:color w:val="auto"/>
          <w:szCs w:val="28"/>
          <w:highlight w:val="none"/>
        </w:rPr>
      </w:pPr>
    </w:p>
    <w:p w14:paraId="39A82383">
      <w:pPr>
        <w:pStyle w:val="10"/>
        <w:adjustRightInd w:val="0"/>
        <w:snapToGrid w:val="0"/>
        <w:spacing w:line="360" w:lineRule="auto"/>
        <w:jc w:val="center"/>
        <w:rPr>
          <w:rFonts w:hint="eastAsia" w:hAnsi="宋体"/>
          <w:b/>
          <w:color w:val="auto"/>
          <w:szCs w:val="28"/>
          <w:highlight w:val="none"/>
        </w:rPr>
      </w:pPr>
    </w:p>
    <w:p w14:paraId="1512E0E7">
      <w:pPr>
        <w:pStyle w:val="9"/>
        <w:adjustRightInd w:val="0"/>
        <w:snapToGrid w:val="0"/>
        <w:spacing w:line="360" w:lineRule="auto"/>
        <w:ind w:firstLine="1121" w:firstLineChars="400"/>
        <w:rPr>
          <w:rFonts w:hint="eastAsia" w:ascii="宋体" w:hAnsi="宋体"/>
          <w:b/>
          <w:color w:val="auto"/>
          <w:sz w:val="28"/>
          <w:szCs w:val="28"/>
          <w:highlight w:val="none"/>
        </w:rPr>
      </w:pPr>
    </w:p>
    <w:p w14:paraId="27613A7C">
      <w:pPr>
        <w:pStyle w:val="9"/>
        <w:adjustRightInd w:val="0"/>
        <w:snapToGrid w:val="0"/>
        <w:spacing w:line="360" w:lineRule="auto"/>
        <w:ind w:firstLine="1121" w:firstLineChars="400"/>
        <w:rPr>
          <w:rFonts w:hint="eastAsia" w:ascii="宋体" w:hAnsi="宋体"/>
          <w:b/>
          <w:color w:val="auto"/>
          <w:sz w:val="28"/>
          <w:szCs w:val="28"/>
          <w:highlight w:val="none"/>
        </w:rPr>
      </w:pPr>
    </w:p>
    <w:p w14:paraId="6E09FEF7">
      <w:pPr>
        <w:pStyle w:val="9"/>
        <w:adjustRightInd w:val="0"/>
        <w:snapToGrid w:val="0"/>
        <w:spacing w:line="360" w:lineRule="auto"/>
        <w:ind w:firstLine="1121" w:firstLineChars="400"/>
        <w:rPr>
          <w:rFonts w:hint="eastAsia" w:ascii="宋体" w:hAnsi="宋体"/>
          <w:b/>
          <w:color w:val="auto"/>
          <w:sz w:val="28"/>
          <w:szCs w:val="28"/>
          <w:highlight w:val="none"/>
        </w:rPr>
      </w:pPr>
    </w:p>
    <w:p w14:paraId="638B0074">
      <w:pPr>
        <w:pStyle w:val="9"/>
        <w:adjustRightInd w:val="0"/>
        <w:snapToGrid w:val="0"/>
        <w:spacing w:line="360" w:lineRule="auto"/>
        <w:ind w:firstLine="1121" w:firstLineChars="400"/>
        <w:rPr>
          <w:rFonts w:hint="eastAsia" w:ascii="宋体" w:hAnsi="宋体"/>
          <w:b/>
          <w:color w:val="auto"/>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u w:val="single"/>
        </w:rPr>
        <w:t xml:space="preserve">                                 </w:t>
      </w:r>
    </w:p>
    <w:p w14:paraId="55FABF8A">
      <w:pPr>
        <w:pStyle w:val="10"/>
        <w:adjustRightInd w:val="0"/>
        <w:snapToGrid w:val="0"/>
        <w:spacing w:line="360" w:lineRule="auto"/>
        <w:ind w:firstLine="631" w:firstLineChars="300"/>
        <w:rPr>
          <w:rFonts w:hint="eastAsia" w:hAnsi="宋体"/>
          <w:b/>
          <w:color w:val="auto"/>
          <w:szCs w:val="28"/>
          <w:highlight w:val="none"/>
        </w:rPr>
      </w:pPr>
    </w:p>
    <w:p w14:paraId="1F209009">
      <w:pPr>
        <w:pStyle w:val="10"/>
        <w:adjustRightInd w:val="0"/>
        <w:snapToGrid w:val="0"/>
        <w:spacing w:line="360" w:lineRule="auto"/>
        <w:ind w:firstLine="631" w:firstLineChars="300"/>
        <w:rPr>
          <w:rFonts w:hint="eastAsia" w:hAnsi="宋体"/>
          <w:b/>
          <w:color w:val="auto"/>
          <w:szCs w:val="28"/>
          <w:highlight w:val="none"/>
        </w:rPr>
      </w:pPr>
    </w:p>
    <w:p w14:paraId="06294722">
      <w:pPr>
        <w:pStyle w:val="10"/>
        <w:adjustRightInd w:val="0"/>
        <w:snapToGrid w:val="0"/>
        <w:spacing w:line="360" w:lineRule="auto"/>
        <w:ind w:firstLine="631" w:firstLineChars="300"/>
        <w:rPr>
          <w:rFonts w:hint="eastAsia" w:hAnsi="宋体"/>
          <w:b/>
          <w:color w:val="auto"/>
          <w:szCs w:val="28"/>
          <w:highlight w:val="none"/>
        </w:rPr>
      </w:pPr>
    </w:p>
    <w:p w14:paraId="49FF5993">
      <w:pPr>
        <w:pStyle w:val="10"/>
        <w:adjustRightInd w:val="0"/>
        <w:snapToGrid w:val="0"/>
        <w:spacing w:line="360" w:lineRule="auto"/>
        <w:ind w:firstLine="631" w:firstLineChars="300"/>
        <w:rPr>
          <w:rFonts w:hint="eastAsia" w:hAnsi="宋体"/>
          <w:b/>
          <w:color w:val="auto"/>
          <w:szCs w:val="28"/>
          <w:highlight w:val="none"/>
        </w:rPr>
      </w:pPr>
    </w:p>
    <w:p w14:paraId="67796C0C">
      <w:pPr>
        <w:pStyle w:val="10"/>
        <w:adjustRightInd w:val="0"/>
        <w:snapToGrid w:val="0"/>
        <w:spacing w:line="360" w:lineRule="auto"/>
        <w:ind w:firstLine="631" w:firstLineChars="300"/>
        <w:rPr>
          <w:rFonts w:hint="eastAsia" w:hAnsi="宋体"/>
          <w:b/>
          <w:color w:val="auto"/>
          <w:szCs w:val="28"/>
          <w:highlight w:val="none"/>
        </w:rPr>
      </w:pPr>
    </w:p>
    <w:p w14:paraId="742BA948">
      <w:pPr>
        <w:pStyle w:val="10"/>
        <w:adjustRightInd w:val="0"/>
        <w:snapToGrid w:val="0"/>
        <w:spacing w:line="360" w:lineRule="auto"/>
        <w:ind w:firstLine="631" w:firstLineChars="300"/>
        <w:rPr>
          <w:rFonts w:hint="eastAsia" w:hAnsi="宋体"/>
          <w:b/>
          <w:color w:val="auto"/>
          <w:szCs w:val="28"/>
          <w:highlight w:val="none"/>
        </w:rPr>
      </w:pPr>
    </w:p>
    <w:p w14:paraId="2519D416">
      <w:pPr>
        <w:spacing w:line="380" w:lineRule="exact"/>
        <w:ind w:firstLine="420" w:firstLineChars="200"/>
        <w:rPr>
          <w:rFonts w:hint="eastAsia" w:ascii="宋体" w:hAnsi="宋体"/>
          <w:color w:val="auto"/>
          <w:szCs w:val="28"/>
          <w:highlight w:val="none"/>
          <w:u w:val="single"/>
        </w:rPr>
      </w:pPr>
      <w:r>
        <w:rPr>
          <w:rFonts w:hint="eastAsia" w:ascii="宋体" w:hAnsi="宋体"/>
          <w:color w:val="auto"/>
          <w:szCs w:val="28"/>
          <w:highlight w:val="none"/>
        </w:rPr>
        <w:t>投标人名称：</w:t>
      </w:r>
      <w:r>
        <w:rPr>
          <w:rFonts w:hint="eastAsia" w:ascii="宋体" w:hAnsi="宋体"/>
          <w:color w:val="auto"/>
          <w:szCs w:val="28"/>
          <w:highlight w:val="none"/>
          <w:u w:val="single"/>
        </w:rPr>
        <w:t xml:space="preserve">                                     </w:t>
      </w:r>
    </w:p>
    <w:p w14:paraId="4352D244">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投标人地址：</w:t>
      </w:r>
      <w:r>
        <w:rPr>
          <w:rFonts w:hint="eastAsia" w:ascii="宋体" w:hAnsi="宋体"/>
          <w:color w:val="auto"/>
          <w:szCs w:val="28"/>
          <w:highlight w:val="none"/>
          <w:u w:val="single"/>
        </w:rPr>
        <w:t xml:space="preserve">                                     </w:t>
      </w:r>
    </w:p>
    <w:p w14:paraId="565567AE">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联</w:t>
      </w:r>
      <w:r>
        <w:rPr>
          <w:rFonts w:ascii="宋体" w:hAnsi="宋体"/>
          <w:color w:val="auto"/>
          <w:szCs w:val="28"/>
          <w:highlight w:val="none"/>
        </w:rPr>
        <w:t xml:space="preserve"> 系 人：</w:t>
      </w:r>
      <w:r>
        <w:rPr>
          <w:rFonts w:hint="eastAsia" w:ascii="宋体" w:hAnsi="宋体"/>
          <w:color w:val="auto"/>
          <w:szCs w:val="28"/>
          <w:highlight w:val="none"/>
          <w:u w:val="single"/>
        </w:rPr>
        <w:t xml:space="preserve">                                       </w:t>
      </w:r>
    </w:p>
    <w:p w14:paraId="010B1061">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联系电话：</w:t>
      </w:r>
      <w:r>
        <w:rPr>
          <w:rFonts w:hint="eastAsia" w:ascii="宋体" w:hAnsi="宋体"/>
          <w:color w:val="auto"/>
          <w:szCs w:val="28"/>
          <w:highlight w:val="none"/>
          <w:u w:val="single"/>
        </w:rPr>
        <w:t xml:space="preserve">                                       </w:t>
      </w:r>
    </w:p>
    <w:p w14:paraId="303E547F">
      <w:pPr>
        <w:spacing w:line="380" w:lineRule="exact"/>
        <w:ind w:firstLine="420" w:firstLineChars="200"/>
        <w:rPr>
          <w:rFonts w:hint="eastAsia" w:ascii="宋体" w:hAnsi="宋体"/>
          <w:color w:val="auto"/>
          <w:szCs w:val="28"/>
          <w:highlight w:val="none"/>
        </w:rPr>
      </w:pPr>
      <w:r>
        <w:rPr>
          <w:rFonts w:hint="eastAsia" w:ascii="宋体" w:hAnsi="宋体"/>
          <w:color w:val="auto"/>
          <w:szCs w:val="28"/>
          <w:highlight w:val="none"/>
        </w:rPr>
        <w:t>传真电话（或电子邮箱）：</w:t>
      </w:r>
      <w:r>
        <w:rPr>
          <w:rFonts w:hint="eastAsia" w:ascii="宋体" w:hAnsi="宋体"/>
          <w:color w:val="auto"/>
          <w:szCs w:val="28"/>
          <w:highlight w:val="none"/>
          <w:u w:val="single"/>
        </w:rPr>
        <w:t xml:space="preserve">                         </w:t>
      </w:r>
    </w:p>
    <w:p w14:paraId="55D62619">
      <w:pPr>
        <w:pStyle w:val="2"/>
        <w:ind w:firstLine="420" w:firstLineChars="200"/>
        <w:rPr>
          <w:color w:val="auto"/>
          <w:highlight w:val="none"/>
        </w:rPr>
      </w:pPr>
      <w:r>
        <w:rPr>
          <w:rFonts w:hint="eastAsia" w:ascii="宋体" w:hAnsi="宋体" w:eastAsia="宋体" w:cs="Arial"/>
          <w:b w:val="0"/>
          <w:color w:val="auto"/>
          <w:sz w:val="21"/>
          <w:szCs w:val="28"/>
          <w:highlight w:val="none"/>
        </w:rPr>
        <w:t>日期：</w:t>
      </w:r>
      <w:r>
        <w:rPr>
          <w:rFonts w:hint="eastAsia" w:ascii="宋体" w:hAnsi="宋体" w:eastAsia="宋体"/>
          <w:b w:val="0"/>
          <w:color w:val="auto"/>
          <w:sz w:val="21"/>
          <w:szCs w:val="28"/>
          <w:highlight w:val="none"/>
        </w:rPr>
        <w:t xml:space="preserve">     </w:t>
      </w:r>
      <w:r>
        <w:rPr>
          <w:rFonts w:hint="eastAsia" w:ascii="宋体" w:hAnsi="宋体"/>
          <w:color w:val="auto"/>
          <w:szCs w:val="28"/>
          <w:highlight w:val="none"/>
        </w:rPr>
        <w:t xml:space="preserve">                           </w:t>
      </w:r>
    </w:p>
    <w:p w14:paraId="05F2738A">
      <w:pPr>
        <w:pStyle w:val="5"/>
        <w:rPr>
          <w:rFonts w:hint="eastAsia"/>
          <w:bCs/>
          <w:color w:val="auto"/>
          <w:sz w:val="24"/>
          <w:highlight w:val="none"/>
        </w:rPr>
      </w:pPr>
      <w:r>
        <w:rPr>
          <w:rFonts w:hint="eastAsia"/>
          <w:bCs/>
          <w:color w:val="auto"/>
          <w:sz w:val="24"/>
          <w:highlight w:val="none"/>
        </w:rPr>
        <w:t>附件</w:t>
      </w:r>
      <w:bookmarkStart w:id="28" w:name="_Toc35834921"/>
      <w:bookmarkStart w:id="29" w:name="_Toc28489505"/>
      <w:bookmarkStart w:id="30" w:name="_Toc34535367"/>
      <w:bookmarkStart w:id="31" w:name="_Toc14450847"/>
      <w:bookmarkStart w:id="32" w:name="_Toc109467920"/>
      <w:r>
        <w:rPr>
          <w:rFonts w:hint="eastAsia"/>
          <w:bCs/>
          <w:color w:val="auto"/>
          <w:sz w:val="24"/>
          <w:highlight w:val="none"/>
        </w:rPr>
        <w:t xml:space="preserve">1                     </w:t>
      </w:r>
    </w:p>
    <w:p w14:paraId="59EF54A7">
      <w:pPr>
        <w:jc w:val="center"/>
        <w:rPr>
          <w:rFonts w:cs="Times New Roman"/>
          <w:b/>
          <w:color w:val="auto"/>
          <w:sz w:val="32"/>
          <w:szCs w:val="32"/>
          <w:highlight w:val="none"/>
        </w:rPr>
      </w:pPr>
      <w:r>
        <w:rPr>
          <w:rFonts w:hint="eastAsia" w:cs="Times New Roman"/>
          <w:b/>
          <w:bCs/>
          <w:color w:val="auto"/>
          <w:sz w:val="32"/>
          <w:szCs w:val="32"/>
          <w:highlight w:val="none"/>
        </w:rPr>
        <w:t>投标申请人声明</w:t>
      </w:r>
    </w:p>
    <w:p w14:paraId="3D1A8071">
      <w:pPr>
        <w:pStyle w:val="22"/>
        <w:spacing w:line="360" w:lineRule="auto"/>
        <w:ind w:firstLine="2643" w:firstLineChars="1100"/>
        <w:rPr>
          <w:rFonts w:hint="eastAsia" w:hAnsi="宋体"/>
          <w:b/>
          <w:color w:val="auto"/>
          <w:highlight w:val="none"/>
        </w:rPr>
      </w:pPr>
    </w:p>
    <w:p w14:paraId="61B4A91C">
      <w:pPr>
        <w:snapToGrid w:val="0"/>
        <w:spacing w:line="500" w:lineRule="exact"/>
        <w:rPr>
          <w:rFonts w:cs="Times New Roman"/>
          <w:color w:val="auto"/>
          <w:szCs w:val="28"/>
          <w:highlight w:val="none"/>
        </w:rPr>
      </w:pPr>
      <w:r>
        <w:rPr>
          <w:rFonts w:hint="eastAsia" w:cs="Times New Roman"/>
          <w:color w:val="auto"/>
          <w:szCs w:val="28"/>
          <w:highlight w:val="none"/>
        </w:rPr>
        <w:t>致：广州南沙</w:t>
      </w:r>
      <w:r>
        <w:rPr>
          <w:rFonts w:hint="eastAsia" w:cs="Times New Roman"/>
          <w:color w:val="auto"/>
          <w:szCs w:val="28"/>
          <w:highlight w:val="none"/>
          <w:lang w:val="en-US" w:eastAsia="zh-CN"/>
        </w:rPr>
        <w:t>文体投资</w:t>
      </w:r>
      <w:r>
        <w:rPr>
          <w:rFonts w:hint="eastAsia" w:cs="Times New Roman"/>
          <w:color w:val="auto"/>
          <w:szCs w:val="28"/>
          <w:highlight w:val="none"/>
        </w:rPr>
        <w:t>有限公司</w:t>
      </w:r>
    </w:p>
    <w:p w14:paraId="2DFB6711">
      <w:pPr>
        <w:snapToGrid w:val="0"/>
        <w:spacing w:line="500" w:lineRule="exact"/>
        <w:ind w:firstLine="630" w:firstLineChars="300"/>
        <w:rPr>
          <w:rFonts w:cs="Times New Roman"/>
          <w:color w:val="auto"/>
          <w:szCs w:val="28"/>
          <w:highlight w:val="none"/>
        </w:rPr>
      </w:pPr>
    </w:p>
    <w:p w14:paraId="1854E2DC">
      <w:pPr>
        <w:snapToGrid w:val="0"/>
        <w:spacing w:line="500" w:lineRule="exact"/>
        <w:ind w:firstLine="420" w:firstLineChars="200"/>
        <w:rPr>
          <w:rFonts w:cs="Times New Roman"/>
          <w:color w:val="auto"/>
          <w:szCs w:val="28"/>
          <w:highlight w:val="none"/>
        </w:rPr>
      </w:pPr>
      <w:r>
        <w:rPr>
          <w:rFonts w:hint="eastAsia" w:cs="Times New Roman"/>
          <w:color w:val="auto"/>
          <w:szCs w:val="28"/>
          <w:highlight w:val="none"/>
        </w:rPr>
        <w:t>本公司就参加</w:t>
      </w:r>
      <w:r>
        <w:rPr>
          <w:rFonts w:hint="eastAsia" w:cs="Times New Roman"/>
          <w:color w:val="auto"/>
          <w:szCs w:val="28"/>
          <w:highlight w:val="none"/>
          <w:u w:val="single"/>
          <w:lang w:eastAsia="zh-CN"/>
        </w:rPr>
        <w:t>《2025年体育赛事后勤保障服务项目</w:t>
      </w:r>
      <w:r>
        <w:rPr>
          <w:rFonts w:hint="eastAsia" w:cs="Times New Roman"/>
          <w:color w:val="auto"/>
          <w:szCs w:val="28"/>
          <w:highlight w:val="none"/>
          <w:u w:val="single"/>
          <w:lang w:val="en-US" w:eastAsia="zh-CN"/>
        </w:rPr>
        <w:t>》</w:t>
      </w:r>
      <w:r>
        <w:rPr>
          <w:rFonts w:hint="eastAsia" w:cs="Times New Roman"/>
          <w:color w:val="auto"/>
          <w:szCs w:val="28"/>
          <w:highlight w:val="none"/>
        </w:rPr>
        <w:t>投标工作，作出郑重声明：</w:t>
      </w:r>
    </w:p>
    <w:p w14:paraId="69EB79C7">
      <w:pPr>
        <w:numPr>
          <w:ilvl w:val="1"/>
          <w:numId w:val="12"/>
        </w:numPr>
        <w:snapToGrid w:val="0"/>
        <w:spacing w:line="500" w:lineRule="exact"/>
        <w:rPr>
          <w:rFonts w:cs="Times New Roman"/>
          <w:color w:val="auto"/>
          <w:szCs w:val="28"/>
          <w:highlight w:val="none"/>
        </w:rPr>
      </w:pPr>
      <w:r>
        <w:rPr>
          <w:rFonts w:hint="eastAsia" w:cs="Times New Roman"/>
          <w:color w:val="auto"/>
          <w:szCs w:val="28"/>
          <w:highlight w:val="none"/>
        </w:rPr>
        <w:t>本公司保证投标报名材料及其后提供的一切材料都是真实的。</w:t>
      </w:r>
    </w:p>
    <w:p w14:paraId="751C2D7A">
      <w:pPr>
        <w:numPr>
          <w:ilvl w:val="1"/>
          <w:numId w:val="12"/>
        </w:numPr>
        <w:snapToGrid w:val="0"/>
        <w:spacing w:line="500" w:lineRule="exact"/>
        <w:rPr>
          <w:rFonts w:cs="Times New Roman"/>
          <w:color w:val="auto"/>
          <w:szCs w:val="28"/>
          <w:highlight w:val="none"/>
        </w:rPr>
      </w:pPr>
      <w:r>
        <w:rPr>
          <w:rFonts w:hint="eastAsia" w:cs="Times New Roman"/>
          <w:color w:val="auto"/>
          <w:szCs w:val="28"/>
          <w:highlight w:val="none"/>
        </w:rPr>
        <w:t>本公司保证不与其他单位围标、串标，不出让投标资格，不向招标单位或评标委员会成员行贿。</w:t>
      </w:r>
    </w:p>
    <w:p w14:paraId="6118D003">
      <w:pPr>
        <w:numPr>
          <w:ilvl w:val="1"/>
          <w:numId w:val="12"/>
        </w:numPr>
        <w:snapToGrid w:val="0"/>
        <w:spacing w:line="500" w:lineRule="exact"/>
        <w:rPr>
          <w:rFonts w:cs="Times New Roman"/>
          <w:color w:val="auto"/>
          <w:szCs w:val="28"/>
          <w:highlight w:val="none"/>
        </w:rPr>
      </w:pPr>
      <w:r>
        <w:rPr>
          <w:rFonts w:hint="eastAsia" w:cs="Times New Roman"/>
          <w:color w:val="auto"/>
          <w:szCs w:val="28"/>
          <w:highlight w:val="none"/>
        </w:rPr>
        <w:t>本公司没有处于被责令停业的状态；没有处于被取消投标资格的处罚期内；没有处于财产被接管、冻结、破产的状态；在</w:t>
      </w:r>
      <w:r>
        <w:rPr>
          <w:rFonts w:hint="eastAsia" w:cs="Times New Roman"/>
          <w:color w:val="auto"/>
          <w:szCs w:val="28"/>
          <w:highlight w:val="none"/>
          <w:lang w:val="en-US" w:eastAsia="zh-CN"/>
        </w:rPr>
        <w:t>地区</w:t>
      </w:r>
      <w:r>
        <w:rPr>
          <w:rFonts w:hint="eastAsia" w:cs="Times New Roman"/>
          <w:color w:val="auto"/>
          <w:szCs w:val="28"/>
          <w:highlight w:val="none"/>
        </w:rPr>
        <w:t>人民检察院行贿犯罪档案结果中，本公司没有在投标报名截止时间前三年内被人民法院判决犯有行贿罪的记录；在投标报名截止日期前三年内，本公司没有弄虚作假骗取中标、围标串标行为（以行政部门或法院或检察院书面认定为准）。</w:t>
      </w:r>
    </w:p>
    <w:p w14:paraId="000EB847">
      <w:pPr>
        <w:numPr>
          <w:ilvl w:val="1"/>
          <w:numId w:val="12"/>
        </w:numPr>
        <w:snapToGrid w:val="0"/>
        <w:spacing w:line="500" w:lineRule="exact"/>
        <w:rPr>
          <w:rFonts w:cs="Times New Roman"/>
          <w:color w:val="auto"/>
          <w:szCs w:val="28"/>
          <w:highlight w:val="none"/>
        </w:rPr>
      </w:pPr>
      <w:r>
        <w:rPr>
          <w:rFonts w:hint="eastAsia" w:cs="Times New Roman"/>
          <w:color w:val="auto"/>
          <w:szCs w:val="28"/>
          <w:highlight w:val="none"/>
        </w:rPr>
        <w:t>本公司及其有隶属关系的机构，没有参加本项目采购文件的编写工作。本公司违反上述保证或本声明陈述与事实不符，经查实，本公司愿意接受公开通报，承担由此带来的法律后果，同意由招标人将本公司列入不良行为记录名单，在一至三年内禁止参加招标人的招标活动。</w:t>
      </w:r>
    </w:p>
    <w:p w14:paraId="2ABD7C7D">
      <w:pPr>
        <w:numPr>
          <w:ilvl w:val="-1"/>
          <w:numId w:val="0"/>
        </w:numPr>
        <w:snapToGrid w:val="0"/>
        <w:spacing w:line="500" w:lineRule="exact"/>
        <w:ind w:left="802" w:leftChars="182" w:hanging="420" w:hangingChars="200"/>
        <w:rPr>
          <w:rFonts w:hint="eastAsia" w:eastAsia="宋体" w:cs="Times New Roman"/>
          <w:color w:val="auto"/>
          <w:szCs w:val="28"/>
          <w:highlight w:val="none"/>
          <w:lang w:val="en-US" w:eastAsia="zh-CN"/>
        </w:rPr>
      </w:pPr>
      <w:r>
        <w:rPr>
          <w:rFonts w:hint="eastAsia" w:cs="Times New Roman"/>
          <w:color w:val="auto"/>
          <w:szCs w:val="28"/>
          <w:highlight w:val="none"/>
          <w:lang w:val="en-US" w:eastAsia="zh-CN"/>
        </w:rPr>
        <w:t>五、</w:t>
      </w:r>
      <w:r>
        <w:rPr>
          <w:rFonts w:hint="eastAsia" w:ascii="Calibri" w:hAnsi="Calibri" w:cs="Times New Roman"/>
          <w:color w:val="auto"/>
          <w:sz w:val="21"/>
          <w:szCs w:val="28"/>
          <w:highlight w:val="none"/>
          <w:lang w:val="en-US" w:eastAsia="zh-CN"/>
        </w:rPr>
        <w:t>本公司</w:t>
      </w:r>
      <w:r>
        <w:rPr>
          <w:rFonts w:hint="eastAsia" w:cs="Times New Roman"/>
          <w:color w:val="auto"/>
          <w:szCs w:val="28"/>
          <w:highlight w:val="none"/>
        </w:rPr>
        <w:t>在投标报名截止日期前三年内</w:t>
      </w:r>
      <w:r>
        <w:rPr>
          <w:rFonts w:hint="eastAsia" w:ascii="Calibri" w:hAnsi="Calibri" w:cs="Times New Roman"/>
          <w:color w:val="auto"/>
          <w:sz w:val="21"/>
          <w:szCs w:val="28"/>
          <w:highlight w:val="none"/>
          <w:lang w:val="en-US" w:eastAsia="zh-CN"/>
        </w:rPr>
        <w:t>未被劳动监察部门依据法律法规进行处罚，在项目履行过程中将严格遵守劳动法律法规。</w:t>
      </w:r>
    </w:p>
    <w:p w14:paraId="2871B0C6">
      <w:pPr>
        <w:snapToGrid w:val="0"/>
        <w:spacing w:line="500" w:lineRule="exact"/>
        <w:ind w:left="420" w:firstLine="420" w:firstLineChars="200"/>
        <w:rPr>
          <w:rFonts w:cs="Times New Roman"/>
          <w:color w:val="auto"/>
          <w:szCs w:val="28"/>
          <w:highlight w:val="none"/>
        </w:rPr>
      </w:pPr>
      <w:r>
        <w:rPr>
          <w:rFonts w:hint="eastAsia" w:cs="Times New Roman"/>
          <w:color w:val="auto"/>
          <w:szCs w:val="28"/>
          <w:highlight w:val="none"/>
        </w:rPr>
        <w:t>特此声明。</w:t>
      </w:r>
    </w:p>
    <w:p w14:paraId="64A52B62">
      <w:pPr>
        <w:snapToGrid w:val="0"/>
        <w:spacing w:before="156" w:beforeLines="50" w:line="360" w:lineRule="auto"/>
        <w:ind w:left="420"/>
        <w:rPr>
          <w:rFonts w:cs="Times New Roman"/>
          <w:color w:val="auto"/>
          <w:szCs w:val="28"/>
          <w:highlight w:val="none"/>
        </w:rPr>
      </w:pPr>
    </w:p>
    <w:p w14:paraId="2F23924E">
      <w:pPr>
        <w:snapToGrid w:val="0"/>
        <w:spacing w:before="156" w:beforeLines="50" w:line="360" w:lineRule="auto"/>
        <w:ind w:left="420"/>
        <w:jc w:val="center"/>
        <w:rPr>
          <w:rFonts w:cs="Times New Roman"/>
          <w:color w:val="auto"/>
          <w:szCs w:val="28"/>
          <w:highlight w:val="none"/>
        </w:rPr>
      </w:pPr>
      <w:r>
        <w:rPr>
          <w:rFonts w:hint="eastAsia" w:cs="Times New Roman"/>
          <w:color w:val="auto"/>
          <w:szCs w:val="28"/>
          <w:highlight w:val="none"/>
        </w:rPr>
        <w:t xml:space="preserve">                                                                  </w:t>
      </w:r>
    </w:p>
    <w:p w14:paraId="26FF8DEB">
      <w:pPr>
        <w:snapToGrid w:val="0"/>
        <w:spacing w:before="156" w:beforeLines="50" w:line="360" w:lineRule="auto"/>
        <w:ind w:left="420"/>
        <w:jc w:val="center"/>
        <w:rPr>
          <w:rFonts w:cs="Times New Roman"/>
          <w:color w:val="auto"/>
          <w:szCs w:val="28"/>
          <w:highlight w:val="none"/>
        </w:rPr>
      </w:pPr>
      <w:r>
        <w:rPr>
          <w:rFonts w:hint="eastAsia" w:cs="Times New Roman"/>
          <w:color w:val="auto"/>
          <w:szCs w:val="28"/>
          <w:highlight w:val="none"/>
        </w:rPr>
        <w:t xml:space="preserve">          声明企业：（企业公章）</w:t>
      </w:r>
    </w:p>
    <w:p w14:paraId="0BD64F8B">
      <w:pPr>
        <w:pStyle w:val="23"/>
        <w:widowControl w:val="0"/>
        <w:spacing w:before="0" w:beforeAutospacing="0" w:after="0" w:afterAutospacing="0" w:line="360" w:lineRule="auto"/>
        <w:rPr>
          <w:rFonts w:hint="eastAsia" w:cs="Times New Roman"/>
          <w:color w:val="auto"/>
          <w:highlight w:val="none"/>
          <w:u w:val="single"/>
        </w:rPr>
      </w:pPr>
      <w:r>
        <w:rPr>
          <w:rFonts w:hint="eastAsia" w:cs="Times New Roman"/>
          <w:color w:val="auto"/>
          <w:highlight w:val="none"/>
        </w:rPr>
        <w:t xml:space="preserve">        法定代表人签字：</w:t>
      </w:r>
      <w:r>
        <w:rPr>
          <w:rFonts w:hint="eastAsia" w:cs="Times New Roman"/>
          <w:color w:val="auto"/>
          <w:highlight w:val="none"/>
          <w:u w:val="single"/>
        </w:rPr>
        <w:t xml:space="preserve">                       </w:t>
      </w:r>
    </w:p>
    <w:p w14:paraId="373BAC56">
      <w:pPr>
        <w:wordWrap w:val="0"/>
        <w:snapToGrid w:val="0"/>
        <w:spacing w:before="156" w:beforeLines="50" w:line="360" w:lineRule="auto"/>
        <w:ind w:left="420"/>
        <w:jc w:val="right"/>
        <w:rPr>
          <w:rFonts w:hint="eastAsia" w:ascii="宋体" w:hAnsi="宋体" w:cs="Times New Roman"/>
          <w:color w:val="auto"/>
          <w:szCs w:val="28"/>
          <w:highlight w:val="none"/>
        </w:rPr>
      </w:pPr>
      <w:r>
        <w:rPr>
          <w:rFonts w:hint="eastAsia" w:ascii="宋体" w:hAnsi="宋体" w:cs="Times New Roman"/>
          <w:color w:val="auto"/>
          <w:szCs w:val="28"/>
          <w:highlight w:val="none"/>
        </w:rPr>
        <w:t xml:space="preserve">        年       月       日     </w:t>
      </w:r>
    </w:p>
    <w:p w14:paraId="5C429706">
      <w:pPr>
        <w:widowControl w:val="0"/>
        <w:spacing w:before="0" w:beforeAutospacing="0" w:after="0" w:afterAutospacing="0" w:line="360" w:lineRule="auto"/>
        <w:jc w:val="left"/>
        <w:rPr>
          <w:rFonts w:hint="eastAsia"/>
          <w:b/>
          <w:bCs w:val="0"/>
          <w:color w:val="auto"/>
          <w:sz w:val="24"/>
          <w:highlight w:val="none"/>
        </w:rPr>
      </w:pPr>
      <w:r>
        <w:rPr>
          <w:rFonts w:hint="eastAsia"/>
          <w:b/>
          <w:bCs w:val="0"/>
          <w:color w:val="auto"/>
          <w:sz w:val="24"/>
          <w:highlight w:val="none"/>
        </w:rPr>
        <w:br w:type="page"/>
      </w:r>
    </w:p>
    <w:p w14:paraId="78D5F813">
      <w:pPr>
        <w:pStyle w:val="23"/>
        <w:widowControl w:val="0"/>
        <w:spacing w:before="0" w:beforeAutospacing="0" w:after="0" w:afterAutospacing="0" w:line="360" w:lineRule="auto"/>
        <w:jc w:val="left"/>
        <w:rPr>
          <w:rFonts w:hint="eastAsia" w:cs="Times New Roman"/>
          <w:color w:val="auto"/>
          <w:highlight w:val="none"/>
          <w:u w:val="single"/>
        </w:rPr>
      </w:pPr>
      <w:r>
        <w:rPr>
          <w:rFonts w:hint="eastAsia"/>
          <w:b/>
          <w:bCs w:val="0"/>
          <w:color w:val="auto"/>
          <w:sz w:val="24"/>
          <w:highlight w:val="none"/>
        </w:rPr>
        <w:t xml:space="preserve">附件2 </w:t>
      </w:r>
      <w:r>
        <w:rPr>
          <w:rFonts w:hint="eastAsia"/>
          <w:bCs/>
          <w:color w:val="auto"/>
          <w:sz w:val="24"/>
          <w:highlight w:val="none"/>
        </w:rPr>
        <w:t xml:space="preserve">    </w:t>
      </w:r>
    </w:p>
    <w:p w14:paraId="2DF9CA48">
      <w:pPr>
        <w:pStyle w:val="5"/>
        <w:jc w:val="center"/>
        <w:rPr>
          <w:rFonts w:hint="eastAsia"/>
          <w:bCs/>
          <w:color w:val="auto"/>
          <w:sz w:val="24"/>
          <w:highlight w:val="none"/>
        </w:rPr>
      </w:pPr>
    </w:p>
    <w:p w14:paraId="5A8D011C">
      <w:pPr>
        <w:pStyle w:val="5"/>
        <w:jc w:val="center"/>
        <w:rPr>
          <w:rFonts w:hint="eastAsia"/>
          <w:bCs/>
          <w:color w:val="auto"/>
          <w:sz w:val="24"/>
          <w:highlight w:val="none"/>
        </w:rPr>
      </w:pPr>
      <w:r>
        <w:rPr>
          <w:rFonts w:hint="eastAsia"/>
          <w:bCs/>
          <w:color w:val="auto"/>
          <w:sz w:val="24"/>
          <w:highlight w:val="none"/>
        </w:rPr>
        <w:t>法定代表人证明书</w:t>
      </w:r>
      <w:bookmarkEnd w:id="28"/>
      <w:bookmarkEnd w:id="29"/>
      <w:bookmarkEnd w:id="30"/>
      <w:bookmarkEnd w:id="31"/>
      <w:bookmarkEnd w:id="32"/>
    </w:p>
    <w:p w14:paraId="4A3AC9C6">
      <w:pPr>
        <w:pStyle w:val="24"/>
        <w:rPr>
          <w:rFonts w:hint="eastAsia"/>
          <w:color w:val="auto"/>
          <w:highlight w:val="none"/>
        </w:rPr>
      </w:pPr>
    </w:p>
    <w:p w14:paraId="1C202234">
      <w:pPr>
        <w:spacing w:line="360" w:lineRule="auto"/>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先生/女士，现任我公司</w:t>
      </w:r>
      <w:r>
        <w:rPr>
          <w:rFonts w:hint="eastAsia" w:ascii="宋体" w:hAnsi="宋体"/>
          <w:color w:val="auto"/>
          <w:sz w:val="24"/>
          <w:highlight w:val="none"/>
          <w:u w:val="single"/>
        </w:rPr>
        <w:t xml:space="preserve">         </w:t>
      </w:r>
      <w:r>
        <w:rPr>
          <w:rFonts w:hint="eastAsia" w:ascii="宋体" w:hAnsi="宋体"/>
          <w:color w:val="auto"/>
          <w:sz w:val="24"/>
          <w:highlight w:val="none"/>
        </w:rPr>
        <w:t>职务，为法定代表人，特此证明。</w:t>
      </w:r>
    </w:p>
    <w:p w14:paraId="029478E2">
      <w:pPr>
        <w:spacing w:line="360" w:lineRule="auto"/>
        <w:rPr>
          <w:rFonts w:hint="eastAsia" w:ascii="宋体" w:hAnsi="宋体"/>
          <w:color w:val="auto"/>
          <w:sz w:val="24"/>
          <w:highlight w:val="none"/>
        </w:rPr>
      </w:pPr>
    </w:p>
    <w:p w14:paraId="41A4129F">
      <w:pPr>
        <w:spacing w:line="360" w:lineRule="auto"/>
        <w:rPr>
          <w:rFonts w:hint="eastAsia" w:ascii="宋体" w:hAnsi="宋体"/>
          <w:color w:val="auto"/>
          <w:sz w:val="24"/>
          <w:highlight w:val="none"/>
        </w:rPr>
      </w:pPr>
      <w:r>
        <w:rPr>
          <w:rFonts w:hint="eastAsia" w:ascii="宋体" w:hAnsi="宋体"/>
          <w:color w:val="auto"/>
          <w:sz w:val="24"/>
          <w:highlight w:val="none"/>
        </w:rPr>
        <w:t>单位（盖公章）：</w:t>
      </w:r>
    </w:p>
    <w:p w14:paraId="1EFB14B7">
      <w:pPr>
        <w:spacing w:line="360" w:lineRule="auto"/>
        <w:rPr>
          <w:rFonts w:hint="eastAsia" w:ascii="宋体" w:hAnsi="宋体"/>
          <w:color w:val="auto"/>
          <w:sz w:val="24"/>
          <w:highlight w:val="none"/>
        </w:rPr>
      </w:pPr>
    </w:p>
    <w:p w14:paraId="502ED7EF">
      <w:pPr>
        <w:spacing w:line="360" w:lineRule="auto"/>
        <w:rPr>
          <w:rFonts w:hint="eastAsia" w:ascii="宋体" w:hAnsi="宋体"/>
          <w:color w:val="auto"/>
          <w:sz w:val="24"/>
          <w:highlight w:val="none"/>
        </w:rPr>
      </w:pPr>
      <w:r>
        <w:rPr>
          <w:rFonts w:hint="eastAsia" w:ascii="宋体" w:hAnsi="宋体"/>
          <w:color w:val="auto"/>
          <w:sz w:val="24"/>
          <w:highlight w:val="none"/>
        </w:rPr>
        <w:t>附：</w:t>
      </w:r>
    </w:p>
    <w:p w14:paraId="0FA7EC88">
      <w:pPr>
        <w:spacing w:line="360" w:lineRule="auto"/>
        <w:rPr>
          <w:rFonts w:hint="eastAsia" w:ascii="宋体" w:hAnsi="宋体"/>
          <w:color w:val="auto"/>
          <w:sz w:val="24"/>
          <w:highlight w:val="none"/>
        </w:rPr>
      </w:pPr>
      <w:r>
        <w:rPr>
          <w:rFonts w:hint="eastAsia" w:ascii="宋体" w:hAnsi="宋体"/>
          <w:color w:val="auto"/>
          <w:sz w:val="24"/>
          <w:highlight w:val="none"/>
        </w:rPr>
        <w:t>代表人性别：</w:t>
      </w:r>
      <w:r>
        <w:rPr>
          <w:rFonts w:hint="eastAsia" w:ascii="宋体" w:hAnsi="宋体"/>
          <w:color w:val="auto"/>
          <w:sz w:val="24"/>
          <w:highlight w:val="none"/>
          <w:u w:val="single"/>
        </w:rPr>
        <w:t xml:space="preserve">                             </w:t>
      </w:r>
    </w:p>
    <w:p w14:paraId="59F821B6">
      <w:pPr>
        <w:spacing w:line="360" w:lineRule="auto"/>
        <w:rPr>
          <w:rFonts w:hint="eastAsia" w:ascii="宋体" w:hAnsi="宋体"/>
          <w:color w:val="auto"/>
          <w:sz w:val="24"/>
          <w:highlight w:val="none"/>
        </w:rPr>
      </w:pPr>
      <w:r>
        <w:rPr>
          <w:rFonts w:hint="eastAsia" w:ascii="宋体" w:hAnsi="宋体"/>
          <w:color w:val="auto"/>
          <w:sz w:val="24"/>
          <w:highlight w:val="none"/>
        </w:rPr>
        <w:t>年龄：</w:t>
      </w:r>
      <w:r>
        <w:rPr>
          <w:rFonts w:hint="eastAsia" w:ascii="宋体" w:hAnsi="宋体"/>
          <w:color w:val="auto"/>
          <w:sz w:val="24"/>
          <w:highlight w:val="none"/>
          <w:u w:val="single"/>
        </w:rPr>
        <w:t xml:space="preserve">                                   </w:t>
      </w:r>
    </w:p>
    <w:p w14:paraId="4ABA9875">
      <w:pPr>
        <w:spacing w:line="360" w:lineRule="auto"/>
        <w:rPr>
          <w:rFonts w:hint="eastAsia" w:ascii="宋体" w:hAnsi="宋体"/>
          <w:color w:val="auto"/>
          <w:sz w:val="24"/>
          <w:highlight w:val="non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p>
    <w:p w14:paraId="0D47AD2E">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纳税人识别号</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45595BD6">
      <w:pPr>
        <w:spacing w:line="360" w:lineRule="auto"/>
        <w:rPr>
          <w:rFonts w:hint="eastAsia" w:ascii="宋体" w:hAnsi="宋体"/>
          <w:color w:val="auto"/>
          <w:sz w:val="24"/>
          <w:highlight w:val="none"/>
        </w:rPr>
      </w:pPr>
      <w:r>
        <w:rPr>
          <w:rFonts w:hint="eastAsia" w:ascii="宋体" w:hAnsi="宋体"/>
          <w:color w:val="auto"/>
          <w:sz w:val="24"/>
          <w:highlight w:val="none"/>
        </w:rPr>
        <w:t>经济性质：</w:t>
      </w:r>
      <w:r>
        <w:rPr>
          <w:rFonts w:hint="eastAsia" w:ascii="宋体" w:hAnsi="宋体"/>
          <w:color w:val="auto"/>
          <w:sz w:val="24"/>
          <w:highlight w:val="none"/>
          <w:u w:val="single"/>
        </w:rPr>
        <w:t xml:space="preserve">                               </w:t>
      </w:r>
    </w:p>
    <w:p w14:paraId="6E357D07">
      <w:pPr>
        <w:spacing w:line="360" w:lineRule="auto"/>
        <w:rPr>
          <w:rFonts w:hint="eastAsia" w:ascii="宋体" w:hAnsi="宋体"/>
          <w:color w:val="auto"/>
          <w:sz w:val="24"/>
          <w:highlight w:val="none"/>
          <w:u w:val="single"/>
        </w:rPr>
      </w:pPr>
      <w:r>
        <w:rPr>
          <w:rFonts w:hint="eastAsia" w:ascii="宋体" w:hAnsi="宋体"/>
          <w:color w:val="auto"/>
          <w:sz w:val="24"/>
          <w:highlight w:val="none"/>
        </w:rPr>
        <w:t>主营（产）：</w:t>
      </w:r>
      <w:r>
        <w:rPr>
          <w:rFonts w:hint="eastAsia" w:ascii="宋体" w:hAnsi="宋体"/>
          <w:color w:val="auto"/>
          <w:sz w:val="24"/>
          <w:highlight w:val="none"/>
          <w:u w:val="single"/>
        </w:rPr>
        <w:t xml:space="preserve">                              </w:t>
      </w:r>
    </w:p>
    <w:p w14:paraId="42474DCC">
      <w:pPr>
        <w:spacing w:line="360" w:lineRule="auto"/>
        <w:rPr>
          <w:rFonts w:hint="eastAsia" w:ascii="宋体" w:hAnsi="宋体"/>
          <w:bCs/>
          <w:color w:val="auto"/>
          <w:sz w:val="24"/>
          <w:highlight w:val="none"/>
          <w:u w:val="single"/>
        </w:rPr>
      </w:pPr>
    </w:p>
    <w:p w14:paraId="7DBAE78A">
      <w:pPr>
        <w:spacing w:line="360" w:lineRule="auto"/>
        <w:rPr>
          <w:rFonts w:hint="eastAsia" w:ascii="宋体" w:hAnsi="宋体"/>
          <w:bCs/>
          <w:color w:val="auto"/>
          <w:sz w:val="24"/>
          <w:highlight w:val="none"/>
          <w:u w:val="single"/>
        </w:rPr>
      </w:pPr>
      <w:r>
        <w:rPr>
          <w:rFonts w:ascii="宋体" w:hAnsi="宋体"/>
          <w:bCs/>
          <w:color w:val="auto"/>
          <w:sz w:val="20"/>
          <w:highlight w:val="none"/>
          <w:u w:val="single"/>
        </w:rPr>
        <mc:AlternateContent>
          <mc:Choice Requires="wps">
            <w:drawing>
              <wp:anchor distT="0" distB="0" distL="114300" distR="114300" simplePos="0" relativeHeight="251660288" behindDoc="0" locked="0" layoutInCell="1" allowOverlap="1">
                <wp:simplePos x="0" y="0"/>
                <wp:positionH relativeFrom="column">
                  <wp:posOffset>1844675</wp:posOffset>
                </wp:positionH>
                <wp:positionV relativeFrom="paragraph">
                  <wp:posOffset>52070</wp:posOffset>
                </wp:positionV>
                <wp:extent cx="1714500" cy="434340"/>
                <wp:effectExtent l="4445" t="5080" r="14605" b="17780"/>
                <wp:wrapNone/>
                <wp:docPr id="12" name="文本框 12"/>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CF7E68">
                            <w:pPr>
                              <w:jc w:val="center"/>
                            </w:pPr>
                            <w:r>
                              <w:rPr>
                                <w:rFonts w:hint="eastAsia"/>
                              </w:rPr>
                              <w:t>加盖投标人公章</w:t>
                            </w:r>
                          </w:p>
                          <w:p w14:paraId="7A613B90">
                            <w:pPr>
                              <w:jc w:val="center"/>
                            </w:pPr>
                          </w:p>
                        </w:txbxContent>
                      </wps:txbx>
                      <wps:bodyPr upright="1"/>
                    </wps:wsp>
                  </a:graphicData>
                </a:graphic>
              </wp:anchor>
            </w:drawing>
          </mc:Choice>
          <mc:Fallback>
            <w:pict>
              <v:shape id="_x0000_s1026" o:spid="_x0000_s1026" o:spt="202" type="#_x0000_t202" style="position:absolute;left:0pt;margin-left:145.25pt;margin-top:4.1pt;height:34.2pt;width:135pt;z-index:251660288;mso-width-relative:page;mso-height-relative:page;" fillcolor="#FFFFFF" filled="t" stroked="t" coordsize="21600,21600" o:gfxdata="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anLqtcAAAAIAQAADwAAAAAAAAABACAAAAAi&#10;AAAAZHJzL2Rvd25yZXYueG1sUEsBAhQAFAAAAAgAh07iQMIuKo4LAgAAOAQAAA4AAAAAAAAAAQAg&#10;AAAAJgEAAGRycy9lMm9Eb2MueG1sUEsFBgAAAAAGAAYAWQEAAKMFAAAAAA==&#10;">
                <v:fill on="t" focussize="0,0"/>
                <v:stroke color="#000000" joinstyle="miter"/>
                <v:imagedata o:title=""/>
                <o:lock v:ext="edit" aspectratio="f"/>
                <v:textbox>
                  <w:txbxContent>
                    <w:p w14:paraId="6ECF7E68">
                      <w:pPr>
                        <w:jc w:val="center"/>
                      </w:pPr>
                      <w:r>
                        <w:rPr>
                          <w:rFonts w:hint="eastAsia"/>
                        </w:rPr>
                        <w:t>加盖投标人公章</w:t>
                      </w:r>
                    </w:p>
                    <w:p w14:paraId="7A613B90">
                      <w:pPr>
                        <w:jc w:val="center"/>
                      </w:pPr>
                    </w:p>
                  </w:txbxContent>
                </v:textbox>
              </v:shape>
            </w:pict>
          </mc:Fallback>
        </mc:AlternateContent>
      </w:r>
    </w:p>
    <w:tbl>
      <w:tblPr>
        <w:tblStyle w:val="17"/>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14:paraId="49DCBED2">
        <w:trPr>
          <w:cantSplit/>
          <w:trHeight w:val="4807" w:hRule="atLeast"/>
          <w:jc w:val="center"/>
        </w:trPr>
        <w:tc>
          <w:tcPr>
            <w:tcW w:w="7740" w:type="dxa"/>
            <w:vAlign w:val="center"/>
          </w:tcPr>
          <w:p w14:paraId="74878F3E">
            <w:pPr>
              <w:spacing w:line="460" w:lineRule="exact"/>
              <w:ind w:right="-85"/>
              <w:jc w:val="center"/>
              <w:rPr>
                <w:rFonts w:hint="eastAsia" w:ascii="宋体" w:hAnsi="宋体"/>
                <w:color w:val="auto"/>
                <w:highlight w:val="none"/>
              </w:rPr>
            </w:pPr>
            <w:r>
              <w:rPr>
                <w:rFonts w:hint="eastAsia" w:ascii="宋体" w:hAnsi="宋体"/>
                <w:color w:val="auto"/>
                <w:highlight w:val="none"/>
              </w:rPr>
              <w:t>（法</w:t>
            </w:r>
            <w:r>
              <w:rPr>
                <w:rFonts w:hint="eastAsia" w:ascii="宋体" w:hAnsi="宋体"/>
                <w:color w:val="auto"/>
                <w:highlight w:val="none"/>
                <w:lang w:val="en-US" w:eastAsia="zh-CN"/>
              </w:rPr>
              <w:t>定</w:t>
            </w:r>
            <w:r>
              <w:rPr>
                <w:rFonts w:hint="eastAsia" w:ascii="宋体" w:hAnsi="宋体"/>
                <w:color w:val="auto"/>
                <w:highlight w:val="none"/>
              </w:rPr>
              <w:t>代表</w:t>
            </w:r>
            <w:r>
              <w:rPr>
                <w:rFonts w:hint="eastAsia" w:ascii="宋体" w:hAnsi="宋体"/>
                <w:color w:val="auto"/>
                <w:highlight w:val="none"/>
                <w:lang w:val="en-US" w:eastAsia="zh-CN"/>
              </w:rPr>
              <w:t>人</w:t>
            </w:r>
            <w:r>
              <w:rPr>
                <w:rFonts w:hint="eastAsia" w:ascii="宋体" w:hAnsi="宋体"/>
                <w:color w:val="auto"/>
                <w:highlight w:val="none"/>
              </w:rPr>
              <w:t>身份证复印件）</w:t>
            </w:r>
          </w:p>
        </w:tc>
      </w:tr>
    </w:tbl>
    <w:p w14:paraId="429A68EF">
      <w:pPr>
        <w:spacing w:line="360" w:lineRule="auto"/>
        <w:ind w:left="420" w:hanging="420" w:hangingChars="200"/>
        <w:rPr>
          <w:rFonts w:hint="eastAsia" w:ascii="宋体" w:hAnsi="宋体"/>
          <w:bCs/>
          <w:color w:val="auto"/>
          <w:highlight w:val="none"/>
        </w:rPr>
      </w:pPr>
    </w:p>
    <w:p w14:paraId="5DE608FB">
      <w:pPr>
        <w:spacing w:line="360" w:lineRule="auto"/>
        <w:ind w:left="422" w:hanging="420" w:hangingChars="200"/>
        <w:rPr>
          <w:rFonts w:hint="eastAsia" w:ascii="宋体" w:hAnsi="宋体"/>
          <w:b/>
          <w:bCs/>
          <w:color w:val="auto"/>
          <w:highlight w:val="none"/>
        </w:rPr>
      </w:pPr>
      <w:r>
        <w:rPr>
          <w:rFonts w:hint="eastAsia" w:ascii="宋体" w:hAnsi="宋体"/>
          <w:b/>
          <w:bCs/>
          <w:color w:val="auto"/>
          <w:highlight w:val="none"/>
        </w:rPr>
        <w:t>注：法定代表人的姓名必须与营业执照法定代表人姓名完全一致。</w:t>
      </w:r>
    </w:p>
    <w:p w14:paraId="6CD100E8">
      <w:pPr>
        <w:pStyle w:val="5"/>
        <w:rPr>
          <w:rFonts w:hint="eastAsia"/>
          <w:bCs/>
          <w:color w:val="auto"/>
          <w:sz w:val="24"/>
          <w:highlight w:val="none"/>
        </w:rPr>
      </w:pPr>
      <w:r>
        <w:rPr>
          <w:color w:val="auto"/>
          <w:highlight w:val="none"/>
        </w:rPr>
        <w:br w:type="page"/>
      </w:r>
      <w:bookmarkStart w:id="33" w:name="_Toc34535368"/>
      <w:bookmarkStart w:id="34" w:name="_Toc28489506"/>
      <w:bookmarkStart w:id="35" w:name="_Toc35834922"/>
      <w:bookmarkStart w:id="36" w:name="_Toc14450848"/>
      <w:bookmarkStart w:id="37" w:name="_Toc109467921"/>
      <w:r>
        <w:rPr>
          <w:rFonts w:hint="eastAsia"/>
          <w:bCs/>
          <w:color w:val="auto"/>
          <w:sz w:val="24"/>
          <w:highlight w:val="none"/>
        </w:rPr>
        <w:t xml:space="preserve">               </w:t>
      </w:r>
    </w:p>
    <w:p w14:paraId="20A5FD6A">
      <w:pPr>
        <w:pStyle w:val="5"/>
        <w:jc w:val="center"/>
        <w:rPr>
          <w:rFonts w:hint="eastAsia"/>
          <w:bCs/>
          <w:color w:val="auto"/>
          <w:sz w:val="24"/>
          <w:highlight w:val="none"/>
        </w:rPr>
      </w:pPr>
      <w:r>
        <w:rPr>
          <w:rFonts w:hint="eastAsia"/>
          <w:bCs/>
          <w:color w:val="auto"/>
          <w:sz w:val="24"/>
          <w:highlight w:val="none"/>
        </w:rPr>
        <w:t>法定代表人授权委托书</w:t>
      </w:r>
      <w:bookmarkEnd w:id="33"/>
      <w:bookmarkEnd w:id="34"/>
      <w:bookmarkEnd w:id="35"/>
      <w:bookmarkEnd w:id="36"/>
      <w:bookmarkEnd w:id="37"/>
    </w:p>
    <w:p w14:paraId="4C585C34">
      <w:pPr>
        <w:pStyle w:val="24"/>
        <w:rPr>
          <w:rFonts w:hint="eastAsia"/>
          <w:color w:val="auto"/>
          <w:highlight w:val="none"/>
        </w:rPr>
      </w:pPr>
    </w:p>
    <w:p w14:paraId="1A28A3D2">
      <w:pPr>
        <w:spacing w:line="360" w:lineRule="auto"/>
        <w:ind w:left="2" w:firstLine="460" w:firstLineChars="192"/>
        <w:rPr>
          <w:rFonts w:hint="eastAsia" w:ascii="宋体" w:hAnsi="宋体"/>
          <w:bCs/>
          <w:color w:val="auto"/>
          <w:sz w:val="24"/>
          <w:highlight w:val="none"/>
        </w:rPr>
      </w:pPr>
      <w:r>
        <w:rPr>
          <w:rFonts w:hint="eastAsia" w:ascii="宋体" w:hAnsi="宋体"/>
          <w:bCs/>
          <w:color w:val="auto"/>
          <w:sz w:val="24"/>
          <w:highlight w:val="none"/>
        </w:rPr>
        <w:t>兹授权</w:t>
      </w:r>
      <w:r>
        <w:rPr>
          <w:rFonts w:hint="eastAsia" w:ascii="宋体" w:hAnsi="宋体"/>
          <w:bCs/>
          <w:color w:val="auto"/>
          <w:sz w:val="24"/>
          <w:highlight w:val="none"/>
          <w:u w:val="single"/>
        </w:rPr>
        <w:t xml:space="preserve">     </w:t>
      </w:r>
      <w:r>
        <w:rPr>
          <w:rFonts w:hint="eastAsia" w:ascii="宋体" w:hAnsi="宋体"/>
          <w:bCs/>
          <w:color w:val="auto"/>
          <w:sz w:val="24"/>
          <w:highlight w:val="none"/>
        </w:rPr>
        <w:t>（身份证号</w:t>
      </w:r>
      <w:r>
        <w:rPr>
          <w:rFonts w:hint="eastAsia" w:ascii="宋体" w:hAnsi="宋体"/>
          <w:bCs/>
          <w:color w:val="auto"/>
          <w:sz w:val="24"/>
          <w:highlight w:val="none"/>
          <w:u w:val="single"/>
        </w:rPr>
        <w:t xml:space="preserve">：                      </w:t>
      </w:r>
      <w:r>
        <w:rPr>
          <w:rFonts w:hint="eastAsia" w:ascii="宋体" w:hAnsi="宋体"/>
          <w:bCs/>
          <w:color w:val="auto"/>
          <w:sz w:val="24"/>
          <w:highlight w:val="none"/>
        </w:rPr>
        <w:t xml:space="preserve"> ，性别：</w:t>
      </w:r>
      <w:r>
        <w:rPr>
          <w:rFonts w:hint="eastAsia" w:ascii="宋体" w:hAnsi="宋体"/>
          <w:bCs/>
          <w:color w:val="auto"/>
          <w:sz w:val="24"/>
          <w:highlight w:val="none"/>
          <w:u w:val="single"/>
        </w:rPr>
        <w:t xml:space="preserve">   </w:t>
      </w:r>
      <w:r>
        <w:rPr>
          <w:rFonts w:hint="eastAsia" w:ascii="宋体" w:hAnsi="宋体"/>
          <w:bCs/>
          <w:color w:val="auto"/>
          <w:sz w:val="24"/>
          <w:highlight w:val="none"/>
        </w:rPr>
        <w:t>，年龄：</w:t>
      </w:r>
      <w:r>
        <w:rPr>
          <w:rFonts w:hint="eastAsia" w:ascii="宋体" w:hAnsi="宋体"/>
          <w:bCs/>
          <w:color w:val="auto"/>
          <w:sz w:val="24"/>
          <w:highlight w:val="none"/>
          <w:u w:val="single"/>
        </w:rPr>
        <w:t xml:space="preserve">     </w:t>
      </w:r>
      <w:r>
        <w:rPr>
          <w:rFonts w:hint="eastAsia" w:ascii="宋体" w:hAnsi="宋体"/>
          <w:bCs/>
          <w:color w:val="auto"/>
          <w:sz w:val="24"/>
          <w:highlight w:val="none"/>
        </w:rPr>
        <w:t>，职务：</w:t>
      </w:r>
      <w:r>
        <w:rPr>
          <w:rFonts w:hint="eastAsia" w:ascii="宋体" w:hAnsi="宋体"/>
          <w:bCs/>
          <w:color w:val="auto"/>
          <w:sz w:val="24"/>
          <w:highlight w:val="none"/>
          <w:u w:val="single"/>
        </w:rPr>
        <w:t xml:space="preserve">     </w:t>
      </w:r>
      <w:r>
        <w:rPr>
          <w:rFonts w:hint="eastAsia" w:ascii="宋体" w:hAnsi="宋体"/>
          <w:bCs/>
          <w:color w:val="auto"/>
          <w:sz w:val="24"/>
          <w:highlight w:val="none"/>
        </w:rPr>
        <w:t>，联系电话：</w:t>
      </w:r>
      <w:r>
        <w:rPr>
          <w:rFonts w:hint="eastAsia" w:ascii="宋体" w:hAnsi="宋体"/>
          <w:bCs/>
          <w:color w:val="auto"/>
          <w:sz w:val="24"/>
          <w:highlight w:val="none"/>
          <w:u w:val="single"/>
        </w:rPr>
        <w:t xml:space="preserve">                </w:t>
      </w:r>
      <w:r>
        <w:rPr>
          <w:rFonts w:hint="eastAsia" w:ascii="宋体" w:hAnsi="宋体"/>
          <w:bCs/>
          <w:color w:val="auto"/>
          <w:sz w:val="24"/>
          <w:highlight w:val="none"/>
        </w:rPr>
        <w:t>），作为投标人代表以本公司的名义处理一切与之有关的事宜。</w:t>
      </w:r>
    </w:p>
    <w:p w14:paraId="29644AB0">
      <w:pPr>
        <w:spacing w:line="360" w:lineRule="auto"/>
        <w:ind w:left="2" w:firstLine="460" w:firstLineChars="192"/>
        <w:rPr>
          <w:rFonts w:hint="eastAsia" w:ascii="宋体" w:hAnsi="宋体"/>
          <w:bCs/>
          <w:color w:val="auto"/>
          <w:sz w:val="24"/>
          <w:highlight w:val="none"/>
        </w:rPr>
      </w:pPr>
      <w:r>
        <w:rPr>
          <w:rFonts w:hint="eastAsia" w:ascii="宋体" w:hAnsi="宋体"/>
          <w:color w:val="auto"/>
          <w:sz w:val="24"/>
          <w:highlight w:val="none"/>
        </w:rPr>
        <w:t>代理人无转委权。</w:t>
      </w:r>
    </w:p>
    <w:p w14:paraId="6A0C60EA">
      <w:pPr>
        <w:spacing w:line="360" w:lineRule="auto"/>
        <w:ind w:left="2" w:firstLine="460" w:firstLineChars="192"/>
        <w:rPr>
          <w:rFonts w:hint="eastAsia" w:ascii="宋体" w:hAnsi="宋体"/>
          <w:color w:val="auto"/>
          <w:sz w:val="24"/>
          <w:highlight w:val="none"/>
        </w:rPr>
      </w:pPr>
      <w:r>
        <w:rPr>
          <w:rFonts w:hint="eastAsia" w:ascii="宋体" w:hAnsi="宋体"/>
          <w:bCs/>
          <w:color w:val="auto"/>
          <w:sz w:val="24"/>
          <w:highlight w:val="none"/>
        </w:rPr>
        <w:t>本授权书于</w:t>
      </w:r>
      <w:r>
        <w:rPr>
          <w:rFonts w:hint="eastAsia" w:ascii="宋体" w:hAnsi="宋体"/>
          <w:bCs/>
          <w:color w:val="auto"/>
          <w:sz w:val="24"/>
          <w:highlight w:val="none"/>
          <w:u w:val="single"/>
        </w:rPr>
        <w:t xml:space="preserve">    </w:t>
      </w:r>
      <w:r>
        <w:rPr>
          <w:rFonts w:hint="eastAsia" w:ascii="宋体" w:hAnsi="宋体"/>
          <w:bCs/>
          <w:color w:val="auto"/>
          <w:sz w:val="24"/>
          <w:highlight w:val="none"/>
        </w:rPr>
        <w:t>年</w:t>
      </w:r>
      <w:r>
        <w:rPr>
          <w:rFonts w:hint="eastAsia" w:ascii="宋体" w:hAnsi="宋体"/>
          <w:bCs/>
          <w:color w:val="auto"/>
          <w:sz w:val="24"/>
          <w:highlight w:val="none"/>
          <w:u w:val="single"/>
        </w:rPr>
        <w:t xml:space="preserve">  </w:t>
      </w:r>
      <w:r>
        <w:rPr>
          <w:rFonts w:hint="eastAsia" w:ascii="宋体" w:hAnsi="宋体"/>
          <w:bCs/>
          <w:color w:val="auto"/>
          <w:sz w:val="24"/>
          <w:highlight w:val="none"/>
        </w:rPr>
        <w:t>月</w:t>
      </w:r>
      <w:r>
        <w:rPr>
          <w:rFonts w:hint="eastAsia" w:ascii="宋体" w:hAnsi="宋体"/>
          <w:bCs/>
          <w:color w:val="auto"/>
          <w:sz w:val="24"/>
          <w:highlight w:val="none"/>
          <w:u w:val="single"/>
        </w:rPr>
        <w:t xml:space="preserve">  </w:t>
      </w:r>
      <w:r>
        <w:rPr>
          <w:rFonts w:hint="eastAsia" w:ascii="宋体" w:hAnsi="宋体"/>
          <w:bCs/>
          <w:color w:val="auto"/>
          <w:sz w:val="24"/>
          <w:highlight w:val="none"/>
        </w:rPr>
        <w:t>日签字生效，</w:t>
      </w:r>
      <w:r>
        <w:rPr>
          <w:rFonts w:hint="eastAsia" w:ascii="宋体" w:hAnsi="宋体"/>
          <w:color w:val="auto"/>
          <w:sz w:val="24"/>
          <w:highlight w:val="none"/>
        </w:rPr>
        <w:t>有效日期：</w:t>
      </w:r>
      <w:r>
        <w:rPr>
          <w:rFonts w:hint="eastAsia" w:ascii="宋体" w:hAnsi="宋体"/>
          <w:bCs/>
          <w:color w:val="auto"/>
          <w:sz w:val="24"/>
          <w:highlight w:val="none"/>
          <w:u w:val="single"/>
        </w:rPr>
        <w:t xml:space="preserve">    </w:t>
      </w:r>
      <w:r>
        <w:rPr>
          <w:rFonts w:hint="eastAsia" w:ascii="宋体" w:hAnsi="宋体"/>
          <w:bCs/>
          <w:color w:val="auto"/>
          <w:sz w:val="24"/>
          <w:highlight w:val="none"/>
        </w:rPr>
        <w:t>年</w:t>
      </w:r>
      <w:r>
        <w:rPr>
          <w:rFonts w:hint="eastAsia" w:ascii="宋体" w:hAnsi="宋体"/>
          <w:bCs/>
          <w:color w:val="auto"/>
          <w:sz w:val="24"/>
          <w:highlight w:val="none"/>
          <w:u w:val="single"/>
        </w:rPr>
        <w:t xml:space="preserve">  </w:t>
      </w:r>
      <w:r>
        <w:rPr>
          <w:rFonts w:hint="eastAsia" w:ascii="宋体" w:hAnsi="宋体"/>
          <w:bCs/>
          <w:color w:val="auto"/>
          <w:sz w:val="24"/>
          <w:highlight w:val="none"/>
        </w:rPr>
        <w:t>月</w:t>
      </w:r>
      <w:r>
        <w:rPr>
          <w:rFonts w:hint="eastAsia" w:ascii="宋体" w:hAnsi="宋体"/>
          <w:bCs/>
          <w:color w:val="auto"/>
          <w:sz w:val="24"/>
          <w:highlight w:val="none"/>
          <w:u w:val="single"/>
        </w:rPr>
        <w:t xml:space="preserve">  </w:t>
      </w:r>
      <w:r>
        <w:rPr>
          <w:rFonts w:hint="eastAsia" w:ascii="宋体" w:hAnsi="宋体"/>
          <w:bCs/>
          <w:color w:val="auto"/>
          <w:sz w:val="24"/>
          <w:highlight w:val="none"/>
        </w:rPr>
        <w:t>日。</w:t>
      </w:r>
      <w:r>
        <w:rPr>
          <w:rFonts w:hint="eastAsia" w:ascii="宋体" w:hAnsi="宋体"/>
          <w:color w:val="auto"/>
          <w:sz w:val="24"/>
          <w:highlight w:val="none"/>
        </w:rPr>
        <w:t xml:space="preserve">  </w:t>
      </w:r>
    </w:p>
    <w:p w14:paraId="78D66B29">
      <w:pPr>
        <w:spacing w:line="360" w:lineRule="auto"/>
        <w:ind w:left="2" w:firstLine="460" w:firstLineChars="192"/>
        <w:rPr>
          <w:rFonts w:hint="eastAsia" w:ascii="宋体" w:hAnsi="宋体"/>
          <w:bCs/>
          <w:color w:val="auto"/>
          <w:sz w:val="24"/>
          <w:highlight w:val="none"/>
        </w:rPr>
      </w:pPr>
      <w:r>
        <w:rPr>
          <w:rFonts w:hint="eastAsia" w:ascii="宋体" w:hAnsi="宋体"/>
          <w:bCs/>
          <w:color w:val="auto"/>
          <w:sz w:val="24"/>
          <w:highlight w:val="none"/>
        </w:rPr>
        <w:t>特此声明。</w:t>
      </w:r>
    </w:p>
    <w:p w14:paraId="00474BC3">
      <w:pPr>
        <w:spacing w:line="360" w:lineRule="auto"/>
        <w:rPr>
          <w:rFonts w:hint="eastAsia" w:ascii="宋体" w:hAnsi="宋体"/>
          <w:bCs/>
          <w:color w:val="auto"/>
          <w:sz w:val="24"/>
          <w:highlight w:val="none"/>
        </w:rPr>
      </w:pPr>
    </w:p>
    <w:p w14:paraId="7CFB17EE">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法定代表人签字或盖章：</w:t>
      </w:r>
      <w:r>
        <w:rPr>
          <w:rFonts w:hint="eastAsia" w:ascii="宋体" w:hAnsi="宋体"/>
          <w:bCs/>
          <w:color w:val="auto"/>
          <w:sz w:val="24"/>
          <w:highlight w:val="none"/>
          <w:u w:val="single"/>
        </w:rPr>
        <w:t xml:space="preserve">                                  </w:t>
      </w:r>
    </w:p>
    <w:p w14:paraId="421BDA02">
      <w:pPr>
        <w:spacing w:line="360" w:lineRule="auto"/>
        <w:rPr>
          <w:rFonts w:hint="eastAsia" w:ascii="宋体" w:hAnsi="宋体"/>
          <w:bCs/>
          <w:color w:val="auto"/>
          <w:sz w:val="24"/>
          <w:highlight w:val="none"/>
        </w:rPr>
      </w:pPr>
    </w:p>
    <w:p w14:paraId="3D7DBFF5">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投标人代表（授权代表）签字或盖章：</w:t>
      </w:r>
      <w:r>
        <w:rPr>
          <w:rFonts w:hint="eastAsia" w:ascii="宋体" w:hAnsi="宋体"/>
          <w:bCs/>
          <w:color w:val="auto"/>
          <w:sz w:val="24"/>
          <w:highlight w:val="none"/>
          <w:u w:val="single"/>
        </w:rPr>
        <w:t xml:space="preserve">                    </w:t>
      </w:r>
    </w:p>
    <w:p w14:paraId="39D9D50A">
      <w:pPr>
        <w:spacing w:line="360" w:lineRule="auto"/>
        <w:rPr>
          <w:rFonts w:hint="eastAsia" w:ascii="宋体" w:hAnsi="宋体"/>
          <w:bCs/>
          <w:color w:val="auto"/>
          <w:sz w:val="24"/>
          <w:highlight w:val="none"/>
        </w:rPr>
      </w:pPr>
    </w:p>
    <w:p w14:paraId="7C1EDF67">
      <w:pPr>
        <w:spacing w:line="360" w:lineRule="auto"/>
        <w:rPr>
          <w:rFonts w:hint="eastAsia" w:ascii="宋体" w:hAnsi="宋体"/>
          <w:bCs/>
          <w:color w:val="auto"/>
          <w:sz w:val="24"/>
          <w:highlight w:val="none"/>
          <w:u w:val="single"/>
        </w:rPr>
      </w:pPr>
      <w:r>
        <w:rPr>
          <w:rFonts w:ascii="宋体" w:hAnsi="宋体"/>
          <w:bCs/>
          <w:color w:val="auto"/>
          <w:sz w:val="20"/>
          <w:highlight w:val="none"/>
          <w:u w:val="single"/>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99060</wp:posOffset>
                </wp:positionV>
                <wp:extent cx="1714500" cy="434340"/>
                <wp:effectExtent l="4445" t="5080" r="14605" b="17780"/>
                <wp:wrapNone/>
                <wp:docPr id="13" name="文本框 13"/>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7E886B">
                            <w:pPr>
                              <w:jc w:val="center"/>
                            </w:pPr>
                            <w:r>
                              <w:rPr>
                                <w:rFonts w:hint="eastAsia"/>
                              </w:rPr>
                              <w:t>加盖投标人公章</w:t>
                            </w:r>
                          </w:p>
                          <w:p w14:paraId="6FCCB4E4"/>
                        </w:txbxContent>
                      </wps:txbx>
                      <wps:bodyPr upright="1"/>
                    </wps:wsp>
                  </a:graphicData>
                </a:graphic>
              </wp:anchor>
            </w:drawing>
          </mc:Choice>
          <mc:Fallback>
            <w:pict>
              <v:shape id="_x0000_s1026" o:spid="_x0000_s1026" o:spt="202" type="#_x0000_t202" style="position:absolute;left:0pt;margin-left:171pt;margin-top:7.8pt;height:34.2pt;width:135pt;z-index:251661312;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ZcAHXAAAACQEAAA8AAAAAAAAAAQAgAAAA&#10;IgAAAGRycy9kb3ducmV2LnhtbFBLAQIUABQAAAAIAIdO4kDJ2rgfDAIAADgEAAAOAAAAAAAAAAEA&#10;IAAAACYBAABkcnMvZTJvRG9jLnhtbFBLBQYAAAAABgAGAFkBAACkBQAAAAA=&#10;">
                <v:fill on="t" focussize="0,0"/>
                <v:stroke color="#000000" joinstyle="miter"/>
                <v:imagedata o:title=""/>
                <o:lock v:ext="edit" aspectratio="f"/>
                <v:textbox>
                  <w:txbxContent>
                    <w:p w14:paraId="187E886B">
                      <w:pPr>
                        <w:jc w:val="center"/>
                      </w:pPr>
                      <w:r>
                        <w:rPr>
                          <w:rFonts w:hint="eastAsia"/>
                        </w:rPr>
                        <w:t>加盖投标人公章</w:t>
                      </w:r>
                    </w:p>
                    <w:p w14:paraId="6FCCB4E4"/>
                  </w:txbxContent>
                </v:textbox>
              </v:shape>
            </w:pict>
          </mc:Fallback>
        </mc:AlternateContent>
      </w:r>
    </w:p>
    <w:tbl>
      <w:tblPr>
        <w:tblStyle w:val="17"/>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14:paraId="3CAC9E64">
        <w:trPr>
          <w:cantSplit/>
          <w:trHeight w:val="4807" w:hRule="atLeast"/>
        </w:trPr>
        <w:tc>
          <w:tcPr>
            <w:tcW w:w="7740" w:type="dxa"/>
            <w:vAlign w:val="center"/>
          </w:tcPr>
          <w:p w14:paraId="279DAFCF">
            <w:pPr>
              <w:spacing w:line="460" w:lineRule="exact"/>
              <w:ind w:right="-85" w:firstLine="589"/>
              <w:jc w:val="center"/>
              <w:rPr>
                <w:rFonts w:hint="eastAsia" w:ascii="宋体" w:hAnsi="宋体"/>
                <w:color w:val="auto"/>
                <w:highlight w:val="none"/>
              </w:rPr>
            </w:pPr>
            <w:r>
              <w:rPr>
                <w:rFonts w:hint="eastAsia" w:ascii="宋体" w:hAnsi="宋体"/>
                <w:color w:val="auto"/>
                <w:highlight w:val="none"/>
              </w:rPr>
              <w:t>（投标人代表身份证复印件）</w:t>
            </w:r>
          </w:p>
        </w:tc>
      </w:tr>
    </w:tbl>
    <w:p w14:paraId="666EF7A5">
      <w:pPr>
        <w:pStyle w:val="5"/>
        <w:rPr>
          <w:rFonts w:hint="eastAsia"/>
          <w:color w:val="auto"/>
          <w:sz w:val="24"/>
          <w:highlight w:val="none"/>
        </w:rPr>
      </w:pPr>
    </w:p>
    <w:p w14:paraId="5D6DD5D9">
      <w:pPr>
        <w:rPr>
          <w:color w:val="auto"/>
          <w:highlight w:val="none"/>
        </w:rPr>
      </w:pPr>
    </w:p>
    <w:p w14:paraId="4100ED19">
      <w:pPr>
        <w:rPr>
          <w:color w:val="auto"/>
          <w:highlight w:val="none"/>
        </w:rPr>
      </w:pPr>
    </w:p>
    <w:p w14:paraId="5B972F97">
      <w:pPr>
        <w:rPr>
          <w:color w:val="auto"/>
          <w:highlight w:val="none"/>
        </w:rPr>
      </w:pPr>
    </w:p>
    <w:p w14:paraId="6D4FF615">
      <w:pPr>
        <w:rPr>
          <w:color w:val="auto"/>
          <w:highlight w:val="none"/>
        </w:rPr>
      </w:pPr>
    </w:p>
    <w:p w14:paraId="466A487B">
      <w:pPr>
        <w:pStyle w:val="5"/>
        <w:rPr>
          <w:rFonts w:hint="eastAsia"/>
          <w:bCs/>
          <w:color w:val="auto"/>
          <w:sz w:val="24"/>
          <w:highlight w:val="none"/>
        </w:rPr>
      </w:pPr>
      <w:r>
        <w:rPr>
          <w:rFonts w:hint="eastAsia"/>
          <w:bCs/>
          <w:color w:val="auto"/>
          <w:sz w:val="24"/>
          <w:highlight w:val="none"/>
        </w:rPr>
        <w:t xml:space="preserve">附件3                            </w:t>
      </w:r>
    </w:p>
    <w:p w14:paraId="4C3968E7">
      <w:pPr>
        <w:pStyle w:val="5"/>
        <w:ind w:firstLine="3296" w:firstLineChars="1372"/>
        <w:rPr>
          <w:rFonts w:hint="eastAsia"/>
          <w:bCs/>
          <w:color w:val="auto"/>
          <w:sz w:val="24"/>
          <w:highlight w:val="none"/>
        </w:rPr>
      </w:pPr>
      <w:r>
        <w:rPr>
          <w:rFonts w:hint="eastAsia"/>
          <w:bCs/>
          <w:color w:val="auto"/>
          <w:sz w:val="24"/>
          <w:highlight w:val="none"/>
        </w:rPr>
        <w:t xml:space="preserve">   投标函</w:t>
      </w:r>
    </w:p>
    <w:p w14:paraId="26CCFDB0">
      <w:pPr>
        <w:pStyle w:val="24"/>
        <w:rPr>
          <w:rFonts w:hint="eastAsia"/>
          <w:color w:val="auto"/>
          <w:highlight w:val="none"/>
        </w:rPr>
      </w:pPr>
    </w:p>
    <w:p w14:paraId="54D49B56">
      <w:pPr>
        <w:spacing w:line="360" w:lineRule="auto"/>
        <w:rPr>
          <w:rFonts w:hint="eastAsia" w:ascii="宋体" w:hAnsi="宋体" w:eastAsia="宋体"/>
          <w:color w:val="auto"/>
          <w:sz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lang w:eastAsia="zh-CN"/>
        </w:rPr>
        <w:t>广州南沙文体投资有限公司</w:t>
      </w:r>
    </w:p>
    <w:p w14:paraId="5FCB0CFE">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为响应你方组织的</w:t>
      </w:r>
      <w:r>
        <w:rPr>
          <w:rFonts w:hint="eastAsia" w:hAnsi="宋体"/>
          <w:color w:val="auto"/>
          <w:sz w:val="24"/>
          <w:szCs w:val="24"/>
          <w:highlight w:val="none"/>
          <w:u w:val="single"/>
        </w:rPr>
        <w:t xml:space="preserve">  </w:t>
      </w:r>
      <w:bookmarkStart w:id="38" w:name="fsmingc_6"/>
      <w:r>
        <w:rPr>
          <w:rFonts w:hint="eastAsia" w:hAnsi="宋体"/>
          <w:color w:val="auto"/>
          <w:sz w:val="24"/>
          <w:szCs w:val="24"/>
          <w:highlight w:val="none"/>
          <w:u w:val="single"/>
        </w:rPr>
        <w:t>(项目名称)</w:t>
      </w:r>
      <w:bookmarkEnd w:id="38"/>
      <w:r>
        <w:rPr>
          <w:rFonts w:hint="eastAsia" w:hAnsi="宋体"/>
          <w:color w:val="auto"/>
          <w:sz w:val="24"/>
          <w:szCs w:val="24"/>
          <w:highlight w:val="none"/>
          <w:u w:val="single"/>
        </w:rPr>
        <w:t xml:space="preserve">  </w:t>
      </w:r>
      <w:r>
        <w:rPr>
          <w:rFonts w:hint="eastAsia" w:hAnsi="宋体"/>
          <w:color w:val="auto"/>
          <w:kern w:val="28"/>
          <w:sz w:val="24"/>
          <w:szCs w:val="24"/>
          <w:highlight w:val="none"/>
        </w:rPr>
        <w:t>项目</w:t>
      </w:r>
      <w:r>
        <w:rPr>
          <w:rFonts w:hint="eastAsia" w:hAnsi="宋体"/>
          <w:color w:val="auto"/>
          <w:sz w:val="24"/>
          <w:szCs w:val="24"/>
          <w:highlight w:val="none"/>
        </w:rPr>
        <w:t>的采购，我方愿参与投标。</w:t>
      </w:r>
    </w:p>
    <w:p w14:paraId="023EAFD1">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我方确认收到贵方提供的</w:t>
      </w:r>
      <w:r>
        <w:rPr>
          <w:rFonts w:hAnsi="宋体"/>
          <w:color w:val="auto"/>
          <w:kern w:val="28"/>
          <w:sz w:val="24"/>
          <w:szCs w:val="24"/>
          <w:highlight w:val="none"/>
          <w:u w:val="single"/>
        </w:rPr>
        <w:t xml:space="preserve">  </w:t>
      </w:r>
      <w:bookmarkStart w:id="39" w:name="fsmingc_7"/>
      <w:r>
        <w:rPr>
          <w:rFonts w:hint="eastAsia" w:hAnsi="宋体"/>
          <w:color w:val="auto"/>
          <w:kern w:val="28"/>
          <w:sz w:val="24"/>
          <w:szCs w:val="24"/>
          <w:highlight w:val="none"/>
          <w:u w:val="single"/>
        </w:rPr>
        <w:t>(项目名称)</w:t>
      </w:r>
      <w:bookmarkEnd w:id="39"/>
      <w:r>
        <w:rPr>
          <w:rFonts w:hAnsi="宋体"/>
          <w:color w:val="auto"/>
          <w:kern w:val="28"/>
          <w:sz w:val="24"/>
          <w:szCs w:val="24"/>
          <w:highlight w:val="none"/>
          <w:u w:val="single"/>
        </w:rPr>
        <w:t xml:space="preserve">  </w:t>
      </w:r>
      <w:r>
        <w:rPr>
          <w:rFonts w:hint="eastAsia" w:hAnsi="宋体"/>
          <w:color w:val="auto"/>
          <w:sz w:val="24"/>
          <w:szCs w:val="24"/>
          <w:highlight w:val="none"/>
        </w:rPr>
        <w:t>的招标文件的全部内容。</w:t>
      </w:r>
    </w:p>
    <w:p w14:paraId="2AAC0C1A">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我方在参与投标前已详细研究了招标文件的所有内容，包括澄清、修改文件（如有）和所有已提供的参考资料以及有关附件，我方完全明白并认为此招标文件没有倾向性，也不存在排斥潜在投标人的内容，我方同意招标文件的相关条款，放弃对招标文件提出误解和质疑的一切权力。</w:t>
      </w:r>
    </w:p>
    <w:p w14:paraId="7F8165C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i/>
          <w:color w:val="auto"/>
          <w:sz w:val="24"/>
          <w:highlight w:val="none"/>
          <w:u w:val="singl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作为投标人正式授权</w:t>
      </w:r>
      <w:r>
        <w:rPr>
          <w:rFonts w:hint="eastAsia" w:ascii="宋体" w:hAnsi="宋体"/>
          <w:color w:val="auto"/>
          <w:sz w:val="24"/>
          <w:highlight w:val="none"/>
          <w:u w:val="single"/>
        </w:rPr>
        <w:t xml:space="preserve">  </w:t>
      </w:r>
      <w:r>
        <w:rPr>
          <w:rFonts w:hint="eastAsia" w:ascii="宋体" w:hAnsi="宋体"/>
          <w:i/>
          <w:color w:val="auto"/>
          <w:sz w:val="24"/>
          <w:highlight w:val="none"/>
          <w:u w:val="single"/>
        </w:rPr>
        <w:t xml:space="preserve">(授权代表全名, 职务)  </w:t>
      </w:r>
      <w:r>
        <w:rPr>
          <w:rFonts w:hint="eastAsia" w:ascii="宋体" w:hAnsi="宋体"/>
          <w:color w:val="auto"/>
          <w:sz w:val="24"/>
          <w:highlight w:val="none"/>
        </w:rPr>
        <w:t>代表我方全权处理有关本投标的一切事宜。</w:t>
      </w:r>
    </w:p>
    <w:p w14:paraId="48E5092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在此提交的投标文件，正本壹份，副本肆份及电子文件。</w:t>
      </w:r>
    </w:p>
    <w:p w14:paraId="16B79583">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我方已完全明白招标文件的所有条款要求，并申明如下：</w:t>
      </w:r>
    </w:p>
    <w:p w14:paraId="0B285F0F">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（一）按采购文件提供的相关服务的投标总价详见《开标一览表(报价表)》。</w:t>
      </w:r>
    </w:p>
    <w:p w14:paraId="09E80CD2">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二）本投标文件的有效期为投标截止时间起90天。如中标，有效期将延至合同终止之日为止。在此提交的资格证明文件均至投标截止日有效，如有在投标有效期内失效的，我方承诺在中标后补齐一切手续，保证所有资格证明文件能在签订合同时直至合同终止日有效。</w:t>
      </w:r>
    </w:p>
    <w:p w14:paraId="5A7FE975">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（三）我方明白并同意，在规定的投标截止日之后，投标有效期之内不得撤回投标。</w:t>
      </w:r>
    </w:p>
    <w:p w14:paraId="02E3A5DD">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（四）我方同意按照贵方可能提出的要求而提供与投标有关的任何其它数据、信息或资料。</w:t>
      </w:r>
    </w:p>
    <w:p w14:paraId="3CD73CAB">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（五）我方理解贵方不一定接受最低投标价或任何贵方可能收到的投标。</w:t>
      </w:r>
    </w:p>
    <w:p w14:paraId="3DE5DA68">
      <w:pPr>
        <w:pStyle w:val="10"/>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（六）我方如果中标，将保证履行招标文件及其澄清、修改文件（如有）中的全部责任和义务，按质、按量、按期完成《用户需求书》及《合同书》中的全部任务。</w:t>
      </w:r>
    </w:p>
    <w:p w14:paraId="3722CD0C">
      <w:pPr>
        <w:pStyle w:val="10"/>
        <w:tabs>
          <w:tab w:val="left" w:pos="9360"/>
        </w:tabs>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（八）我方是在法律、财务和运作上独立于采购人的投标人，在此保证所提交的所有文件和全部说明是真实的和正确的。</w:t>
      </w:r>
    </w:p>
    <w:p w14:paraId="599BEE67">
      <w:pPr>
        <w:spacing w:line="360" w:lineRule="auto"/>
        <w:ind w:firstLine="410" w:firstLineChars="171"/>
        <w:rPr>
          <w:rFonts w:hint="eastAsia" w:ascii="宋体" w:hAnsi="宋体"/>
          <w:color w:val="auto"/>
          <w:sz w:val="24"/>
          <w:highlight w:val="none"/>
        </w:rPr>
      </w:pPr>
      <w:r>
        <w:rPr>
          <w:rFonts w:hint="eastAsia" w:ascii="宋体" w:hAnsi="宋体"/>
          <w:color w:val="auto"/>
          <w:sz w:val="24"/>
          <w:highlight w:val="none"/>
        </w:rPr>
        <w:t>（九）我方投标报价已包含应向知识产权所有权人支付的所有相关税费，并保证招标人在中国使用我方提供的货物或服务时，如有第三方提出侵犯其知识产权主张的，责任由我方承担。</w:t>
      </w:r>
    </w:p>
    <w:p w14:paraId="46C617E3">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（十）我方对在本函及投标文件中所作的所有承诺承担法律责任。</w:t>
      </w:r>
    </w:p>
    <w:p w14:paraId="0E0380F4">
      <w:pPr>
        <w:spacing w:line="360" w:lineRule="auto"/>
        <w:ind w:firstLine="720" w:firstLineChars="300"/>
        <w:rPr>
          <w:rFonts w:hint="eastAsia" w:ascii="宋体" w:hAnsi="宋体"/>
          <w:color w:val="auto"/>
          <w:sz w:val="24"/>
          <w:highlight w:val="none"/>
        </w:rPr>
      </w:pPr>
      <w:r>
        <w:rPr>
          <w:rFonts w:hint="eastAsia" w:ascii="宋体" w:hAnsi="宋体"/>
          <w:color w:val="auto"/>
          <w:sz w:val="24"/>
          <w:highlight w:val="none"/>
        </w:rPr>
        <w:t>以上内容如有虚假或与事实不符的，评审委员会可将我方做无效投标处理，我方愿意承担相应的法律责任。</w:t>
      </w:r>
    </w:p>
    <w:p w14:paraId="7B64701D">
      <w:pPr>
        <w:spacing w:line="360" w:lineRule="auto"/>
        <w:rPr>
          <w:rFonts w:hint="eastAsia" w:ascii="宋体" w:hAnsi="宋体"/>
          <w:color w:val="auto"/>
          <w:sz w:val="24"/>
          <w:highlight w:val="none"/>
        </w:rPr>
      </w:pPr>
      <w:r>
        <w:rPr>
          <w:rFonts w:hint="eastAsia" w:ascii="宋体" w:hAnsi="宋体"/>
          <w:color w:val="auto"/>
          <w:sz w:val="24"/>
          <w:highlight w:val="none"/>
        </w:rPr>
        <w:t xml:space="preserve">    </w:t>
      </w:r>
    </w:p>
    <w:p w14:paraId="20E01C7D">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投 标 人 名 称：</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p>
    <w:p w14:paraId="5905955A">
      <w:pPr>
        <w:pStyle w:val="7"/>
        <w:rPr>
          <w:color w:val="auto"/>
          <w:highlight w:val="none"/>
        </w:rPr>
      </w:pPr>
    </w:p>
    <w:p w14:paraId="2A84023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法定代表人或投标授权代表（签字或签章）：</w:t>
      </w:r>
      <w:r>
        <w:rPr>
          <w:rFonts w:hint="eastAsia" w:ascii="宋体" w:hAnsi="宋体"/>
          <w:color w:val="auto"/>
          <w:sz w:val="24"/>
          <w:highlight w:val="none"/>
          <w:u w:val="single"/>
        </w:rPr>
        <w:t xml:space="preserve">                            </w:t>
      </w:r>
    </w:p>
    <w:p w14:paraId="764BD8B2">
      <w:pPr>
        <w:spacing w:line="360" w:lineRule="auto"/>
        <w:ind w:firstLine="480" w:firstLineChars="200"/>
        <w:rPr>
          <w:rFonts w:hint="eastAsia" w:ascii="宋体" w:hAnsi="宋体"/>
          <w:color w:val="auto"/>
          <w:sz w:val="24"/>
          <w:highlight w:val="none"/>
        </w:rPr>
      </w:pPr>
    </w:p>
    <w:p w14:paraId="6A1AFA0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投标人（公章）：</w:t>
      </w:r>
    </w:p>
    <w:p w14:paraId="33A95482">
      <w:pPr>
        <w:spacing w:line="360" w:lineRule="auto"/>
        <w:rPr>
          <w:rFonts w:hint="eastAsia" w:ascii="宋体" w:hAnsi="宋体"/>
          <w:color w:val="auto"/>
          <w:sz w:val="24"/>
          <w:highlight w:val="none"/>
          <w:u w:val="single"/>
        </w:rPr>
      </w:pPr>
    </w:p>
    <w:p w14:paraId="3C0A0C0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电话：</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传真：</w:t>
      </w:r>
    </w:p>
    <w:p w14:paraId="134126C9">
      <w:pPr>
        <w:pStyle w:val="5"/>
        <w:rPr>
          <w:rFonts w:hint="eastAsia"/>
          <w:bCs/>
          <w:color w:val="auto"/>
          <w:sz w:val="24"/>
          <w:highlight w:val="none"/>
        </w:rPr>
      </w:pPr>
      <w:r>
        <w:rPr>
          <w:color w:val="auto"/>
          <w:highlight w:val="none"/>
        </w:rPr>
        <w:br w:type="page"/>
      </w:r>
      <w:bookmarkStart w:id="40" w:name="_Toc55816096"/>
      <w:bookmarkStart w:id="41" w:name="_Toc25224019"/>
      <w:bookmarkStart w:id="42" w:name="_Toc109467909"/>
      <w:bookmarkStart w:id="43" w:name="_Toc41448359"/>
      <w:bookmarkStart w:id="44" w:name="_Toc86065029"/>
      <w:bookmarkStart w:id="45" w:name="_Toc28489497"/>
      <w:bookmarkStart w:id="46" w:name="_Toc35834913"/>
      <w:bookmarkStart w:id="47" w:name="_Toc34535359"/>
      <w:bookmarkStart w:id="48" w:name="_Toc14450839"/>
      <w:r>
        <w:rPr>
          <w:rFonts w:hint="eastAsia"/>
          <w:bCs/>
          <w:color w:val="auto"/>
          <w:sz w:val="24"/>
          <w:highlight w:val="none"/>
        </w:rPr>
        <w:t xml:space="preserve">附件4                      </w:t>
      </w:r>
    </w:p>
    <w:p w14:paraId="15586E81">
      <w:pPr>
        <w:pStyle w:val="5"/>
        <w:ind w:firstLine="3178" w:firstLineChars="1323"/>
        <w:rPr>
          <w:rFonts w:hint="eastAsia"/>
          <w:bCs/>
          <w:color w:val="auto"/>
          <w:sz w:val="24"/>
          <w:highlight w:val="none"/>
        </w:rPr>
      </w:pPr>
      <w:r>
        <w:rPr>
          <w:rFonts w:hint="eastAsia"/>
          <w:bCs/>
          <w:color w:val="auto"/>
          <w:sz w:val="24"/>
          <w:highlight w:val="none"/>
        </w:rPr>
        <w:t>投标人基本情况表</w:t>
      </w:r>
      <w:bookmarkEnd w:id="40"/>
      <w:bookmarkEnd w:id="41"/>
      <w:bookmarkEnd w:id="42"/>
      <w:bookmarkEnd w:id="43"/>
      <w:bookmarkEnd w:id="44"/>
    </w:p>
    <w:p w14:paraId="4D420359">
      <w:pPr>
        <w:pStyle w:val="24"/>
        <w:rPr>
          <w:rFonts w:hint="eastAsia"/>
          <w:color w:val="auto"/>
          <w:highlight w:val="none"/>
        </w:rPr>
      </w:pPr>
    </w:p>
    <w:p w14:paraId="14838361">
      <w:pPr>
        <w:spacing w:line="360" w:lineRule="auto"/>
        <w:rPr>
          <w:rFonts w:hint="eastAsia" w:ascii="宋体" w:hAnsi="宋体"/>
          <w:color w:val="auto"/>
          <w:sz w:val="24"/>
          <w:highlight w:val="none"/>
          <w:u w:val="singl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电话号码：</w:t>
      </w:r>
      <w:r>
        <w:rPr>
          <w:rFonts w:hint="eastAsia" w:ascii="宋体" w:hAnsi="宋体"/>
          <w:color w:val="auto"/>
          <w:sz w:val="24"/>
          <w:highlight w:val="none"/>
          <w:u w:val="single"/>
        </w:rPr>
        <w:t xml:space="preserve">               </w:t>
      </w:r>
    </w:p>
    <w:p w14:paraId="0C951905">
      <w:pPr>
        <w:spacing w:line="360" w:lineRule="auto"/>
        <w:rPr>
          <w:rFonts w:hint="eastAsia" w:ascii="宋体" w:hAnsi="宋体"/>
          <w:color w:val="auto"/>
          <w:sz w:val="24"/>
          <w:highlight w:val="none"/>
          <w:u w:val="single"/>
        </w:rPr>
      </w:pPr>
      <w:r>
        <w:rPr>
          <w:rFonts w:hint="eastAsia" w:ascii="宋体" w:hAnsi="宋体"/>
          <w:color w:val="auto"/>
          <w:sz w:val="24"/>
          <w:highlight w:val="none"/>
        </w:rPr>
        <w:t>2、地    址：</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传    真：</w:t>
      </w:r>
      <w:r>
        <w:rPr>
          <w:rFonts w:hint="eastAsia" w:ascii="宋体" w:hAnsi="宋体"/>
          <w:color w:val="auto"/>
          <w:sz w:val="24"/>
          <w:highlight w:val="none"/>
          <w:u w:val="single"/>
        </w:rPr>
        <w:t xml:space="preserve">               </w:t>
      </w:r>
    </w:p>
    <w:p w14:paraId="615A4E06">
      <w:pPr>
        <w:spacing w:line="360" w:lineRule="auto"/>
        <w:rPr>
          <w:rFonts w:hint="eastAsia" w:ascii="宋体" w:hAnsi="宋体"/>
          <w:color w:val="auto"/>
          <w:sz w:val="24"/>
          <w:highlight w:val="none"/>
          <w:u w:val="single"/>
        </w:rPr>
      </w:pPr>
      <w:r>
        <w:rPr>
          <w:rFonts w:hint="eastAsia" w:ascii="宋体" w:hAnsi="宋体"/>
          <w:color w:val="auto"/>
          <w:sz w:val="24"/>
          <w:highlight w:val="none"/>
        </w:rPr>
        <w:t>3、注册资金：</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经济性质：</w:t>
      </w:r>
      <w:r>
        <w:rPr>
          <w:rFonts w:hint="eastAsia" w:ascii="宋体" w:hAnsi="宋体"/>
          <w:color w:val="auto"/>
          <w:sz w:val="24"/>
          <w:highlight w:val="none"/>
          <w:u w:val="single"/>
        </w:rPr>
        <w:t xml:space="preserve">               </w:t>
      </w:r>
    </w:p>
    <w:p w14:paraId="3B8520DF">
      <w:pPr>
        <w:spacing w:line="360" w:lineRule="auto"/>
        <w:rPr>
          <w:rFonts w:hint="eastAsia" w:ascii="宋体" w:hAnsi="宋体"/>
          <w:color w:val="auto"/>
          <w:sz w:val="24"/>
          <w:highlight w:val="none"/>
        </w:rPr>
      </w:pPr>
      <w:r>
        <w:rPr>
          <w:rFonts w:hint="eastAsia" w:ascii="宋体" w:hAnsi="宋体"/>
          <w:color w:val="auto"/>
          <w:sz w:val="24"/>
          <w:highlight w:val="none"/>
        </w:rPr>
        <w:t>4、公司经营及资金状况：</w:t>
      </w:r>
    </w:p>
    <w:p w14:paraId="17D41B0B">
      <w:pPr>
        <w:spacing w:line="360" w:lineRule="auto"/>
        <w:rPr>
          <w:rFonts w:hint="eastAsia" w:ascii="宋体" w:hAnsi="宋体"/>
          <w:color w:val="auto"/>
          <w:sz w:val="24"/>
          <w:highlight w:val="none"/>
        </w:rPr>
      </w:pPr>
      <w:r>
        <w:rPr>
          <w:rFonts w:hint="eastAsia" w:ascii="宋体" w:hAnsi="宋体"/>
          <w:color w:val="auto"/>
          <w:sz w:val="24"/>
          <w:highlight w:val="none"/>
        </w:rPr>
        <w:t>经营范围：</w:t>
      </w:r>
    </w:p>
    <w:p w14:paraId="7515F4A7">
      <w:pPr>
        <w:spacing w:line="360" w:lineRule="auto"/>
        <w:rPr>
          <w:rFonts w:hint="eastAsia" w:ascii="宋体" w:hAnsi="宋体"/>
          <w:color w:val="auto"/>
          <w:sz w:val="24"/>
          <w:highlight w:val="none"/>
        </w:rPr>
      </w:pPr>
    </w:p>
    <w:p w14:paraId="0EAF954A">
      <w:pPr>
        <w:spacing w:line="360" w:lineRule="auto"/>
        <w:rPr>
          <w:rFonts w:hint="eastAsia" w:ascii="宋体" w:hAnsi="宋体"/>
          <w:color w:val="auto"/>
          <w:sz w:val="24"/>
          <w:highlight w:val="none"/>
        </w:rPr>
      </w:pPr>
      <w:r>
        <w:rPr>
          <w:rFonts w:hint="eastAsia" w:ascii="宋体" w:hAnsi="宋体"/>
          <w:color w:val="auto"/>
          <w:sz w:val="24"/>
          <w:highlight w:val="none"/>
        </w:rPr>
        <w:t>5、公司开户银行名称及帐户：                  地    址：</w:t>
      </w:r>
    </w:p>
    <w:p w14:paraId="3B829F35">
      <w:pPr>
        <w:pStyle w:val="24"/>
        <w:rPr>
          <w:rFonts w:hint="eastAsia"/>
          <w:color w:val="auto"/>
          <w:highlight w:val="none"/>
        </w:rPr>
      </w:pPr>
      <w:r>
        <w:rPr>
          <w:rFonts w:hint="eastAsia"/>
          <w:color w:val="auto"/>
          <w:highlight w:val="none"/>
        </w:rPr>
        <w:t xml:space="preserve">   名称：                    </w:t>
      </w:r>
    </w:p>
    <w:p w14:paraId="2B36A951">
      <w:pPr>
        <w:spacing w:line="360" w:lineRule="auto"/>
        <w:ind w:firstLine="420" w:firstLineChars="175"/>
        <w:rPr>
          <w:rFonts w:hint="eastAsia" w:ascii="宋体" w:hAnsi="宋体"/>
          <w:color w:val="auto"/>
          <w:sz w:val="24"/>
          <w:highlight w:val="none"/>
          <w:u w:val="single"/>
        </w:rPr>
      </w:pPr>
      <w:r>
        <w:rPr>
          <w:rFonts w:hint="eastAsia" w:ascii="宋体" w:hAnsi="宋体"/>
          <w:color w:val="auto"/>
          <w:sz w:val="24"/>
          <w:highlight w:val="none"/>
        </w:rPr>
        <w:t>帐户：</w:t>
      </w:r>
    </w:p>
    <w:p w14:paraId="194FE910">
      <w:pPr>
        <w:spacing w:line="360" w:lineRule="auto"/>
        <w:rPr>
          <w:rFonts w:hint="eastAsia" w:ascii="宋体" w:hAnsi="宋体"/>
          <w:color w:val="auto"/>
          <w:sz w:val="24"/>
          <w:highlight w:val="none"/>
        </w:rPr>
      </w:pPr>
      <w:r>
        <w:rPr>
          <w:rFonts w:hint="eastAsia" w:ascii="宋体" w:hAnsi="宋体"/>
          <w:color w:val="auto"/>
          <w:sz w:val="24"/>
          <w:highlight w:val="none"/>
        </w:rPr>
        <w:t>6、</w:t>
      </w:r>
      <w:r>
        <w:rPr>
          <w:rFonts w:hint="eastAsia" w:ascii="宋体" w:hAnsi="宋体"/>
          <w:color w:val="auto"/>
          <w:sz w:val="24"/>
          <w:highlight w:val="none"/>
          <w:lang w:val="en-US" w:eastAsia="zh-CN"/>
        </w:rPr>
        <w:t>纳税人识别号</w:t>
      </w:r>
      <w:r>
        <w:rPr>
          <w:rFonts w:hint="eastAsia" w:ascii="宋体" w:hAnsi="宋体"/>
          <w:color w:val="auto"/>
          <w:sz w:val="24"/>
          <w:highlight w:val="none"/>
        </w:rPr>
        <w:t>：</w:t>
      </w:r>
    </w:p>
    <w:p w14:paraId="1334A300">
      <w:pPr>
        <w:spacing w:line="360" w:lineRule="auto"/>
        <w:rPr>
          <w:rFonts w:hint="eastAsia" w:ascii="宋体" w:hAnsi="宋体"/>
          <w:color w:val="auto"/>
          <w:sz w:val="24"/>
          <w:highlight w:val="none"/>
        </w:rPr>
      </w:pPr>
    </w:p>
    <w:p w14:paraId="00C187D7">
      <w:pPr>
        <w:spacing w:line="360" w:lineRule="auto"/>
        <w:rPr>
          <w:rFonts w:hint="eastAsia" w:ascii="宋体" w:hAnsi="宋体"/>
          <w:color w:val="auto"/>
          <w:sz w:val="24"/>
          <w:highlight w:val="none"/>
        </w:rPr>
      </w:pPr>
      <w:r>
        <w:rPr>
          <w:rFonts w:hint="eastAsia" w:ascii="宋体" w:hAnsi="宋体"/>
          <w:color w:val="auto"/>
          <w:sz w:val="24"/>
          <w:highlight w:val="none"/>
        </w:rPr>
        <w:t>我/我们声明以上所述准确无误，您有权进行您认为有必要的所有调查。</w:t>
      </w:r>
    </w:p>
    <w:p w14:paraId="1BD7DAE8">
      <w:pPr>
        <w:spacing w:line="360" w:lineRule="auto"/>
        <w:rPr>
          <w:rFonts w:hint="eastAsia" w:ascii="宋体" w:hAnsi="宋体"/>
          <w:color w:val="auto"/>
          <w:sz w:val="24"/>
          <w:highlight w:val="none"/>
        </w:rPr>
      </w:pPr>
    </w:p>
    <w:p w14:paraId="36C14718">
      <w:pPr>
        <w:spacing w:line="360" w:lineRule="auto"/>
        <w:rPr>
          <w:rFonts w:hint="eastAsia" w:ascii="宋体" w:hAnsi="宋体"/>
          <w:color w:val="auto"/>
          <w:sz w:val="24"/>
          <w:highlight w:val="none"/>
        </w:rPr>
      </w:pPr>
      <w:r>
        <w:rPr>
          <w:rFonts w:hint="eastAsia" w:ascii="宋体" w:hAnsi="宋体"/>
          <w:color w:val="auto"/>
          <w:sz w:val="24"/>
          <w:highlight w:val="none"/>
        </w:rPr>
        <w:t>投标人全称（盖公章）：</w:t>
      </w:r>
    </w:p>
    <w:p w14:paraId="22654F3E">
      <w:pPr>
        <w:spacing w:line="360" w:lineRule="auto"/>
        <w:rPr>
          <w:rFonts w:hint="eastAsia" w:ascii="宋体" w:hAnsi="宋体"/>
          <w:color w:val="auto"/>
          <w:sz w:val="24"/>
          <w:highlight w:val="none"/>
        </w:rPr>
      </w:pPr>
    </w:p>
    <w:p w14:paraId="7C03A422">
      <w:pPr>
        <w:spacing w:line="360" w:lineRule="auto"/>
        <w:rPr>
          <w:rFonts w:hint="eastAsia" w:ascii="宋体" w:hAnsi="宋体"/>
          <w:color w:val="auto"/>
          <w:sz w:val="24"/>
          <w:highlight w:val="none"/>
        </w:rPr>
      </w:pPr>
      <w:r>
        <w:rPr>
          <w:rFonts w:hint="eastAsia" w:ascii="宋体" w:hAnsi="宋体"/>
          <w:color w:val="auto"/>
          <w:sz w:val="24"/>
          <w:highlight w:val="none"/>
        </w:rPr>
        <w:t>法定代表人或投标授权代表（签字或签章）：</w:t>
      </w:r>
    </w:p>
    <w:p w14:paraId="2B980686">
      <w:pPr>
        <w:spacing w:line="360" w:lineRule="auto"/>
        <w:rPr>
          <w:rFonts w:hint="eastAsia" w:ascii="宋体" w:hAnsi="宋体"/>
          <w:color w:val="auto"/>
          <w:sz w:val="24"/>
          <w:highlight w:val="none"/>
        </w:rPr>
      </w:pPr>
    </w:p>
    <w:p w14:paraId="72805D30">
      <w:pPr>
        <w:spacing w:line="360" w:lineRule="auto"/>
        <w:rPr>
          <w:rFonts w:hint="eastAsia" w:ascii="宋体" w:hAnsi="宋体"/>
          <w:color w:val="auto"/>
          <w:sz w:val="24"/>
          <w:highlight w:val="none"/>
        </w:rPr>
      </w:pPr>
      <w:r>
        <w:rPr>
          <w:rFonts w:hint="eastAsia" w:ascii="宋体" w:hAnsi="宋体"/>
          <w:color w:val="auto"/>
          <w:sz w:val="24"/>
          <w:highlight w:val="none"/>
        </w:rPr>
        <w:t>日    期：     年   月   日</w:t>
      </w:r>
    </w:p>
    <w:p w14:paraId="00C39534">
      <w:pPr>
        <w:pStyle w:val="5"/>
        <w:rPr>
          <w:rFonts w:hint="eastAsia"/>
          <w:bCs/>
          <w:color w:val="auto"/>
          <w:sz w:val="24"/>
          <w:highlight w:val="none"/>
        </w:rPr>
      </w:pPr>
      <w:r>
        <w:rPr>
          <w:color w:val="auto"/>
          <w:highlight w:val="none"/>
        </w:rPr>
        <w:br w:type="page"/>
      </w:r>
      <w:bookmarkStart w:id="49" w:name="_Toc109467910"/>
      <w:r>
        <w:rPr>
          <w:rFonts w:hint="eastAsia"/>
          <w:bCs/>
          <w:color w:val="auto"/>
          <w:sz w:val="24"/>
          <w:highlight w:val="none"/>
        </w:rPr>
        <w:t xml:space="preserve">附件5                       </w:t>
      </w:r>
    </w:p>
    <w:bookmarkEnd w:id="45"/>
    <w:bookmarkEnd w:id="46"/>
    <w:bookmarkEnd w:id="47"/>
    <w:bookmarkEnd w:id="48"/>
    <w:bookmarkEnd w:id="49"/>
    <w:p w14:paraId="3E21770A">
      <w:pPr>
        <w:pStyle w:val="5"/>
        <w:ind w:firstLine="0" w:firstLineChars="0"/>
        <w:jc w:val="center"/>
        <w:rPr>
          <w:rFonts w:hint="eastAsia"/>
          <w:color w:val="auto"/>
          <w:highlight w:val="none"/>
        </w:rPr>
      </w:pPr>
      <w:r>
        <w:rPr>
          <w:rFonts w:hint="eastAsia"/>
          <w:bCs/>
          <w:color w:val="auto"/>
          <w:sz w:val="24"/>
          <w:highlight w:val="none"/>
        </w:rPr>
        <w:t>开标一览表</w:t>
      </w:r>
    </w:p>
    <w:p w14:paraId="723061B0">
      <w:pPr>
        <w:pStyle w:val="14"/>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lang w:eastAsia="zh-CN"/>
        </w:rPr>
        <w:t>2025年体育赛事后勤保障服务项目</w:t>
      </w:r>
      <w:r>
        <w:rPr>
          <w:rFonts w:hint="eastAsia" w:ascii="宋体" w:hAnsi="宋体"/>
          <w:color w:val="auto"/>
          <w:sz w:val="24"/>
          <w:highlight w:val="none"/>
        </w:rPr>
        <w:t xml:space="preserve">                </w:t>
      </w:r>
    </w:p>
    <w:tbl>
      <w:tblPr>
        <w:tblStyle w:val="17"/>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3410"/>
        <w:gridCol w:w="3518"/>
      </w:tblGrid>
      <w:tr w14:paraId="0D1F719C">
        <w:trPr>
          <w:cantSplit/>
          <w:trHeight w:val="567" w:hRule="atLeast"/>
          <w:jc w:val="center"/>
        </w:trPr>
        <w:tc>
          <w:tcPr>
            <w:tcW w:w="591" w:type="pct"/>
            <w:tcBorders>
              <w:bottom w:val="single" w:color="auto" w:sz="4" w:space="0"/>
            </w:tcBorders>
            <w:noWrap w:val="0"/>
            <w:vAlign w:val="center"/>
          </w:tcPr>
          <w:p w14:paraId="1D4C1F9A">
            <w:pPr>
              <w:jc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val="en-US" w:eastAsia="zh-CN"/>
              </w:rPr>
              <w:t>序号</w:t>
            </w:r>
          </w:p>
        </w:tc>
        <w:tc>
          <w:tcPr>
            <w:tcW w:w="2170" w:type="pct"/>
            <w:tcBorders>
              <w:bottom w:val="single" w:color="auto" w:sz="4" w:space="0"/>
            </w:tcBorders>
            <w:noWrap w:val="0"/>
            <w:vAlign w:val="center"/>
          </w:tcPr>
          <w:p w14:paraId="5921DC24">
            <w:pPr>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内容</w:t>
            </w:r>
          </w:p>
        </w:tc>
        <w:tc>
          <w:tcPr>
            <w:tcW w:w="2237" w:type="pct"/>
            <w:tcBorders>
              <w:bottom w:val="single" w:color="auto" w:sz="4" w:space="0"/>
            </w:tcBorders>
            <w:noWrap w:val="0"/>
            <w:vAlign w:val="center"/>
          </w:tcPr>
          <w:p w14:paraId="125E934E">
            <w:pPr>
              <w:ind w:firstLine="440" w:firstLineChars="200"/>
              <w:jc w:val="both"/>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投标报价</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元</w:t>
            </w:r>
            <w:r>
              <w:rPr>
                <w:rFonts w:hint="eastAsia" w:ascii="宋体" w:hAnsi="宋体" w:eastAsia="宋体" w:cs="宋体"/>
                <w:b/>
                <w:bCs/>
                <w:color w:val="auto"/>
                <w:sz w:val="22"/>
                <w:szCs w:val="22"/>
                <w:highlight w:val="none"/>
                <w:lang w:eastAsia="zh-CN"/>
              </w:rPr>
              <w:t>）</w:t>
            </w:r>
          </w:p>
        </w:tc>
      </w:tr>
      <w:tr w14:paraId="6AAA5E4E">
        <w:trPr>
          <w:cantSplit/>
          <w:trHeight w:val="567" w:hRule="atLeast"/>
          <w:jc w:val="center"/>
        </w:trPr>
        <w:tc>
          <w:tcPr>
            <w:tcW w:w="591" w:type="pct"/>
            <w:noWrap w:val="0"/>
            <w:vAlign w:val="center"/>
          </w:tcPr>
          <w:p w14:paraId="571D6473">
            <w:pPr>
              <w:pStyle w:val="37"/>
              <w:jc w:val="center"/>
              <w:rPr>
                <w:rFonts w:hint="eastAsia" w:ascii="宋体" w:hAnsi="宋体" w:eastAsia="宋体" w:cs="宋体"/>
                <w:sz w:val="22"/>
                <w:szCs w:val="22"/>
                <w:lang w:val="en-US" w:eastAsia="zh-Hans"/>
              </w:rPr>
            </w:pPr>
            <w:r>
              <w:rPr>
                <w:rFonts w:hint="eastAsia" w:ascii="宋体" w:hAnsi="宋体" w:eastAsia="宋体" w:cs="宋体"/>
                <w:sz w:val="22"/>
                <w:szCs w:val="22"/>
              </w:rPr>
              <w:t>1</w:t>
            </w:r>
          </w:p>
        </w:tc>
        <w:tc>
          <w:tcPr>
            <w:tcW w:w="2170" w:type="pct"/>
            <w:noWrap w:val="0"/>
            <w:vAlign w:val="center"/>
          </w:tcPr>
          <w:p w14:paraId="09CB553D">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训练及参赛药品</w:t>
            </w:r>
          </w:p>
        </w:tc>
        <w:tc>
          <w:tcPr>
            <w:tcW w:w="2237" w:type="pct"/>
            <w:vMerge w:val="restart"/>
            <w:noWrap w:val="0"/>
            <w:vAlign w:val="center"/>
          </w:tcPr>
          <w:p w14:paraId="66D8A931">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val="en-US" w:eastAsia="zh-CN"/>
              </w:rPr>
            </w:pPr>
            <w:r>
              <w:rPr>
                <w:rFonts w:hint="eastAsia" w:ascii="宋体" w:hAnsi="宋体" w:eastAsia="宋体" w:cs="宋体"/>
                <w:bCs/>
                <w:color w:val="auto"/>
                <w:kern w:val="2"/>
                <w:sz w:val="22"/>
                <w:szCs w:val="22"/>
                <w:highlight w:val="none"/>
                <w:u w:val="none"/>
                <w:lang w:val="en-US" w:eastAsia="zh-CN"/>
              </w:rPr>
              <w:t>人民币</w:t>
            </w:r>
            <w:r>
              <w:rPr>
                <w:rFonts w:hint="eastAsia" w:ascii="宋体" w:hAnsi="宋体" w:eastAsia="宋体" w:cs="宋体"/>
                <w:bCs/>
                <w:color w:val="auto"/>
                <w:kern w:val="2"/>
                <w:sz w:val="22"/>
                <w:szCs w:val="22"/>
                <w:highlight w:val="none"/>
                <w:u w:val="single"/>
                <w:lang w:val="en-US" w:eastAsia="zh-CN"/>
              </w:rPr>
              <w:t xml:space="preserve">     </w:t>
            </w:r>
            <w:r>
              <w:rPr>
                <w:rFonts w:hint="eastAsia" w:ascii="宋体" w:hAnsi="宋体" w:eastAsia="宋体" w:cs="宋体"/>
                <w:bCs/>
                <w:color w:val="auto"/>
                <w:kern w:val="2"/>
                <w:sz w:val="22"/>
                <w:szCs w:val="22"/>
                <w:highlight w:val="none"/>
                <w:u w:val="none"/>
                <w:lang w:val="en-US" w:eastAsia="zh-CN"/>
              </w:rPr>
              <w:t>元，（大写：）</w:t>
            </w:r>
          </w:p>
        </w:tc>
      </w:tr>
      <w:tr w14:paraId="2B07FDC4">
        <w:trPr>
          <w:cantSplit/>
          <w:trHeight w:val="567" w:hRule="atLeast"/>
          <w:jc w:val="center"/>
        </w:trPr>
        <w:tc>
          <w:tcPr>
            <w:tcW w:w="591" w:type="pct"/>
            <w:noWrap w:val="0"/>
            <w:vAlign w:val="center"/>
          </w:tcPr>
          <w:p w14:paraId="4FA988FD">
            <w:pPr>
              <w:pStyle w:val="37"/>
              <w:jc w:val="center"/>
              <w:rPr>
                <w:rFonts w:hint="eastAsia" w:ascii="宋体" w:hAnsi="宋体" w:eastAsia="宋体" w:cs="宋体"/>
                <w:sz w:val="22"/>
                <w:szCs w:val="22"/>
                <w:lang w:val="en-US" w:eastAsia="zh-Hans"/>
              </w:rPr>
            </w:pPr>
            <w:r>
              <w:rPr>
                <w:rFonts w:hint="eastAsia" w:ascii="宋体" w:hAnsi="宋体" w:eastAsia="宋体" w:cs="宋体"/>
                <w:sz w:val="22"/>
                <w:szCs w:val="22"/>
              </w:rPr>
              <w:t>2</w:t>
            </w:r>
          </w:p>
        </w:tc>
        <w:tc>
          <w:tcPr>
            <w:tcW w:w="2170" w:type="pct"/>
            <w:shd w:val="clear" w:color="auto" w:fill="auto"/>
            <w:noWrap w:val="0"/>
            <w:vAlign w:val="center"/>
          </w:tcPr>
          <w:p w14:paraId="7E38F7B0">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运动员比赛伙食</w:t>
            </w:r>
          </w:p>
        </w:tc>
        <w:tc>
          <w:tcPr>
            <w:tcW w:w="2237" w:type="pct"/>
            <w:vMerge w:val="continue"/>
            <w:noWrap w:val="0"/>
            <w:vAlign w:val="center"/>
          </w:tcPr>
          <w:p w14:paraId="39DCC954">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eastAsia="zh-CN"/>
              </w:rPr>
            </w:pPr>
          </w:p>
        </w:tc>
      </w:tr>
      <w:tr w14:paraId="10B905AD">
        <w:trPr>
          <w:cantSplit/>
          <w:trHeight w:val="567" w:hRule="atLeast"/>
          <w:jc w:val="center"/>
        </w:trPr>
        <w:tc>
          <w:tcPr>
            <w:tcW w:w="591" w:type="pct"/>
            <w:noWrap w:val="0"/>
            <w:vAlign w:val="center"/>
          </w:tcPr>
          <w:p w14:paraId="5A3C97CC">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2170" w:type="pct"/>
            <w:shd w:val="clear" w:color="auto" w:fill="auto"/>
            <w:noWrap w:val="0"/>
            <w:vAlign w:val="center"/>
          </w:tcPr>
          <w:p w14:paraId="4CD60EE2">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教练员比赛伙食</w:t>
            </w:r>
          </w:p>
        </w:tc>
        <w:tc>
          <w:tcPr>
            <w:tcW w:w="2237" w:type="pct"/>
            <w:vMerge w:val="continue"/>
            <w:noWrap w:val="0"/>
            <w:vAlign w:val="center"/>
          </w:tcPr>
          <w:p w14:paraId="2F5F4622">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eastAsia="zh-CN"/>
              </w:rPr>
            </w:pPr>
          </w:p>
        </w:tc>
      </w:tr>
      <w:tr w14:paraId="47BA0FA3">
        <w:trPr>
          <w:cantSplit/>
          <w:trHeight w:val="567" w:hRule="atLeast"/>
          <w:jc w:val="center"/>
        </w:trPr>
        <w:tc>
          <w:tcPr>
            <w:tcW w:w="591" w:type="pct"/>
            <w:noWrap w:val="0"/>
            <w:vAlign w:val="center"/>
          </w:tcPr>
          <w:p w14:paraId="5364B5A6">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2170" w:type="pct"/>
            <w:shd w:val="clear" w:color="auto" w:fill="auto"/>
            <w:noWrap w:val="0"/>
            <w:vAlign w:val="center"/>
          </w:tcPr>
          <w:p w14:paraId="2D866BA2">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运动员、教练员比赛饮料</w:t>
            </w:r>
          </w:p>
        </w:tc>
        <w:tc>
          <w:tcPr>
            <w:tcW w:w="2237" w:type="pct"/>
            <w:vMerge w:val="continue"/>
            <w:noWrap w:val="0"/>
            <w:vAlign w:val="center"/>
          </w:tcPr>
          <w:p w14:paraId="7B71F343">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eastAsia="zh-CN"/>
              </w:rPr>
            </w:pPr>
          </w:p>
        </w:tc>
      </w:tr>
      <w:tr w14:paraId="62F91C02">
        <w:trPr>
          <w:cantSplit/>
          <w:trHeight w:val="567" w:hRule="atLeast"/>
          <w:jc w:val="center"/>
        </w:trPr>
        <w:tc>
          <w:tcPr>
            <w:tcW w:w="591" w:type="pct"/>
            <w:noWrap w:val="0"/>
            <w:vAlign w:val="center"/>
          </w:tcPr>
          <w:p w14:paraId="744F46E3">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2170" w:type="pct"/>
            <w:shd w:val="clear" w:color="auto" w:fill="auto"/>
            <w:noWrap w:val="0"/>
            <w:vAlign w:val="center"/>
          </w:tcPr>
          <w:p w14:paraId="0FC65E27">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运动员、教练员比赛保险费</w:t>
            </w:r>
          </w:p>
        </w:tc>
        <w:tc>
          <w:tcPr>
            <w:tcW w:w="2237" w:type="pct"/>
            <w:vMerge w:val="continue"/>
            <w:noWrap w:val="0"/>
            <w:vAlign w:val="center"/>
          </w:tcPr>
          <w:p w14:paraId="340A7015">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eastAsia="zh-CN"/>
              </w:rPr>
            </w:pPr>
          </w:p>
        </w:tc>
      </w:tr>
      <w:tr w14:paraId="5D7BC6FD">
        <w:trPr>
          <w:cantSplit/>
          <w:trHeight w:val="567" w:hRule="atLeast"/>
          <w:jc w:val="center"/>
        </w:trPr>
        <w:tc>
          <w:tcPr>
            <w:tcW w:w="591" w:type="pct"/>
            <w:noWrap w:val="0"/>
            <w:vAlign w:val="center"/>
          </w:tcPr>
          <w:p w14:paraId="7F09BEE1">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2170" w:type="pct"/>
            <w:shd w:val="clear" w:color="auto" w:fill="auto"/>
            <w:noWrap w:val="0"/>
            <w:vAlign w:val="center"/>
          </w:tcPr>
          <w:p w14:paraId="0A2D7366">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运动员体检</w:t>
            </w:r>
          </w:p>
        </w:tc>
        <w:tc>
          <w:tcPr>
            <w:tcW w:w="2237" w:type="pct"/>
            <w:vMerge w:val="continue"/>
            <w:noWrap w:val="0"/>
            <w:vAlign w:val="center"/>
          </w:tcPr>
          <w:p w14:paraId="795F4FD9">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eastAsia="zh-CN"/>
              </w:rPr>
            </w:pPr>
          </w:p>
        </w:tc>
      </w:tr>
      <w:tr w14:paraId="07595E26">
        <w:trPr>
          <w:cantSplit/>
          <w:trHeight w:val="567" w:hRule="atLeast"/>
          <w:jc w:val="center"/>
        </w:trPr>
        <w:tc>
          <w:tcPr>
            <w:tcW w:w="591" w:type="pct"/>
            <w:noWrap w:val="0"/>
            <w:vAlign w:val="center"/>
          </w:tcPr>
          <w:p w14:paraId="4529CE43">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2170" w:type="pct"/>
            <w:shd w:val="clear" w:color="auto" w:fill="auto"/>
            <w:noWrap w:val="0"/>
            <w:vAlign w:val="center"/>
          </w:tcPr>
          <w:p w14:paraId="5623663D">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运动员住宿</w:t>
            </w:r>
          </w:p>
        </w:tc>
        <w:tc>
          <w:tcPr>
            <w:tcW w:w="2237" w:type="pct"/>
            <w:vMerge w:val="continue"/>
            <w:noWrap w:val="0"/>
            <w:vAlign w:val="center"/>
          </w:tcPr>
          <w:p w14:paraId="39578503">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eastAsia="zh-CN"/>
              </w:rPr>
            </w:pPr>
          </w:p>
        </w:tc>
      </w:tr>
      <w:tr w14:paraId="16FD8474">
        <w:trPr>
          <w:cantSplit/>
          <w:trHeight w:val="567" w:hRule="atLeast"/>
          <w:jc w:val="center"/>
        </w:trPr>
        <w:tc>
          <w:tcPr>
            <w:tcW w:w="591" w:type="pct"/>
            <w:noWrap w:val="0"/>
            <w:vAlign w:val="center"/>
          </w:tcPr>
          <w:p w14:paraId="7CC65FC1">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2170" w:type="pct"/>
            <w:shd w:val="clear" w:color="auto" w:fill="auto"/>
            <w:noWrap w:val="0"/>
            <w:vAlign w:val="center"/>
          </w:tcPr>
          <w:p w14:paraId="00B3156E">
            <w:pPr>
              <w:pStyle w:val="37"/>
              <w:jc w:val="center"/>
              <w:rPr>
                <w:rFonts w:hint="eastAsia" w:ascii="宋体" w:hAnsi="宋体" w:eastAsia="宋体" w:cs="宋体"/>
                <w:sz w:val="22"/>
                <w:szCs w:val="22"/>
                <w:lang w:val="en-US" w:eastAsia="zh-CN"/>
              </w:rPr>
            </w:pPr>
            <w:r>
              <w:rPr>
                <w:rFonts w:hint="eastAsia" w:ascii="宋体" w:hAnsi="宋体" w:eastAsia="宋体" w:cs="宋体"/>
                <w:sz w:val="22"/>
                <w:szCs w:val="22"/>
              </w:rPr>
              <w:t>教练员住宿</w:t>
            </w:r>
          </w:p>
        </w:tc>
        <w:tc>
          <w:tcPr>
            <w:tcW w:w="2237" w:type="pct"/>
            <w:vMerge w:val="continue"/>
            <w:noWrap w:val="0"/>
            <w:vAlign w:val="center"/>
          </w:tcPr>
          <w:p w14:paraId="29451EEB">
            <w:pPr>
              <w:pStyle w:val="38"/>
              <w:widowControl w:val="0"/>
              <w:pBdr>
                <w:bottom w:val="none" w:color="auto" w:sz="0" w:space="0"/>
                <w:right w:val="none" w:color="auto" w:sz="0" w:space="0"/>
              </w:pBdr>
              <w:spacing w:before="0" w:beforeAutospacing="0" w:after="0" w:afterAutospacing="0"/>
              <w:jc w:val="left"/>
              <w:rPr>
                <w:rFonts w:hint="eastAsia" w:ascii="宋体" w:hAnsi="宋体" w:eastAsia="宋体" w:cs="宋体"/>
                <w:bCs/>
                <w:color w:val="auto"/>
                <w:kern w:val="2"/>
                <w:sz w:val="22"/>
                <w:szCs w:val="22"/>
                <w:highlight w:val="none"/>
                <w:u w:val="none"/>
                <w:lang w:eastAsia="zh-CN"/>
              </w:rPr>
            </w:pPr>
          </w:p>
        </w:tc>
      </w:tr>
      <w:tr w14:paraId="6339AE51">
        <w:trPr>
          <w:cantSplit/>
          <w:trHeight w:val="567" w:hRule="atLeast"/>
          <w:jc w:val="center"/>
        </w:trPr>
        <w:tc>
          <w:tcPr>
            <w:tcW w:w="5000" w:type="pct"/>
            <w:gridSpan w:val="3"/>
            <w:noWrap w:val="0"/>
            <w:vAlign w:val="center"/>
          </w:tcPr>
          <w:p w14:paraId="71A1975C">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r>
              <w:rPr>
                <w:rFonts w:hint="eastAsia" w:ascii="宋体" w:hAnsi="宋体" w:eastAsia="宋体" w:cs="宋体"/>
                <w:color w:val="auto"/>
                <w:sz w:val="22"/>
                <w:szCs w:val="22"/>
                <w:highlight w:val="none"/>
                <w:lang w:val="en-US" w:eastAsia="zh-CN"/>
              </w:rPr>
              <w:t>服务期</w:t>
            </w:r>
            <w:r>
              <w:rPr>
                <w:rFonts w:hint="eastAsia" w:ascii="宋体" w:hAnsi="宋体" w:eastAsia="宋体" w:cs="宋体"/>
                <w:bCs/>
                <w:color w:val="auto"/>
                <w:sz w:val="22"/>
                <w:szCs w:val="22"/>
                <w:highlight w:val="none"/>
                <w:lang w:val="en-US" w:eastAsia="zh-CN"/>
              </w:rPr>
              <w:t>自合同签订生效之日起至项目全部内容完成时止。</w:t>
            </w:r>
            <w:r>
              <w:rPr>
                <w:rFonts w:hint="eastAsia" w:ascii="宋体" w:hAnsi="宋体" w:eastAsia="宋体" w:cs="宋体"/>
                <w:color w:val="auto"/>
                <w:sz w:val="22"/>
                <w:szCs w:val="22"/>
                <w:highlight w:val="none"/>
                <w:lang w:eastAsia="zh-CN"/>
              </w:rPr>
              <w:t>投标报价包含所填写本数。</w:t>
            </w:r>
          </w:p>
        </w:tc>
      </w:tr>
    </w:tbl>
    <w:p w14:paraId="54A646BA">
      <w:pPr>
        <w:spacing w:line="360" w:lineRule="auto"/>
        <w:rPr>
          <w:rFonts w:hint="eastAsia" w:ascii="宋体" w:hAnsi="宋体" w:cs="宋体"/>
          <w:b/>
          <w:color w:val="auto"/>
          <w:szCs w:val="21"/>
          <w:highlight w:val="none"/>
        </w:rPr>
      </w:pPr>
    </w:p>
    <w:p w14:paraId="2C3B7A2B">
      <w:pPr>
        <w:spacing w:line="360" w:lineRule="auto"/>
        <w:jc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需求清单（供参考，具体根据赛事实际安排为准）</w:t>
      </w:r>
    </w:p>
    <w:tbl>
      <w:tblPr>
        <w:tblStyle w:val="17"/>
        <w:tblW w:w="4997"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421"/>
        <w:gridCol w:w="736"/>
        <w:gridCol w:w="1036"/>
        <w:gridCol w:w="998"/>
        <w:gridCol w:w="967"/>
        <w:gridCol w:w="1245"/>
        <w:gridCol w:w="3108"/>
      </w:tblGrid>
      <w:tr w14:paraId="461CFEC6">
        <w:trPr>
          <w:trHeight w:val="57" w:hRule="atLeast"/>
        </w:trPr>
        <w:tc>
          <w:tcPr>
            <w:tcW w:w="247" w:type="pct"/>
            <w:vMerge w:val="restar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B4EEFA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序号</w:t>
            </w:r>
          </w:p>
        </w:tc>
        <w:tc>
          <w:tcPr>
            <w:tcW w:w="432" w:type="pct"/>
            <w:vMerge w:val="restar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5BFCA6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项目</w:t>
            </w:r>
          </w:p>
        </w:tc>
        <w:tc>
          <w:tcPr>
            <w:tcW w:w="608"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C702AB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运动员数</w:t>
            </w:r>
          </w:p>
        </w:tc>
        <w:tc>
          <w:tcPr>
            <w:tcW w:w="586"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F879FD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教练员数</w:t>
            </w:r>
          </w:p>
        </w:tc>
        <w:tc>
          <w:tcPr>
            <w:tcW w:w="568" w:type="pc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F55658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参赛天数</w:t>
            </w:r>
          </w:p>
        </w:tc>
        <w:tc>
          <w:tcPr>
            <w:tcW w:w="731" w:type="pct"/>
            <w:vMerge w:val="restar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B3A3FB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竞赛日期</w:t>
            </w:r>
          </w:p>
        </w:tc>
        <w:tc>
          <w:tcPr>
            <w:tcW w:w="1825" w:type="pct"/>
            <w:vMerge w:val="restar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CB1DD0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竞赛地址</w:t>
            </w:r>
          </w:p>
        </w:tc>
      </w:tr>
      <w:tr w14:paraId="63BC2CAC">
        <w:trPr>
          <w:trHeight w:val="57" w:hRule="atLeast"/>
        </w:trPr>
        <w:tc>
          <w:tcPr>
            <w:tcW w:w="24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31D316">
            <w:pPr>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p>
        </w:tc>
        <w:tc>
          <w:tcPr>
            <w:tcW w:w="4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BD9325">
            <w:pPr>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84421E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（人）</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E8F218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（人）</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210DDD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（天）</w:t>
            </w:r>
          </w:p>
        </w:tc>
        <w:tc>
          <w:tcPr>
            <w:tcW w:w="73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35A2F1">
            <w:pPr>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p>
        </w:tc>
        <w:tc>
          <w:tcPr>
            <w:tcW w:w="182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FF7DC1">
            <w:pPr>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p>
        </w:tc>
      </w:tr>
      <w:tr w14:paraId="70AA7754">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0B922B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527DCC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柔道</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62A0F0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31</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3597F0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D64742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8CC1CF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5月9日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D47C24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广州市增城体育馆</w:t>
            </w:r>
          </w:p>
        </w:tc>
      </w:tr>
      <w:tr w14:paraId="704488DA">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25F3DB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672861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击剑</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2EB2DB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11</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839CE3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9A3F4F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6</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2B4F83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4月30日至5月5日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7BD74A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广州市黄埔区体育发展中心</w:t>
            </w:r>
          </w:p>
        </w:tc>
      </w:tr>
      <w:tr w14:paraId="4BA98BE6">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F98A3F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F6154A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田径</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7DCA6A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70</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EB14FF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6A9A83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1F6A79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5月14日至18日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1BFE1A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广州体育职业技术学院西区田径场、广州天河体育中心体育场</w:t>
            </w:r>
          </w:p>
        </w:tc>
      </w:tr>
      <w:tr w14:paraId="50E2A3EB">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318D8B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13F16A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射箭</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B04D3D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9</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9D82D5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340B5E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CF0D7F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待定</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D703E2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待定</w:t>
            </w:r>
          </w:p>
        </w:tc>
      </w:tr>
      <w:tr w14:paraId="3F446173">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539BAE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EF517A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速度</w:t>
            </w:r>
          </w:p>
          <w:p w14:paraId="17D2041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轮滑</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B9786B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F0C60C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CF1BE6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B2B9B2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5月17日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6D07EF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广州大学城体育中心轮滑场</w:t>
            </w:r>
          </w:p>
        </w:tc>
      </w:tr>
      <w:tr w14:paraId="6F1920E0">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66EB6E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6</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7B27D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冰球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A324FF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45</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D4A556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E708FE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108B23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35D80E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广州优托邦活力基地真冰溜冰场</w:t>
            </w:r>
          </w:p>
        </w:tc>
      </w:tr>
      <w:tr w14:paraId="3F09FECC">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B526EE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7</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2A019F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足球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0FA50E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80</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E32956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1A5196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9DF796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7-8月</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7982C8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体育东足球场、燕子岗体育场、市内各行政区场地</w:t>
            </w:r>
          </w:p>
        </w:tc>
      </w:tr>
      <w:tr w14:paraId="14273A80">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594684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8</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D6FD0C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游泳</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12EBB0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14</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A6F104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FF02A6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B336C3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待定</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D69B1F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待定</w:t>
            </w:r>
          </w:p>
        </w:tc>
      </w:tr>
      <w:tr w14:paraId="6C1B18AA">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F90437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9</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3B5EF8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跳水</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CB2803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39EE83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92E2BF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43B228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4月17日至20日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DEFC04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广州体育职业技术学院跳水馆、陆上训练馆</w:t>
            </w:r>
          </w:p>
        </w:tc>
      </w:tr>
      <w:tr w14:paraId="7EC16A9D">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68F22B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10</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9F75F8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蹦床</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D36868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16</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7700A7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4946F7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0EB366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4月30日至5月4日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7D18D6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广州体育职业技术学院蹦床训练馆</w:t>
            </w:r>
          </w:p>
        </w:tc>
      </w:tr>
      <w:tr w14:paraId="29D6629C">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A28E67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11</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1EE8AD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垒球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8906C6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C233AE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EBEE10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FE0822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0FEA91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广州天河体育中心棒球场</w:t>
            </w:r>
          </w:p>
        </w:tc>
      </w:tr>
      <w:tr w14:paraId="7D15A33C">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3588B3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12</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A3925B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棒球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2A6BDB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36</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472F90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D8FE11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0E47C4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4月11日至13日、19日至20日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0DA28B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广州天河体育中心棒球场</w:t>
            </w:r>
          </w:p>
        </w:tc>
      </w:tr>
      <w:tr w14:paraId="0EC2940D">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578EB4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13</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BEEA66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高尔夫球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D41EFB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36</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0E318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8CD395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1F608C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7月</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40E6E4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待定</w:t>
            </w:r>
          </w:p>
        </w:tc>
      </w:tr>
      <w:tr w14:paraId="1176C3AE">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6F0613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14</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D3E876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篮球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A034A5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68</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5B3503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7086B1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034053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4月30日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0E5ECA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广州体育职业技术学院风雨篮球场</w:t>
            </w:r>
          </w:p>
        </w:tc>
      </w:tr>
      <w:tr w14:paraId="18B9BC0A">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38CC34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15</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10781D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乒乓球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5B7076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25</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7B52D8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061192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8</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0DFB65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5月1日至5日（待定）</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AE60CF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广州市增城区增城体育馆（待定）</w:t>
            </w:r>
          </w:p>
        </w:tc>
      </w:tr>
      <w:tr w14:paraId="0722B55A">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6BA01C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16</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03CA2F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体操</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A03EF7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11</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1A1738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EE11BE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9151AB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5月1日至5日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D2788D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广州体育职业技术学院体操馆</w:t>
            </w:r>
          </w:p>
        </w:tc>
      </w:tr>
      <w:tr w14:paraId="41EA5260">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2781E1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17</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DC5246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网球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2AAC57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12</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BF1EE1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DECA05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EB748D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4月17日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68B0D5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广州南沙国际网球中心</w:t>
            </w:r>
          </w:p>
        </w:tc>
      </w:tr>
      <w:tr w14:paraId="705AA626">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6DCF5F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18</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42FD58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羽毛球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6C53D3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21</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52DD86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44AF22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3691DC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84CEE3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海珠体育中心（仲恺路628号）</w:t>
            </w:r>
          </w:p>
        </w:tc>
      </w:tr>
      <w:tr w14:paraId="0E2A24A6">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1EB462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19</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56A7A1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跆拳道</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A0106F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16</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38BF08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FA433C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8</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CCB439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5月2日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2B8DF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广州市海珠区体育馆</w:t>
            </w:r>
          </w:p>
        </w:tc>
      </w:tr>
      <w:tr w14:paraId="7EDFC16A">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7B2EB1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20</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A164BB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武术套路</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3174B8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30</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799476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3E1613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40A902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4月10日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DB9726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广州市南沙区体育馆</w:t>
            </w:r>
          </w:p>
        </w:tc>
      </w:tr>
      <w:tr w14:paraId="1161789D">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39926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21</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FF9793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花样滑冰</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F6F1A3D">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18</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D7249B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210B33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0021DA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6月21日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27ABD8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优托邦活力真冰溜冰场</w:t>
            </w:r>
          </w:p>
        </w:tc>
      </w:tr>
      <w:tr w14:paraId="763B4BCC">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1946C5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22</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1A35FE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攀岩</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CB2D51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AE57E5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55CE3A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DD7C1B6">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5月10日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118098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广州大学城体育中心攀岩场</w:t>
            </w:r>
          </w:p>
        </w:tc>
      </w:tr>
      <w:tr w14:paraId="30EB2681">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F1306E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23</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440572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摔跤</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62C272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15</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3E3A49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F59D8C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C60175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5月1日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02790B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广州体育职业技术学院摔跤馆</w:t>
            </w:r>
          </w:p>
        </w:tc>
      </w:tr>
      <w:tr w14:paraId="59A2446C">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4932BD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24</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4DE86AC">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排球</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AD4A4C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18</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6C4B36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9239E3E">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ADA03D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4月12日至13日、19日至20日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1BC3063">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广州体育职业技术学院1号馆三楼；广州市培英中学（鹤洞校区）体育馆</w:t>
            </w:r>
          </w:p>
        </w:tc>
      </w:tr>
      <w:tr w14:paraId="589A2C05">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45FE7A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25</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6DDC56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皮划艇</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A0BECB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20</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6EE498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2FD2FCB">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3</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436BAC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4-5月</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24F518A">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增城亚运龙舟赛场</w:t>
            </w:r>
          </w:p>
        </w:tc>
      </w:tr>
      <w:tr w14:paraId="081D277F">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BF5DB44">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26</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CC3C57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自行车</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222B13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20</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5FEA19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298C0D8">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41A33A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4月19日</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3EACC0F">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广州大学城体育中心</w:t>
            </w:r>
          </w:p>
        </w:tc>
      </w:tr>
      <w:tr w14:paraId="5FBA7DCC">
        <w:trPr>
          <w:trHeight w:val="57" w:hRule="atLeast"/>
        </w:trPr>
        <w:tc>
          <w:tcPr>
            <w:tcW w:w="247"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2074D65">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27</w:t>
            </w:r>
          </w:p>
        </w:tc>
        <w:tc>
          <w:tcPr>
            <w:tcW w:w="432"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FF57800">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射击</w:t>
            </w:r>
          </w:p>
        </w:tc>
        <w:tc>
          <w:tcPr>
            <w:tcW w:w="60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D0A8791">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586"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6F1CD2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1</w:t>
            </w:r>
          </w:p>
        </w:tc>
        <w:tc>
          <w:tcPr>
            <w:tcW w:w="568"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C067D92">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w:t>
            </w:r>
          </w:p>
        </w:tc>
        <w:tc>
          <w:tcPr>
            <w:tcW w:w="731"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FE1AA97">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5月</w:t>
            </w:r>
          </w:p>
        </w:tc>
        <w:tc>
          <w:tcPr>
            <w:tcW w:w="1825" w:type="pc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CA7CDD9">
            <w:pPr>
              <w:pStyle w:val="37"/>
              <w:keepNext w:val="0"/>
              <w:keepLines w:val="0"/>
              <w:pageBreakBefore w:val="0"/>
              <w:kinsoku/>
              <w:wordWrap/>
              <w:overflowPunct/>
              <w:topLinePunct w:val="0"/>
              <w:autoSpaceDE/>
              <w:autoSpaceDN/>
              <w:bidi w:val="0"/>
              <w:adjustRightInd/>
              <w:snapToGrid/>
              <w:spacing w:line="300" w:lineRule="exact"/>
              <w:jc w:val="center"/>
              <w:textAlignment w:val="auto"/>
              <w:rPr>
                <w:sz w:val="18"/>
                <w:szCs w:val="18"/>
              </w:rPr>
            </w:pPr>
            <w:r>
              <w:rPr>
                <w:color w:val="000000"/>
                <w:sz w:val="18"/>
                <w:szCs w:val="18"/>
              </w:rPr>
              <w:t>广州市越秀山体育中心射击射箭管理部（环市中路209号）</w:t>
            </w:r>
          </w:p>
        </w:tc>
      </w:tr>
    </w:tbl>
    <w:p w14:paraId="39AC738B">
      <w:pPr>
        <w:spacing w:line="360" w:lineRule="auto"/>
        <w:rPr>
          <w:rFonts w:hint="eastAsia" w:ascii="宋体" w:hAnsi="宋体" w:cs="宋体"/>
          <w:b/>
          <w:color w:val="auto"/>
          <w:szCs w:val="21"/>
          <w:highlight w:val="none"/>
          <w:lang w:eastAsia="zh-CN"/>
        </w:rPr>
      </w:pPr>
    </w:p>
    <w:p w14:paraId="4CDB38A0">
      <w:pPr>
        <w:pStyle w:val="14"/>
        <w:spacing w:line="360" w:lineRule="auto"/>
        <w:rPr>
          <w:rFonts w:hint="eastAsia" w:ascii="宋体" w:hAnsi="宋体"/>
          <w:color w:val="auto"/>
          <w:sz w:val="24"/>
          <w:highlight w:val="none"/>
        </w:rPr>
      </w:pPr>
    </w:p>
    <w:p w14:paraId="6A4ACC35">
      <w:pPr>
        <w:pStyle w:val="14"/>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投标人全称（盖公章）：</w:t>
      </w:r>
    </w:p>
    <w:p w14:paraId="55B07940">
      <w:pPr>
        <w:pStyle w:val="14"/>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 xml:space="preserve">授权代表（签字或签章）： </w:t>
      </w:r>
    </w:p>
    <w:p w14:paraId="6BD6B1AB">
      <w:pPr>
        <w:pStyle w:val="14"/>
        <w:spacing w:line="360" w:lineRule="auto"/>
        <w:ind w:left="418" w:leftChars="199"/>
        <w:rPr>
          <w:rFonts w:hint="eastAsia" w:ascii="宋体" w:hAnsi="宋体"/>
          <w:color w:val="auto"/>
          <w:sz w:val="24"/>
          <w:highlight w:val="none"/>
        </w:rPr>
      </w:pPr>
      <w:r>
        <w:rPr>
          <w:rFonts w:hint="eastAsia" w:ascii="宋体" w:hAnsi="宋体"/>
          <w:color w:val="auto"/>
          <w:sz w:val="24"/>
          <w:highlight w:val="none"/>
        </w:rPr>
        <w:t>日    期：</w:t>
      </w:r>
    </w:p>
    <w:p w14:paraId="02A0FC13">
      <w:pPr>
        <w:pStyle w:val="14"/>
        <w:spacing w:line="360" w:lineRule="auto"/>
        <w:ind w:left="418" w:leftChars="199"/>
        <w:rPr>
          <w:rFonts w:hint="eastAsia" w:ascii="宋体" w:hAnsi="宋体"/>
          <w:color w:val="auto"/>
          <w:sz w:val="24"/>
          <w:highlight w:val="none"/>
        </w:rPr>
      </w:pPr>
    </w:p>
    <w:p w14:paraId="28465CC4">
      <w:pPr>
        <w:snapToGrid w:val="0"/>
        <w:spacing w:line="360" w:lineRule="auto"/>
        <w:ind w:left="720" w:hanging="718" w:hangingChars="299"/>
        <w:rPr>
          <w:rFonts w:hint="eastAsia" w:ascii="宋体" w:hAnsi="宋体"/>
          <w:b/>
          <w:color w:val="auto"/>
          <w:sz w:val="24"/>
          <w:szCs w:val="24"/>
          <w:highlight w:val="none"/>
        </w:rPr>
      </w:pPr>
      <w:r>
        <w:rPr>
          <w:rFonts w:hint="eastAsia" w:ascii="宋体" w:hAnsi="宋体"/>
          <w:b/>
          <w:color w:val="auto"/>
          <w:sz w:val="24"/>
          <w:szCs w:val="24"/>
          <w:highlight w:val="none"/>
        </w:rPr>
        <w:t>注:1</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投标人应按“用户需求书”的要求，根据实际情况进行报价。本表内的投标报价为最终报价，投标文件内不得含有任何对本报价进行修改的其他说明，否则将被视为无效投标；</w:t>
      </w:r>
    </w:p>
    <w:p w14:paraId="7FA49E0F">
      <w:pPr>
        <w:snapToGrid w:val="0"/>
        <w:spacing w:line="360" w:lineRule="auto"/>
        <w:ind w:left="527" w:leftChars="195" w:hanging="118" w:hangingChars="49"/>
        <w:rPr>
          <w:rFonts w:hint="eastAsia" w:ascii="宋体" w:hAnsi="宋体"/>
          <w:b/>
          <w:color w:val="auto"/>
          <w:sz w:val="24"/>
          <w:szCs w:val="24"/>
          <w:highlight w:val="none"/>
        </w:rPr>
      </w:pPr>
      <w:r>
        <w:rPr>
          <w:rFonts w:hint="eastAsia" w:ascii="宋体" w:hAnsi="宋体"/>
          <w:b/>
          <w:color w:val="auto"/>
          <w:sz w:val="24"/>
          <w:szCs w:val="24"/>
          <w:highlight w:val="none"/>
        </w:rPr>
        <w:t>2</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投标报价应综合考虑招标项目的全部费用，投标人不得再向招标人收取任何费用；</w:t>
      </w:r>
    </w:p>
    <w:p w14:paraId="27693698">
      <w:pPr>
        <w:snapToGrid w:val="0"/>
        <w:spacing w:line="360" w:lineRule="auto"/>
        <w:ind w:firstLine="471" w:firstLineChars="196"/>
        <w:rPr>
          <w:rFonts w:hint="eastAsia" w:ascii="宋体" w:hAnsi="宋体"/>
          <w:b/>
          <w:color w:val="auto"/>
          <w:sz w:val="24"/>
          <w:szCs w:val="24"/>
          <w:highlight w:val="none"/>
        </w:rPr>
      </w:pPr>
      <w:r>
        <w:rPr>
          <w:rFonts w:hint="eastAsia" w:ascii="宋体" w:hAnsi="宋体"/>
          <w:b/>
          <w:bCs/>
          <w:color w:val="auto"/>
          <w:sz w:val="24"/>
          <w:szCs w:val="24"/>
          <w:highlight w:val="none"/>
        </w:rPr>
        <w:t>3</w:t>
      </w:r>
      <w:r>
        <w:rPr>
          <w:rFonts w:hint="eastAsia" w:ascii="宋体" w:hAnsi="宋体"/>
          <w:b/>
          <w:bCs/>
          <w:color w:val="auto"/>
          <w:sz w:val="24"/>
          <w:szCs w:val="24"/>
          <w:highlight w:val="none"/>
          <w:lang w:eastAsia="zh-CN"/>
        </w:rPr>
        <w:t>、</w:t>
      </w:r>
      <w:r>
        <w:rPr>
          <w:rFonts w:hint="eastAsia" w:ascii="宋体" w:hAnsi="宋体"/>
          <w:b/>
          <w:color w:val="auto"/>
          <w:sz w:val="24"/>
          <w:szCs w:val="24"/>
          <w:highlight w:val="none"/>
        </w:rPr>
        <w:t>投标报价的小数点后保留两位有效数；</w:t>
      </w:r>
    </w:p>
    <w:p w14:paraId="0F3C9EAF">
      <w:pPr>
        <w:spacing w:line="240" w:lineRule="auto"/>
        <w:ind w:left="0" w:firstLine="472" w:firstLineChars="200"/>
        <w:outlineLvl w:val="2"/>
        <w:rPr>
          <w:rFonts w:hint="eastAsia" w:ascii="宋体" w:hAnsi="宋体" w:eastAsia="宋体" w:cs="宋体"/>
          <w:spacing w:val="-2"/>
          <w:position w:val="18"/>
          <w:sz w:val="24"/>
          <w:szCs w:val="24"/>
        </w:rPr>
      </w:pPr>
      <w:r>
        <w:rPr>
          <w:rFonts w:hint="eastAsia" w:ascii="宋体" w:hAnsi="宋体" w:eastAsia="宋体" w:cs="宋体"/>
          <w:b/>
          <w:bCs/>
          <w:spacing w:val="-2"/>
          <w:position w:val="18"/>
          <w:sz w:val="24"/>
          <w:szCs w:val="24"/>
          <w:lang w:val="en-US" w:eastAsia="zh-CN"/>
        </w:rPr>
        <w:t>4、</w:t>
      </w:r>
      <w:r>
        <w:rPr>
          <w:rFonts w:hint="eastAsia" w:ascii="宋体" w:hAnsi="宋体" w:eastAsia="宋体" w:cs="宋体"/>
          <w:b/>
          <w:bCs/>
          <w:spacing w:val="-2"/>
          <w:position w:val="18"/>
          <w:sz w:val="24"/>
          <w:szCs w:val="24"/>
        </w:rPr>
        <w:t>上述</w:t>
      </w:r>
      <w:r>
        <w:rPr>
          <w:rFonts w:hint="eastAsia" w:ascii="宋体" w:hAnsi="宋体" w:cs="宋体"/>
          <w:b/>
          <w:bCs/>
          <w:spacing w:val="-2"/>
          <w:position w:val="18"/>
          <w:sz w:val="24"/>
          <w:szCs w:val="24"/>
          <w:lang w:val="en-US" w:eastAsia="zh-CN"/>
        </w:rPr>
        <w:t>投标</w:t>
      </w:r>
      <w:r>
        <w:rPr>
          <w:rFonts w:hint="eastAsia" w:ascii="宋体" w:hAnsi="宋体" w:eastAsia="宋体" w:cs="宋体"/>
          <w:b/>
          <w:bCs/>
          <w:spacing w:val="-2"/>
          <w:position w:val="18"/>
          <w:sz w:val="24"/>
          <w:szCs w:val="24"/>
        </w:rPr>
        <w:t>单价为含税单价，投标报价为最高报价，活动项目结束后具体根据实际服务的赛事进行结算，包括完成合同规定的全部服务内容所产生的所有费用，以及其他必要的伴随服务、全额含税发票、劳务费用、合同实施过程中应预见和不可预见费用等，</w:t>
      </w:r>
      <w:r>
        <w:rPr>
          <w:rFonts w:hint="eastAsia" w:ascii="宋体" w:hAnsi="宋体" w:cs="宋体"/>
          <w:b/>
          <w:bCs/>
          <w:spacing w:val="-2"/>
          <w:position w:val="18"/>
          <w:sz w:val="24"/>
          <w:szCs w:val="24"/>
          <w:lang w:val="en-US" w:eastAsia="zh-CN"/>
        </w:rPr>
        <w:t>招标人</w:t>
      </w:r>
      <w:r>
        <w:rPr>
          <w:rFonts w:hint="eastAsia" w:ascii="宋体" w:hAnsi="宋体" w:eastAsia="宋体" w:cs="宋体"/>
          <w:b/>
          <w:bCs/>
          <w:spacing w:val="-2"/>
          <w:position w:val="18"/>
          <w:sz w:val="24"/>
          <w:szCs w:val="24"/>
        </w:rPr>
        <w:t>无需就本合同项下项目向</w:t>
      </w:r>
      <w:r>
        <w:rPr>
          <w:rFonts w:hint="eastAsia" w:ascii="宋体" w:hAnsi="宋体" w:cs="宋体"/>
          <w:b/>
          <w:bCs/>
          <w:spacing w:val="-2"/>
          <w:position w:val="18"/>
          <w:sz w:val="24"/>
          <w:szCs w:val="24"/>
          <w:lang w:val="en-US" w:eastAsia="zh-CN"/>
        </w:rPr>
        <w:t>投标人</w:t>
      </w:r>
      <w:r>
        <w:rPr>
          <w:rFonts w:hint="eastAsia" w:ascii="宋体" w:hAnsi="宋体" w:eastAsia="宋体" w:cs="宋体"/>
          <w:b/>
          <w:bCs/>
          <w:spacing w:val="-2"/>
          <w:position w:val="18"/>
          <w:sz w:val="24"/>
          <w:szCs w:val="24"/>
        </w:rPr>
        <w:t>和第三方支付其他任何费用。</w:t>
      </w:r>
    </w:p>
    <w:p w14:paraId="791DBD35">
      <w:pPr>
        <w:snapToGrid w:val="0"/>
        <w:spacing w:line="360" w:lineRule="auto"/>
        <w:ind w:firstLine="471" w:firstLineChars="196"/>
        <w:rPr>
          <w:rFonts w:hint="eastAsia" w:ascii="宋体" w:hAnsi="宋体" w:eastAsia="宋体"/>
          <w:b/>
          <w:color w:val="auto"/>
          <w:sz w:val="24"/>
          <w:szCs w:val="24"/>
          <w:highlight w:val="none"/>
          <w:lang w:val="en-US" w:eastAsia="zh-CN"/>
        </w:rPr>
      </w:pPr>
    </w:p>
    <w:p w14:paraId="5EF6AA43">
      <w:pPr>
        <w:rPr>
          <w:color w:val="auto"/>
          <w:highlight w:val="none"/>
        </w:rPr>
      </w:pPr>
    </w:p>
    <w:p w14:paraId="77F097AB">
      <w:pPr>
        <w:rPr>
          <w:color w:val="auto"/>
          <w:highlight w:val="none"/>
        </w:rPr>
      </w:pPr>
    </w:p>
    <w:p w14:paraId="5221D160">
      <w:pPr>
        <w:pStyle w:val="6"/>
        <w:ind w:left="0" w:leftChars="0" w:firstLine="0" w:firstLineChars="0"/>
        <w:rPr>
          <w:color w:val="auto"/>
          <w:highlight w:val="none"/>
        </w:rPr>
      </w:pPr>
    </w:p>
    <w:p w14:paraId="0E898180">
      <w:pPr>
        <w:rPr>
          <w:color w:val="auto"/>
          <w:highlight w:val="none"/>
        </w:rPr>
      </w:pPr>
    </w:p>
    <w:p w14:paraId="2CEC0CA6">
      <w:pPr>
        <w:rPr>
          <w:color w:val="auto"/>
          <w:highlight w:val="none"/>
        </w:rPr>
      </w:pPr>
    </w:p>
    <w:p w14:paraId="745E51C8">
      <w:pPr>
        <w:rPr>
          <w:rFonts w:hint="eastAsia" w:ascii="宋体" w:hAnsi="宋体" w:cs="Times New Roman"/>
          <w:b/>
          <w:bCs/>
          <w:color w:val="auto"/>
          <w:sz w:val="24"/>
          <w:highlight w:val="none"/>
        </w:rPr>
      </w:pPr>
      <w:r>
        <w:rPr>
          <w:rFonts w:hint="eastAsia" w:ascii="宋体" w:hAnsi="宋体" w:cs="Times New Roman"/>
          <w:b/>
          <w:bCs/>
          <w:color w:val="auto"/>
          <w:sz w:val="24"/>
          <w:highlight w:val="none"/>
        </w:rPr>
        <w:br w:type="page"/>
      </w:r>
    </w:p>
    <w:p w14:paraId="3D0B1E78">
      <w:pPr>
        <w:rPr>
          <w:rFonts w:hint="eastAsia" w:ascii="宋体" w:hAnsi="宋体" w:cs="Times New Roman"/>
          <w:b/>
          <w:bCs/>
          <w:color w:val="auto"/>
          <w:sz w:val="24"/>
          <w:highlight w:val="none"/>
        </w:rPr>
      </w:pPr>
      <w:r>
        <w:rPr>
          <w:rFonts w:hint="eastAsia" w:ascii="宋体" w:hAnsi="宋体" w:cs="Times New Roman"/>
          <w:b/>
          <w:bCs/>
          <w:color w:val="auto"/>
          <w:sz w:val="24"/>
          <w:highlight w:val="none"/>
        </w:rPr>
        <w:t>附件6</w:t>
      </w:r>
    </w:p>
    <w:p w14:paraId="69BFE0D4">
      <w:pPr>
        <w:pStyle w:val="5"/>
        <w:ind w:firstLine="3308" w:firstLineChars="1377"/>
        <w:rPr>
          <w:rFonts w:hint="eastAsia"/>
          <w:color w:val="auto"/>
          <w:highlight w:val="none"/>
        </w:rPr>
      </w:pPr>
      <w:r>
        <w:rPr>
          <w:rFonts w:hint="eastAsia"/>
          <w:bCs/>
          <w:color w:val="auto"/>
          <w:sz w:val="24"/>
          <w:highlight w:val="none"/>
        </w:rPr>
        <w:t>投标人业绩一览表</w:t>
      </w:r>
    </w:p>
    <w:p w14:paraId="46ADC732">
      <w:pPr>
        <w:spacing w:line="360" w:lineRule="auto"/>
        <w:ind w:right="-260" w:rightChars="-124" w:firstLine="40" w:firstLineChars="17"/>
        <w:rPr>
          <w:rFonts w:hint="eastAsia" w:ascii="宋体" w:hAnsi="宋体"/>
          <w:color w:val="auto"/>
          <w:sz w:val="24"/>
          <w:highlight w:val="none"/>
        </w:rPr>
      </w:pPr>
      <w:r>
        <w:rPr>
          <w:rFonts w:hint="eastAsia" w:ascii="宋体" w:hAnsi="宋体"/>
          <w:color w:val="auto"/>
          <w:sz w:val="24"/>
          <w:highlight w:val="none"/>
        </w:rPr>
        <w:t xml:space="preserve">项目名称： </w:t>
      </w:r>
      <w:r>
        <w:rPr>
          <w:rFonts w:hint="eastAsia" w:ascii="宋体" w:hAnsi="宋体"/>
          <w:color w:val="auto"/>
          <w:sz w:val="24"/>
          <w:highlight w:val="none"/>
          <w:lang w:eastAsia="zh-CN"/>
        </w:rPr>
        <w:t>2025年体育赛事后勤保障服务项目</w:t>
      </w:r>
      <w:r>
        <w:rPr>
          <w:rFonts w:hint="eastAsia" w:ascii="宋体" w:hAnsi="宋体"/>
          <w:color w:val="auto"/>
          <w:sz w:val="24"/>
          <w:highlight w:val="none"/>
        </w:rPr>
        <w:t xml:space="preserve">                 </w:t>
      </w:r>
    </w:p>
    <w:tbl>
      <w:tblPr>
        <w:tblStyle w:val="17"/>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575"/>
        <w:gridCol w:w="1575"/>
        <w:gridCol w:w="1575"/>
        <w:gridCol w:w="1575"/>
        <w:gridCol w:w="1576"/>
      </w:tblGrid>
      <w:tr w14:paraId="655FDC2C">
        <w:trPr>
          <w:trHeight w:val="602"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336D84DA">
            <w:pPr>
              <w:jc w:val="center"/>
              <w:rPr>
                <w:rFonts w:hint="eastAsia" w:ascii="宋体" w:hAnsi="宋体" w:eastAsia="宋体" w:cs="宋体"/>
                <w:bCs/>
                <w:sz w:val="22"/>
                <w:szCs w:val="22"/>
              </w:rPr>
            </w:pPr>
            <w:r>
              <w:rPr>
                <w:rFonts w:hint="eastAsia" w:ascii="宋体" w:hAnsi="宋体" w:eastAsia="宋体" w:cs="宋体"/>
                <w:bCs/>
                <w:sz w:val="22"/>
                <w:szCs w:val="22"/>
              </w:rPr>
              <w:t>序号</w:t>
            </w:r>
          </w:p>
        </w:tc>
        <w:tc>
          <w:tcPr>
            <w:tcW w:w="1575"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3C8CF823">
            <w:pPr>
              <w:jc w:val="center"/>
              <w:rPr>
                <w:rFonts w:hint="eastAsia" w:ascii="宋体" w:hAnsi="宋体" w:eastAsia="宋体" w:cs="宋体"/>
                <w:bCs/>
                <w:sz w:val="22"/>
                <w:szCs w:val="22"/>
              </w:rPr>
            </w:pPr>
            <w:r>
              <w:rPr>
                <w:rFonts w:hint="eastAsia" w:ascii="宋体" w:hAnsi="宋体" w:eastAsia="宋体" w:cs="宋体"/>
                <w:bCs/>
                <w:sz w:val="22"/>
                <w:szCs w:val="22"/>
              </w:rPr>
              <w:t>客户名称</w:t>
            </w:r>
          </w:p>
        </w:tc>
        <w:tc>
          <w:tcPr>
            <w:tcW w:w="1575"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732C86B8">
            <w:pPr>
              <w:jc w:val="center"/>
              <w:rPr>
                <w:rFonts w:hint="eastAsia" w:ascii="宋体" w:hAnsi="宋体" w:eastAsia="宋体" w:cs="宋体"/>
                <w:bCs/>
                <w:sz w:val="22"/>
                <w:szCs w:val="22"/>
              </w:rPr>
            </w:pPr>
            <w:r>
              <w:rPr>
                <w:rFonts w:hint="eastAsia" w:ascii="宋体" w:hAnsi="宋体" w:eastAsia="宋体" w:cs="宋体"/>
                <w:bCs/>
                <w:sz w:val="22"/>
                <w:szCs w:val="22"/>
              </w:rPr>
              <w:t>项目名称</w:t>
            </w:r>
          </w:p>
        </w:tc>
        <w:tc>
          <w:tcPr>
            <w:tcW w:w="1575"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59B8C036">
            <w:pPr>
              <w:jc w:val="center"/>
              <w:rPr>
                <w:rFonts w:hint="eastAsia" w:ascii="宋体" w:hAnsi="宋体" w:eastAsia="宋体" w:cs="宋体"/>
                <w:bCs/>
                <w:sz w:val="22"/>
                <w:szCs w:val="22"/>
              </w:rPr>
            </w:pPr>
            <w:r>
              <w:rPr>
                <w:rFonts w:hint="eastAsia" w:ascii="宋体" w:hAnsi="宋体" w:eastAsia="宋体" w:cs="宋体"/>
                <w:bCs/>
                <w:sz w:val="22"/>
                <w:szCs w:val="22"/>
              </w:rPr>
              <w:t>合同金额</w:t>
            </w:r>
          </w:p>
        </w:tc>
        <w:tc>
          <w:tcPr>
            <w:tcW w:w="1575"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0C25ECF2">
            <w:pPr>
              <w:jc w:val="center"/>
              <w:rPr>
                <w:rFonts w:hint="eastAsia" w:ascii="宋体" w:hAnsi="宋体" w:eastAsia="宋体" w:cs="宋体"/>
                <w:bCs/>
                <w:sz w:val="22"/>
                <w:szCs w:val="22"/>
              </w:rPr>
            </w:pPr>
            <w:r>
              <w:rPr>
                <w:rFonts w:hint="eastAsia" w:ascii="宋体" w:hAnsi="宋体" w:eastAsia="宋体" w:cs="宋体"/>
                <w:bCs/>
                <w:sz w:val="22"/>
                <w:szCs w:val="22"/>
              </w:rPr>
              <w:t>成果交付时间</w:t>
            </w:r>
          </w:p>
        </w:tc>
        <w:tc>
          <w:tcPr>
            <w:tcW w:w="1576" w:type="dxa"/>
            <w:tcBorders>
              <w:top w:val="single" w:color="auto" w:sz="4" w:space="0"/>
              <w:left w:val="single" w:color="auto" w:sz="4" w:space="0"/>
              <w:bottom w:val="single" w:color="auto" w:sz="4" w:space="0"/>
              <w:right w:val="single" w:color="auto" w:sz="4" w:space="0"/>
            </w:tcBorders>
            <w:shd w:val="clear" w:color="auto" w:fill="F3F3F3"/>
            <w:noWrap w:val="0"/>
            <w:vAlign w:val="center"/>
          </w:tcPr>
          <w:p w14:paraId="1623EE10">
            <w:pPr>
              <w:jc w:val="center"/>
              <w:rPr>
                <w:rFonts w:hint="eastAsia" w:ascii="宋体" w:hAnsi="宋体" w:eastAsia="宋体" w:cs="宋体"/>
                <w:bCs/>
                <w:sz w:val="22"/>
                <w:szCs w:val="22"/>
              </w:rPr>
            </w:pPr>
            <w:r>
              <w:rPr>
                <w:rFonts w:hint="eastAsia" w:ascii="宋体" w:hAnsi="宋体" w:eastAsia="宋体" w:cs="宋体"/>
                <w:bCs/>
                <w:sz w:val="22"/>
                <w:szCs w:val="22"/>
              </w:rPr>
              <w:t>联系人及电话</w:t>
            </w:r>
          </w:p>
        </w:tc>
      </w:tr>
      <w:tr w14:paraId="6C7492D8">
        <w:trPr>
          <w:trHeight w:val="480" w:hRule="atLeast"/>
          <w:jc w:val="center"/>
        </w:trPr>
        <w:tc>
          <w:tcPr>
            <w:tcW w:w="840" w:type="dxa"/>
            <w:tcBorders>
              <w:top w:val="single" w:color="auto" w:sz="4" w:space="0"/>
              <w:left w:val="single" w:color="auto" w:sz="4" w:space="0"/>
              <w:bottom w:val="single" w:color="auto" w:sz="4" w:space="0"/>
              <w:right w:val="single" w:color="auto" w:sz="4" w:space="0"/>
            </w:tcBorders>
            <w:noWrap w:val="0"/>
            <w:vAlign w:val="center"/>
          </w:tcPr>
          <w:p w14:paraId="1F4F6E3C">
            <w:pPr>
              <w:jc w:val="center"/>
              <w:rPr>
                <w:rFonts w:hint="eastAsia" w:ascii="宋体" w:hAnsi="宋体" w:eastAsia="宋体" w:cs="宋体"/>
                <w:bCs/>
                <w:sz w:val="22"/>
                <w:szCs w:val="22"/>
              </w:rPr>
            </w:pPr>
            <w:r>
              <w:rPr>
                <w:rFonts w:hint="eastAsia" w:ascii="宋体" w:hAnsi="宋体" w:eastAsia="宋体" w:cs="宋体"/>
                <w:bCs/>
                <w:sz w:val="22"/>
                <w:szCs w:val="22"/>
              </w:rPr>
              <w:t>1</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A67F60A">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7F0F9E0">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204995CA">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6C85044">
            <w:pPr>
              <w:jc w:val="center"/>
              <w:rPr>
                <w:rFonts w:hint="eastAsia" w:ascii="宋体" w:hAnsi="宋体" w:eastAsia="宋体" w:cs="宋体"/>
                <w:bCs/>
                <w:sz w:val="22"/>
                <w:szCs w:val="22"/>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7EA6CBF7">
            <w:pPr>
              <w:jc w:val="center"/>
              <w:rPr>
                <w:rFonts w:hint="eastAsia" w:ascii="宋体" w:hAnsi="宋体" w:eastAsia="宋体" w:cs="宋体"/>
                <w:bCs/>
                <w:sz w:val="22"/>
                <w:szCs w:val="22"/>
              </w:rPr>
            </w:pPr>
          </w:p>
        </w:tc>
      </w:tr>
      <w:tr w14:paraId="217DC719">
        <w:trPr>
          <w:trHeight w:val="480" w:hRule="atLeast"/>
          <w:jc w:val="center"/>
        </w:trPr>
        <w:tc>
          <w:tcPr>
            <w:tcW w:w="840" w:type="dxa"/>
            <w:tcBorders>
              <w:top w:val="single" w:color="auto" w:sz="4" w:space="0"/>
              <w:left w:val="single" w:color="auto" w:sz="4" w:space="0"/>
              <w:bottom w:val="single" w:color="auto" w:sz="4" w:space="0"/>
              <w:right w:val="single" w:color="auto" w:sz="4" w:space="0"/>
            </w:tcBorders>
            <w:noWrap w:val="0"/>
            <w:vAlign w:val="center"/>
          </w:tcPr>
          <w:p w14:paraId="7622792C">
            <w:pPr>
              <w:jc w:val="center"/>
              <w:rPr>
                <w:rFonts w:hint="eastAsia" w:ascii="宋体" w:hAnsi="宋体" w:eastAsia="宋体" w:cs="宋体"/>
                <w:bCs/>
                <w:sz w:val="22"/>
                <w:szCs w:val="22"/>
              </w:rPr>
            </w:pPr>
            <w:r>
              <w:rPr>
                <w:rFonts w:hint="eastAsia" w:ascii="宋体" w:hAnsi="宋体" w:eastAsia="宋体" w:cs="宋体"/>
                <w:bCs/>
                <w:sz w:val="22"/>
                <w:szCs w:val="22"/>
              </w:rPr>
              <w:t>2</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BFFBA6C">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0E796AF">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10BE6F7">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A9CB746">
            <w:pPr>
              <w:spacing w:before="100" w:beforeAutospacing="1" w:after="100" w:afterAutospacing="1"/>
              <w:ind w:left="-132" w:leftChars="-64" w:right="-105" w:rightChars="-50" w:hanging="2"/>
              <w:jc w:val="center"/>
              <w:rPr>
                <w:rFonts w:hint="eastAsia" w:ascii="宋体" w:hAnsi="宋体" w:eastAsia="宋体" w:cs="宋体"/>
                <w:b/>
                <w:bCs/>
                <w:color w:val="FF0000"/>
                <w:sz w:val="22"/>
                <w:szCs w:val="22"/>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0724D294">
            <w:pPr>
              <w:jc w:val="center"/>
              <w:rPr>
                <w:rFonts w:hint="eastAsia" w:ascii="宋体" w:hAnsi="宋体" w:eastAsia="宋体" w:cs="宋体"/>
                <w:bCs/>
                <w:sz w:val="22"/>
                <w:szCs w:val="22"/>
              </w:rPr>
            </w:pPr>
          </w:p>
        </w:tc>
      </w:tr>
      <w:tr w14:paraId="720098BA">
        <w:trPr>
          <w:trHeight w:val="480" w:hRule="atLeast"/>
          <w:jc w:val="center"/>
        </w:trPr>
        <w:tc>
          <w:tcPr>
            <w:tcW w:w="840" w:type="dxa"/>
            <w:tcBorders>
              <w:top w:val="single" w:color="auto" w:sz="4" w:space="0"/>
              <w:left w:val="single" w:color="auto" w:sz="4" w:space="0"/>
              <w:bottom w:val="single" w:color="auto" w:sz="4" w:space="0"/>
              <w:right w:val="single" w:color="auto" w:sz="4" w:space="0"/>
            </w:tcBorders>
            <w:noWrap w:val="0"/>
            <w:vAlign w:val="center"/>
          </w:tcPr>
          <w:p w14:paraId="52B49CB2">
            <w:pPr>
              <w:jc w:val="center"/>
              <w:rPr>
                <w:rFonts w:hint="eastAsia" w:ascii="宋体" w:hAnsi="宋体" w:eastAsia="宋体" w:cs="宋体"/>
                <w:bCs/>
                <w:sz w:val="22"/>
                <w:szCs w:val="22"/>
              </w:rPr>
            </w:pPr>
            <w:r>
              <w:rPr>
                <w:rFonts w:hint="eastAsia" w:ascii="宋体" w:hAnsi="宋体" w:eastAsia="宋体" w:cs="宋体"/>
                <w:bCs/>
                <w:sz w:val="22"/>
                <w:szCs w:val="22"/>
              </w:rPr>
              <w:t>3</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BA5268C">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A4E0AF1">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46E18CD">
            <w:pPr>
              <w:jc w:val="center"/>
              <w:rPr>
                <w:rFonts w:hint="eastAsia" w:ascii="宋体" w:hAnsi="宋体" w:eastAsia="宋体" w:cs="宋体"/>
                <w:bCs/>
                <w:sz w:val="22"/>
                <w:szCs w:val="22"/>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ED0A26D">
            <w:pPr>
              <w:jc w:val="center"/>
              <w:rPr>
                <w:rFonts w:hint="eastAsia" w:ascii="宋体" w:hAnsi="宋体" w:eastAsia="宋体" w:cs="宋体"/>
                <w:bCs/>
                <w:sz w:val="22"/>
                <w:szCs w:val="22"/>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224D9DDA">
            <w:pPr>
              <w:jc w:val="center"/>
              <w:rPr>
                <w:rFonts w:hint="eastAsia" w:ascii="宋体" w:hAnsi="宋体" w:eastAsia="宋体" w:cs="宋体"/>
                <w:bCs/>
                <w:sz w:val="22"/>
                <w:szCs w:val="22"/>
              </w:rPr>
            </w:pPr>
          </w:p>
        </w:tc>
      </w:tr>
    </w:tbl>
    <w:p w14:paraId="201865DC">
      <w:pPr>
        <w:spacing w:line="360" w:lineRule="auto"/>
        <w:rPr>
          <w:rFonts w:hint="eastAsia" w:ascii="宋体" w:hAnsi="宋体"/>
          <w:color w:val="auto"/>
          <w:sz w:val="24"/>
          <w:highlight w:val="none"/>
        </w:rPr>
      </w:pPr>
    </w:p>
    <w:p w14:paraId="785E288D">
      <w:pPr>
        <w:pStyle w:val="37"/>
        <w:ind w:firstLine="480"/>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以下附上2022年1月1日（以合同签订时间为准）至今具有承接服务过体育活动相关项目业绩合同：</w:t>
      </w:r>
    </w:p>
    <w:p w14:paraId="39E034CF">
      <w:pPr>
        <w:spacing w:line="360" w:lineRule="auto"/>
        <w:rPr>
          <w:rFonts w:hint="eastAsia" w:ascii="宋体" w:hAnsi="宋体"/>
          <w:color w:val="auto"/>
          <w:sz w:val="24"/>
          <w:highlight w:val="none"/>
        </w:rPr>
      </w:pPr>
    </w:p>
    <w:p w14:paraId="510E823E">
      <w:pPr>
        <w:spacing w:line="360" w:lineRule="auto"/>
        <w:rPr>
          <w:rFonts w:hint="eastAsia" w:ascii="宋体" w:hAnsi="宋体"/>
          <w:color w:val="auto"/>
          <w:sz w:val="24"/>
          <w:highlight w:val="none"/>
        </w:rPr>
      </w:pPr>
    </w:p>
    <w:p w14:paraId="6346414A">
      <w:pPr>
        <w:spacing w:line="360" w:lineRule="auto"/>
        <w:rPr>
          <w:rFonts w:hint="eastAsia" w:ascii="宋体" w:hAnsi="宋体"/>
          <w:color w:val="auto"/>
          <w:sz w:val="24"/>
          <w:highlight w:val="none"/>
        </w:rPr>
      </w:pPr>
    </w:p>
    <w:p w14:paraId="094BB155">
      <w:pPr>
        <w:spacing w:line="360" w:lineRule="auto"/>
        <w:rPr>
          <w:rFonts w:hint="eastAsia" w:ascii="宋体" w:hAnsi="宋体"/>
          <w:color w:val="auto"/>
          <w:sz w:val="24"/>
          <w:highlight w:val="none"/>
        </w:rPr>
      </w:pPr>
      <w:r>
        <w:rPr>
          <w:rFonts w:hint="eastAsia" w:ascii="宋体" w:hAnsi="宋体"/>
          <w:color w:val="auto"/>
          <w:sz w:val="24"/>
          <w:highlight w:val="none"/>
        </w:rPr>
        <w:t>投标人全称（盖公章）：</w:t>
      </w:r>
    </w:p>
    <w:p w14:paraId="4D568971">
      <w:pPr>
        <w:spacing w:line="360" w:lineRule="auto"/>
        <w:rPr>
          <w:rFonts w:hint="eastAsia" w:ascii="宋体" w:hAnsi="宋体"/>
          <w:color w:val="auto"/>
          <w:sz w:val="24"/>
          <w:highlight w:val="none"/>
        </w:rPr>
      </w:pPr>
      <w:r>
        <w:rPr>
          <w:rFonts w:hint="eastAsia" w:ascii="宋体" w:hAnsi="宋体"/>
          <w:color w:val="auto"/>
          <w:sz w:val="24"/>
          <w:highlight w:val="none"/>
        </w:rPr>
        <w:t>法定代表人或投标授权代表（签字或签章）：</w:t>
      </w:r>
    </w:p>
    <w:p w14:paraId="01BCB93D">
      <w:pPr>
        <w:spacing w:line="360" w:lineRule="auto"/>
        <w:rPr>
          <w:rFonts w:hint="eastAsia" w:ascii="宋体" w:hAnsi="宋体"/>
          <w:color w:val="auto"/>
          <w:sz w:val="24"/>
          <w:highlight w:val="none"/>
        </w:rPr>
      </w:pPr>
      <w:r>
        <w:rPr>
          <w:rFonts w:hint="eastAsia" w:ascii="宋体" w:hAnsi="宋体"/>
          <w:color w:val="auto"/>
          <w:sz w:val="24"/>
          <w:highlight w:val="none"/>
        </w:rPr>
        <w:t>日    期：     年   月   日</w:t>
      </w:r>
    </w:p>
    <w:p w14:paraId="39093996">
      <w:pPr>
        <w:pStyle w:val="5"/>
        <w:ind w:left="480"/>
        <w:rPr>
          <w:rFonts w:hint="eastAsia"/>
          <w:color w:val="auto"/>
          <w:highlight w:val="none"/>
        </w:rPr>
      </w:pPr>
      <w:r>
        <w:rPr>
          <w:rFonts w:hint="eastAsia"/>
          <w:color w:val="auto"/>
          <w:highlight w:val="none"/>
        </w:rPr>
        <w:t>注：1、本格式仅供参考，投标人可根据实际情况自定。</w:t>
      </w:r>
    </w:p>
    <w:p w14:paraId="131B0E1D">
      <w:pPr>
        <w:ind w:firstLine="841" w:firstLineChars="400"/>
        <w:rPr>
          <w:b/>
          <w:bCs/>
          <w:color w:val="auto"/>
          <w:highlight w:val="none"/>
        </w:rPr>
      </w:pPr>
      <w:r>
        <w:rPr>
          <w:rFonts w:hint="eastAsia"/>
          <w:b/>
          <w:bCs/>
          <w:color w:val="auto"/>
          <w:highlight w:val="none"/>
        </w:rPr>
        <w:t>2、投标人应附上项目合同等相关证明材料，证明材料所需资料</w:t>
      </w:r>
      <w:r>
        <w:rPr>
          <w:rFonts w:hint="eastAsia"/>
          <w:b/>
          <w:bCs/>
          <w:color w:val="auto"/>
          <w:highlight w:val="none"/>
          <w:lang w:val="en-US" w:eastAsia="zh-CN"/>
        </w:rPr>
        <w:t>详</w:t>
      </w:r>
      <w:r>
        <w:rPr>
          <w:rFonts w:hint="eastAsia"/>
          <w:b/>
          <w:bCs/>
          <w:color w:val="auto"/>
          <w:highlight w:val="none"/>
        </w:rPr>
        <w:t>见商务评分要求。</w:t>
      </w:r>
    </w:p>
    <w:p w14:paraId="3035AB2A">
      <w:pPr>
        <w:rPr>
          <w:color w:val="auto"/>
          <w:highlight w:val="none"/>
        </w:rPr>
      </w:pPr>
    </w:p>
    <w:p w14:paraId="07B1CCE5">
      <w:pPr>
        <w:rPr>
          <w:color w:val="auto"/>
          <w:highlight w:val="none"/>
        </w:rPr>
      </w:pPr>
    </w:p>
    <w:p w14:paraId="7FFB9113">
      <w:pPr>
        <w:rPr>
          <w:rFonts w:hint="eastAsia" w:ascii="宋体" w:hAnsi="宋体" w:cs="Times New Roman"/>
          <w:b/>
          <w:bCs/>
          <w:color w:val="auto"/>
          <w:sz w:val="24"/>
          <w:highlight w:val="none"/>
        </w:rPr>
      </w:pPr>
    </w:p>
    <w:p w14:paraId="2C961AB7">
      <w:pPr>
        <w:rPr>
          <w:rFonts w:hint="eastAsia" w:ascii="宋体" w:hAnsi="宋体" w:cs="Times New Roman"/>
          <w:b/>
          <w:bCs/>
          <w:color w:val="auto"/>
          <w:sz w:val="24"/>
          <w:highlight w:val="none"/>
        </w:rPr>
      </w:pPr>
      <w:r>
        <w:rPr>
          <w:rFonts w:hint="eastAsia" w:ascii="宋体" w:hAnsi="宋体" w:cs="Times New Roman"/>
          <w:b/>
          <w:bCs/>
          <w:color w:val="auto"/>
          <w:sz w:val="24"/>
          <w:highlight w:val="none"/>
        </w:rPr>
        <w:br w:type="page"/>
      </w:r>
    </w:p>
    <w:p w14:paraId="64FD8FC8">
      <w:pPr>
        <w:pStyle w:val="5"/>
        <w:jc w:val="left"/>
        <w:rPr>
          <w:rFonts w:hint="eastAsia" w:ascii="宋体" w:hAnsi="宋体" w:cs="Times New Roman"/>
          <w:b/>
          <w:bCs/>
          <w:color w:val="auto"/>
          <w:sz w:val="24"/>
          <w:highlight w:val="none"/>
        </w:rPr>
      </w:pPr>
      <w:r>
        <w:rPr>
          <w:rFonts w:hint="eastAsia" w:ascii="宋体" w:hAnsi="宋体" w:cs="Times New Roman"/>
          <w:b/>
          <w:bCs/>
          <w:color w:val="auto"/>
          <w:sz w:val="24"/>
          <w:highlight w:val="none"/>
        </w:rPr>
        <w:t xml:space="preserve">附件7 </w:t>
      </w:r>
    </w:p>
    <w:p w14:paraId="4D29B9C0">
      <w:pPr>
        <w:pStyle w:val="5"/>
        <w:jc w:val="left"/>
        <w:rPr>
          <w:rFonts w:hint="eastAsia" w:ascii="宋体" w:hAnsi="宋体" w:cs="Times New Roman"/>
          <w:b/>
          <w:bCs/>
          <w:color w:val="auto"/>
          <w:sz w:val="24"/>
          <w:highlight w:val="none"/>
        </w:rPr>
      </w:pPr>
    </w:p>
    <w:p w14:paraId="0D183F53">
      <w:pPr>
        <w:pStyle w:val="5"/>
        <w:jc w:val="center"/>
        <w:rPr>
          <w:rFonts w:hint="eastAsia" w:ascii="宋体" w:hAnsi="宋体" w:eastAsia="宋体"/>
          <w:bCs/>
          <w:color w:val="auto"/>
          <w:sz w:val="24"/>
          <w:highlight w:val="none"/>
        </w:rPr>
      </w:pPr>
      <w:r>
        <w:rPr>
          <w:rFonts w:hint="eastAsia" w:ascii="宋体" w:hAnsi="宋体" w:eastAsia="宋体"/>
          <w:bCs/>
          <w:color w:val="auto"/>
          <w:sz w:val="24"/>
          <w:highlight w:val="none"/>
        </w:rPr>
        <w:t>拟投入本项目人员概况表</w:t>
      </w:r>
    </w:p>
    <w:p w14:paraId="0C666E9D">
      <w:pPr>
        <w:rPr>
          <w:rFonts w:hint="eastAsia"/>
        </w:rPr>
      </w:pPr>
      <w:r>
        <w:rPr>
          <w:rFonts w:hint="eastAsia" w:ascii="宋体" w:hAnsi="宋体"/>
          <w:color w:val="auto"/>
          <w:sz w:val="24"/>
          <w:highlight w:val="none"/>
        </w:rPr>
        <w:t xml:space="preserve">项目名称： </w:t>
      </w:r>
      <w:r>
        <w:rPr>
          <w:rFonts w:hint="eastAsia" w:ascii="宋体" w:hAnsi="宋体"/>
          <w:color w:val="auto"/>
          <w:sz w:val="24"/>
          <w:highlight w:val="none"/>
          <w:lang w:eastAsia="zh-CN"/>
        </w:rPr>
        <w:t>2025年体育赛事后勤保障服务项目</w:t>
      </w:r>
      <w:r>
        <w:rPr>
          <w:rFonts w:hint="eastAsia" w:ascii="宋体" w:hAnsi="宋体"/>
          <w:color w:val="auto"/>
          <w:sz w:val="24"/>
          <w:highlight w:val="none"/>
        </w:rPr>
        <w:t xml:space="preserve">  </w:t>
      </w:r>
    </w:p>
    <w:tbl>
      <w:tblPr>
        <w:tblStyle w:val="18"/>
        <w:tblW w:w="9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258"/>
        <w:gridCol w:w="592"/>
        <w:gridCol w:w="617"/>
        <w:gridCol w:w="1605"/>
        <w:gridCol w:w="1087"/>
        <w:gridCol w:w="3512"/>
        <w:gridCol w:w="620"/>
      </w:tblGrid>
      <w:tr w14:paraId="53A22583">
        <w:trPr>
          <w:trHeight w:val="90" w:hRule="atLeast"/>
          <w:jc w:val="center"/>
        </w:trPr>
        <w:tc>
          <w:tcPr>
            <w:tcW w:w="642" w:type="dxa"/>
            <w:vAlign w:val="center"/>
          </w:tcPr>
          <w:p w14:paraId="5D110B03">
            <w:pPr>
              <w:spacing w:before="120" w:line="223" w:lineRule="auto"/>
              <w:jc w:val="center"/>
              <w:outlineLvl w:val="1"/>
              <w:rPr>
                <w:rFonts w:hint="eastAsia"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序号</w:t>
            </w:r>
          </w:p>
        </w:tc>
        <w:tc>
          <w:tcPr>
            <w:tcW w:w="1258" w:type="dxa"/>
            <w:vAlign w:val="center"/>
          </w:tcPr>
          <w:p w14:paraId="7BE28D40">
            <w:pPr>
              <w:spacing w:before="120" w:line="223" w:lineRule="auto"/>
              <w:jc w:val="center"/>
              <w:outlineLvl w:val="1"/>
              <w:rPr>
                <w:rFonts w:hint="eastAsia"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姓名</w:t>
            </w:r>
          </w:p>
        </w:tc>
        <w:tc>
          <w:tcPr>
            <w:tcW w:w="592" w:type="dxa"/>
            <w:vAlign w:val="center"/>
          </w:tcPr>
          <w:p w14:paraId="684ABEA3">
            <w:pPr>
              <w:spacing w:before="120" w:line="223" w:lineRule="auto"/>
              <w:jc w:val="center"/>
              <w:outlineLvl w:val="1"/>
              <w:rPr>
                <w:rFonts w:hint="eastAsia"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性别</w:t>
            </w:r>
          </w:p>
        </w:tc>
        <w:tc>
          <w:tcPr>
            <w:tcW w:w="617" w:type="dxa"/>
            <w:vAlign w:val="center"/>
          </w:tcPr>
          <w:p w14:paraId="5ACCAA2D">
            <w:pPr>
              <w:spacing w:before="120" w:line="223" w:lineRule="auto"/>
              <w:jc w:val="center"/>
              <w:outlineLvl w:val="1"/>
              <w:rPr>
                <w:rFonts w:hint="eastAsia"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学历</w:t>
            </w:r>
          </w:p>
        </w:tc>
        <w:tc>
          <w:tcPr>
            <w:tcW w:w="1605" w:type="dxa"/>
            <w:vAlign w:val="center"/>
          </w:tcPr>
          <w:p w14:paraId="205FF65B">
            <w:pPr>
              <w:spacing w:before="120" w:line="223" w:lineRule="auto"/>
              <w:jc w:val="center"/>
              <w:outlineLvl w:val="1"/>
              <w:rPr>
                <w:rFonts w:hint="eastAsia"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职称</w:t>
            </w:r>
          </w:p>
        </w:tc>
        <w:tc>
          <w:tcPr>
            <w:tcW w:w="1087" w:type="dxa"/>
            <w:vAlign w:val="center"/>
          </w:tcPr>
          <w:p w14:paraId="1CBD4A77">
            <w:pPr>
              <w:spacing w:before="120" w:line="223" w:lineRule="auto"/>
              <w:jc w:val="center"/>
              <w:outlineLvl w:val="1"/>
              <w:rPr>
                <w:rFonts w:hint="eastAsia"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职务</w:t>
            </w:r>
          </w:p>
        </w:tc>
        <w:tc>
          <w:tcPr>
            <w:tcW w:w="3512" w:type="dxa"/>
            <w:vAlign w:val="center"/>
          </w:tcPr>
          <w:p w14:paraId="480AEF8F">
            <w:pPr>
              <w:spacing w:before="120" w:line="223" w:lineRule="auto"/>
              <w:jc w:val="center"/>
              <w:outlineLvl w:val="1"/>
              <w:rPr>
                <w:rFonts w:ascii="宋体" w:hAnsi="宋体" w:eastAsia="宋体" w:cs="宋体"/>
                <w:spacing w:val="-5"/>
                <w:sz w:val="24"/>
                <w:szCs w:val="24"/>
                <w:highlight w:val="none"/>
              </w:rPr>
            </w:pPr>
            <w:r>
              <w:rPr>
                <w:rFonts w:ascii="宋体" w:hAnsi="宋体" w:eastAsia="宋体" w:cs="宋体"/>
                <w:spacing w:val="-5"/>
                <w:sz w:val="24"/>
                <w:szCs w:val="24"/>
                <w:highlight w:val="none"/>
              </w:rPr>
              <w:t>从事类似服务简历/年限/经验</w:t>
            </w:r>
          </w:p>
        </w:tc>
        <w:tc>
          <w:tcPr>
            <w:tcW w:w="620" w:type="dxa"/>
            <w:vAlign w:val="center"/>
          </w:tcPr>
          <w:p w14:paraId="02A3CD68">
            <w:pPr>
              <w:spacing w:before="120" w:line="223" w:lineRule="auto"/>
              <w:jc w:val="center"/>
              <w:outlineLvl w:val="1"/>
              <w:rPr>
                <w:rFonts w:ascii="宋体" w:hAnsi="宋体" w:eastAsia="宋体" w:cs="宋体"/>
                <w:spacing w:val="-5"/>
                <w:sz w:val="24"/>
                <w:szCs w:val="24"/>
                <w:highlight w:val="none"/>
              </w:rPr>
            </w:pPr>
            <w:r>
              <w:rPr>
                <w:rFonts w:ascii="宋体" w:hAnsi="宋体" w:eastAsia="宋体" w:cs="宋体"/>
                <w:spacing w:val="-5"/>
                <w:sz w:val="24"/>
                <w:szCs w:val="24"/>
                <w:highlight w:val="none"/>
              </w:rPr>
              <w:t>备注</w:t>
            </w:r>
          </w:p>
        </w:tc>
      </w:tr>
      <w:tr w14:paraId="1DBF2E21">
        <w:trPr>
          <w:trHeight w:val="674" w:hRule="atLeast"/>
          <w:jc w:val="center"/>
        </w:trPr>
        <w:tc>
          <w:tcPr>
            <w:tcW w:w="642" w:type="dxa"/>
            <w:vAlign w:val="center"/>
          </w:tcPr>
          <w:p w14:paraId="596F9C50">
            <w:pPr>
              <w:spacing w:before="120" w:line="223" w:lineRule="auto"/>
              <w:jc w:val="center"/>
              <w:outlineLvl w:val="1"/>
              <w:rPr>
                <w:rFonts w:hint="default"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1</w:t>
            </w:r>
          </w:p>
        </w:tc>
        <w:tc>
          <w:tcPr>
            <w:tcW w:w="1258" w:type="dxa"/>
            <w:vAlign w:val="center"/>
          </w:tcPr>
          <w:p w14:paraId="635DFAF3">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592" w:type="dxa"/>
            <w:vAlign w:val="center"/>
          </w:tcPr>
          <w:p w14:paraId="07D5DA2A">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617" w:type="dxa"/>
            <w:vAlign w:val="center"/>
          </w:tcPr>
          <w:p w14:paraId="55044306">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605" w:type="dxa"/>
            <w:vAlign w:val="center"/>
          </w:tcPr>
          <w:p w14:paraId="12002BA9">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087" w:type="dxa"/>
            <w:vAlign w:val="center"/>
          </w:tcPr>
          <w:p w14:paraId="2997E95A">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3512" w:type="dxa"/>
            <w:vAlign w:val="center"/>
          </w:tcPr>
          <w:p w14:paraId="1C403D00">
            <w:pPr>
              <w:spacing w:before="120" w:line="223" w:lineRule="auto"/>
              <w:jc w:val="center"/>
              <w:outlineLvl w:val="1"/>
              <w:rPr>
                <w:rFonts w:ascii="宋体" w:hAnsi="宋体" w:eastAsia="宋体" w:cs="宋体"/>
                <w:spacing w:val="-5"/>
                <w:sz w:val="24"/>
                <w:szCs w:val="24"/>
                <w:highlight w:val="none"/>
              </w:rPr>
            </w:pPr>
          </w:p>
        </w:tc>
        <w:tc>
          <w:tcPr>
            <w:tcW w:w="620" w:type="dxa"/>
            <w:vAlign w:val="center"/>
          </w:tcPr>
          <w:p w14:paraId="3E5CAD25">
            <w:pPr>
              <w:spacing w:before="120" w:line="223" w:lineRule="auto"/>
              <w:jc w:val="center"/>
              <w:outlineLvl w:val="1"/>
              <w:rPr>
                <w:rFonts w:ascii="宋体" w:hAnsi="宋体" w:eastAsia="宋体" w:cs="宋体"/>
                <w:spacing w:val="-5"/>
                <w:sz w:val="24"/>
                <w:szCs w:val="24"/>
                <w:highlight w:val="none"/>
              </w:rPr>
            </w:pPr>
            <w:r>
              <w:rPr>
                <w:rFonts w:hint="eastAsia" w:ascii="宋体" w:hAnsi="宋体" w:eastAsia="宋体" w:cs="宋体"/>
                <w:spacing w:val="-5"/>
                <w:sz w:val="24"/>
                <w:szCs w:val="24"/>
                <w:highlight w:val="none"/>
                <w:lang w:val="en-US" w:eastAsia="zh-CN"/>
              </w:rPr>
              <w:t>项目负责人</w:t>
            </w:r>
          </w:p>
        </w:tc>
      </w:tr>
      <w:tr w14:paraId="5CAAEF0F">
        <w:trPr>
          <w:trHeight w:val="674" w:hRule="atLeast"/>
          <w:jc w:val="center"/>
        </w:trPr>
        <w:tc>
          <w:tcPr>
            <w:tcW w:w="642" w:type="dxa"/>
            <w:vAlign w:val="center"/>
          </w:tcPr>
          <w:p w14:paraId="2BABE31D">
            <w:pPr>
              <w:spacing w:before="120" w:line="223" w:lineRule="auto"/>
              <w:jc w:val="center"/>
              <w:outlineLvl w:val="1"/>
              <w:rPr>
                <w:rFonts w:hint="default"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2</w:t>
            </w:r>
          </w:p>
        </w:tc>
        <w:tc>
          <w:tcPr>
            <w:tcW w:w="1258" w:type="dxa"/>
            <w:vAlign w:val="center"/>
          </w:tcPr>
          <w:p w14:paraId="4802B16D">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592" w:type="dxa"/>
            <w:vAlign w:val="center"/>
          </w:tcPr>
          <w:p w14:paraId="49D08C78">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617" w:type="dxa"/>
            <w:vAlign w:val="center"/>
          </w:tcPr>
          <w:p w14:paraId="3172AE66">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605" w:type="dxa"/>
            <w:vAlign w:val="center"/>
          </w:tcPr>
          <w:p w14:paraId="115A6F52">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087" w:type="dxa"/>
            <w:vAlign w:val="center"/>
          </w:tcPr>
          <w:p w14:paraId="1C4B1A42">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3512" w:type="dxa"/>
            <w:vAlign w:val="center"/>
          </w:tcPr>
          <w:p w14:paraId="4A9E1BBB">
            <w:pPr>
              <w:spacing w:before="120" w:line="223" w:lineRule="auto"/>
              <w:jc w:val="center"/>
              <w:outlineLvl w:val="1"/>
              <w:rPr>
                <w:rFonts w:ascii="宋体" w:hAnsi="宋体" w:eastAsia="宋体" w:cs="宋体"/>
                <w:spacing w:val="-5"/>
                <w:sz w:val="24"/>
                <w:szCs w:val="24"/>
                <w:highlight w:val="none"/>
              </w:rPr>
            </w:pPr>
          </w:p>
        </w:tc>
        <w:tc>
          <w:tcPr>
            <w:tcW w:w="620" w:type="dxa"/>
            <w:vAlign w:val="center"/>
          </w:tcPr>
          <w:p w14:paraId="7A97F012">
            <w:pPr>
              <w:spacing w:before="120" w:line="223" w:lineRule="auto"/>
              <w:jc w:val="center"/>
              <w:outlineLvl w:val="1"/>
              <w:rPr>
                <w:rFonts w:hint="eastAsia" w:ascii="宋体" w:hAnsi="宋体" w:eastAsia="宋体" w:cs="宋体"/>
                <w:spacing w:val="-5"/>
                <w:sz w:val="24"/>
                <w:szCs w:val="24"/>
                <w:highlight w:val="none"/>
                <w:lang w:val="en-US" w:eastAsia="zh-CN"/>
              </w:rPr>
            </w:pPr>
          </w:p>
        </w:tc>
      </w:tr>
      <w:tr w14:paraId="7CCFFB09">
        <w:trPr>
          <w:trHeight w:val="674" w:hRule="atLeast"/>
          <w:jc w:val="center"/>
        </w:trPr>
        <w:tc>
          <w:tcPr>
            <w:tcW w:w="642" w:type="dxa"/>
            <w:vAlign w:val="center"/>
          </w:tcPr>
          <w:p w14:paraId="4833E26C">
            <w:pPr>
              <w:spacing w:before="120" w:line="223" w:lineRule="auto"/>
              <w:jc w:val="center"/>
              <w:outlineLvl w:val="1"/>
              <w:rPr>
                <w:rFonts w:hint="default"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3</w:t>
            </w:r>
          </w:p>
        </w:tc>
        <w:tc>
          <w:tcPr>
            <w:tcW w:w="1258" w:type="dxa"/>
            <w:vAlign w:val="center"/>
          </w:tcPr>
          <w:p w14:paraId="425B5BB6">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592" w:type="dxa"/>
            <w:vAlign w:val="center"/>
          </w:tcPr>
          <w:p w14:paraId="22DEA33D">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617" w:type="dxa"/>
            <w:vAlign w:val="center"/>
          </w:tcPr>
          <w:p w14:paraId="395B48E3">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605" w:type="dxa"/>
            <w:vAlign w:val="center"/>
          </w:tcPr>
          <w:p w14:paraId="723B603F">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087" w:type="dxa"/>
            <w:vAlign w:val="center"/>
          </w:tcPr>
          <w:p w14:paraId="0979A10A">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3512" w:type="dxa"/>
            <w:vAlign w:val="center"/>
          </w:tcPr>
          <w:p w14:paraId="65873C21">
            <w:pPr>
              <w:spacing w:before="120" w:line="223" w:lineRule="auto"/>
              <w:jc w:val="center"/>
              <w:outlineLvl w:val="1"/>
              <w:rPr>
                <w:rFonts w:ascii="宋体" w:hAnsi="宋体" w:eastAsia="宋体" w:cs="宋体"/>
                <w:spacing w:val="-5"/>
                <w:sz w:val="24"/>
                <w:szCs w:val="24"/>
                <w:highlight w:val="none"/>
              </w:rPr>
            </w:pPr>
          </w:p>
        </w:tc>
        <w:tc>
          <w:tcPr>
            <w:tcW w:w="620" w:type="dxa"/>
            <w:vAlign w:val="center"/>
          </w:tcPr>
          <w:p w14:paraId="7CA37DFF">
            <w:pPr>
              <w:spacing w:before="120" w:line="223" w:lineRule="auto"/>
              <w:jc w:val="center"/>
              <w:outlineLvl w:val="1"/>
              <w:rPr>
                <w:rFonts w:hint="eastAsia" w:ascii="宋体" w:hAnsi="宋体" w:eastAsia="宋体" w:cs="宋体"/>
                <w:spacing w:val="-5"/>
                <w:sz w:val="24"/>
                <w:szCs w:val="24"/>
                <w:highlight w:val="none"/>
                <w:lang w:val="en-US" w:eastAsia="zh-CN"/>
              </w:rPr>
            </w:pPr>
          </w:p>
        </w:tc>
      </w:tr>
      <w:tr w14:paraId="4E907F6C">
        <w:trPr>
          <w:trHeight w:val="674" w:hRule="atLeast"/>
          <w:jc w:val="center"/>
        </w:trPr>
        <w:tc>
          <w:tcPr>
            <w:tcW w:w="642" w:type="dxa"/>
            <w:vAlign w:val="center"/>
          </w:tcPr>
          <w:p w14:paraId="76A9FA5C">
            <w:pPr>
              <w:spacing w:before="120" w:line="223" w:lineRule="auto"/>
              <w:jc w:val="center"/>
              <w:outlineLvl w:val="1"/>
              <w:rPr>
                <w:rFonts w:hint="default" w:ascii="宋体" w:hAnsi="宋体" w:eastAsia="宋体" w:cs="宋体"/>
                <w:spacing w:val="-5"/>
                <w:sz w:val="24"/>
                <w:szCs w:val="24"/>
                <w:highlight w:val="none"/>
                <w:lang w:val="en-US" w:eastAsia="zh-CN"/>
              </w:rPr>
            </w:pPr>
            <w:r>
              <w:rPr>
                <w:rFonts w:hint="eastAsia" w:ascii="宋体" w:hAnsi="宋体" w:eastAsia="宋体" w:cs="宋体"/>
                <w:spacing w:val="-5"/>
                <w:sz w:val="24"/>
                <w:szCs w:val="24"/>
                <w:highlight w:val="none"/>
                <w:lang w:val="en-US" w:eastAsia="zh-CN"/>
              </w:rPr>
              <w:t>4</w:t>
            </w:r>
          </w:p>
        </w:tc>
        <w:tc>
          <w:tcPr>
            <w:tcW w:w="1258" w:type="dxa"/>
            <w:vAlign w:val="center"/>
          </w:tcPr>
          <w:p w14:paraId="17B2A012">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592" w:type="dxa"/>
            <w:vAlign w:val="center"/>
          </w:tcPr>
          <w:p w14:paraId="455105E8">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617" w:type="dxa"/>
            <w:vAlign w:val="center"/>
          </w:tcPr>
          <w:p w14:paraId="66A93511">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605" w:type="dxa"/>
            <w:vAlign w:val="center"/>
          </w:tcPr>
          <w:p w14:paraId="12B673A5">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087" w:type="dxa"/>
            <w:vAlign w:val="center"/>
          </w:tcPr>
          <w:p w14:paraId="7102113A">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3512" w:type="dxa"/>
            <w:vAlign w:val="center"/>
          </w:tcPr>
          <w:p w14:paraId="1443435F">
            <w:pPr>
              <w:spacing w:before="120" w:line="223" w:lineRule="auto"/>
              <w:jc w:val="center"/>
              <w:outlineLvl w:val="1"/>
              <w:rPr>
                <w:rFonts w:ascii="宋体" w:hAnsi="宋体" w:eastAsia="宋体" w:cs="宋体"/>
                <w:spacing w:val="-5"/>
                <w:sz w:val="24"/>
                <w:szCs w:val="24"/>
                <w:highlight w:val="none"/>
              </w:rPr>
            </w:pPr>
          </w:p>
        </w:tc>
        <w:tc>
          <w:tcPr>
            <w:tcW w:w="620" w:type="dxa"/>
            <w:vAlign w:val="center"/>
          </w:tcPr>
          <w:p w14:paraId="01048990">
            <w:pPr>
              <w:spacing w:before="120" w:line="223" w:lineRule="auto"/>
              <w:jc w:val="center"/>
              <w:outlineLvl w:val="1"/>
              <w:rPr>
                <w:rFonts w:hint="eastAsia" w:ascii="宋体" w:hAnsi="宋体" w:eastAsia="宋体" w:cs="宋体"/>
                <w:spacing w:val="-5"/>
                <w:sz w:val="24"/>
                <w:szCs w:val="24"/>
                <w:highlight w:val="none"/>
                <w:lang w:val="en-US" w:eastAsia="zh-CN"/>
              </w:rPr>
            </w:pPr>
          </w:p>
        </w:tc>
      </w:tr>
      <w:tr w14:paraId="41A9610D">
        <w:trPr>
          <w:trHeight w:val="674" w:hRule="atLeast"/>
          <w:jc w:val="center"/>
        </w:trPr>
        <w:tc>
          <w:tcPr>
            <w:tcW w:w="642" w:type="dxa"/>
            <w:vAlign w:val="center"/>
          </w:tcPr>
          <w:p w14:paraId="5218D91B">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258" w:type="dxa"/>
            <w:vAlign w:val="center"/>
          </w:tcPr>
          <w:p w14:paraId="3E9C28BA">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592" w:type="dxa"/>
            <w:vAlign w:val="center"/>
          </w:tcPr>
          <w:p w14:paraId="049941DD">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617" w:type="dxa"/>
            <w:vAlign w:val="center"/>
          </w:tcPr>
          <w:p w14:paraId="26A8CF05">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605" w:type="dxa"/>
            <w:vAlign w:val="center"/>
          </w:tcPr>
          <w:p w14:paraId="6FAAFBE3">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087" w:type="dxa"/>
            <w:vAlign w:val="center"/>
          </w:tcPr>
          <w:p w14:paraId="13FD05DD">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3512" w:type="dxa"/>
            <w:vAlign w:val="center"/>
          </w:tcPr>
          <w:p w14:paraId="3AAF6097">
            <w:pPr>
              <w:spacing w:before="120" w:line="223" w:lineRule="auto"/>
              <w:jc w:val="center"/>
              <w:outlineLvl w:val="1"/>
              <w:rPr>
                <w:rFonts w:ascii="宋体" w:hAnsi="宋体" w:eastAsia="宋体" w:cs="宋体"/>
                <w:spacing w:val="-5"/>
                <w:sz w:val="24"/>
                <w:szCs w:val="24"/>
                <w:highlight w:val="none"/>
              </w:rPr>
            </w:pPr>
          </w:p>
        </w:tc>
        <w:tc>
          <w:tcPr>
            <w:tcW w:w="620" w:type="dxa"/>
            <w:vAlign w:val="center"/>
          </w:tcPr>
          <w:p w14:paraId="1FF5D919">
            <w:pPr>
              <w:spacing w:before="120" w:line="223" w:lineRule="auto"/>
              <w:jc w:val="center"/>
              <w:outlineLvl w:val="1"/>
              <w:rPr>
                <w:rFonts w:hint="eastAsia" w:ascii="宋体" w:hAnsi="宋体" w:eastAsia="宋体" w:cs="宋体"/>
                <w:spacing w:val="-5"/>
                <w:sz w:val="24"/>
                <w:szCs w:val="24"/>
                <w:highlight w:val="none"/>
                <w:lang w:val="en-US" w:eastAsia="zh-CN"/>
              </w:rPr>
            </w:pPr>
          </w:p>
        </w:tc>
      </w:tr>
      <w:tr w14:paraId="51659938">
        <w:trPr>
          <w:trHeight w:val="674" w:hRule="atLeast"/>
          <w:jc w:val="center"/>
        </w:trPr>
        <w:tc>
          <w:tcPr>
            <w:tcW w:w="642" w:type="dxa"/>
            <w:vAlign w:val="center"/>
          </w:tcPr>
          <w:p w14:paraId="4912CE67">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258" w:type="dxa"/>
            <w:vAlign w:val="center"/>
          </w:tcPr>
          <w:p w14:paraId="574A81D2">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592" w:type="dxa"/>
            <w:vAlign w:val="center"/>
          </w:tcPr>
          <w:p w14:paraId="626BBBEA">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617" w:type="dxa"/>
            <w:vAlign w:val="center"/>
          </w:tcPr>
          <w:p w14:paraId="14525214">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605" w:type="dxa"/>
            <w:vAlign w:val="center"/>
          </w:tcPr>
          <w:p w14:paraId="16522134">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087" w:type="dxa"/>
            <w:vAlign w:val="center"/>
          </w:tcPr>
          <w:p w14:paraId="3CC0EA73">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3512" w:type="dxa"/>
            <w:vAlign w:val="center"/>
          </w:tcPr>
          <w:p w14:paraId="6855735E">
            <w:pPr>
              <w:spacing w:before="120" w:line="223" w:lineRule="auto"/>
              <w:jc w:val="center"/>
              <w:outlineLvl w:val="1"/>
              <w:rPr>
                <w:rFonts w:ascii="宋体" w:hAnsi="宋体" w:eastAsia="宋体" w:cs="宋体"/>
                <w:spacing w:val="-5"/>
                <w:sz w:val="24"/>
                <w:szCs w:val="24"/>
                <w:highlight w:val="none"/>
              </w:rPr>
            </w:pPr>
          </w:p>
        </w:tc>
        <w:tc>
          <w:tcPr>
            <w:tcW w:w="620" w:type="dxa"/>
            <w:vAlign w:val="center"/>
          </w:tcPr>
          <w:p w14:paraId="05F98EEF">
            <w:pPr>
              <w:spacing w:before="120" w:line="223" w:lineRule="auto"/>
              <w:jc w:val="center"/>
              <w:outlineLvl w:val="1"/>
              <w:rPr>
                <w:rFonts w:hint="eastAsia" w:ascii="宋体" w:hAnsi="宋体" w:eastAsia="宋体" w:cs="宋体"/>
                <w:spacing w:val="-5"/>
                <w:sz w:val="24"/>
                <w:szCs w:val="24"/>
                <w:highlight w:val="none"/>
                <w:lang w:val="en-US" w:eastAsia="zh-CN"/>
              </w:rPr>
            </w:pPr>
          </w:p>
        </w:tc>
      </w:tr>
      <w:tr w14:paraId="4E8E716A">
        <w:trPr>
          <w:trHeight w:val="674" w:hRule="atLeast"/>
          <w:jc w:val="center"/>
        </w:trPr>
        <w:tc>
          <w:tcPr>
            <w:tcW w:w="642" w:type="dxa"/>
            <w:vAlign w:val="center"/>
          </w:tcPr>
          <w:p w14:paraId="5F6B3E17">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258" w:type="dxa"/>
            <w:vAlign w:val="center"/>
          </w:tcPr>
          <w:p w14:paraId="1B4F31FC">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592" w:type="dxa"/>
            <w:vAlign w:val="center"/>
          </w:tcPr>
          <w:p w14:paraId="7C585F51">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617" w:type="dxa"/>
            <w:vAlign w:val="center"/>
          </w:tcPr>
          <w:p w14:paraId="09885E1D">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605" w:type="dxa"/>
            <w:vAlign w:val="center"/>
          </w:tcPr>
          <w:p w14:paraId="2213038D">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1087" w:type="dxa"/>
            <w:vAlign w:val="center"/>
          </w:tcPr>
          <w:p w14:paraId="05AFE768">
            <w:pPr>
              <w:spacing w:before="120" w:line="223" w:lineRule="auto"/>
              <w:jc w:val="center"/>
              <w:outlineLvl w:val="1"/>
              <w:rPr>
                <w:rFonts w:hint="eastAsia" w:ascii="宋体" w:hAnsi="宋体" w:eastAsia="宋体" w:cs="宋体"/>
                <w:spacing w:val="-5"/>
                <w:sz w:val="24"/>
                <w:szCs w:val="24"/>
                <w:highlight w:val="none"/>
                <w:lang w:val="en-US" w:eastAsia="zh-CN"/>
              </w:rPr>
            </w:pPr>
          </w:p>
        </w:tc>
        <w:tc>
          <w:tcPr>
            <w:tcW w:w="3512" w:type="dxa"/>
            <w:vAlign w:val="center"/>
          </w:tcPr>
          <w:p w14:paraId="0DCA6170">
            <w:pPr>
              <w:spacing w:before="120" w:line="223" w:lineRule="auto"/>
              <w:jc w:val="center"/>
              <w:outlineLvl w:val="1"/>
              <w:rPr>
                <w:rFonts w:ascii="宋体" w:hAnsi="宋体" w:eastAsia="宋体" w:cs="宋体"/>
                <w:spacing w:val="-5"/>
                <w:sz w:val="24"/>
                <w:szCs w:val="24"/>
                <w:highlight w:val="none"/>
              </w:rPr>
            </w:pPr>
          </w:p>
        </w:tc>
        <w:tc>
          <w:tcPr>
            <w:tcW w:w="620" w:type="dxa"/>
            <w:vAlign w:val="center"/>
          </w:tcPr>
          <w:p w14:paraId="3145F5B7">
            <w:pPr>
              <w:spacing w:before="120" w:line="223" w:lineRule="auto"/>
              <w:jc w:val="center"/>
              <w:outlineLvl w:val="1"/>
              <w:rPr>
                <w:rFonts w:hint="eastAsia" w:ascii="宋体" w:hAnsi="宋体" w:eastAsia="宋体" w:cs="宋体"/>
                <w:spacing w:val="-5"/>
                <w:sz w:val="24"/>
                <w:szCs w:val="24"/>
                <w:highlight w:val="none"/>
                <w:lang w:val="en-US" w:eastAsia="zh-CN"/>
              </w:rPr>
            </w:pPr>
          </w:p>
        </w:tc>
      </w:tr>
    </w:tbl>
    <w:p w14:paraId="6D982E5E">
      <w:pPr>
        <w:pStyle w:val="5"/>
        <w:rPr>
          <w:rFonts w:hint="eastAsia" w:ascii="宋体" w:hAnsi="宋体" w:eastAsia="宋体"/>
          <w:bCs/>
          <w:color w:val="auto"/>
          <w:sz w:val="24"/>
          <w:highlight w:val="none"/>
        </w:rPr>
      </w:pPr>
      <w:r>
        <w:rPr>
          <w:rFonts w:ascii="宋体" w:hAnsi="宋体" w:eastAsia="宋体" w:cs="宋体"/>
          <w:spacing w:val="-11"/>
          <w:sz w:val="24"/>
          <w:szCs w:val="24"/>
          <w:highlight w:val="none"/>
        </w:rPr>
        <w:t>注：根据评分表的要求提交相应资料。未提供或提供材料不完整的</w:t>
      </w:r>
      <w:r>
        <w:rPr>
          <w:rFonts w:hint="eastAsia" w:cs="宋体"/>
          <w:spacing w:val="-11"/>
          <w:sz w:val="24"/>
          <w:szCs w:val="24"/>
          <w:highlight w:val="none"/>
          <w:lang w:val="en-US" w:eastAsia="zh-CN"/>
        </w:rPr>
        <w:t>证明材料</w:t>
      </w:r>
      <w:r>
        <w:rPr>
          <w:rFonts w:ascii="宋体" w:hAnsi="宋体" w:eastAsia="宋体" w:cs="宋体"/>
          <w:spacing w:val="-11"/>
          <w:sz w:val="24"/>
          <w:szCs w:val="24"/>
          <w:highlight w:val="none"/>
        </w:rPr>
        <w:t>，将不予承认。</w:t>
      </w:r>
    </w:p>
    <w:p w14:paraId="0F6BBDDD">
      <w:pPr>
        <w:spacing w:line="240" w:lineRule="auto"/>
        <w:ind w:firstLine="0" w:firstLineChars="0"/>
        <w:jc w:val="left"/>
        <w:rPr>
          <w:rFonts w:hint="eastAsia" w:ascii="宋体" w:hAnsi="宋体" w:eastAsia="宋体" w:cs="宋体"/>
          <w:b/>
          <w:color w:val="auto"/>
          <w:kern w:val="2"/>
          <w:sz w:val="30"/>
          <w:szCs w:val="30"/>
          <w:highlight w:val="none"/>
          <w:lang w:val="en-US" w:eastAsia="zh-CN" w:bidi="ar-SA"/>
        </w:rPr>
      </w:pPr>
      <w:r>
        <w:rPr>
          <w:rFonts w:hint="eastAsia"/>
          <w:bCs/>
          <w:color w:val="auto"/>
          <w:sz w:val="24"/>
          <w:highlight w:val="none"/>
        </w:rPr>
        <w:br w:type="page"/>
      </w:r>
      <w:r>
        <w:rPr>
          <w:rFonts w:hint="eastAsia" w:ascii="宋体" w:hAnsi="宋体" w:cs="Times New Roman"/>
          <w:b/>
          <w:bCs/>
          <w:color w:val="auto"/>
          <w:sz w:val="24"/>
          <w:highlight w:val="none"/>
        </w:rPr>
        <w:t>附件</w:t>
      </w:r>
      <w:r>
        <w:rPr>
          <w:rFonts w:hint="eastAsia" w:ascii="宋体" w:hAnsi="宋体" w:cs="Times New Roman"/>
          <w:b/>
          <w:bCs/>
          <w:color w:val="auto"/>
          <w:sz w:val="24"/>
          <w:highlight w:val="none"/>
          <w:lang w:val="en-US" w:eastAsia="zh-CN"/>
        </w:rPr>
        <w:t>8</w:t>
      </w:r>
    </w:p>
    <w:p w14:paraId="3AF25414">
      <w:pPr>
        <w:spacing w:line="560" w:lineRule="exact"/>
        <w:ind w:firstLine="601" w:firstLineChars="200"/>
        <w:jc w:val="center"/>
        <w:rPr>
          <w:rFonts w:hint="eastAsia" w:ascii="宋体" w:hAnsi="宋体" w:eastAsia="宋体" w:cs="宋体"/>
          <w:b/>
          <w:color w:val="auto"/>
          <w:kern w:val="2"/>
          <w:sz w:val="30"/>
          <w:szCs w:val="30"/>
          <w:highlight w:val="none"/>
          <w:lang w:val="en-US" w:eastAsia="zh-CN" w:bidi="ar-SA"/>
        </w:rPr>
      </w:pPr>
      <w:r>
        <w:rPr>
          <w:rFonts w:hint="eastAsia" w:ascii="宋体" w:hAnsi="宋体" w:eastAsia="宋体" w:cs="宋体"/>
          <w:b/>
          <w:color w:val="auto"/>
          <w:kern w:val="2"/>
          <w:sz w:val="30"/>
          <w:szCs w:val="30"/>
          <w:highlight w:val="none"/>
          <w:lang w:val="en-US" w:eastAsia="zh-CN" w:bidi="ar-SA"/>
        </w:rPr>
        <w:t>服务响应便利性承诺函</w:t>
      </w:r>
    </w:p>
    <w:p w14:paraId="233F6359">
      <w:pPr>
        <w:spacing w:line="560" w:lineRule="exact"/>
        <w:ind w:firstLine="601" w:firstLineChars="200"/>
        <w:jc w:val="center"/>
        <w:rPr>
          <w:rFonts w:hint="eastAsia" w:ascii="宋体" w:hAnsi="宋体" w:eastAsia="宋体" w:cs="宋体"/>
          <w:b/>
          <w:color w:val="auto"/>
          <w:kern w:val="2"/>
          <w:sz w:val="30"/>
          <w:szCs w:val="30"/>
          <w:highlight w:val="none"/>
          <w:lang w:val="en-US" w:eastAsia="zh-CN" w:bidi="ar-SA"/>
        </w:rPr>
      </w:pPr>
    </w:p>
    <w:p w14:paraId="061CC24C">
      <w:pPr>
        <w:pStyle w:val="37"/>
        <w:spacing w:line="480" w:lineRule="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致：广州南沙文体投资有限公司</w:t>
      </w:r>
    </w:p>
    <w:p w14:paraId="4BC7B497">
      <w:pPr>
        <w:pStyle w:val="37"/>
        <w:spacing w:line="48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对于2025年体育赛事后勤保障服务项目，我方郑重承诺如下：</w:t>
      </w:r>
    </w:p>
    <w:p w14:paraId="30DCC475">
      <w:pPr>
        <w:pStyle w:val="37"/>
        <w:spacing w:line="480" w:lineRule="auto"/>
        <w:ind w:firstLine="48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我方承诺在接到采购人服务要求情况下，在</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2"/>
          <w:sz w:val="24"/>
          <w:szCs w:val="24"/>
          <w:highlight w:val="none"/>
          <w:lang w:val="en-US" w:eastAsia="zh-CN" w:bidi="ar-SA"/>
        </w:rPr>
        <w:t>分钟内做出服务响应。</w:t>
      </w:r>
    </w:p>
    <w:p w14:paraId="319ED9D2">
      <w:pPr>
        <w:pStyle w:val="37"/>
        <w:spacing w:line="480" w:lineRule="auto"/>
        <w:ind w:firstLine="48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特此承诺。</w:t>
      </w:r>
    </w:p>
    <w:p w14:paraId="128074F2">
      <w:pPr>
        <w:pStyle w:val="37"/>
        <w:spacing w:line="480" w:lineRule="auto"/>
        <w:ind w:firstLine="480"/>
        <w:rPr>
          <w:rFonts w:hint="eastAsia" w:asciiTheme="minorEastAsia" w:hAnsiTheme="minorEastAsia" w:eastAsiaTheme="minorEastAsia" w:cstheme="minorEastAsia"/>
          <w:color w:val="auto"/>
          <w:kern w:val="2"/>
          <w:sz w:val="24"/>
          <w:szCs w:val="24"/>
          <w:highlight w:val="none"/>
          <w:lang w:val="en-US" w:eastAsia="zh-CN" w:bidi="ar-SA"/>
        </w:rPr>
      </w:pPr>
    </w:p>
    <w:p w14:paraId="4178C6F3">
      <w:pPr>
        <w:pStyle w:val="37"/>
        <w:spacing w:line="480" w:lineRule="auto"/>
        <w:ind w:firstLine="480"/>
        <w:rPr>
          <w:rFonts w:hint="eastAsia" w:asciiTheme="minorEastAsia" w:hAnsiTheme="minorEastAsia" w:eastAsiaTheme="minorEastAsia" w:cstheme="minorEastAsia"/>
          <w:color w:val="auto"/>
          <w:kern w:val="2"/>
          <w:sz w:val="24"/>
          <w:szCs w:val="24"/>
          <w:highlight w:val="none"/>
          <w:lang w:val="en-US" w:eastAsia="zh-CN" w:bidi="ar-SA"/>
        </w:rPr>
      </w:pPr>
    </w:p>
    <w:p w14:paraId="2C640FFE">
      <w:pPr>
        <w:pStyle w:val="37"/>
        <w:spacing w:line="480" w:lineRule="auto"/>
        <w:ind w:firstLine="480"/>
        <w:rPr>
          <w:rFonts w:hint="eastAsia" w:asciiTheme="minorEastAsia" w:hAnsiTheme="minorEastAsia" w:eastAsiaTheme="minorEastAsia" w:cstheme="minorEastAsia"/>
          <w:color w:val="auto"/>
          <w:kern w:val="2"/>
          <w:sz w:val="24"/>
          <w:szCs w:val="24"/>
          <w:highlight w:val="none"/>
          <w:lang w:val="en-US" w:eastAsia="zh-CN" w:bidi="ar-SA"/>
        </w:rPr>
      </w:pPr>
    </w:p>
    <w:p w14:paraId="385584F8">
      <w:pPr>
        <w:pStyle w:val="37"/>
        <w:spacing w:line="480" w:lineRule="auto"/>
        <w:jc w:val="righ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供应商名称（盖章）：__________________</w:t>
      </w:r>
    </w:p>
    <w:p w14:paraId="54B68501">
      <w:pPr>
        <w:pStyle w:val="37"/>
        <w:spacing w:line="480" w:lineRule="auto"/>
        <w:ind w:firstLine="480"/>
        <w:jc w:val="righ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日期：   年   月   日</w:t>
      </w:r>
    </w:p>
    <w:p w14:paraId="584E3937">
      <w:pPr>
        <w:spacing w:line="480" w:lineRule="auto"/>
        <w:rPr>
          <w:rFonts w:hint="eastAsia" w:ascii="宋体" w:hAnsi="宋体" w:cs="Times New Roman"/>
          <w:b/>
          <w:bCs/>
          <w:color w:val="auto"/>
          <w:sz w:val="24"/>
          <w:highlight w:val="none"/>
        </w:rPr>
      </w:pPr>
    </w:p>
    <w:p w14:paraId="3E235D31">
      <w:pPr>
        <w:rPr>
          <w:rFonts w:hint="eastAsia" w:ascii="宋体" w:hAnsi="宋体" w:cs="Times New Roman"/>
          <w:b/>
          <w:bCs/>
          <w:color w:val="auto"/>
          <w:sz w:val="24"/>
          <w:highlight w:val="none"/>
        </w:rPr>
      </w:pPr>
      <w:r>
        <w:rPr>
          <w:rFonts w:hint="eastAsia" w:ascii="宋体" w:hAnsi="宋体" w:cs="Times New Roman"/>
          <w:b/>
          <w:bCs/>
          <w:color w:val="auto"/>
          <w:sz w:val="24"/>
          <w:highlight w:val="none"/>
        </w:rPr>
        <w:br w:type="page"/>
      </w:r>
    </w:p>
    <w:p w14:paraId="06D878F9">
      <w:pPr>
        <w:rPr>
          <w:rFonts w:hint="eastAsia" w:ascii="宋体" w:hAnsi="宋体" w:cs="Times New Roman"/>
          <w:b/>
          <w:bCs/>
          <w:color w:val="auto"/>
          <w:sz w:val="24"/>
          <w:highlight w:val="none"/>
        </w:rPr>
      </w:pPr>
      <w:r>
        <w:rPr>
          <w:rFonts w:hint="eastAsia" w:ascii="宋体" w:hAnsi="宋体" w:cs="Times New Roman"/>
          <w:b/>
          <w:bCs/>
          <w:color w:val="auto"/>
          <w:sz w:val="24"/>
          <w:highlight w:val="none"/>
        </w:rPr>
        <w:t>附件</w:t>
      </w:r>
      <w:r>
        <w:rPr>
          <w:rFonts w:hint="eastAsia" w:ascii="宋体" w:hAnsi="宋体" w:cs="Times New Roman"/>
          <w:b/>
          <w:bCs/>
          <w:color w:val="auto"/>
          <w:sz w:val="24"/>
          <w:highlight w:val="none"/>
          <w:lang w:val="en-US" w:eastAsia="zh-CN"/>
        </w:rPr>
        <w:t>9</w:t>
      </w:r>
      <w:r>
        <w:rPr>
          <w:rFonts w:hint="eastAsia" w:ascii="宋体" w:hAnsi="宋体" w:cs="Times New Roman"/>
          <w:b/>
          <w:bCs/>
          <w:color w:val="auto"/>
          <w:sz w:val="24"/>
          <w:highlight w:val="none"/>
        </w:rPr>
        <w:t xml:space="preserve">  技术文件（格式自定，可另册）</w:t>
      </w:r>
      <w:r>
        <w:rPr>
          <w:rFonts w:hint="eastAsia" w:ascii="宋体" w:hAnsi="宋体" w:cs="Times New Roman"/>
          <w:b/>
          <w:bCs/>
          <w:color w:val="auto"/>
          <w:sz w:val="24"/>
          <w:highlight w:val="none"/>
        </w:rPr>
        <w:tab/>
      </w:r>
    </w:p>
    <w:p w14:paraId="0927B021">
      <w:pPr>
        <w:pStyle w:val="2"/>
        <w:rPr>
          <w:color w:val="auto"/>
          <w:highlight w:val="none"/>
        </w:rPr>
      </w:pPr>
    </w:p>
    <w:p w14:paraId="28A0FA31">
      <w:pPr>
        <w:rPr>
          <w:color w:val="auto"/>
          <w:highlight w:val="none"/>
        </w:rPr>
      </w:pPr>
    </w:p>
    <w:p w14:paraId="4178252A">
      <w:pPr>
        <w:pStyle w:val="4"/>
        <w:rPr>
          <w:color w:val="auto"/>
          <w:highlight w:val="none"/>
        </w:rPr>
      </w:pPr>
    </w:p>
    <w:p w14:paraId="7833CB1C">
      <w:pPr>
        <w:rPr>
          <w:color w:val="auto"/>
          <w:highlight w:val="none"/>
        </w:rPr>
      </w:pPr>
    </w:p>
    <w:p w14:paraId="1E73BA10">
      <w:pPr>
        <w:pStyle w:val="4"/>
        <w:rPr>
          <w:color w:val="auto"/>
          <w:highlight w:val="none"/>
        </w:rPr>
      </w:pPr>
    </w:p>
    <w:p w14:paraId="494F4538">
      <w:pPr>
        <w:rPr>
          <w:color w:val="auto"/>
          <w:highlight w:val="none"/>
        </w:rPr>
      </w:pPr>
    </w:p>
    <w:p w14:paraId="6768F727">
      <w:pPr>
        <w:pStyle w:val="4"/>
        <w:rPr>
          <w:color w:val="auto"/>
          <w:highlight w:val="none"/>
        </w:rPr>
      </w:pPr>
    </w:p>
    <w:p w14:paraId="3E179D55">
      <w:pPr>
        <w:rPr>
          <w:color w:val="auto"/>
          <w:highlight w:val="none"/>
        </w:rPr>
      </w:pPr>
    </w:p>
    <w:p w14:paraId="464C6D11">
      <w:pPr>
        <w:pStyle w:val="4"/>
        <w:rPr>
          <w:color w:val="auto"/>
          <w:highlight w:val="none"/>
        </w:rPr>
      </w:pPr>
    </w:p>
    <w:p w14:paraId="7B4DD589">
      <w:pPr>
        <w:rPr>
          <w:color w:val="auto"/>
          <w:highlight w:val="none"/>
        </w:rPr>
      </w:pPr>
    </w:p>
    <w:p w14:paraId="67F72071">
      <w:pPr>
        <w:pStyle w:val="4"/>
        <w:rPr>
          <w:color w:val="auto"/>
          <w:highlight w:val="none"/>
        </w:rPr>
      </w:pPr>
    </w:p>
    <w:p w14:paraId="52BF4C01">
      <w:pPr>
        <w:rPr>
          <w:color w:val="auto"/>
          <w:highlight w:val="none"/>
        </w:rPr>
      </w:pPr>
    </w:p>
    <w:p w14:paraId="41C206AF">
      <w:pPr>
        <w:pStyle w:val="4"/>
        <w:rPr>
          <w:color w:val="auto"/>
          <w:highlight w:val="none"/>
        </w:rPr>
      </w:pPr>
    </w:p>
    <w:p w14:paraId="337A74C4">
      <w:pPr>
        <w:rPr>
          <w:color w:val="auto"/>
          <w:highlight w:val="none"/>
        </w:rPr>
      </w:pPr>
    </w:p>
    <w:p w14:paraId="7D4B6DDD">
      <w:pPr>
        <w:pStyle w:val="4"/>
        <w:rPr>
          <w:color w:val="auto"/>
          <w:highlight w:val="none"/>
        </w:rPr>
      </w:pPr>
    </w:p>
    <w:p w14:paraId="35AAB3DD">
      <w:pPr>
        <w:rPr>
          <w:color w:val="auto"/>
          <w:highlight w:val="none"/>
        </w:rPr>
      </w:pPr>
    </w:p>
    <w:p w14:paraId="106EE5EB">
      <w:pPr>
        <w:pStyle w:val="4"/>
        <w:rPr>
          <w:color w:val="auto"/>
          <w:highlight w:val="none"/>
        </w:rPr>
      </w:pPr>
    </w:p>
    <w:p w14:paraId="4F5B3896">
      <w:pPr>
        <w:rPr>
          <w:color w:val="auto"/>
          <w:highlight w:val="none"/>
        </w:rPr>
      </w:pPr>
    </w:p>
    <w:p w14:paraId="1A4C17D6">
      <w:pPr>
        <w:pStyle w:val="4"/>
        <w:rPr>
          <w:color w:val="auto"/>
          <w:highlight w:val="none"/>
        </w:rPr>
      </w:pPr>
    </w:p>
    <w:p w14:paraId="46A129E2">
      <w:pPr>
        <w:rPr>
          <w:color w:val="auto"/>
          <w:highlight w:val="none"/>
        </w:rPr>
      </w:pPr>
    </w:p>
    <w:p w14:paraId="778C0B26">
      <w:pPr>
        <w:pStyle w:val="4"/>
        <w:rPr>
          <w:color w:val="auto"/>
          <w:highlight w:val="none"/>
        </w:rPr>
      </w:pPr>
    </w:p>
    <w:p w14:paraId="25FF1C64">
      <w:pPr>
        <w:rPr>
          <w:color w:val="auto"/>
          <w:highlight w:val="none"/>
        </w:rPr>
      </w:pPr>
    </w:p>
    <w:p w14:paraId="03000ACA">
      <w:pPr>
        <w:pStyle w:val="4"/>
        <w:rPr>
          <w:color w:val="auto"/>
          <w:highlight w:val="none"/>
        </w:rPr>
      </w:pPr>
    </w:p>
    <w:p w14:paraId="3AEE4B66">
      <w:pPr>
        <w:rPr>
          <w:color w:val="auto"/>
          <w:highlight w:val="none"/>
        </w:rPr>
      </w:pPr>
    </w:p>
    <w:p w14:paraId="2F105EE3">
      <w:pPr>
        <w:pStyle w:val="4"/>
        <w:rPr>
          <w:color w:val="auto"/>
          <w:highlight w:val="none"/>
        </w:rPr>
      </w:pPr>
    </w:p>
    <w:p w14:paraId="61D84318">
      <w:pPr>
        <w:rPr>
          <w:color w:val="auto"/>
          <w:highlight w:val="none"/>
        </w:rPr>
      </w:pPr>
    </w:p>
    <w:p w14:paraId="4AD108CC">
      <w:pPr>
        <w:pStyle w:val="4"/>
        <w:rPr>
          <w:color w:val="auto"/>
          <w:highlight w:val="none"/>
        </w:rPr>
      </w:pPr>
    </w:p>
    <w:p w14:paraId="2891FCE7">
      <w:pPr>
        <w:rPr>
          <w:color w:val="auto"/>
          <w:highlight w:val="none"/>
        </w:rPr>
      </w:pPr>
    </w:p>
    <w:p w14:paraId="417111A1">
      <w:pPr>
        <w:pStyle w:val="5"/>
        <w:rPr>
          <w:rFonts w:hint="default" w:eastAsia="宋体"/>
          <w:bCs/>
          <w:color w:val="auto"/>
          <w:sz w:val="24"/>
          <w:highlight w:val="none"/>
          <w:lang w:val="en-US" w:eastAsia="zh-CN"/>
        </w:rPr>
      </w:pPr>
      <w:r>
        <w:rPr>
          <w:rFonts w:hint="eastAsia"/>
          <w:bCs/>
          <w:color w:val="auto"/>
          <w:sz w:val="24"/>
          <w:highlight w:val="none"/>
        </w:rPr>
        <w:t>附件</w:t>
      </w:r>
      <w:r>
        <w:rPr>
          <w:rFonts w:hint="eastAsia"/>
          <w:bCs/>
          <w:color w:val="auto"/>
          <w:sz w:val="24"/>
          <w:highlight w:val="none"/>
          <w:lang w:val="en-US" w:eastAsia="zh-CN"/>
        </w:rPr>
        <w:t>10</w:t>
      </w:r>
    </w:p>
    <w:p w14:paraId="1A7D9DB2">
      <w:pPr>
        <w:pStyle w:val="5"/>
        <w:ind w:firstLine="3414" w:firstLineChars="1421"/>
        <w:rPr>
          <w:rFonts w:hint="eastAsia"/>
          <w:bCs/>
          <w:color w:val="auto"/>
          <w:sz w:val="24"/>
          <w:highlight w:val="none"/>
        </w:rPr>
      </w:pPr>
      <w:r>
        <w:rPr>
          <w:rFonts w:hint="eastAsia"/>
          <w:bCs/>
          <w:color w:val="auto"/>
          <w:sz w:val="24"/>
          <w:highlight w:val="none"/>
        </w:rPr>
        <w:t>公平竞争承诺书</w:t>
      </w:r>
    </w:p>
    <w:p w14:paraId="7C9FD6BC">
      <w:pPr>
        <w:autoSpaceDE w:val="0"/>
        <w:autoSpaceDN w:val="0"/>
        <w:adjustRightInd w:val="0"/>
        <w:spacing w:line="360" w:lineRule="auto"/>
        <w:ind w:firstLine="240" w:firstLineChars="100"/>
        <w:jc w:val="left"/>
        <w:rPr>
          <w:rFonts w:hint="eastAsia" w:ascii="宋体" w:hAnsi="宋体" w:cs="宋体"/>
          <w:color w:val="auto"/>
          <w:sz w:val="24"/>
          <w:highlight w:val="none"/>
        </w:rPr>
      </w:pPr>
    </w:p>
    <w:p w14:paraId="52333419">
      <w:pPr>
        <w:autoSpaceDE w:val="0"/>
        <w:autoSpaceDN w:val="0"/>
        <w:adjustRightInd w:val="0"/>
        <w:spacing w:line="360" w:lineRule="auto"/>
        <w:ind w:firstLine="240" w:firstLineChars="100"/>
        <w:jc w:val="left"/>
        <w:rPr>
          <w:rFonts w:hint="eastAsia" w:ascii="宋体" w:hAnsi="宋体" w:cs="宋体"/>
          <w:color w:val="auto"/>
          <w:sz w:val="24"/>
          <w:highlight w:val="none"/>
        </w:rPr>
      </w:pPr>
    </w:p>
    <w:p w14:paraId="6AE4CADF">
      <w:pPr>
        <w:autoSpaceDE w:val="0"/>
        <w:autoSpaceDN w:val="0"/>
        <w:adjustRightInd w:val="0"/>
        <w:spacing w:line="360" w:lineRule="auto"/>
        <w:ind w:firstLine="240" w:firstLineChars="100"/>
        <w:jc w:val="left"/>
        <w:rPr>
          <w:rFonts w:hint="eastAsia" w:ascii="宋体" w:hAnsi="宋体" w:cs="宋体"/>
          <w:color w:val="auto"/>
          <w:sz w:val="24"/>
          <w:highlight w:val="none"/>
        </w:rPr>
      </w:pPr>
    </w:p>
    <w:p w14:paraId="58AEEB3F">
      <w:pPr>
        <w:autoSpaceDE w:val="0"/>
        <w:autoSpaceDN w:val="0"/>
        <w:adjustRightIn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公司郑重承诺：本公司保证所提交的相关资质文件和证明材料的真实性，有良好的历史诚信记录，并将依法参与2025年体育赛事后勤保障服务项目的公平竞争，不以任何不正当行为谋取不当利益，不与其他投标人存在影响投标公平、公正的关联关系，不存在串通其他投标人的情形，否则承担相应的法律责任。</w:t>
      </w:r>
    </w:p>
    <w:p w14:paraId="231DFC27">
      <w:pPr>
        <w:autoSpaceDE w:val="0"/>
        <w:autoSpaceDN w:val="0"/>
        <w:adjustRightInd w:val="0"/>
        <w:spacing w:line="360" w:lineRule="auto"/>
        <w:jc w:val="right"/>
        <w:rPr>
          <w:rFonts w:hint="eastAsia" w:ascii="宋体" w:hAnsi="宋体" w:cs="宋体"/>
          <w:color w:val="auto"/>
          <w:sz w:val="24"/>
          <w:highlight w:val="none"/>
        </w:rPr>
      </w:pPr>
    </w:p>
    <w:p w14:paraId="58820401">
      <w:pPr>
        <w:autoSpaceDE w:val="0"/>
        <w:autoSpaceDN w:val="0"/>
        <w:adjustRightInd w:val="0"/>
        <w:spacing w:line="360" w:lineRule="auto"/>
        <w:jc w:val="right"/>
        <w:rPr>
          <w:rFonts w:hint="eastAsia" w:ascii="宋体" w:hAnsi="宋体" w:cs="宋体"/>
          <w:color w:val="auto"/>
          <w:sz w:val="24"/>
          <w:highlight w:val="none"/>
        </w:rPr>
      </w:pPr>
    </w:p>
    <w:p w14:paraId="36B48060">
      <w:pPr>
        <w:autoSpaceDE w:val="0"/>
        <w:autoSpaceDN w:val="0"/>
        <w:adjustRightInd w:val="0"/>
        <w:spacing w:line="360" w:lineRule="auto"/>
        <w:jc w:val="right"/>
        <w:rPr>
          <w:rFonts w:hint="eastAsia" w:ascii="宋体" w:hAnsi="宋体" w:cs="宋体"/>
          <w:color w:val="auto"/>
          <w:sz w:val="24"/>
          <w:highlight w:val="none"/>
        </w:rPr>
      </w:pPr>
    </w:p>
    <w:p w14:paraId="34766FDD">
      <w:pPr>
        <w:autoSpaceDE w:val="0"/>
        <w:autoSpaceDN w:val="0"/>
        <w:adjustRightInd w:val="0"/>
        <w:spacing w:line="360" w:lineRule="auto"/>
        <w:jc w:val="right"/>
        <w:rPr>
          <w:rFonts w:hint="eastAsia" w:ascii="宋体" w:hAnsi="宋体" w:cs="宋体"/>
          <w:color w:val="auto"/>
          <w:sz w:val="24"/>
          <w:highlight w:val="none"/>
        </w:rPr>
      </w:pPr>
    </w:p>
    <w:p w14:paraId="610890B0">
      <w:pPr>
        <w:autoSpaceDE w:val="0"/>
        <w:autoSpaceDN w:val="0"/>
        <w:adjustRightInd w:val="0"/>
        <w:spacing w:line="360" w:lineRule="auto"/>
        <w:jc w:val="right"/>
        <w:rPr>
          <w:rFonts w:hint="eastAsia" w:ascii="宋体" w:hAnsi="宋体" w:cs="宋体"/>
          <w:color w:val="auto"/>
          <w:sz w:val="24"/>
          <w:highlight w:val="none"/>
        </w:rPr>
      </w:pPr>
      <w:r>
        <w:rPr>
          <w:rFonts w:hint="eastAsia" w:ascii="宋体" w:hAnsi="宋体" w:cs="宋体"/>
          <w:color w:val="auto"/>
          <w:sz w:val="24"/>
          <w:highlight w:val="none"/>
        </w:rPr>
        <w:t>（公司名称，加盖公章）</w:t>
      </w:r>
    </w:p>
    <w:p w14:paraId="080CD6A6">
      <w:pPr>
        <w:spacing w:line="380" w:lineRule="exact"/>
        <w:ind w:firstLine="120" w:firstLineChars="50"/>
        <w:jc w:val="right"/>
        <w:rPr>
          <w:rFonts w:hint="eastAsia" w:ascii="宋体" w:hAnsi="宋体" w:cs="宋体"/>
          <w:color w:val="auto"/>
          <w:sz w:val="24"/>
          <w:highlight w:val="none"/>
        </w:rPr>
      </w:pPr>
      <w:r>
        <w:rPr>
          <w:rFonts w:hint="eastAsia" w:ascii="宋体" w:hAnsi="宋体" w:cs="宋体"/>
          <w:color w:val="auto"/>
          <w:sz w:val="24"/>
          <w:highlight w:val="none"/>
        </w:rPr>
        <w:t xml:space="preserve">时间：  </w:t>
      </w:r>
      <w:r>
        <w:rPr>
          <w:rFonts w:ascii="宋体" w:hAnsi="宋体" w:cs="宋体"/>
          <w:color w:val="auto"/>
          <w:sz w:val="24"/>
          <w:highlight w:val="none"/>
        </w:rPr>
        <w:t xml:space="preserve"> </w:t>
      </w:r>
      <w:r>
        <w:rPr>
          <w:rFonts w:hint="eastAsia" w:ascii="宋体" w:hAnsi="宋体" w:cs="宋体"/>
          <w:color w:val="auto"/>
          <w:sz w:val="24"/>
          <w:highlight w:val="none"/>
        </w:rPr>
        <w:t xml:space="preserve">年  </w:t>
      </w:r>
      <w:r>
        <w:rPr>
          <w:rFonts w:ascii="宋体" w:hAnsi="宋体" w:cs="宋体"/>
          <w:color w:val="auto"/>
          <w:sz w:val="24"/>
          <w:highlight w:val="none"/>
        </w:rPr>
        <w:t xml:space="preserve"> </w:t>
      </w:r>
      <w:r>
        <w:rPr>
          <w:rFonts w:hint="eastAsia" w:ascii="宋体" w:hAnsi="宋体" w:cs="宋体"/>
          <w:color w:val="auto"/>
          <w:sz w:val="24"/>
          <w:highlight w:val="none"/>
        </w:rPr>
        <w:t xml:space="preserve">月  </w:t>
      </w:r>
      <w:r>
        <w:rPr>
          <w:rFonts w:ascii="宋体" w:hAnsi="宋体" w:cs="宋体"/>
          <w:color w:val="auto"/>
          <w:sz w:val="24"/>
          <w:highlight w:val="none"/>
        </w:rPr>
        <w:t xml:space="preserve"> </w:t>
      </w:r>
      <w:r>
        <w:rPr>
          <w:rFonts w:hint="eastAsia" w:ascii="宋体" w:hAnsi="宋体" w:cs="宋体"/>
          <w:color w:val="auto"/>
          <w:sz w:val="24"/>
          <w:highlight w:val="none"/>
        </w:rPr>
        <w:t>日</w:t>
      </w:r>
    </w:p>
    <w:p w14:paraId="74A840EE">
      <w:pPr>
        <w:rPr>
          <w:color w:val="auto"/>
          <w:highlight w:val="none"/>
        </w:rPr>
      </w:pPr>
    </w:p>
    <w:p w14:paraId="7C60F3C6">
      <w:pPr>
        <w:pStyle w:val="2"/>
        <w:rPr>
          <w:color w:val="auto"/>
          <w:highlight w:val="none"/>
        </w:rPr>
      </w:pPr>
    </w:p>
    <w:p w14:paraId="41F43840">
      <w:pPr>
        <w:rPr>
          <w:color w:val="auto"/>
          <w:highlight w:val="none"/>
        </w:rPr>
      </w:pPr>
    </w:p>
    <w:p w14:paraId="4A045B87">
      <w:pPr>
        <w:pStyle w:val="2"/>
        <w:rPr>
          <w:color w:val="auto"/>
          <w:highlight w:val="none"/>
        </w:rPr>
      </w:pPr>
    </w:p>
    <w:p w14:paraId="48E336D0">
      <w:pPr>
        <w:rPr>
          <w:color w:val="auto"/>
          <w:highlight w:val="none"/>
        </w:rPr>
      </w:pPr>
    </w:p>
    <w:p w14:paraId="12806BA4">
      <w:pPr>
        <w:pStyle w:val="2"/>
        <w:rPr>
          <w:color w:val="auto"/>
          <w:highlight w:val="none"/>
        </w:rPr>
      </w:pPr>
    </w:p>
    <w:p w14:paraId="56B3CEC2">
      <w:pPr>
        <w:rPr>
          <w:color w:val="auto"/>
          <w:highlight w:val="none"/>
        </w:rPr>
      </w:pPr>
    </w:p>
    <w:p w14:paraId="36735AC9">
      <w:pPr>
        <w:pStyle w:val="2"/>
        <w:rPr>
          <w:color w:val="auto"/>
          <w:highlight w:val="none"/>
        </w:rPr>
      </w:pPr>
    </w:p>
    <w:p w14:paraId="2B3A31D7">
      <w:pPr>
        <w:rPr>
          <w:color w:val="auto"/>
          <w:highlight w:val="none"/>
        </w:rPr>
      </w:pPr>
    </w:p>
    <w:p w14:paraId="109053F4">
      <w:pPr>
        <w:pStyle w:val="2"/>
        <w:rPr>
          <w:color w:val="auto"/>
          <w:highlight w:val="none"/>
        </w:rPr>
      </w:pPr>
    </w:p>
    <w:p w14:paraId="6CA96A9F">
      <w:pPr>
        <w:rPr>
          <w:color w:val="auto"/>
          <w:highlight w:val="none"/>
        </w:rPr>
      </w:pPr>
    </w:p>
    <w:p w14:paraId="2468312D">
      <w:pPr>
        <w:pStyle w:val="2"/>
        <w:rPr>
          <w:color w:val="auto"/>
          <w:highlight w:val="none"/>
        </w:rPr>
      </w:pPr>
    </w:p>
    <w:p w14:paraId="7557C29B">
      <w:pPr>
        <w:rPr>
          <w:color w:val="auto"/>
          <w:highlight w:val="none"/>
        </w:rPr>
      </w:pPr>
    </w:p>
    <w:p w14:paraId="11C111F7">
      <w:pPr>
        <w:pStyle w:val="4"/>
        <w:rPr>
          <w:color w:val="auto"/>
          <w:highlight w:val="none"/>
        </w:rPr>
      </w:pPr>
    </w:p>
    <w:p w14:paraId="104B9EBC">
      <w:pPr>
        <w:rPr>
          <w:color w:val="auto"/>
          <w:highlight w:val="none"/>
        </w:rPr>
      </w:pPr>
    </w:p>
    <w:p w14:paraId="4647B44B">
      <w:pPr>
        <w:pStyle w:val="5"/>
        <w:rPr>
          <w:rFonts w:hint="eastAsia" w:ascii="宋体" w:hAnsi="宋体" w:eastAsia="宋体"/>
          <w:bCs/>
          <w:color w:val="auto"/>
          <w:sz w:val="24"/>
          <w:highlight w:val="none"/>
        </w:rPr>
      </w:pPr>
      <w:r>
        <w:rPr>
          <w:rFonts w:hint="eastAsia"/>
          <w:bCs/>
          <w:color w:val="auto"/>
          <w:sz w:val="24"/>
          <w:highlight w:val="none"/>
        </w:rPr>
        <w:t>附件</w:t>
      </w:r>
      <w:r>
        <w:rPr>
          <w:rFonts w:hint="eastAsia"/>
          <w:bCs/>
          <w:color w:val="auto"/>
          <w:sz w:val="24"/>
          <w:highlight w:val="none"/>
          <w:lang w:val="en-US" w:eastAsia="zh-CN"/>
        </w:rPr>
        <w:t>11</w:t>
      </w:r>
    </w:p>
    <w:p w14:paraId="7CE52EEE">
      <w:pPr>
        <w:pStyle w:val="5"/>
        <w:ind w:firstLine="3414" w:firstLineChars="1421"/>
        <w:rPr>
          <w:rFonts w:hint="eastAsia" w:ascii="宋体" w:hAnsi="宋体" w:eastAsia="宋体"/>
          <w:bCs/>
          <w:color w:val="auto"/>
          <w:sz w:val="24"/>
          <w:highlight w:val="none"/>
        </w:rPr>
      </w:pPr>
      <w:r>
        <w:rPr>
          <w:rFonts w:hint="eastAsia" w:ascii="宋体" w:hAnsi="宋体" w:eastAsia="宋体"/>
          <w:bCs/>
          <w:color w:val="auto"/>
          <w:sz w:val="24"/>
          <w:highlight w:val="none"/>
        </w:rPr>
        <w:t>实质性响应条款一览表</w:t>
      </w:r>
    </w:p>
    <w:p w14:paraId="60A43554">
      <w:pPr>
        <w:spacing w:before="140" w:line="360" w:lineRule="auto"/>
        <w:rPr>
          <w:rFonts w:hint="eastAsia" w:ascii="宋体" w:hAnsi="宋体" w:eastAsia="宋体" w:cs="宋体"/>
          <w:sz w:val="24"/>
          <w:szCs w:val="24"/>
          <w:highlight w:val="none"/>
          <w:lang w:eastAsia="zh-CN"/>
        </w:rPr>
      </w:pPr>
      <w:r>
        <w:rPr>
          <w:rFonts w:ascii="宋体" w:hAnsi="宋体" w:eastAsia="宋体" w:cs="宋体"/>
          <w:spacing w:val="7"/>
          <w:sz w:val="24"/>
          <w:szCs w:val="24"/>
          <w:highlight w:val="none"/>
        </w:rPr>
        <w:t>项目名称：</w:t>
      </w:r>
      <w:r>
        <w:rPr>
          <w:rFonts w:hint="eastAsia" w:ascii="宋体" w:hAnsi="宋体" w:cs="宋体"/>
          <w:spacing w:val="7"/>
          <w:sz w:val="24"/>
          <w:szCs w:val="24"/>
          <w:highlight w:val="none"/>
          <w:lang w:eastAsia="zh-CN"/>
        </w:rPr>
        <w:t>2025年体育赛事后勤保障服务项目</w:t>
      </w:r>
    </w:p>
    <w:tbl>
      <w:tblPr>
        <w:tblStyle w:val="34"/>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8"/>
        <w:gridCol w:w="3126"/>
        <w:gridCol w:w="2880"/>
        <w:gridCol w:w="1389"/>
      </w:tblGrid>
      <w:tr w14:paraId="753B8431">
        <w:trPr>
          <w:trHeight w:val="901" w:hRule="atLeast"/>
        </w:trPr>
        <w:tc>
          <w:tcPr>
            <w:tcW w:w="584" w:type="pct"/>
            <w:vAlign w:val="center"/>
          </w:tcPr>
          <w:p w14:paraId="516FD910">
            <w:pPr>
              <w:spacing w:before="144" w:line="219" w:lineRule="auto"/>
              <w:jc w:val="center"/>
              <w:rPr>
                <w:rFonts w:hint="eastAsia" w:ascii="宋体" w:hAnsi="宋体" w:eastAsia="宋体" w:cs="宋体"/>
                <w:spacing w:val="1"/>
                <w:sz w:val="24"/>
                <w:szCs w:val="24"/>
                <w:highlight w:val="none"/>
                <w:lang w:val="en-US" w:eastAsia="zh-CN"/>
              </w:rPr>
            </w:pPr>
            <w:r>
              <w:rPr>
                <w:rFonts w:hint="eastAsia" w:ascii="宋体" w:hAnsi="宋体" w:cs="宋体"/>
                <w:spacing w:val="1"/>
                <w:sz w:val="24"/>
                <w:szCs w:val="24"/>
                <w:highlight w:val="none"/>
                <w:lang w:val="en-US" w:eastAsia="zh-CN"/>
              </w:rPr>
              <w:t>序号</w:t>
            </w:r>
          </w:p>
        </w:tc>
        <w:tc>
          <w:tcPr>
            <w:tcW w:w="1866" w:type="pct"/>
            <w:vAlign w:val="center"/>
          </w:tcPr>
          <w:p w14:paraId="55CB8A05">
            <w:pPr>
              <w:spacing w:before="144" w:line="219" w:lineRule="auto"/>
              <w:jc w:val="center"/>
              <w:rPr>
                <w:rFonts w:ascii="宋体" w:hAnsi="宋体" w:eastAsia="宋体" w:cs="宋体"/>
                <w:sz w:val="24"/>
                <w:szCs w:val="24"/>
                <w:highlight w:val="none"/>
              </w:rPr>
            </w:pPr>
            <w:r>
              <w:rPr>
                <w:rFonts w:ascii="宋体" w:hAnsi="宋体" w:eastAsia="宋体" w:cs="宋体"/>
                <w:spacing w:val="1"/>
                <w:sz w:val="24"/>
                <w:szCs w:val="24"/>
                <w:highlight w:val="none"/>
              </w:rPr>
              <w:t>实质性响应条款</w:t>
            </w:r>
          </w:p>
        </w:tc>
        <w:tc>
          <w:tcPr>
            <w:tcW w:w="1719" w:type="pct"/>
            <w:vAlign w:val="center"/>
          </w:tcPr>
          <w:p w14:paraId="68FD8CEC">
            <w:pPr>
              <w:spacing w:before="145" w:line="220" w:lineRule="auto"/>
              <w:jc w:val="center"/>
              <w:rPr>
                <w:rFonts w:ascii="宋体" w:hAnsi="宋体" w:eastAsia="宋体" w:cs="宋体"/>
                <w:sz w:val="24"/>
                <w:szCs w:val="24"/>
                <w:highlight w:val="none"/>
              </w:rPr>
            </w:pPr>
            <w:r>
              <w:rPr>
                <w:rFonts w:ascii="宋体" w:hAnsi="宋体" w:eastAsia="宋体" w:cs="宋体"/>
                <w:spacing w:val="1"/>
                <w:sz w:val="24"/>
                <w:szCs w:val="24"/>
                <w:highlight w:val="none"/>
              </w:rPr>
              <w:t>投标人响应情况</w:t>
            </w:r>
          </w:p>
        </w:tc>
        <w:tc>
          <w:tcPr>
            <w:tcW w:w="829" w:type="pct"/>
            <w:vAlign w:val="center"/>
          </w:tcPr>
          <w:p w14:paraId="4170FB6C">
            <w:pPr>
              <w:spacing w:before="134" w:line="219" w:lineRule="auto"/>
              <w:jc w:val="center"/>
              <w:rPr>
                <w:rFonts w:ascii="宋体" w:hAnsi="宋体" w:eastAsia="宋体" w:cs="宋体"/>
                <w:sz w:val="24"/>
                <w:szCs w:val="24"/>
                <w:highlight w:val="none"/>
              </w:rPr>
            </w:pPr>
            <w:r>
              <w:rPr>
                <w:rFonts w:ascii="宋体" w:hAnsi="宋体" w:eastAsia="宋体" w:cs="宋体"/>
                <w:spacing w:val="7"/>
                <w:sz w:val="24"/>
                <w:szCs w:val="24"/>
                <w:highlight w:val="none"/>
              </w:rPr>
              <w:t>差异</w:t>
            </w:r>
          </w:p>
        </w:tc>
      </w:tr>
      <w:tr w14:paraId="125709E0">
        <w:trPr>
          <w:trHeight w:val="846" w:hRule="atLeast"/>
        </w:trPr>
        <w:tc>
          <w:tcPr>
            <w:tcW w:w="584" w:type="pct"/>
            <w:vAlign w:val="center"/>
          </w:tcPr>
          <w:p w14:paraId="68646375">
            <w:pPr>
              <w:pStyle w:val="35"/>
              <w:jc w:val="center"/>
              <w:rPr>
                <w:rFonts w:hint="eastAsia" w:eastAsia="仿宋"/>
                <w:sz w:val="24"/>
                <w:szCs w:val="24"/>
                <w:highlight w:val="none"/>
                <w:lang w:val="en-US" w:eastAsia="zh-CN"/>
              </w:rPr>
            </w:pPr>
            <w:r>
              <w:rPr>
                <w:rFonts w:hint="eastAsia"/>
                <w:sz w:val="24"/>
                <w:szCs w:val="24"/>
                <w:highlight w:val="none"/>
                <w:lang w:val="en-US" w:eastAsia="zh-CN"/>
              </w:rPr>
              <w:t>1</w:t>
            </w:r>
          </w:p>
        </w:tc>
        <w:tc>
          <w:tcPr>
            <w:tcW w:w="1866" w:type="pct"/>
            <w:vAlign w:val="center"/>
          </w:tcPr>
          <w:p w14:paraId="3AEAA318">
            <w:pPr>
              <w:pStyle w:val="35"/>
              <w:jc w:val="center"/>
              <w:rPr>
                <w:sz w:val="24"/>
                <w:szCs w:val="24"/>
                <w:highlight w:val="none"/>
              </w:rPr>
            </w:pPr>
          </w:p>
        </w:tc>
        <w:tc>
          <w:tcPr>
            <w:tcW w:w="1719" w:type="pct"/>
            <w:vAlign w:val="center"/>
          </w:tcPr>
          <w:p w14:paraId="71898423">
            <w:pPr>
              <w:pStyle w:val="35"/>
              <w:jc w:val="center"/>
              <w:rPr>
                <w:sz w:val="24"/>
                <w:szCs w:val="24"/>
                <w:highlight w:val="none"/>
              </w:rPr>
            </w:pPr>
          </w:p>
        </w:tc>
        <w:tc>
          <w:tcPr>
            <w:tcW w:w="829" w:type="pct"/>
            <w:vAlign w:val="center"/>
          </w:tcPr>
          <w:p w14:paraId="4EB9724C">
            <w:pPr>
              <w:pStyle w:val="35"/>
              <w:jc w:val="center"/>
              <w:rPr>
                <w:sz w:val="24"/>
                <w:szCs w:val="24"/>
                <w:highlight w:val="none"/>
              </w:rPr>
            </w:pPr>
          </w:p>
        </w:tc>
      </w:tr>
      <w:tr w14:paraId="44D5E4EB">
        <w:trPr>
          <w:trHeight w:val="1113" w:hRule="atLeast"/>
        </w:trPr>
        <w:tc>
          <w:tcPr>
            <w:tcW w:w="584" w:type="pct"/>
            <w:vAlign w:val="center"/>
          </w:tcPr>
          <w:p w14:paraId="60E65438">
            <w:pPr>
              <w:pStyle w:val="35"/>
              <w:jc w:val="center"/>
              <w:rPr>
                <w:rFonts w:hint="eastAsia" w:eastAsia="仿宋"/>
                <w:sz w:val="24"/>
                <w:szCs w:val="24"/>
                <w:highlight w:val="none"/>
                <w:lang w:val="en-US" w:eastAsia="zh-CN"/>
              </w:rPr>
            </w:pPr>
            <w:r>
              <w:rPr>
                <w:rFonts w:hint="eastAsia"/>
                <w:sz w:val="24"/>
                <w:szCs w:val="24"/>
                <w:highlight w:val="none"/>
                <w:lang w:val="en-US" w:eastAsia="zh-CN"/>
              </w:rPr>
              <w:t>2</w:t>
            </w:r>
          </w:p>
        </w:tc>
        <w:tc>
          <w:tcPr>
            <w:tcW w:w="1866" w:type="pct"/>
            <w:vAlign w:val="center"/>
          </w:tcPr>
          <w:p w14:paraId="70C3A6A9">
            <w:pPr>
              <w:pStyle w:val="35"/>
              <w:jc w:val="center"/>
              <w:rPr>
                <w:sz w:val="24"/>
                <w:szCs w:val="24"/>
                <w:highlight w:val="none"/>
              </w:rPr>
            </w:pPr>
          </w:p>
        </w:tc>
        <w:tc>
          <w:tcPr>
            <w:tcW w:w="1719" w:type="pct"/>
            <w:vAlign w:val="center"/>
          </w:tcPr>
          <w:p w14:paraId="2E799BB7">
            <w:pPr>
              <w:pStyle w:val="35"/>
              <w:jc w:val="center"/>
              <w:rPr>
                <w:sz w:val="24"/>
                <w:szCs w:val="24"/>
                <w:highlight w:val="none"/>
              </w:rPr>
            </w:pPr>
          </w:p>
        </w:tc>
        <w:tc>
          <w:tcPr>
            <w:tcW w:w="829" w:type="pct"/>
            <w:vAlign w:val="center"/>
          </w:tcPr>
          <w:p w14:paraId="7CEDA061">
            <w:pPr>
              <w:pStyle w:val="35"/>
              <w:jc w:val="center"/>
              <w:rPr>
                <w:sz w:val="24"/>
                <w:szCs w:val="24"/>
                <w:highlight w:val="none"/>
              </w:rPr>
            </w:pPr>
          </w:p>
        </w:tc>
      </w:tr>
      <w:tr w14:paraId="2D57A6B3">
        <w:trPr>
          <w:trHeight w:val="1113" w:hRule="atLeast"/>
        </w:trPr>
        <w:tc>
          <w:tcPr>
            <w:tcW w:w="584" w:type="pct"/>
            <w:vAlign w:val="center"/>
          </w:tcPr>
          <w:p w14:paraId="0FFE6521">
            <w:pPr>
              <w:pStyle w:val="35"/>
              <w:jc w:val="center"/>
              <w:rPr>
                <w:sz w:val="24"/>
                <w:szCs w:val="24"/>
                <w:highlight w:val="none"/>
              </w:rPr>
            </w:pPr>
          </w:p>
        </w:tc>
        <w:tc>
          <w:tcPr>
            <w:tcW w:w="1866" w:type="pct"/>
            <w:vAlign w:val="center"/>
          </w:tcPr>
          <w:p w14:paraId="1D24802E">
            <w:pPr>
              <w:pStyle w:val="35"/>
              <w:jc w:val="center"/>
              <w:rPr>
                <w:sz w:val="24"/>
                <w:szCs w:val="24"/>
                <w:highlight w:val="none"/>
              </w:rPr>
            </w:pPr>
          </w:p>
        </w:tc>
        <w:tc>
          <w:tcPr>
            <w:tcW w:w="1719" w:type="pct"/>
            <w:vAlign w:val="center"/>
          </w:tcPr>
          <w:p w14:paraId="538CB395">
            <w:pPr>
              <w:pStyle w:val="35"/>
              <w:jc w:val="center"/>
              <w:rPr>
                <w:sz w:val="24"/>
                <w:szCs w:val="24"/>
                <w:highlight w:val="none"/>
              </w:rPr>
            </w:pPr>
          </w:p>
        </w:tc>
        <w:tc>
          <w:tcPr>
            <w:tcW w:w="829" w:type="pct"/>
            <w:vAlign w:val="center"/>
          </w:tcPr>
          <w:p w14:paraId="48ED9D95">
            <w:pPr>
              <w:pStyle w:val="35"/>
              <w:jc w:val="center"/>
              <w:rPr>
                <w:sz w:val="24"/>
                <w:szCs w:val="24"/>
                <w:highlight w:val="none"/>
              </w:rPr>
            </w:pPr>
          </w:p>
        </w:tc>
      </w:tr>
    </w:tbl>
    <w:p w14:paraId="516387C3">
      <w:pPr>
        <w:tabs>
          <w:tab w:val="left" w:pos="6090"/>
          <w:tab w:val="left" w:pos="8200"/>
          <w:tab w:val="left" w:pos="8400"/>
        </w:tabs>
        <w:spacing w:before="186" w:line="371" w:lineRule="auto"/>
        <w:ind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说 明 ：</w:t>
      </w:r>
    </w:p>
    <w:p w14:paraId="0A730825">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1.本表所列条款必须一一予以响应(留空视同响应),“实质性响应条款” 一栏应填写具体的响应内容。(留空视同响应)</w:t>
      </w:r>
    </w:p>
    <w:p w14:paraId="5240DD3E">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2.“投标人响应情况”中有差异的要具体说明；填写响应、完全响应或留空均视同响应。</w:t>
      </w:r>
    </w:p>
    <w:p w14:paraId="198D6D3C">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 xml:space="preserve">3.“差异”有差异的要具体说明，如无差异可填写“无差异”或留空。 </w:t>
      </w:r>
    </w:p>
    <w:p w14:paraId="2FAC43E6">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4.请投标人认真填写本表内容，如填写错误将可能导致投标无效。</w:t>
      </w:r>
    </w:p>
    <w:p w14:paraId="676CBBCC">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p>
    <w:p w14:paraId="5AF95373">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p>
    <w:p w14:paraId="79BD00E0">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投标人全称（盖公章）：</w:t>
      </w:r>
    </w:p>
    <w:p w14:paraId="2A0FD6AB">
      <w:pPr>
        <w:spacing w:line="360" w:lineRule="auto"/>
        <w:rPr>
          <w:rFonts w:hint="eastAsia" w:ascii="宋体" w:hAnsi="宋体"/>
          <w:color w:val="auto"/>
          <w:sz w:val="24"/>
          <w:szCs w:val="24"/>
          <w:highlight w:val="none"/>
        </w:rPr>
      </w:pPr>
    </w:p>
    <w:p w14:paraId="72210FBE">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日    期：     年   月   日</w:t>
      </w:r>
    </w:p>
    <w:p w14:paraId="335DC52B">
      <w:pPr>
        <w:pStyle w:val="5"/>
        <w:rPr>
          <w:rFonts w:hint="eastAsia"/>
          <w:bCs/>
          <w:color w:val="auto"/>
          <w:sz w:val="24"/>
          <w:szCs w:val="24"/>
          <w:highlight w:val="none"/>
          <w:lang w:val="en-US" w:eastAsia="zh-CN"/>
        </w:rPr>
      </w:pPr>
      <w:r>
        <w:rPr>
          <w:rFonts w:hint="eastAsia"/>
          <w:bCs/>
          <w:color w:val="auto"/>
          <w:sz w:val="24"/>
          <w:szCs w:val="24"/>
          <w:highlight w:val="none"/>
        </w:rPr>
        <w:t>附件</w:t>
      </w:r>
      <w:r>
        <w:rPr>
          <w:rFonts w:hint="eastAsia"/>
          <w:bCs/>
          <w:color w:val="auto"/>
          <w:sz w:val="24"/>
          <w:szCs w:val="24"/>
          <w:highlight w:val="none"/>
          <w:lang w:val="en-US" w:eastAsia="zh-CN"/>
        </w:rPr>
        <w:t>12</w:t>
      </w:r>
    </w:p>
    <w:p w14:paraId="60AE70EC">
      <w:pPr>
        <w:pStyle w:val="5"/>
        <w:ind w:firstLine="3414" w:firstLineChars="1421"/>
        <w:rPr>
          <w:rFonts w:hint="default" w:ascii="宋体" w:hAnsi="宋体" w:eastAsia="宋体"/>
          <w:bCs/>
          <w:color w:val="auto"/>
          <w:sz w:val="24"/>
          <w:szCs w:val="24"/>
          <w:highlight w:val="none"/>
          <w:lang w:val="en-US"/>
        </w:rPr>
      </w:pPr>
      <w:r>
        <w:rPr>
          <w:rFonts w:hint="eastAsia" w:ascii="宋体" w:hAnsi="宋体" w:eastAsia="宋体"/>
          <w:bCs/>
          <w:color w:val="auto"/>
          <w:sz w:val="24"/>
          <w:szCs w:val="24"/>
          <w:highlight w:val="none"/>
        </w:rPr>
        <w:t>重要技术参数响应一览表</w:t>
      </w:r>
    </w:p>
    <w:p w14:paraId="7BC43E19">
      <w:pPr>
        <w:spacing w:line="360" w:lineRule="auto"/>
        <w:rPr>
          <w:rFonts w:ascii="宋体" w:hAnsi="宋体" w:eastAsia="宋体" w:cs="宋体"/>
          <w:spacing w:val="7"/>
          <w:sz w:val="24"/>
          <w:szCs w:val="24"/>
          <w:highlight w:val="none"/>
        </w:rPr>
      </w:pPr>
    </w:p>
    <w:p w14:paraId="503AC4CB">
      <w:pPr>
        <w:spacing w:line="360" w:lineRule="auto"/>
        <w:rPr>
          <w:rFonts w:hint="eastAsia" w:eastAsia="宋体"/>
          <w:b/>
          <w:bCs/>
          <w:color w:val="auto"/>
          <w:sz w:val="24"/>
          <w:szCs w:val="24"/>
          <w:highlight w:val="none"/>
          <w:lang w:eastAsia="zh-CN"/>
        </w:rPr>
      </w:pPr>
      <w:r>
        <w:rPr>
          <w:rFonts w:ascii="宋体" w:hAnsi="宋体" w:eastAsia="宋体" w:cs="宋体"/>
          <w:spacing w:val="7"/>
          <w:sz w:val="24"/>
          <w:szCs w:val="24"/>
          <w:highlight w:val="none"/>
        </w:rPr>
        <w:t>项目名称：</w:t>
      </w:r>
      <w:r>
        <w:rPr>
          <w:rFonts w:hint="eastAsia" w:ascii="宋体" w:hAnsi="宋体" w:cs="宋体"/>
          <w:spacing w:val="7"/>
          <w:sz w:val="24"/>
          <w:szCs w:val="24"/>
          <w:highlight w:val="none"/>
          <w:lang w:eastAsia="zh-CN"/>
        </w:rPr>
        <w:t>2025年体育赛事后勤保障服务项目</w:t>
      </w:r>
    </w:p>
    <w:tbl>
      <w:tblPr>
        <w:tblStyle w:val="34"/>
        <w:tblW w:w="81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2714"/>
        <w:gridCol w:w="3029"/>
        <w:gridCol w:w="1629"/>
      </w:tblGrid>
      <w:tr w14:paraId="34CBAC4A">
        <w:trPr>
          <w:trHeight w:val="492" w:hRule="atLeast"/>
        </w:trPr>
        <w:tc>
          <w:tcPr>
            <w:tcW w:w="808" w:type="dxa"/>
            <w:vAlign w:val="top"/>
          </w:tcPr>
          <w:p w14:paraId="415B7C7F">
            <w:pPr>
              <w:spacing w:before="131" w:line="360" w:lineRule="auto"/>
              <w:ind w:left="34"/>
              <w:jc w:val="center"/>
              <w:rPr>
                <w:rFonts w:ascii="宋体" w:hAnsi="宋体" w:eastAsia="宋体" w:cs="宋体"/>
                <w:b w:val="0"/>
                <w:bCs w:val="0"/>
                <w:spacing w:val="-4"/>
                <w:sz w:val="24"/>
                <w:szCs w:val="24"/>
                <w:highlight w:val="none"/>
              </w:rPr>
            </w:pPr>
            <w:r>
              <w:rPr>
                <w:rFonts w:hint="eastAsia" w:ascii="宋体" w:hAnsi="宋体" w:eastAsia="宋体" w:cs="宋体"/>
                <w:b w:val="0"/>
                <w:bCs w:val="0"/>
                <w:spacing w:val="-4"/>
                <w:sz w:val="24"/>
                <w:szCs w:val="24"/>
                <w:highlight w:val="none"/>
              </w:rPr>
              <w:br w:type="page"/>
            </w:r>
            <w:r>
              <w:rPr>
                <w:rFonts w:ascii="宋体" w:hAnsi="宋体" w:eastAsia="宋体" w:cs="宋体"/>
                <w:b w:val="0"/>
                <w:bCs w:val="0"/>
                <w:spacing w:val="-4"/>
                <w:sz w:val="24"/>
                <w:szCs w:val="24"/>
                <w:highlight w:val="none"/>
              </w:rPr>
              <w:t>序号</w:t>
            </w:r>
          </w:p>
        </w:tc>
        <w:tc>
          <w:tcPr>
            <w:tcW w:w="2714" w:type="dxa"/>
            <w:vAlign w:val="top"/>
          </w:tcPr>
          <w:p w14:paraId="57D8AE81">
            <w:pPr>
              <w:spacing w:before="131" w:line="360" w:lineRule="auto"/>
              <w:ind w:left="34"/>
              <w:jc w:val="center"/>
              <w:rPr>
                <w:rFonts w:ascii="宋体" w:hAnsi="宋体" w:eastAsia="宋体" w:cs="宋体"/>
                <w:b w:val="0"/>
                <w:bCs w:val="0"/>
                <w:spacing w:val="-4"/>
                <w:sz w:val="24"/>
                <w:szCs w:val="24"/>
                <w:highlight w:val="none"/>
              </w:rPr>
            </w:pPr>
            <w:r>
              <w:rPr>
                <w:rFonts w:ascii="宋体" w:hAnsi="宋体" w:eastAsia="宋体" w:cs="宋体"/>
                <w:b w:val="0"/>
                <w:bCs w:val="0"/>
                <w:spacing w:val="-4"/>
                <w:sz w:val="24"/>
                <w:szCs w:val="24"/>
                <w:highlight w:val="none"/>
              </w:rPr>
              <w:t>重要技术参数响应条款</w:t>
            </w:r>
          </w:p>
        </w:tc>
        <w:tc>
          <w:tcPr>
            <w:tcW w:w="3029" w:type="dxa"/>
            <w:vAlign w:val="top"/>
          </w:tcPr>
          <w:p w14:paraId="4B9D5639">
            <w:pPr>
              <w:spacing w:before="131" w:line="360" w:lineRule="auto"/>
              <w:jc w:val="center"/>
              <w:rPr>
                <w:rFonts w:ascii="宋体" w:hAnsi="宋体" w:eastAsia="宋体" w:cs="宋体"/>
                <w:b w:val="0"/>
                <w:bCs w:val="0"/>
                <w:sz w:val="24"/>
                <w:szCs w:val="24"/>
                <w:highlight w:val="none"/>
              </w:rPr>
            </w:pPr>
            <w:r>
              <w:rPr>
                <w:rFonts w:ascii="宋体" w:hAnsi="宋体" w:eastAsia="宋体" w:cs="宋体"/>
                <w:b w:val="0"/>
                <w:bCs w:val="0"/>
                <w:spacing w:val="-4"/>
                <w:sz w:val="24"/>
                <w:szCs w:val="24"/>
                <w:highlight w:val="none"/>
              </w:rPr>
              <w:t>投标人响应情况</w:t>
            </w:r>
          </w:p>
        </w:tc>
        <w:tc>
          <w:tcPr>
            <w:tcW w:w="1629" w:type="dxa"/>
            <w:vAlign w:val="top"/>
          </w:tcPr>
          <w:p w14:paraId="3575E0DC">
            <w:pPr>
              <w:spacing w:before="131" w:line="360" w:lineRule="auto"/>
              <w:jc w:val="center"/>
              <w:rPr>
                <w:rFonts w:ascii="宋体" w:hAnsi="宋体" w:eastAsia="宋体" w:cs="宋体"/>
                <w:b w:val="0"/>
                <w:bCs w:val="0"/>
                <w:sz w:val="24"/>
                <w:szCs w:val="24"/>
                <w:highlight w:val="none"/>
              </w:rPr>
            </w:pPr>
            <w:r>
              <w:rPr>
                <w:rFonts w:ascii="宋体" w:hAnsi="宋体" w:eastAsia="宋体" w:cs="宋体"/>
                <w:b w:val="0"/>
                <w:bCs w:val="0"/>
                <w:spacing w:val="-6"/>
                <w:sz w:val="24"/>
                <w:szCs w:val="24"/>
                <w:highlight w:val="none"/>
              </w:rPr>
              <w:t>差异</w:t>
            </w:r>
          </w:p>
        </w:tc>
      </w:tr>
      <w:tr w14:paraId="322B906C">
        <w:trPr>
          <w:trHeight w:val="348" w:hRule="atLeast"/>
        </w:trPr>
        <w:tc>
          <w:tcPr>
            <w:tcW w:w="808" w:type="dxa"/>
            <w:vAlign w:val="top"/>
          </w:tcPr>
          <w:p w14:paraId="47019FA5">
            <w:pPr>
              <w:spacing w:before="131" w:line="360" w:lineRule="auto"/>
              <w:ind w:left="34"/>
              <w:jc w:val="center"/>
              <w:rPr>
                <w:rFonts w:ascii="宋体" w:hAnsi="宋体" w:eastAsia="宋体" w:cs="宋体"/>
                <w:b w:val="0"/>
                <w:bCs w:val="0"/>
                <w:spacing w:val="-4"/>
                <w:sz w:val="24"/>
                <w:szCs w:val="24"/>
                <w:highlight w:val="none"/>
              </w:rPr>
            </w:pPr>
            <w:r>
              <w:rPr>
                <w:rFonts w:ascii="宋体" w:hAnsi="宋体" w:eastAsia="宋体" w:cs="宋体"/>
                <w:b w:val="0"/>
                <w:bCs w:val="0"/>
                <w:spacing w:val="-4"/>
                <w:sz w:val="24"/>
                <w:szCs w:val="24"/>
                <w:highlight w:val="none"/>
              </w:rPr>
              <w:t>1.</w:t>
            </w:r>
          </w:p>
        </w:tc>
        <w:tc>
          <w:tcPr>
            <w:tcW w:w="2714" w:type="dxa"/>
            <w:vAlign w:val="top"/>
          </w:tcPr>
          <w:p w14:paraId="5475C4DD">
            <w:pPr>
              <w:spacing w:before="131" w:line="360" w:lineRule="auto"/>
              <w:ind w:left="34"/>
              <w:jc w:val="center"/>
              <w:rPr>
                <w:rFonts w:ascii="宋体" w:hAnsi="宋体" w:eastAsia="宋体" w:cs="宋体"/>
                <w:b w:val="0"/>
                <w:bCs w:val="0"/>
                <w:spacing w:val="-4"/>
                <w:sz w:val="24"/>
                <w:szCs w:val="24"/>
                <w:highlight w:val="none"/>
              </w:rPr>
            </w:pPr>
          </w:p>
        </w:tc>
        <w:tc>
          <w:tcPr>
            <w:tcW w:w="3029" w:type="dxa"/>
            <w:vAlign w:val="top"/>
          </w:tcPr>
          <w:p w14:paraId="35C7C0CB">
            <w:pPr>
              <w:pStyle w:val="35"/>
              <w:spacing w:line="360" w:lineRule="auto"/>
              <w:jc w:val="center"/>
              <w:rPr>
                <w:b w:val="0"/>
                <w:bCs w:val="0"/>
                <w:sz w:val="24"/>
                <w:szCs w:val="24"/>
                <w:highlight w:val="none"/>
              </w:rPr>
            </w:pPr>
          </w:p>
        </w:tc>
        <w:tc>
          <w:tcPr>
            <w:tcW w:w="1629" w:type="dxa"/>
            <w:vAlign w:val="top"/>
          </w:tcPr>
          <w:p w14:paraId="06878D97">
            <w:pPr>
              <w:pStyle w:val="35"/>
              <w:spacing w:line="360" w:lineRule="auto"/>
              <w:jc w:val="center"/>
              <w:rPr>
                <w:b w:val="0"/>
                <w:bCs w:val="0"/>
                <w:sz w:val="24"/>
                <w:szCs w:val="24"/>
                <w:highlight w:val="none"/>
              </w:rPr>
            </w:pPr>
          </w:p>
        </w:tc>
      </w:tr>
      <w:tr w14:paraId="260215CE">
        <w:trPr>
          <w:trHeight w:val="368" w:hRule="atLeast"/>
        </w:trPr>
        <w:tc>
          <w:tcPr>
            <w:tcW w:w="808" w:type="dxa"/>
            <w:vAlign w:val="top"/>
          </w:tcPr>
          <w:p w14:paraId="341795F7">
            <w:pPr>
              <w:spacing w:before="131" w:line="360" w:lineRule="auto"/>
              <w:ind w:left="34"/>
              <w:jc w:val="center"/>
              <w:rPr>
                <w:rFonts w:ascii="宋体" w:hAnsi="宋体" w:eastAsia="宋体" w:cs="宋体"/>
                <w:b w:val="0"/>
                <w:bCs w:val="0"/>
                <w:spacing w:val="-4"/>
                <w:sz w:val="24"/>
                <w:szCs w:val="24"/>
                <w:highlight w:val="none"/>
              </w:rPr>
            </w:pPr>
            <w:r>
              <w:rPr>
                <w:rFonts w:ascii="宋体" w:hAnsi="宋体" w:eastAsia="宋体" w:cs="宋体"/>
                <w:b w:val="0"/>
                <w:bCs w:val="0"/>
                <w:spacing w:val="-4"/>
                <w:sz w:val="24"/>
                <w:szCs w:val="24"/>
                <w:highlight w:val="none"/>
              </w:rPr>
              <w:t>2.</w:t>
            </w:r>
          </w:p>
        </w:tc>
        <w:tc>
          <w:tcPr>
            <w:tcW w:w="2714" w:type="dxa"/>
            <w:vAlign w:val="top"/>
          </w:tcPr>
          <w:p w14:paraId="790D5FAD">
            <w:pPr>
              <w:spacing w:before="131" w:line="360" w:lineRule="auto"/>
              <w:ind w:left="34"/>
              <w:jc w:val="center"/>
              <w:rPr>
                <w:rFonts w:ascii="宋体" w:hAnsi="宋体" w:eastAsia="宋体" w:cs="宋体"/>
                <w:b w:val="0"/>
                <w:bCs w:val="0"/>
                <w:spacing w:val="-4"/>
                <w:sz w:val="24"/>
                <w:szCs w:val="24"/>
                <w:highlight w:val="none"/>
              </w:rPr>
            </w:pPr>
          </w:p>
        </w:tc>
        <w:tc>
          <w:tcPr>
            <w:tcW w:w="3029" w:type="dxa"/>
            <w:vAlign w:val="top"/>
          </w:tcPr>
          <w:p w14:paraId="557B3DF5">
            <w:pPr>
              <w:pStyle w:val="35"/>
              <w:spacing w:line="360" w:lineRule="auto"/>
              <w:jc w:val="center"/>
              <w:rPr>
                <w:b w:val="0"/>
                <w:bCs w:val="0"/>
                <w:sz w:val="24"/>
                <w:szCs w:val="24"/>
                <w:highlight w:val="none"/>
              </w:rPr>
            </w:pPr>
          </w:p>
        </w:tc>
        <w:tc>
          <w:tcPr>
            <w:tcW w:w="1629" w:type="dxa"/>
            <w:vAlign w:val="top"/>
          </w:tcPr>
          <w:p w14:paraId="3904968E">
            <w:pPr>
              <w:pStyle w:val="35"/>
              <w:spacing w:line="360" w:lineRule="auto"/>
              <w:jc w:val="center"/>
              <w:rPr>
                <w:b w:val="0"/>
                <w:bCs w:val="0"/>
                <w:sz w:val="24"/>
                <w:szCs w:val="24"/>
                <w:highlight w:val="none"/>
              </w:rPr>
            </w:pPr>
          </w:p>
        </w:tc>
      </w:tr>
      <w:tr w14:paraId="66246AEF">
        <w:trPr>
          <w:trHeight w:val="392" w:hRule="atLeast"/>
        </w:trPr>
        <w:tc>
          <w:tcPr>
            <w:tcW w:w="808" w:type="dxa"/>
            <w:vAlign w:val="top"/>
          </w:tcPr>
          <w:p w14:paraId="52EB655B">
            <w:pPr>
              <w:spacing w:before="145" w:line="360" w:lineRule="auto"/>
              <w:ind w:left="35"/>
              <w:jc w:val="center"/>
              <w:rPr>
                <w:rFonts w:ascii="宋体" w:hAnsi="宋体" w:eastAsia="宋体" w:cs="宋体"/>
                <w:b w:val="0"/>
                <w:bCs w:val="0"/>
                <w:sz w:val="24"/>
                <w:szCs w:val="24"/>
                <w:highlight w:val="none"/>
              </w:rPr>
            </w:pPr>
            <w:r>
              <w:rPr>
                <w:rFonts w:ascii="宋体" w:hAnsi="宋体" w:eastAsia="宋体" w:cs="宋体"/>
                <w:b w:val="0"/>
                <w:bCs w:val="0"/>
                <w:spacing w:val="-4"/>
                <w:sz w:val="24"/>
                <w:szCs w:val="24"/>
                <w:highlight w:val="none"/>
              </w:rPr>
              <w:t>3.</w:t>
            </w:r>
          </w:p>
        </w:tc>
        <w:tc>
          <w:tcPr>
            <w:tcW w:w="2714" w:type="dxa"/>
            <w:vAlign w:val="top"/>
          </w:tcPr>
          <w:p w14:paraId="34191630">
            <w:pPr>
              <w:pStyle w:val="35"/>
              <w:spacing w:line="360" w:lineRule="auto"/>
              <w:jc w:val="center"/>
              <w:rPr>
                <w:b w:val="0"/>
                <w:bCs w:val="0"/>
                <w:sz w:val="24"/>
                <w:szCs w:val="24"/>
                <w:highlight w:val="none"/>
              </w:rPr>
            </w:pPr>
          </w:p>
        </w:tc>
        <w:tc>
          <w:tcPr>
            <w:tcW w:w="3029" w:type="dxa"/>
            <w:vAlign w:val="top"/>
          </w:tcPr>
          <w:p w14:paraId="3A5A2140">
            <w:pPr>
              <w:pStyle w:val="35"/>
              <w:spacing w:line="360" w:lineRule="auto"/>
              <w:jc w:val="center"/>
              <w:rPr>
                <w:b w:val="0"/>
                <w:bCs w:val="0"/>
                <w:sz w:val="24"/>
                <w:szCs w:val="24"/>
                <w:highlight w:val="none"/>
              </w:rPr>
            </w:pPr>
          </w:p>
        </w:tc>
        <w:tc>
          <w:tcPr>
            <w:tcW w:w="1629" w:type="dxa"/>
            <w:vAlign w:val="top"/>
          </w:tcPr>
          <w:p w14:paraId="28FE7CC3">
            <w:pPr>
              <w:pStyle w:val="35"/>
              <w:spacing w:line="360" w:lineRule="auto"/>
              <w:jc w:val="center"/>
              <w:rPr>
                <w:b w:val="0"/>
                <w:bCs w:val="0"/>
                <w:sz w:val="24"/>
                <w:szCs w:val="24"/>
                <w:highlight w:val="none"/>
              </w:rPr>
            </w:pPr>
          </w:p>
        </w:tc>
      </w:tr>
    </w:tbl>
    <w:p w14:paraId="3EA72C35">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说明：</w:t>
      </w:r>
    </w:p>
    <w:p w14:paraId="53B93365">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1.“重要技术参数响应条款”一栏应填写具体的响应内容。(留空视同响应)</w:t>
      </w:r>
    </w:p>
    <w:p w14:paraId="12ADA839">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2.“投标人响应情况”中有差异的要具体说明；填写响应、完全响应或留空均视同响应。</w:t>
      </w:r>
    </w:p>
    <w:p w14:paraId="603B1F38">
      <w:pPr>
        <w:tabs>
          <w:tab w:val="left" w:pos="6090"/>
          <w:tab w:val="left" w:pos="8200"/>
          <w:tab w:val="left" w:pos="8400"/>
        </w:tabs>
        <w:spacing w:before="186" w:line="371" w:lineRule="auto"/>
        <w:ind w:left="214" w:right="106" w:rightChars="0"/>
        <w:rPr>
          <w:rFonts w:ascii="宋体" w:hAnsi="宋体" w:eastAsia="宋体" w:cs="宋体"/>
          <w:spacing w:val="14"/>
          <w:sz w:val="24"/>
          <w:szCs w:val="24"/>
          <w:highlight w:val="none"/>
        </w:rPr>
      </w:pPr>
      <w:r>
        <w:rPr>
          <w:rFonts w:ascii="宋体" w:hAnsi="宋体" w:eastAsia="宋体" w:cs="宋体"/>
          <w:spacing w:val="14"/>
          <w:sz w:val="24"/>
          <w:szCs w:val="24"/>
          <w:highlight w:val="none"/>
        </w:rPr>
        <w:t>3.“差异”有差异的要具体说明，如无差异可填写“无差异”或留空。 4.请投标人认真填写本表内容。</w:t>
      </w:r>
    </w:p>
    <w:p w14:paraId="336C7881">
      <w:pPr>
        <w:rPr>
          <w:rFonts w:hint="eastAsia"/>
          <w:b/>
          <w:bCs/>
          <w:color w:val="auto"/>
          <w:sz w:val="24"/>
          <w:szCs w:val="24"/>
          <w:highlight w:val="none"/>
        </w:rPr>
      </w:pPr>
    </w:p>
    <w:p w14:paraId="16A5765C">
      <w:pPr>
        <w:rPr>
          <w:rFonts w:hint="eastAsia"/>
          <w:b/>
          <w:bCs/>
          <w:color w:val="auto"/>
          <w:sz w:val="24"/>
          <w:szCs w:val="24"/>
          <w:highlight w:val="none"/>
        </w:rPr>
      </w:pPr>
    </w:p>
    <w:p w14:paraId="6C6695E5">
      <w:pPr>
        <w:rPr>
          <w:rFonts w:hint="eastAsia"/>
          <w:b/>
          <w:bCs/>
          <w:color w:val="auto"/>
          <w:sz w:val="24"/>
          <w:szCs w:val="24"/>
          <w:highlight w:val="none"/>
        </w:rPr>
      </w:pPr>
    </w:p>
    <w:p w14:paraId="01BB393C">
      <w:pPr>
        <w:rPr>
          <w:rFonts w:hint="eastAsia"/>
          <w:b/>
          <w:bCs/>
          <w:color w:val="auto"/>
          <w:sz w:val="24"/>
          <w:szCs w:val="24"/>
          <w:highlight w:val="none"/>
        </w:rPr>
      </w:pPr>
    </w:p>
    <w:p w14:paraId="3C527904">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投标人全称（盖公章）：</w:t>
      </w:r>
    </w:p>
    <w:p w14:paraId="2126EECA">
      <w:pPr>
        <w:spacing w:line="360" w:lineRule="auto"/>
        <w:rPr>
          <w:rFonts w:hint="eastAsia" w:ascii="宋体" w:hAnsi="宋体"/>
          <w:color w:val="auto"/>
          <w:sz w:val="24"/>
          <w:szCs w:val="24"/>
          <w:highlight w:val="none"/>
        </w:rPr>
      </w:pPr>
    </w:p>
    <w:p w14:paraId="75C375C1">
      <w:pPr>
        <w:spacing w:line="360" w:lineRule="auto"/>
        <w:rPr>
          <w:rFonts w:hint="eastAsia" w:ascii="宋体" w:hAnsi="宋体"/>
          <w:color w:val="auto"/>
          <w:sz w:val="24"/>
          <w:highlight w:val="none"/>
        </w:rPr>
      </w:pPr>
      <w:r>
        <w:rPr>
          <w:rFonts w:hint="eastAsia" w:ascii="宋体" w:hAnsi="宋体"/>
          <w:color w:val="auto"/>
          <w:sz w:val="24"/>
          <w:szCs w:val="24"/>
          <w:highlight w:val="none"/>
        </w:rPr>
        <w:t>日    期：     年   月   日</w:t>
      </w:r>
    </w:p>
    <w:p w14:paraId="74AB1E7D">
      <w:pPr>
        <w:rPr>
          <w:rFonts w:hint="eastAsia"/>
          <w:b/>
          <w:bCs/>
          <w:color w:val="auto"/>
          <w:sz w:val="44"/>
          <w:highlight w:val="none"/>
        </w:rPr>
      </w:pPr>
    </w:p>
    <w:p w14:paraId="6C776DD6">
      <w:pPr>
        <w:pStyle w:val="2"/>
        <w:rPr>
          <w:color w:val="auto"/>
          <w:highlight w:val="none"/>
        </w:rPr>
      </w:pPr>
    </w:p>
    <w:p w14:paraId="2E76A6E7">
      <w:pPr>
        <w:spacing w:line="240" w:lineRule="auto"/>
        <w:jc w:val="left"/>
        <w:outlineLvl w:val="9"/>
        <w:rPr>
          <w:rFonts w:hint="eastAsia"/>
          <w:b/>
          <w:bCs/>
          <w:color w:val="auto"/>
          <w:sz w:val="44"/>
          <w:highlight w:val="none"/>
        </w:rPr>
      </w:pPr>
      <w:bookmarkStart w:id="50" w:name="_Toc14490"/>
      <w:r>
        <w:rPr>
          <w:rFonts w:hint="eastAsia"/>
          <w:b/>
          <w:bCs/>
          <w:color w:val="auto"/>
          <w:sz w:val="44"/>
          <w:highlight w:val="none"/>
        </w:rPr>
        <w:br w:type="page"/>
      </w:r>
    </w:p>
    <w:p w14:paraId="65372EE6">
      <w:pPr>
        <w:spacing w:line="360" w:lineRule="auto"/>
        <w:jc w:val="center"/>
        <w:outlineLvl w:val="0"/>
        <w:rPr>
          <w:rFonts w:hint="eastAsia" w:ascii="宋体" w:hAnsi="宋体"/>
          <w:b/>
          <w:bCs/>
          <w:color w:val="auto"/>
          <w:sz w:val="84"/>
          <w:highlight w:val="none"/>
        </w:rPr>
      </w:pPr>
      <w:r>
        <w:rPr>
          <w:rFonts w:hint="eastAsia"/>
          <w:b/>
          <w:bCs/>
          <w:color w:val="auto"/>
          <w:sz w:val="44"/>
          <w:highlight w:val="none"/>
        </w:rPr>
        <w:t>第</w:t>
      </w:r>
      <w:r>
        <w:rPr>
          <w:rFonts w:hint="eastAsia"/>
          <w:b/>
          <w:bCs/>
          <w:color w:val="auto"/>
          <w:sz w:val="44"/>
          <w:highlight w:val="none"/>
          <w:lang w:val="en-US" w:eastAsia="zh-CN"/>
        </w:rPr>
        <w:t>四</w:t>
      </w:r>
      <w:r>
        <w:rPr>
          <w:rFonts w:hint="eastAsia"/>
          <w:b/>
          <w:bCs/>
          <w:color w:val="auto"/>
          <w:sz w:val="44"/>
          <w:highlight w:val="none"/>
        </w:rPr>
        <w:t>章 评标细则</w:t>
      </w:r>
      <w:bookmarkEnd w:id="50"/>
    </w:p>
    <w:p w14:paraId="717843DE">
      <w:pPr>
        <w:pStyle w:val="5"/>
        <w:adjustRightInd/>
        <w:spacing w:before="0" w:after="0" w:line="440" w:lineRule="exact"/>
        <w:rPr>
          <w:rFonts w:hint="eastAsia"/>
          <w:color w:val="auto"/>
          <w:sz w:val="24"/>
          <w:szCs w:val="24"/>
          <w:highlight w:val="none"/>
        </w:rPr>
      </w:pPr>
      <w:bookmarkStart w:id="51" w:name="_Toc109467926"/>
      <w:bookmarkStart w:id="52" w:name="_Toc61327422"/>
      <w:bookmarkStart w:id="53" w:name="_Toc138506086"/>
      <w:bookmarkStart w:id="54" w:name="_Toc107385313"/>
      <w:bookmarkStart w:id="55" w:name="_Toc169334810"/>
      <w:bookmarkStart w:id="56" w:name="_Toc131922497"/>
      <w:bookmarkStart w:id="57" w:name="_Toc138568666"/>
      <w:bookmarkStart w:id="58" w:name="_Toc150050896"/>
      <w:bookmarkStart w:id="59" w:name="_Toc148420064"/>
      <w:bookmarkStart w:id="60" w:name="_Toc148060900"/>
      <w:bookmarkStart w:id="61" w:name="_Toc131904924"/>
      <w:bookmarkStart w:id="62" w:name="_Toc107460006"/>
      <w:bookmarkStart w:id="63" w:name="_Toc107383641"/>
      <w:r>
        <w:rPr>
          <w:rFonts w:hint="eastAsia"/>
          <w:color w:val="auto"/>
          <w:sz w:val="24"/>
          <w:szCs w:val="24"/>
          <w:highlight w:val="none"/>
        </w:rPr>
        <w:t>一、说明</w:t>
      </w:r>
      <w:bookmarkEnd w:id="51"/>
      <w:bookmarkEnd w:id="52"/>
      <w:bookmarkEnd w:id="53"/>
      <w:bookmarkEnd w:id="54"/>
      <w:bookmarkEnd w:id="55"/>
      <w:bookmarkEnd w:id="56"/>
      <w:bookmarkEnd w:id="57"/>
      <w:bookmarkEnd w:id="58"/>
      <w:bookmarkEnd w:id="59"/>
      <w:bookmarkEnd w:id="60"/>
      <w:bookmarkEnd w:id="61"/>
      <w:bookmarkEnd w:id="62"/>
      <w:bookmarkEnd w:id="63"/>
    </w:p>
    <w:p w14:paraId="132C43AC">
      <w:pPr>
        <w:spacing w:line="440" w:lineRule="exact"/>
        <w:rPr>
          <w:rFonts w:hint="eastAsia" w:ascii="宋体" w:hAnsi="宋体"/>
          <w:b/>
          <w:bCs/>
          <w:color w:val="auto"/>
          <w:sz w:val="24"/>
          <w:szCs w:val="24"/>
          <w:highlight w:val="none"/>
        </w:rPr>
      </w:pPr>
      <w:bookmarkStart w:id="64" w:name="_Toc61327423"/>
      <w:r>
        <w:rPr>
          <w:rFonts w:hint="eastAsia" w:ascii="宋体" w:hAnsi="宋体"/>
          <w:b/>
          <w:bCs/>
          <w:color w:val="auto"/>
          <w:sz w:val="24"/>
          <w:szCs w:val="24"/>
          <w:highlight w:val="none"/>
        </w:rPr>
        <w:t>1.概述</w:t>
      </w:r>
      <w:bookmarkEnd w:id="64"/>
    </w:p>
    <w:p w14:paraId="31BF577C">
      <w:pPr>
        <w:pStyle w:val="9"/>
        <w:spacing w:line="440" w:lineRule="exact"/>
        <w:ind w:firstLine="476"/>
        <w:rPr>
          <w:rFonts w:hint="eastAsia" w:ascii="宋体" w:hAnsi="宋体"/>
          <w:color w:val="auto"/>
          <w:sz w:val="24"/>
          <w:szCs w:val="24"/>
          <w:highlight w:val="none"/>
        </w:rPr>
      </w:pPr>
      <w:r>
        <w:rPr>
          <w:rFonts w:hint="eastAsia" w:ascii="宋体" w:hAnsi="宋体"/>
          <w:color w:val="auto"/>
          <w:sz w:val="24"/>
          <w:szCs w:val="24"/>
          <w:highlight w:val="none"/>
        </w:rPr>
        <w:t>根据《中华人民共和国招标投标法》和国家及地方采购有关文件精神，在保证</w:t>
      </w:r>
      <w:r>
        <w:rPr>
          <w:rFonts w:hint="eastAsia" w:ascii="宋体" w:hAnsi="宋体"/>
          <w:color w:val="auto"/>
          <w:sz w:val="24"/>
          <w:szCs w:val="24"/>
          <w:highlight w:val="none"/>
          <w:u w:val="single"/>
          <w:lang w:eastAsia="zh-CN"/>
        </w:rPr>
        <w:t>《</w:t>
      </w:r>
      <w:r>
        <w:rPr>
          <w:rFonts w:hint="eastAsia" w:ascii="宋体" w:hAnsi="宋体"/>
          <w:color w:val="auto"/>
          <w:sz w:val="24"/>
          <w:highlight w:val="none"/>
          <w:u w:val="single"/>
          <w:lang w:eastAsia="zh-CN"/>
        </w:rPr>
        <w:t>2025年体育赛事后勤保障服务项目</w:t>
      </w:r>
      <w:r>
        <w:rPr>
          <w:rFonts w:hint="eastAsia" w:ascii="宋体" w:hAnsi="宋体"/>
          <w:color w:val="auto"/>
          <w:sz w:val="24"/>
          <w:highlight w:val="none"/>
          <w:u w:val="single"/>
          <w:lang w:val="en-US" w:eastAsia="zh-CN"/>
        </w:rPr>
        <w:t>》</w:t>
      </w:r>
      <w:r>
        <w:rPr>
          <w:rFonts w:hint="eastAsia" w:ascii="宋体" w:hAnsi="宋体"/>
          <w:color w:val="auto"/>
          <w:sz w:val="24"/>
          <w:szCs w:val="24"/>
          <w:highlight w:val="none"/>
        </w:rPr>
        <w:t>（以下简称项目）招标公开、公平、公正的基础上，结合项目的技术和商务需求，编制本评标文件。</w:t>
      </w:r>
    </w:p>
    <w:p w14:paraId="4F84369F">
      <w:pPr>
        <w:spacing w:line="440" w:lineRule="exact"/>
        <w:rPr>
          <w:rFonts w:hint="eastAsia" w:ascii="宋体" w:hAnsi="宋体"/>
          <w:b/>
          <w:bCs/>
          <w:color w:val="auto"/>
          <w:sz w:val="24"/>
          <w:szCs w:val="24"/>
          <w:highlight w:val="none"/>
        </w:rPr>
      </w:pPr>
      <w:bookmarkStart w:id="65" w:name="_Toc61327424"/>
      <w:r>
        <w:rPr>
          <w:rFonts w:hint="eastAsia" w:ascii="宋体" w:hAnsi="宋体"/>
          <w:b/>
          <w:bCs/>
          <w:color w:val="auto"/>
          <w:sz w:val="24"/>
          <w:szCs w:val="24"/>
          <w:highlight w:val="none"/>
        </w:rPr>
        <w:t>2.定义</w:t>
      </w:r>
      <w:bookmarkEnd w:id="65"/>
    </w:p>
    <w:p w14:paraId="0AEDAC04">
      <w:pPr>
        <w:ind w:firstLine="480" w:firstLineChars="200"/>
        <w:rPr>
          <w:rFonts w:hint="eastAsia" w:ascii="宋体" w:hAnsi="宋体"/>
          <w:color w:val="auto"/>
          <w:sz w:val="24"/>
          <w:szCs w:val="24"/>
          <w:highlight w:val="none"/>
        </w:rPr>
      </w:pPr>
      <w:r>
        <w:rPr>
          <w:rFonts w:hint="eastAsia" w:ascii="宋体" w:hAnsi="宋体"/>
          <w:b/>
          <w:bCs/>
          <w:color w:val="auto"/>
          <w:sz w:val="24"/>
          <w:szCs w:val="24"/>
          <w:highlight w:val="none"/>
        </w:rPr>
        <w:t>招标人</w:t>
      </w:r>
      <w:r>
        <w:rPr>
          <w:rFonts w:hint="eastAsia" w:ascii="宋体" w:hAnsi="宋体"/>
          <w:color w:val="auto"/>
          <w:sz w:val="24"/>
          <w:szCs w:val="24"/>
          <w:highlight w:val="none"/>
        </w:rPr>
        <w:t>：系指</w:t>
      </w:r>
      <w:r>
        <w:rPr>
          <w:rFonts w:hint="eastAsia" w:ascii="宋体" w:hAnsi="宋体"/>
          <w:color w:val="auto"/>
          <w:sz w:val="24"/>
          <w:szCs w:val="24"/>
          <w:highlight w:val="none"/>
          <w:lang w:eastAsia="zh-CN"/>
        </w:rPr>
        <w:t>广州南沙文体投资有限公司</w:t>
      </w:r>
      <w:r>
        <w:rPr>
          <w:rFonts w:hint="eastAsia" w:ascii="宋体" w:hAnsi="宋体"/>
          <w:color w:val="auto"/>
          <w:sz w:val="24"/>
          <w:szCs w:val="24"/>
          <w:highlight w:val="none"/>
        </w:rPr>
        <w:t xml:space="preserve">。                             </w:t>
      </w:r>
    </w:p>
    <w:p w14:paraId="69012818">
      <w:pPr>
        <w:spacing w:line="360" w:lineRule="auto"/>
        <w:ind w:firstLine="480" w:firstLineChars="200"/>
        <w:rPr>
          <w:rFonts w:hint="eastAsia" w:ascii="宋体" w:hAnsi="宋体"/>
          <w:color w:val="auto"/>
          <w:sz w:val="24"/>
          <w:szCs w:val="24"/>
          <w:highlight w:val="none"/>
        </w:rPr>
      </w:pPr>
      <w:r>
        <w:rPr>
          <w:rFonts w:hint="eastAsia" w:ascii="宋体" w:hAnsi="宋体"/>
          <w:b/>
          <w:bCs/>
          <w:color w:val="auto"/>
          <w:sz w:val="24"/>
          <w:szCs w:val="24"/>
          <w:highlight w:val="none"/>
        </w:rPr>
        <w:t>业主/用户</w:t>
      </w:r>
      <w:r>
        <w:rPr>
          <w:rFonts w:hint="eastAsia" w:ascii="宋体" w:hAnsi="宋体"/>
          <w:color w:val="auto"/>
          <w:sz w:val="24"/>
          <w:szCs w:val="24"/>
          <w:highlight w:val="none"/>
        </w:rPr>
        <w:t>：系指本项目的最终使用单位。</w:t>
      </w:r>
    </w:p>
    <w:p w14:paraId="62106BCB">
      <w:pPr>
        <w:spacing w:line="440" w:lineRule="exact"/>
        <w:rPr>
          <w:rFonts w:hint="eastAsia" w:ascii="宋体" w:hAnsi="宋体"/>
          <w:b/>
          <w:bCs/>
          <w:color w:val="auto"/>
          <w:sz w:val="24"/>
          <w:szCs w:val="24"/>
          <w:highlight w:val="none"/>
        </w:rPr>
      </w:pPr>
      <w:bookmarkStart w:id="66" w:name="_Toc61327425"/>
      <w:r>
        <w:rPr>
          <w:rFonts w:hint="eastAsia" w:ascii="宋体" w:hAnsi="宋体"/>
          <w:b/>
          <w:bCs/>
          <w:color w:val="auto"/>
          <w:sz w:val="24"/>
          <w:szCs w:val="24"/>
          <w:highlight w:val="none"/>
        </w:rPr>
        <w:t>3.评标委员会组成</w:t>
      </w:r>
      <w:bookmarkEnd w:id="66"/>
    </w:p>
    <w:p w14:paraId="548C2460">
      <w:pPr>
        <w:pStyle w:val="9"/>
        <w:spacing w:line="440" w:lineRule="exact"/>
        <w:ind w:firstLine="480" w:firstLineChars="200"/>
        <w:rPr>
          <w:rFonts w:hint="eastAsia" w:ascii="宋体" w:hAnsi="宋体"/>
          <w:color w:val="auto"/>
          <w:sz w:val="24"/>
          <w:szCs w:val="24"/>
          <w:highlight w:val="none"/>
        </w:rPr>
      </w:pPr>
      <w:r>
        <w:rPr>
          <w:rFonts w:hint="eastAsia" w:ascii="宋体" w:hAnsi="宋体"/>
          <w:color w:val="auto"/>
          <w:sz w:val="24"/>
          <w:highlight w:val="none"/>
        </w:rPr>
        <w:t>本次招标依法组建评标委员会。本次评标的评委会依法由5位评委组成。评委会负责全部的评审工作，任何人不得干预评委会的工作。</w:t>
      </w:r>
    </w:p>
    <w:p w14:paraId="41B6B8DA">
      <w:pPr>
        <w:pStyle w:val="5"/>
        <w:adjustRightInd/>
        <w:spacing w:before="0" w:after="0" w:line="440" w:lineRule="exact"/>
        <w:rPr>
          <w:rFonts w:hint="eastAsia"/>
          <w:color w:val="auto"/>
          <w:sz w:val="24"/>
          <w:szCs w:val="24"/>
          <w:highlight w:val="none"/>
        </w:rPr>
      </w:pPr>
      <w:bookmarkStart w:id="67" w:name="_Toc169334811"/>
      <w:bookmarkStart w:id="68" w:name="_Toc107383642"/>
      <w:bookmarkStart w:id="69" w:name="_Toc107460007"/>
      <w:bookmarkStart w:id="70" w:name="_Toc148420065"/>
      <w:bookmarkStart w:id="71" w:name="_Toc138506087"/>
      <w:bookmarkStart w:id="72" w:name="_Toc148060901"/>
      <w:bookmarkStart w:id="73" w:name="_Toc107385314"/>
      <w:bookmarkStart w:id="74" w:name="_Toc138568667"/>
      <w:bookmarkStart w:id="75" w:name="_Toc150050897"/>
      <w:bookmarkStart w:id="76" w:name="_Toc131904925"/>
      <w:bookmarkStart w:id="77" w:name="_Toc131922498"/>
      <w:bookmarkStart w:id="78" w:name="_Toc61327427"/>
      <w:bookmarkStart w:id="79" w:name="_Toc109467927"/>
      <w:r>
        <w:rPr>
          <w:rFonts w:hint="eastAsia"/>
          <w:color w:val="auto"/>
          <w:sz w:val="24"/>
          <w:szCs w:val="24"/>
          <w:highlight w:val="none"/>
        </w:rPr>
        <w:t>二、评标须知</w:t>
      </w:r>
      <w:bookmarkEnd w:id="67"/>
      <w:bookmarkEnd w:id="68"/>
      <w:bookmarkEnd w:id="69"/>
      <w:bookmarkEnd w:id="70"/>
      <w:bookmarkEnd w:id="71"/>
      <w:bookmarkEnd w:id="72"/>
      <w:bookmarkEnd w:id="73"/>
      <w:bookmarkEnd w:id="74"/>
      <w:bookmarkEnd w:id="75"/>
      <w:bookmarkEnd w:id="76"/>
      <w:bookmarkEnd w:id="77"/>
      <w:bookmarkEnd w:id="78"/>
      <w:bookmarkEnd w:id="79"/>
    </w:p>
    <w:p w14:paraId="3220D868">
      <w:pPr>
        <w:spacing w:line="440" w:lineRule="exact"/>
        <w:rPr>
          <w:rFonts w:hint="eastAsia" w:ascii="宋体" w:hAnsi="宋体"/>
          <w:b/>
          <w:bCs/>
          <w:color w:val="auto"/>
          <w:sz w:val="24"/>
          <w:szCs w:val="24"/>
          <w:highlight w:val="none"/>
        </w:rPr>
      </w:pPr>
      <w:bookmarkStart w:id="80" w:name="_Toc61327428"/>
      <w:r>
        <w:rPr>
          <w:rFonts w:hint="eastAsia" w:ascii="宋体" w:hAnsi="宋体"/>
          <w:b/>
          <w:bCs/>
          <w:color w:val="auto"/>
          <w:sz w:val="24"/>
          <w:szCs w:val="24"/>
          <w:highlight w:val="none"/>
        </w:rPr>
        <w:t>1.关于评标方案</w:t>
      </w:r>
      <w:bookmarkEnd w:id="80"/>
    </w:p>
    <w:p w14:paraId="6F786274">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（1）评标委员会的每位成员（简称评委）应认真地阅读并确认已经正确理解了评标方案；</w:t>
      </w:r>
    </w:p>
    <w:p w14:paraId="7F18E80F">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（2）评委如对评标方案有异议，应在评标开始前提出。</w:t>
      </w:r>
    </w:p>
    <w:p w14:paraId="52D95173">
      <w:pPr>
        <w:spacing w:line="440" w:lineRule="exact"/>
        <w:rPr>
          <w:rFonts w:hint="eastAsia" w:ascii="宋体" w:hAnsi="宋体"/>
          <w:b/>
          <w:bCs/>
          <w:color w:val="auto"/>
          <w:sz w:val="24"/>
          <w:szCs w:val="24"/>
          <w:highlight w:val="none"/>
        </w:rPr>
      </w:pPr>
      <w:bookmarkStart w:id="81" w:name="_Toc61327429"/>
      <w:r>
        <w:rPr>
          <w:rFonts w:hint="eastAsia" w:ascii="宋体" w:hAnsi="宋体"/>
          <w:b/>
          <w:bCs/>
          <w:color w:val="auto"/>
          <w:sz w:val="24"/>
          <w:szCs w:val="24"/>
          <w:highlight w:val="none"/>
        </w:rPr>
        <w:t>2.关于评标纪律</w:t>
      </w:r>
      <w:bookmarkEnd w:id="81"/>
    </w:p>
    <w:p w14:paraId="2F031BF5">
      <w:pPr>
        <w:spacing w:line="440" w:lineRule="exact"/>
        <w:ind w:left="588" w:hanging="588" w:hangingChars="245"/>
        <w:rPr>
          <w:rFonts w:hint="eastAsia" w:ascii="宋体" w:hAnsi="宋体"/>
          <w:color w:val="auto"/>
          <w:sz w:val="24"/>
          <w:szCs w:val="24"/>
          <w:highlight w:val="none"/>
        </w:rPr>
      </w:pPr>
      <w:r>
        <w:rPr>
          <w:rFonts w:hint="eastAsia" w:ascii="宋体" w:hAnsi="宋体"/>
          <w:color w:val="auto"/>
          <w:sz w:val="24"/>
          <w:szCs w:val="24"/>
          <w:highlight w:val="none"/>
        </w:rPr>
        <w:t>（1）评标委员会成员不得与任何投标人或者与招标结果有利害关系的人进行私下接触，不得收受投标人、中介人、其他利害关系人的财物或者其他好处；</w:t>
      </w:r>
    </w:p>
    <w:p w14:paraId="3F82EDF6">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（2）评委应本着客观、公正的原则独立给出评价意见；</w:t>
      </w:r>
    </w:p>
    <w:p w14:paraId="01795ABB">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（3）评委之间不得相互串通进行评分；</w:t>
      </w:r>
    </w:p>
    <w:p w14:paraId="43BF23FD">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（4）评委不得试图影响其他评委的评价意见。</w:t>
      </w:r>
    </w:p>
    <w:p w14:paraId="29D283C1">
      <w:pPr>
        <w:spacing w:line="440" w:lineRule="exact"/>
        <w:rPr>
          <w:rFonts w:hint="eastAsia" w:ascii="宋体" w:hAnsi="宋体"/>
          <w:b/>
          <w:bCs/>
          <w:color w:val="auto"/>
          <w:sz w:val="24"/>
          <w:szCs w:val="24"/>
          <w:highlight w:val="none"/>
        </w:rPr>
      </w:pPr>
      <w:bookmarkStart w:id="82" w:name="_Toc61327430"/>
      <w:r>
        <w:rPr>
          <w:rFonts w:hint="eastAsia" w:ascii="宋体" w:hAnsi="宋体"/>
          <w:b/>
          <w:bCs/>
          <w:color w:val="auto"/>
          <w:sz w:val="24"/>
          <w:szCs w:val="24"/>
          <w:highlight w:val="none"/>
        </w:rPr>
        <w:t>3.关于评标责任</w:t>
      </w:r>
      <w:bookmarkEnd w:id="82"/>
    </w:p>
    <w:p w14:paraId="07A781D8">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（1）评委应在其书面评审意见上签字确认；</w:t>
      </w:r>
    </w:p>
    <w:p w14:paraId="225A8A92">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（2）评委对其所提出的评审意见承担个人责任。</w:t>
      </w:r>
    </w:p>
    <w:p w14:paraId="19DB4000">
      <w:pPr>
        <w:spacing w:line="440" w:lineRule="exact"/>
        <w:rPr>
          <w:rFonts w:hint="eastAsia" w:ascii="宋体" w:hAnsi="宋体"/>
          <w:b/>
          <w:bCs/>
          <w:color w:val="auto"/>
          <w:sz w:val="24"/>
          <w:szCs w:val="24"/>
          <w:highlight w:val="none"/>
        </w:rPr>
      </w:pPr>
      <w:bookmarkStart w:id="83" w:name="_Toc61327431"/>
      <w:r>
        <w:rPr>
          <w:rFonts w:hint="eastAsia" w:ascii="宋体" w:hAnsi="宋体"/>
          <w:b/>
          <w:bCs/>
          <w:color w:val="auto"/>
          <w:sz w:val="24"/>
          <w:szCs w:val="24"/>
          <w:highlight w:val="none"/>
        </w:rPr>
        <w:t>4.关于回避</w:t>
      </w:r>
      <w:bookmarkEnd w:id="83"/>
    </w:p>
    <w:p w14:paraId="083000F4">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有下列情形之一的，不得担任评标委员会成员，如事先不知情的，应在招标人宣读投标人名单及评标纪律后主动提出回避：</w:t>
      </w:r>
    </w:p>
    <w:p w14:paraId="6800BB18">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（1）是投标人或者投标人主要负责人的近亲属；</w:t>
      </w:r>
    </w:p>
    <w:p w14:paraId="1EC9A2D9">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（2）项目主管部门或行政监督部门的人员；</w:t>
      </w:r>
    </w:p>
    <w:p w14:paraId="1334191B">
      <w:pPr>
        <w:spacing w:line="440" w:lineRule="exact"/>
        <w:rPr>
          <w:rFonts w:hint="eastAsia" w:ascii="宋体" w:hAnsi="宋体"/>
          <w:color w:val="auto"/>
          <w:sz w:val="24"/>
          <w:szCs w:val="24"/>
          <w:highlight w:val="none"/>
        </w:rPr>
      </w:pPr>
      <w:r>
        <w:rPr>
          <w:rFonts w:hint="eastAsia" w:ascii="宋体" w:hAnsi="宋体"/>
          <w:color w:val="auto"/>
          <w:sz w:val="24"/>
          <w:szCs w:val="24"/>
          <w:highlight w:val="none"/>
        </w:rPr>
        <w:t>（3）与投标人有经济利益关系，可能影响对投标公正评审的；</w:t>
      </w:r>
    </w:p>
    <w:p w14:paraId="1EFE1086">
      <w:pPr>
        <w:spacing w:line="440" w:lineRule="exact"/>
        <w:ind w:left="600" w:hanging="600" w:hangingChars="250"/>
        <w:rPr>
          <w:rFonts w:hint="eastAsia" w:ascii="宋体" w:hAnsi="宋体"/>
          <w:color w:val="auto"/>
          <w:sz w:val="24"/>
          <w:szCs w:val="24"/>
          <w:highlight w:val="none"/>
        </w:rPr>
      </w:pPr>
      <w:r>
        <w:rPr>
          <w:rFonts w:hint="eastAsia" w:ascii="宋体" w:hAnsi="宋体"/>
          <w:color w:val="auto"/>
          <w:sz w:val="24"/>
          <w:szCs w:val="24"/>
          <w:highlight w:val="none"/>
        </w:rPr>
        <w:t>（4）曾因在招标、评标以及其他与招标投标有关活动中从事违法行为而受过行政处罚或刑事处罚的。</w:t>
      </w:r>
    </w:p>
    <w:p w14:paraId="16D6705E">
      <w:pPr>
        <w:spacing w:line="440" w:lineRule="exact"/>
        <w:rPr>
          <w:rFonts w:hint="eastAsia" w:ascii="宋体" w:hAnsi="宋体"/>
          <w:b/>
          <w:bCs/>
          <w:color w:val="auto"/>
          <w:sz w:val="24"/>
          <w:szCs w:val="24"/>
          <w:highlight w:val="none"/>
        </w:rPr>
      </w:pPr>
      <w:bookmarkStart w:id="84" w:name="_Toc61327432"/>
      <w:r>
        <w:rPr>
          <w:rFonts w:hint="eastAsia" w:ascii="宋体" w:hAnsi="宋体"/>
          <w:b/>
          <w:bCs/>
          <w:color w:val="auto"/>
          <w:sz w:val="24"/>
          <w:szCs w:val="24"/>
          <w:highlight w:val="none"/>
        </w:rPr>
        <w:t>5.关于保密</w:t>
      </w:r>
      <w:bookmarkEnd w:id="84"/>
    </w:p>
    <w:p w14:paraId="4505F796">
      <w:pPr>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评标委员会成员和与评标活动有关的工作人员不得透露对投标文件的评审和比较、中标候选人的推荐情况以及评标有关的其他情况。</w:t>
      </w:r>
    </w:p>
    <w:p w14:paraId="79658687">
      <w:pPr>
        <w:pStyle w:val="2"/>
        <w:spacing w:line="440" w:lineRule="exact"/>
        <w:ind w:firstLine="480" w:firstLineChars="200"/>
        <w:rPr>
          <w:rFonts w:hint="eastAsia" w:ascii="宋体" w:hAnsi="宋体" w:eastAsia="宋体"/>
          <w:color w:val="auto"/>
          <w:sz w:val="24"/>
          <w:szCs w:val="24"/>
          <w:highlight w:val="none"/>
        </w:rPr>
      </w:pPr>
      <w:r>
        <w:rPr>
          <w:rFonts w:hint="eastAsia" w:ascii="宋体" w:hAnsi="宋体" w:eastAsia="宋体"/>
          <w:b w:val="0"/>
          <w:color w:val="auto"/>
          <w:sz w:val="24"/>
          <w:szCs w:val="24"/>
          <w:highlight w:val="none"/>
        </w:rPr>
        <w:t>前款所称与评标活动有关的工作人员，是指评标委员会成员以外的因参与评标监督工作或者事务性工作而知悉有关评标情况的所有人员。</w:t>
      </w:r>
    </w:p>
    <w:p w14:paraId="7C597A6A">
      <w:pPr>
        <w:spacing w:line="440" w:lineRule="exact"/>
        <w:rPr>
          <w:rFonts w:hint="eastAsia" w:ascii="宋体" w:hAnsi="宋体"/>
          <w:b/>
          <w:bCs/>
          <w:color w:val="auto"/>
          <w:sz w:val="24"/>
          <w:szCs w:val="24"/>
          <w:highlight w:val="none"/>
        </w:rPr>
      </w:pPr>
      <w:bookmarkStart w:id="85" w:name="_Toc61327433"/>
      <w:r>
        <w:rPr>
          <w:rFonts w:hint="eastAsia" w:ascii="宋体" w:hAnsi="宋体"/>
          <w:b/>
          <w:bCs/>
          <w:color w:val="auto"/>
          <w:sz w:val="24"/>
          <w:szCs w:val="24"/>
          <w:highlight w:val="none"/>
        </w:rPr>
        <w:t>6.罚则</w:t>
      </w:r>
      <w:bookmarkEnd w:id="85"/>
    </w:p>
    <w:p w14:paraId="4C168100">
      <w:pPr>
        <w:spacing w:line="440" w:lineRule="exact"/>
        <w:ind w:left="600" w:hanging="600" w:hangingChars="250"/>
        <w:rPr>
          <w:rFonts w:hint="eastAsia" w:ascii="宋体" w:hAnsi="宋体"/>
          <w:color w:val="auto"/>
          <w:sz w:val="24"/>
          <w:szCs w:val="24"/>
          <w:highlight w:val="none"/>
        </w:rPr>
      </w:pPr>
      <w:r>
        <w:rPr>
          <w:rFonts w:hint="eastAsia" w:ascii="宋体" w:hAnsi="宋体"/>
          <w:color w:val="auto"/>
          <w:sz w:val="24"/>
          <w:szCs w:val="24"/>
          <w:highlight w:val="none"/>
        </w:rPr>
        <w:t>（1）评标委员会成员在评标过程中擅离职守，影响评标程序正常进行，或者在评标过程中不能客观公正地履行职责的，给予警告；情节严重的，取消担任评标委员会成员的资格，不得再参加任何依法必须进行招标项目的评标，并处一万元以下的罚款；</w:t>
      </w:r>
    </w:p>
    <w:p w14:paraId="5EDAC8BB">
      <w:pPr>
        <w:spacing w:line="440" w:lineRule="exact"/>
        <w:ind w:left="600" w:hanging="600" w:hangingChars="250"/>
        <w:rPr>
          <w:rFonts w:hint="eastAsia" w:ascii="宋体" w:hAnsi="宋体"/>
          <w:color w:val="auto"/>
          <w:sz w:val="24"/>
          <w:szCs w:val="24"/>
          <w:highlight w:val="none"/>
        </w:rPr>
      </w:pPr>
      <w:r>
        <w:rPr>
          <w:rFonts w:hint="eastAsia" w:ascii="宋体" w:hAnsi="宋体"/>
          <w:color w:val="auto"/>
          <w:sz w:val="24"/>
          <w:szCs w:val="24"/>
          <w:highlight w:val="none"/>
        </w:rPr>
        <w:t>（2）评标委员会成员收受投标人、其他利害关系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p w14:paraId="52EF0209">
      <w:pPr>
        <w:pStyle w:val="5"/>
        <w:adjustRightInd/>
        <w:spacing w:before="0" w:after="0" w:line="440" w:lineRule="exact"/>
        <w:rPr>
          <w:rFonts w:hint="eastAsia"/>
          <w:color w:val="auto"/>
          <w:sz w:val="24"/>
          <w:szCs w:val="24"/>
          <w:highlight w:val="none"/>
        </w:rPr>
      </w:pPr>
      <w:bookmarkStart w:id="86" w:name="_Toc138568668"/>
      <w:bookmarkStart w:id="87" w:name="_Toc131922499"/>
      <w:bookmarkStart w:id="88" w:name="_Toc150050898"/>
      <w:bookmarkStart w:id="89" w:name="_Toc61327434"/>
      <w:bookmarkStart w:id="90" w:name="_Toc169334812"/>
      <w:bookmarkStart w:id="91" w:name="_Toc107383643"/>
      <w:bookmarkStart w:id="92" w:name="_Toc138506088"/>
      <w:bookmarkStart w:id="93" w:name="_Toc131904926"/>
      <w:bookmarkStart w:id="94" w:name="_Toc148420066"/>
      <w:bookmarkStart w:id="95" w:name="_Toc148060902"/>
      <w:bookmarkStart w:id="96" w:name="_Toc107385315"/>
      <w:bookmarkStart w:id="97" w:name="_Toc109467928"/>
      <w:bookmarkStart w:id="98" w:name="_Toc107460008"/>
      <w:r>
        <w:rPr>
          <w:rFonts w:hint="eastAsia"/>
          <w:color w:val="auto"/>
          <w:sz w:val="24"/>
          <w:szCs w:val="24"/>
          <w:highlight w:val="none"/>
        </w:rPr>
        <w:t>三、评标原则</w:t>
      </w:r>
      <w:bookmarkEnd w:id="86"/>
      <w:bookmarkEnd w:id="87"/>
      <w:bookmarkEnd w:id="88"/>
      <w:bookmarkEnd w:id="89"/>
      <w:bookmarkEnd w:id="90"/>
      <w:bookmarkEnd w:id="91"/>
      <w:bookmarkEnd w:id="92"/>
      <w:bookmarkEnd w:id="93"/>
      <w:bookmarkEnd w:id="94"/>
      <w:bookmarkEnd w:id="95"/>
      <w:bookmarkEnd w:id="96"/>
      <w:bookmarkEnd w:id="97"/>
      <w:bookmarkEnd w:id="98"/>
    </w:p>
    <w:p w14:paraId="145A52DB">
      <w:pPr>
        <w:pStyle w:val="9"/>
        <w:spacing w:line="440" w:lineRule="exact"/>
        <w:ind w:firstLine="476"/>
        <w:rPr>
          <w:rFonts w:hint="eastAsia" w:ascii="宋体" w:hAnsi="宋体"/>
          <w:color w:val="auto"/>
          <w:sz w:val="24"/>
          <w:szCs w:val="24"/>
          <w:highlight w:val="none"/>
        </w:rPr>
      </w:pPr>
      <w:r>
        <w:rPr>
          <w:rFonts w:hint="eastAsia" w:ascii="宋体" w:hAnsi="宋体"/>
          <w:color w:val="auto"/>
          <w:sz w:val="24"/>
          <w:szCs w:val="24"/>
          <w:highlight w:val="none"/>
        </w:rPr>
        <w:t>评标工作应依据《中华人民共和国招标投标法》以及《评标委员会和评标方法暂行规定》和地方政府关于政府招投标的有关规定，遵循“公平、公正、科学、择优”的原则进行。评标委员会将按照规定只对通过符合性检查的投标文件进行评价和比较。</w:t>
      </w:r>
    </w:p>
    <w:p w14:paraId="3085CBCC">
      <w:pPr>
        <w:pStyle w:val="5"/>
        <w:adjustRightInd/>
        <w:spacing w:before="0" w:after="0" w:line="440" w:lineRule="exact"/>
        <w:rPr>
          <w:rFonts w:hint="eastAsia"/>
          <w:b w:val="0"/>
          <w:bCs/>
          <w:color w:val="auto"/>
          <w:sz w:val="24"/>
          <w:szCs w:val="24"/>
          <w:highlight w:val="none"/>
        </w:rPr>
      </w:pPr>
      <w:bookmarkStart w:id="99" w:name="_Toc124401379"/>
      <w:bookmarkStart w:id="100" w:name="_Toc95304220"/>
      <w:bookmarkStart w:id="101" w:name="_Toc104874462"/>
      <w:bookmarkStart w:id="102" w:name="_Toc138568669"/>
      <w:bookmarkStart w:id="103" w:name="_Toc131922500"/>
      <w:bookmarkStart w:id="104" w:name="_Toc113277289"/>
      <w:bookmarkStart w:id="105" w:name="_Toc101553658"/>
      <w:bookmarkStart w:id="106" w:name="_Toc34535377"/>
      <w:bookmarkStart w:id="107" w:name="_Toc35834931"/>
      <w:bookmarkStart w:id="108" w:name="_Toc101553553"/>
      <w:bookmarkStart w:id="109" w:name="_Toc66722109"/>
      <w:bookmarkStart w:id="110" w:name="_Toc108001797"/>
      <w:bookmarkStart w:id="111" w:name="_Toc102211721"/>
      <w:bookmarkStart w:id="112" w:name="_Toc148420067"/>
      <w:bookmarkStart w:id="113" w:name="_Toc95249604"/>
      <w:bookmarkStart w:id="114" w:name="_Toc67911939"/>
      <w:bookmarkStart w:id="115" w:name="_Toc108243613"/>
      <w:bookmarkStart w:id="116" w:name="_Toc150050899"/>
      <w:bookmarkStart w:id="117" w:name="_Toc124646431"/>
      <w:bookmarkStart w:id="118" w:name="_Toc138506089"/>
      <w:bookmarkStart w:id="119" w:name="_Toc28489525"/>
      <w:bookmarkStart w:id="120" w:name="_Toc68620009"/>
      <w:bookmarkStart w:id="121" w:name="_Toc124570684"/>
      <w:bookmarkStart w:id="122" w:name="_Toc169334813"/>
      <w:bookmarkStart w:id="123" w:name="_Toc148060903"/>
      <w:bookmarkStart w:id="124" w:name="_Toc131904927"/>
      <w:bookmarkStart w:id="125" w:name="_Toc104902926"/>
      <w:bookmarkStart w:id="126" w:name="_Toc125770205"/>
      <w:r>
        <w:rPr>
          <w:rFonts w:hint="eastAsia"/>
          <w:color w:val="auto"/>
          <w:sz w:val="24"/>
          <w:szCs w:val="24"/>
          <w:highlight w:val="none"/>
        </w:rPr>
        <w:t>四、评标方法及流程</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7DDCA044">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本次招标的评标方法采用综合评审法。评标分三个阶段进行：投标文件符合性检查和投标文件详细评审。具体方法及流程如下：</w:t>
      </w:r>
    </w:p>
    <w:p w14:paraId="18F790FE">
      <w:pPr>
        <w:numPr>
          <w:ilvl w:val="0"/>
          <w:numId w:val="13"/>
        </w:numPr>
        <w:spacing w:line="440" w:lineRule="exact"/>
        <w:rPr>
          <w:rFonts w:hint="eastAsia" w:ascii="宋体" w:hAnsi="宋体"/>
          <w:bCs/>
          <w:color w:val="auto"/>
          <w:sz w:val="24"/>
          <w:szCs w:val="24"/>
          <w:highlight w:val="none"/>
        </w:rPr>
      </w:pPr>
      <w:r>
        <w:rPr>
          <w:rFonts w:hint="eastAsia" w:ascii="宋体" w:hAnsi="宋体"/>
          <w:bCs/>
          <w:color w:val="auto"/>
          <w:sz w:val="24"/>
          <w:szCs w:val="24"/>
          <w:highlight w:val="none"/>
        </w:rPr>
        <w:t>投标文件资格性审查</w:t>
      </w:r>
    </w:p>
    <w:p w14:paraId="16CA329A">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评标委员会按照《符合性审查表》内容对投标人进行资格审查。合格投标人不足3家的，不得评标。未通过符合性审查的投标人不进入下一步评标</w:t>
      </w:r>
      <w:r>
        <w:rPr>
          <w:rFonts w:hint="eastAsia" w:ascii="宋体" w:hAnsi="宋体"/>
          <w:color w:val="auto"/>
          <w:sz w:val="24"/>
          <w:szCs w:val="24"/>
          <w:highlight w:val="none"/>
        </w:rPr>
        <w:t>。</w:t>
      </w:r>
    </w:p>
    <w:p w14:paraId="164F4553">
      <w:pPr>
        <w:spacing w:line="440" w:lineRule="exact"/>
        <w:rPr>
          <w:rFonts w:hint="eastAsia" w:ascii="宋体" w:hAnsi="宋体"/>
          <w:bCs/>
          <w:color w:val="auto"/>
          <w:sz w:val="24"/>
          <w:szCs w:val="24"/>
          <w:highlight w:val="none"/>
        </w:rPr>
      </w:pPr>
      <w:r>
        <w:rPr>
          <w:rFonts w:hint="eastAsia" w:ascii="宋体" w:hAnsi="宋体"/>
          <w:bCs/>
          <w:color w:val="auto"/>
          <w:sz w:val="24"/>
          <w:szCs w:val="24"/>
          <w:highlight w:val="none"/>
        </w:rPr>
        <w:t>（2）投标文件符合性检查</w:t>
      </w:r>
    </w:p>
    <w:p w14:paraId="3BC806CC">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1）各评委对各投标文件按照招标文件要求的响应情况进行符合性检查。符合性检查必须根据采购文件中对投标人的要求和投标文件中的响应进行。</w:t>
      </w:r>
    </w:p>
    <w:p w14:paraId="13859343">
      <w:pPr>
        <w:spacing w:line="440" w:lineRule="exact"/>
        <w:ind w:left="-2" w:leftChars="-1"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2）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文件的实质性内容。</w:t>
      </w:r>
    </w:p>
    <w:p w14:paraId="51C7C8BB">
      <w:pPr>
        <w:spacing w:line="440" w:lineRule="exact"/>
        <w:ind w:left="-2" w:leftChars="-1"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3）在评审中发现关键指标/服务要求等未能达到招标文件中的规定或有虚假情况时，评标委员会有权取消其评审资格。</w:t>
      </w:r>
    </w:p>
    <w:p w14:paraId="567A4AB6">
      <w:pPr>
        <w:spacing w:line="440" w:lineRule="exact"/>
        <w:ind w:left="-2" w:leftChars="-1"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21C69A">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5）投标人只有完全通过符合性检查，才能进入下一阶段的详细评审，否则视为无效投标。（详见符合性检查表）</w:t>
      </w:r>
    </w:p>
    <w:p w14:paraId="4A0F0908">
      <w:pPr>
        <w:spacing w:line="440" w:lineRule="exact"/>
        <w:rPr>
          <w:rFonts w:hint="eastAsia" w:ascii="宋体" w:hAnsi="宋体"/>
          <w:bCs/>
          <w:color w:val="auto"/>
          <w:sz w:val="24"/>
          <w:szCs w:val="24"/>
          <w:highlight w:val="none"/>
        </w:rPr>
      </w:pPr>
      <w:r>
        <w:rPr>
          <w:rFonts w:hint="eastAsia" w:ascii="宋体" w:hAnsi="宋体"/>
          <w:bCs/>
          <w:color w:val="auto"/>
          <w:sz w:val="24"/>
          <w:szCs w:val="24"/>
          <w:highlight w:val="none"/>
        </w:rPr>
        <w:t>（3）投标文件详细评审</w:t>
      </w:r>
    </w:p>
    <w:p w14:paraId="7B055D17">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当通过资格性审查及符合性检查的投标人多于或等于三家时，按照评标程序的规定和依据评分标准以及各项权重、资格性审查及符合性检查结果，各位评委单独就每个投标人的技术状况、商务状况进行评审和比较，评出其技术评分和商务评分。将技术得分、商务得分和价格得分相加得出综合得分，并按综合得分由高至低排出名次（出现并列得分时，价格低者排名在前）。评标委员会依据得分情况推荐出综合得分排名前三名分别作为第一中标候选人、第二中标候选人、第三中标候选人。</w:t>
      </w:r>
    </w:p>
    <w:p w14:paraId="1EC01F44">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当通过资格性审查或符合性检查的投标人少于三家时，否决所有投标文件，依法重新招标。</w:t>
      </w:r>
    </w:p>
    <w:p w14:paraId="797F4061">
      <w:pPr>
        <w:pStyle w:val="5"/>
        <w:adjustRightInd/>
        <w:spacing w:before="0" w:after="0" w:line="440" w:lineRule="exact"/>
        <w:rPr>
          <w:rFonts w:hint="eastAsia"/>
          <w:b w:val="0"/>
          <w:bCs/>
          <w:color w:val="auto"/>
          <w:sz w:val="24"/>
          <w:szCs w:val="24"/>
          <w:highlight w:val="none"/>
        </w:rPr>
      </w:pPr>
      <w:bookmarkStart w:id="127" w:name="_Toc138506090"/>
      <w:bookmarkStart w:id="128" w:name="_Toc148060904"/>
      <w:bookmarkStart w:id="129" w:name="_Toc108001798"/>
      <w:bookmarkStart w:id="130" w:name="_Toc104874463"/>
      <w:bookmarkStart w:id="131" w:name="_Toc124646432"/>
      <w:bookmarkStart w:id="132" w:name="_Toc131904928"/>
      <w:bookmarkStart w:id="133" w:name="_Toc102211722"/>
      <w:bookmarkStart w:id="134" w:name="_Toc125770206"/>
      <w:bookmarkStart w:id="135" w:name="_Toc34535378"/>
      <w:bookmarkStart w:id="136" w:name="_Toc101553659"/>
      <w:bookmarkStart w:id="137" w:name="_Toc124401380"/>
      <w:bookmarkStart w:id="138" w:name="_Toc95304221"/>
      <w:bookmarkStart w:id="139" w:name="_Toc131922501"/>
      <w:bookmarkStart w:id="140" w:name="_Toc35834932"/>
      <w:bookmarkStart w:id="141" w:name="_Toc68620010"/>
      <w:bookmarkStart w:id="142" w:name="_Toc95249605"/>
      <w:bookmarkStart w:id="143" w:name="_Toc28489528"/>
      <w:bookmarkStart w:id="144" w:name="_Toc28142596"/>
      <w:bookmarkStart w:id="145" w:name="_Toc101553554"/>
      <w:bookmarkStart w:id="146" w:name="_Toc108243614"/>
      <w:bookmarkStart w:id="147" w:name="_Toc148420068"/>
      <w:bookmarkStart w:id="148" w:name="_Toc104902927"/>
      <w:bookmarkStart w:id="149" w:name="_Toc113277290"/>
      <w:bookmarkStart w:id="150" w:name="_Toc66722110"/>
      <w:bookmarkStart w:id="151" w:name="_Toc138568670"/>
      <w:bookmarkStart w:id="152" w:name="_Toc150050900"/>
      <w:bookmarkStart w:id="153" w:name="_Toc67911940"/>
      <w:bookmarkStart w:id="154" w:name="_Toc124570685"/>
      <w:bookmarkStart w:id="155" w:name="_Toc169334814"/>
      <w:r>
        <w:rPr>
          <w:rFonts w:hint="eastAsia"/>
          <w:color w:val="auto"/>
          <w:sz w:val="24"/>
          <w:szCs w:val="24"/>
          <w:highlight w:val="none"/>
        </w:rPr>
        <w:t>五、评分标准和权重</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AD9C413">
      <w:pPr>
        <w:spacing w:line="440" w:lineRule="exact"/>
        <w:rPr>
          <w:rFonts w:hint="eastAsia" w:ascii="宋体" w:hAnsi="宋体"/>
          <w:b/>
          <w:color w:val="auto"/>
          <w:sz w:val="24"/>
          <w:szCs w:val="24"/>
          <w:highlight w:val="none"/>
        </w:rPr>
      </w:pPr>
      <w:bookmarkStart w:id="156" w:name="_Toc28142597"/>
      <w:bookmarkStart w:id="157" w:name="_Toc31424230"/>
      <w:bookmarkStart w:id="158" w:name="_Toc26163628"/>
      <w:bookmarkStart w:id="159" w:name="_Toc28489529"/>
      <w:r>
        <w:rPr>
          <w:rFonts w:hint="eastAsia" w:ascii="宋体" w:hAnsi="宋体"/>
          <w:b/>
          <w:color w:val="auto"/>
          <w:sz w:val="24"/>
          <w:szCs w:val="24"/>
          <w:highlight w:val="none"/>
        </w:rPr>
        <w:t>1.评分标准</w:t>
      </w:r>
      <w:bookmarkEnd w:id="156"/>
      <w:bookmarkEnd w:id="157"/>
      <w:bookmarkEnd w:id="158"/>
      <w:bookmarkEnd w:id="159"/>
    </w:p>
    <w:p w14:paraId="052AB913">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评委根据各通过资格性审查及符合性检查投标人的投标文件，并逐项列出投标文件的全部投标偏差。</w:t>
      </w:r>
    </w:p>
    <w:p w14:paraId="08B0B9F0">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评分应考虑到投标文件与招标文件之间的细微偏差。细微偏差是指投标文件在实质上响应招标文件要求，但在个别地方存在漏项或者提供了不完整的技术信息和数据等情况，并且补正这些遗漏或者不完整不会对其他投标人造成不公平的结果。细微偏差不影响投标文件的有效性。在详细评审时对细微偏差作不利于该投标人的量化。</w:t>
      </w:r>
    </w:p>
    <w:p w14:paraId="62271A21">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评委对投标文件的技术及商务响应情况进行评分。评分采用量化方法。</w:t>
      </w:r>
    </w:p>
    <w:p w14:paraId="60BFD96F">
      <w:pPr>
        <w:spacing w:line="440" w:lineRule="exact"/>
        <w:ind w:firstLine="403" w:firstLineChars="168"/>
        <w:rPr>
          <w:rFonts w:hint="eastAsia" w:ascii="宋体" w:hAnsi="宋体"/>
          <w:bCs/>
          <w:color w:val="auto"/>
          <w:sz w:val="24"/>
          <w:szCs w:val="24"/>
          <w:highlight w:val="none"/>
        </w:rPr>
      </w:pPr>
      <w:r>
        <w:rPr>
          <w:rFonts w:hint="eastAsia" w:ascii="宋体" w:hAnsi="宋体"/>
          <w:bCs/>
          <w:color w:val="auto"/>
          <w:sz w:val="24"/>
          <w:szCs w:val="24"/>
          <w:highlight w:val="none"/>
        </w:rPr>
        <w:t>技术、商务、价格评分应分别考虑下列因素：</w:t>
      </w:r>
    </w:p>
    <w:p w14:paraId="5F07E8A5">
      <w:pPr>
        <w:spacing w:line="440" w:lineRule="exact"/>
        <w:ind w:left="540"/>
        <w:rPr>
          <w:rFonts w:hint="eastAsia" w:ascii="宋体" w:hAnsi="宋体"/>
          <w:bCs/>
          <w:color w:val="auto"/>
          <w:sz w:val="24"/>
          <w:szCs w:val="24"/>
          <w:highlight w:val="none"/>
        </w:rPr>
      </w:pPr>
      <w:r>
        <w:rPr>
          <w:rFonts w:hint="eastAsia" w:ascii="宋体" w:hAnsi="宋体"/>
          <w:bCs/>
          <w:color w:val="auto"/>
          <w:sz w:val="24"/>
          <w:szCs w:val="24"/>
          <w:highlight w:val="none"/>
        </w:rPr>
        <w:t>（1）技术评分（见技术评分标准）</w:t>
      </w:r>
    </w:p>
    <w:p w14:paraId="2855725E">
      <w:pPr>
        <w:spacing w:line="440" w:lineRule="exact"/>
        <w:ind w:left="540"/>
        <w:rPr>
          <w:rFonts w:hint="eastAsia" w:ascii="宋体" w:hAnsi="宋体"/>
          <w:bCs/>
          <w:color w:val="auto"/>
          <w:sz w:val="24"/>
          <w:szCs w:val="24"/>
          <w:highlight w:val="none"/>
        </w:rPr>
      </w:pPr>
      <w:r>
        <w:rPr>
          <w:rFonts w:hint="eastAsia" w:ascii="宋体" w:hAnsi="宋体"/>
          <w:bCs/>
          <w:color w:val="auto"/>
          <w:sz w:val="24"/>
          <w:szCs w:val="24"/>
          <w:highlight w:val="none"/>
        </w:rPr>
        <w:t>（2）商务评分（见商务评分标准）</w:t>
      </w:r>
    </w:p>
    <w:p w14:paraId="3A5A5748">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（3）价格的开启和评分（见</w:t>
      </w:r>
      <w:r>
        <w:rPr>
          <w:rFonts w:hint="eastAsia" w:ascii="宋体" w:hAnsi="宋体"/>
          <w:bCs/>
          <w:color w:val="auto"/>
          <w:sz w:val="24"/>
          <w:szCs w:val="24"/>
          <w:highlight w:val="none"/>
          <w:lang w:val="en-US" w:eastAsia="zh-CN"/>
        </w:rPr>
        <w:t>经济</w:t>
      </w:r>
      <w:r>
        <w:rPr>
          <w:rFonts w:hint="eastAsia" w:ascii="宋体" w:hAnsi="宋体"/>
          <w:bCs/>
          <w:color w:val="auto"/>
          <w:sz w:val="24"/>
          <w:szCs w:val="24"/>
          <w:highlight w:val="none"/>
        </w:rPr>
        <w:t>评分标准）</w:t>
      </w:r>
    </w:p>
    <w:p w14:paraId="1A4B7D71">
      <w:pPr>
        <w:spacing w:line="440" w:lineRule="exact"/>
        <w:rPr>
          <w:rFonts w:hint="eastAsia" w:ascii="宋体" w:hAnsi="宋体"/>
          <w:b/>
          <w:color w:val="auto"/>
          <w:sz w:val="24"/>
          <w:szCs w:val="24"/>
          <w:highlight w:val="none"/>
        </w:rPr>
      </w:pPr>
      <w:bookmarkStart w:id="160" w:name="_Toc26163629"/>
      <w:bookmarkStart w:id="161" w:name="_Toc28142598"/>
      <w:bookmarkStart w:id="162" w:name="_Toc28489530"/>
      <w:r>
        <w:rPr>
          <w:rFonts w:hint="eastAsia" w:ascii="宋体" w:hAnsi="宋体"/>
          <w:b/>
          <w:color w:val="auto"/>
          <w:sz w:val="24"/>
          <w:szCs w:val="24"/>
          <w:highlight w:val="none"/>
        </w:rPr>
        <w:t>2.权重分配</w:t>
      </w:r>
      <w:bookmarkEnd w:id="160"/>
      <w:bookmarkEnd w:id="161"/>
      <w:bookmarkEnd w:id="162"/>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5CE74582">
        <w:trPr>
          <w:jc w:val="center"/>
        </w:trPr>
        <w:tc>
          <w:tcPr>
            <w:tcW w:w="2130" w:type="dxa"/>
            <w:vAlign w:val="center"/>
          </w:tcPr>
          <w:p w14:paraId="5DB0BCCC">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评分项目</w:t>
            </w:r>
          </w:p>
        </w:tc>
        <w:tc>
          <w:tcPr>
            <w:tcW w:w="2130" w:type="dxa"/>
            <w:vAlign w:val="center"/>
          </w:tcPr>
          <w:p w14:paraId="4A05F4E8">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技术部分</w:t>
            </w:r>
          </w:p>
        </w:tc>
        <w:tc>
          <w:tcPr>
            <w:tcW w:w="2131" w:type="dxa"/>
            <w:vAlign w:val="center"/>
          </w:tcPr>
          <w:p w14:paraId="692E1033">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商务部分</w:t>
            </w:r>
          </w:p>
        </w:tc>
        <w:tc>
          <w:tcPr>
            <w:tcW w:w="2131" w:type="dxa"/>
            <w:vAlign w:val="center"/>
          </w:tcPr>
          <w:p w14:paraId="512FA18F">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价格部分</w:t>
            </w:r>
          </w:p>
        </w:tc>
      </w:tr>
      <w:tr w14:paraId="7AF153F8">
        <w:trPr>
          <w:trHeight w:val="79" w:hRule="atLeast"/>
          <w:jc w:val="center"/>
        </w:trPr>
        <w:tc>
          <w:tcPr>
            <w:tcW w:w="2130" w:type="dxa"/>
            <w:vAlign w:val="center"/>
          </w:tcPr>
          <w:p w14:paraId="7C74030F">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权重</w:t>
            </w:r>
          </w:p>
        </w:tc>
        <w:tc>
          <w:tcPr>
            <w:tcW w:w="2130" w:type="dxa"/>
            <w:vAlign w:val="center"/>
          </w:tcPr>
          <w:p w14:paraId="24C5A361">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30</w:t>
            </w:r>
            <w:r>
              <w:rPr>
                <w:rFonts w:hint="eastAsia" w:ascii="宋体" w:hAnsi="宋体"/>
                <w:bCs/>
                <w:color w:val="auto"/>
                <w:sz w:val="24"/>
                <w:szCs w:val="24"/>
                <w:highlight w:val="none"/>
              </w:rPr>
              <w:t>%</w:t>
            </w:r>
          </w:p>
        </w:tc>
        <w:tc>
          <w:tcPr>
            <w:tcW w:w="2131" w:type="dxa"/>
            <w:vAlign w:val="center"/>
          </w:tcPr>
          <w:p w14:paraId="1A2C4230">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40</w:t>
            </w:r>
            <w:r>
              <w:rPr>
                <w:rFonts w:hint="eastAsia" w:ascii="宋体" w:hAnsi="宋体"/>
                <w:bCs/>
                <w:color w:val="auto"/>
                <w:sz w:val="24"/>
                <w:szCs w:val="24"/>
                <w:highlight w:val="none"/>
              </w:rPr>
              <w:t>%</w:t>
            </w:r>
          </w:p>
        </w:tc>
        <w:tc>
          <w:tcPr>
            <w:tcW w:w="2131" w:type="dxa"/>
            <w:vAlign w:val="center"/>
          </w:tcPr>
          <w:p w14:paraId="2D7249CE">
            <w:pPr>
              <w:spacing w:line="44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lang w:val="en-US" w:eastAsia="zh-CN"/>
              </w:rPr>
              <w:t>30</w:t>
            </w:r>
            <w:r>
              <w:rPr>
                <w:rFonts w:hint="eastAsia" w:ascii="宋体" w:hAnsi="宋体"/>
                <w:bCs/>
                <w:color w:val="auto"/>
                <w:sz w:val="24"/>
                <w:szCs w:val="24"/>
                <w:highlight w:val="none"/>
              </w:rPr>
              <w:t>%</w:t>
            </w:r>
          </w:p>
        </w:tc>
      </w:tr>
    </w:tbl>
    <w:p w14:paraId="19CD07F7">
      <w:pPr>
        <w:spacing w:line="440" w:lineRule="exact"/>
        <w:rPr>
          <w:rFonts w:hint="eastAsia" w:ascii="宋体" w:hAnsi="宋体"/>
          <w:b/>
          <w:color w:val="auto"/>
          <w:sz w:val="24"/>
          <w:szCs w:val="24"/>
          <w:highlight w:val="none"/>
        </w:rPr>
      </w:pPr>
      <w:bookmarkStart w:id="163" w:name="_Toc28142599"/>
      <w:bookmarkStart w:id="164" w:name="_Toc26163630"/>
      <w:bookmarkStart w:id="165" w:name="_Toc28489531"/>
      <w:r>
        <w:rPr>
          <w:rFonts w:hint="eastAsia" w:ascii="宋体" w:hAnsi="宋体"/>
          <w:b/>
          <w:color w:val="auto"/>
          <w:sz w:val="24"/>
          <w:szCs w:val="24"/>
          <w:highlight w:val="none"/>
        </w:rPr>
        <w:t>3.综合得分</w:t>
      </w:r>
      <w:bookmarkEnd w:id="163"/>
      <w:bookmarkEnd w:id="164"/>
      <w:bookmarkEnd w:id="165"/>
    </w:p>
    <w:p w14:paraId="6DB86993">
      <w:pPr>
        <w:spacing w:line="440" w:lineRule="exact"/>
        <w:ind w:left="540"/>
        <w:rPr>
          <w:rFonts w:hint="eastAsia" w:ascii="宋体" w:hAnsi="宋体"/>
          <w:bCs/>
          <w:color w:val="auto"/>
          <w:sz w:val="24"/>
          <w:szCs w:val="24"/>
          <w:highlight w:val="none"/>
        </w:rPr>
      </w:pPr>
      <w:r>
        <w:rPr>
          <w:rFonts w:hint="eastAsia" w:ascii="宋体" w:hAnsi="宋体"/>
          <w:color w:val="auto"/>
          <w:sz w:val="24"/>
          <w:szCs w:val="24"/>
          <w:highlight w:val="none"/>
        </w:rPr>
        <w:t>综合得分=技术部分得分+商务部分得分+价格部分得分</w:t>
      </w:r>
    </w:p>
    <w:p w14:paraId="719274B8">
      <w:pPr>
        <w:spacing w:line="440" w:lineRule="exact"/>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评标委员会根据投标人</w:t>
      </w:r>
      <w:r>
        <w:rPr>
          <w:rFonts w:hint="eastAsia" w:ascii="宋体" w:hAnsi="宋体"/>
          <w:color w:val="auto"/>
          <w:sz w:val="24"/>
          <w:szCs w:val="24"/>
          <w:highlight w:val="none"/>
        </w:rPr>
        <w:t>综合得分</w:t>
      </w:r>
      <w:r>
        <w:rPr>
          <w:rFonts w:hint="eastAsia" w:ascii="宋体" w:hAnsi="宋体"/>
          <w:bCs/>
          <w:color w:val="auto"/>
          <w:sz w:val="24"/>
          <w:szCs w:val="24"/>
          <w:highlight w:val="none"/>
        </w:rPr>
        <w:t>高低排定名次</w:t>
      </w:r>
      <w:r>
        <w:rPr>
          <w:rFonts w:hint="eastAsia"/>
          <w:color w:val="auto"/>
          <w:sz w:val="24"/>
          <w:szCs w:val="24"/>
          <w:highlight w:val="none"/>
        </w:rPr>
        <w:t>，如果综合得分相同时，以有效投标报价低者排前，评标委员会编写评标报告，并全体签字确认，推荐满足采购文件要求且综合得分排序的名次最高者为第一中标候选人，推荐满足采购文件要求且综合得分排序的名次次高者为第二中标候选人</w:t>
      </w:r>
      <w:r>
        <w:rPr>
          <w:rFonts w:hint="eastAsia" w:ascii="宋体" w:hAnsi="宋体"/>
          <w:bCs/>
          <w:color w:val="auto"/>
          <w:sz w:val="24"/>
          <w:szCs w:val="24"/>
          <w:highlight w:val="none"/>
        </w:rPr>
        <w:t>。</w:t>
      </w:r>
    </w:p>
    <w:p w14:paraId="4C85EDD0">
      <w:pPr>
        <w:pStyle w:val="5"/>
        <w:adjustRightInd/>
        <w:spacing w:before="0" w:after="0" w:line="440" w:lineRule="exact"/>
        <w:rPr>
          <w:rFonts w:hint="eastAsia"/>
          <w:b w:val="0"/>
          <w:bCs/>
          <w:color w:val="auto"/>
          <w:sz w:val="24"/>
          <w:szCs w:val="24"/>
          <w:highlight w:val="none"/>
        </w:rPr>
      </w:pPr>
      <w:bookmarkStart w:id="166" w:name="_Toc67911941"/>
      <w:bookmarkStart w:id="167" w:name="_Toc108001799"/>
      <w:bookmarkStart w:id="168" w:name="_Toc169334815"/>
      <w:bookmarkStart w:id="169" w:name="_Toc124646433"/>
      <w:bookmarkStart w:id="170" w:name="_Toc131904929"/>
      <w:bookmarkStart w:id="171" w:name="_Toc138568671"/>
      <w:bookmarkStart w:id="172" w:name="_Toc148420069"/>
      <w:bookmarkStart w:id="173" w:name="_Toc95249606"/>
      <w:bookmarkStart w:id="174" w:name="_Toc125770207"/>
      <w:bookmarkStart w:id="175" w:name="_Toc131922502"/>
      <w:bookmarkStart w:id="176" w:name="_Toc28489532"/>
      <w:bookmarkStart w:id="177" w:name="_Toc104874464"/>
      <w:bookmarkStart w:id="178" w:name="_Toc68620011"/>
      <w:bookmarkStart w:id="179" w:name="_Toc101553555"/>
      <w:bookmarkStart w:id="180" w:name="_Toc113277291"/>
      <w:bookmarkStart w:id="181" w:name="_Toc124570686"/>
      <w:bookmarkStart w:id="182" w:name="_Toc102211723"/>
      <w:bookmarkStart w:id="183" w:name="_Toc66722111"/>
      <w:bookmarkStart w:id="184" w:name="_Toc104902928"/>
      <w:bookmarkStart w:id="185" w:name="_Toc138506091"/>
      <w:bookmarkStart w:id="186" w:name="_Toc34535379"/>
      <w:bookmarkStart w:id="187" w:name="_Toc28142600"/>
      <w:bookmarkStart w:id="188" w:name="_Toc150050901"/>
      <w:bookmarkStart w:id="189" w:name="_Toc148060905"/>
      <w:bookmarkStart w:id="190" w:name="_Toc101553660"/>
      <w:bookmarkStart w:id="191" w:name="_Toc95304222"/>
      <w:bookmarkStart w:id="192" w:name="_Toc124401381"/>
      <w:bookmarkStart w:id="193" w:name="_Toc35834933"/>
      <w:bookmarkStart w:id="194" w:name="_Toc108243615"/>
      <w:r>
        <w:rPr>
          <w:rFonts w:hint="eastAsia"/>
          <w:color w:val="auto"/>
          <w:sz w:val="24"/>
          <w:szCs w:val="24"/>
          <w:highlight w:val="none"/>
        </w:rPr>
        <w:t>六.定标和授标</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3C5CB98A">
      <w:pPr>
        <w:spacing w:line="440" w:lineRule="exact"/>
        <w:ind w:left="1" w:firstLine="460" w:firstLineChars="192"/>
        <w:jc w:val="left"/>
        <w:rPr>
          <w:rFonts w:hint="eastAsia" w:ascii="宋体" w:hAnsi="宋体"/>
          <w:bCs/>
          <w:color w:val="auto"/>
          <w:sz w:val="24"/>
          <w:szCs w:val="24"/>
          <w:highlight w:val="none"/>
        </w:rPr>
      </w:pPr>
      <w:r>
        <w:rPr>
          <w:rFonts w:hint="eastAsia" w:ascii="宋体" w:hAnsi="宋体"/>
          <w:bCs/>
          <w:color w:val="auto"/>
          <w:sz w:val="24"/>
          <w:szCs w:val="24"/>
          <w:highlight w:val="none"/>
        </w:rPr>
        <w:t>第一中标候选人未能通过资格后审或放弃中标、或因不可抗力提出不能履行合同的，采购人可以确定排名次高的第二中标候选人为中标人。</w:t>
      </w:r>
    </w:p>
    <w:p w14:paraId="40FFE009">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评标委员会提出评标书面报告和推荐候选中标意见报采购人确认，确认后由采购人与预中标人进行最终澄清及对投标人的资格和履约能力进行再次审查，形成最终合同的基础文件。如在最终澄清过程中，发现预中标人存在重大问题造成其履约能力不能满足要求的，可以取消其中标资格。</w:t>
      </w:r>
    </w:p>
    <w:p w14:paraId="498F7787">
      <w:pPr>
        <w:spacing w:line="44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最终澄清完成后，由采购人确认的结果发出中标通知书。中标人应按采购文件规定向采购人提交相应文件，并在规定时间内与采购人签订合同。</w:t>
      </w:r>
    </w:p>
    <w:p w14:paraId="2FB39FBC">
      <w:pPr>
        <w:pStyle w:val="5"/>
        <w:adjustRightInd/>
        <w:spacing w:before="0" w:after="0" w:line="440" w:lineRule="exact"/>
        <w:rPr>
          <w:rFonts w:hint="eastAsia"/>
          <w:bCs/>
          <w:color w:val="auto"/>
          <w:sz w:val="24"/>
          <w:szCs w:val="24"/>
          <w:highlight w:val="none"/>
        </w:rPr>
      </w:pPr>
      <w:bookmarkStart w:id="195" w:name="_Toc138568672"/>
      <w:bookmarkStart w:id="196" w:name="_Toc108001800"/>
      <w:bookmarkStart w:id="197" w:name="_Toc125770208"/>
      <w:bookmarkStart w:id="198" w:name="_Toc28489533"/>
      <w:bookmarkStart w:id="199" w:name="_Toc169334816"/>
      <w:bookmarkStart w:id="200" w:name="_Toc101553556"/>
      <w:bookmarkStart w:id="201" w:name="_Toc150050902"/>
      <w:bookmarkStart w:id="202" w:name="_Toc138506092"/>
      <w:bookmarkStart w:id="203" w:name="_Toc101553661"/>
      <w:bookmarkStart w:id="204" w:name="_Toc104874465"/>
      <w:bookmarkStart w:id="205" w:name="_Toc148060906"/>
      <w:bookmarkStart w:id="206" w:name="_Toc102211724"/>
      <w:bookmarkStart w:id="207" w:name="_Toc67911942"/>
      <w:bookmarkStart w:id="208" w:name="_Toc66722112"/>
      <w:bookmarkStart w:id="209" w:name="_Toc131904930"/>
      <w:bookmarkStart w:id="210" w:name="_Toc95249607"/>
      <w:bookmarkStart w:id="211" w:name="_Toc95304223"/>
      <w:bookmarkStart w:id="212" w:name="_Toc124646434"/>
      <w:bookmarkStart w:id="213" w:name="_Toc108243616"/>
      <w:bookmarkStart w:id="214" w:name="_Toc28142601"/>
      <w:bookmarkStart w:id="215" w:name="_Toc68620012"/>
      <w:bookmarkStart w:id="216" w:name="_Toc148420070"/>
      <w:bookmarkStart w:id="217" w:name="_Toc131922503"/>
      <w:bookmarkStart w:id="218" w:name="_Toc124570687"/>
      <w:bookmarkStart w:id="219" w:name="_Toc124401382"/>
      <w:bookmarkStart w:id="220" w:name="_Toc34535380"/>
      <w:bookmarkStart w:id="221" w:name="_Toc113277292"/>
      <w:bookmarkStart w:id="222" w:name="_Toc104902929"/>
      <w:bookmarkStart w:id="223" w:name="_Toc35834934"/>
      <w:r>
        <w:rPr>
          <w:rFonts w:hint="eastAsia"/>
          <w:color w:val="auto"/>
          <w:sz w:val="24"/>
          <w:szCs w:val="24"/>
          <w:highlight w:val="none"/>
        </w:rPr>
        <w:t>七.附件</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62B1C87">
      <w:pPr>
        <w:spacing w:line="440" w:lineRule="exact"/>
        <w:ind w:firstLine="480" w:firstLineChars="200"/>
        <w:rPr>
          <w:rFonts w:hint="eastAsia" w:ascii="宋体" w:hAnsi="宋体" w:eastAsia="宋体"/>
          <w:bCs/>
          <w:color w:val="auto"/>
          <w:sz w:val="24"/>
          <w:szCs w:val="24"/>
          <w:highlight w:val="none"/>
        </w:rPr>
      </w:pPr>
      <w:r>
        <w:rPr>
          <w:rFonts w:hint="eastAsia" w:ascii="宋体" w:hAnsi="宋体" w:eastAsia="宋体"/>
          <w:bCs/>
          <w:color w:val="auto"/>
          <w:sz w:val="24"/>
          <w:szCs w:val="24"/>
          <w:highlight w:val="none"/>
        </w:rPr>
        <w:t>本评标文件包括以下评标过程中所需文件附件：</w:t>
      </w:r>
    </w:p>
    <w:p w14:paraId="52814542">
      <w:pPr>
        <w:spacing w:line="440" w:lineRule="exact"/>
        <w:ind w:firstLine="480" w:firstLineChars="200"/>
        <w:rPr>
          <w:rFonts w:hint="eastAsia"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附件</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1</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符合性审查表；2</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评分表;</w:t>
      </w:r>
    </w:p>
    <w:p w14:paraId="4D3E1DAA">
      <w:pPr>
        <w:spacing w:line="440" w:lineRule="exact"/>
        <w:ind w:firstLine="480" w:firstLineChars="200"/>
        <w:rPr>
          <w:rFonts w:hint="eastAsia" w:ascii="宋体" w:hAnsi="宋体"/>
          <w:bCs/>
          <w:color w:val="auto"/>
          <w:sz w:val="24"/>
          <w:szCs w:val="24"/>
          <w:highlight w:val="none"/>
        </w:rPr>
      </w:pPr>
    </w:p>
    <w:p w14:paraId="206ABAB0">
      <w:pPr>
        <w:spacing w:before="312" w:beforeLines="100" w:after="312" w:afterLines="100"/>
        <w:rPr>
          <w:rFonts w:hint="eastAsia" w:ascii="宋体" w:hAnsi="宋体"/>
          <w:b/>
          <w:color w:val="auto"/>
          <w:sz w:val="24"/>
          <w:highlight w:val="none"/>
        </w:rPr>
      </w:pPr>
      <w:r>
        <w:rPr>
          <w:rFonts w:ascii="宋体" w:hAnsi="宋体"/>
          <w:bCs/>
          <w:color w:val="auto"/>
          <w:sz w:val="24"/>
          <w:highlight w:val="none"/>
        </w:rPr>
        <w:br w:type="page"/>
      </w:r>
      <w:r>
        <w:rPr>
          <w:rFonts w:hint="eastAsia" w:ascii="宋体" w:hAnsi="宋体"/>
          <w:b/>
          <w:color w:val="auto"/>
          <w:sz w:val="24"/>
          <w:highlight w:val="none"/>
        </w:rPr>
        <w:t xml:space="preserve">附件1                                    </w:t>
      </w:r>
    </w:p>
    <w:p w14:paraId="0F7A94CC">
      <w:pPr>
        <w:spacing w:before="312" w:beforeLines="100" w:after="312" w:afterLines="100"/>
        <w:jc w:val="center"/>
        <w:rPr>
          <w:rFonts w:hint="eastAsia" w:ascii="宋体" w:hAnsi="宋体"/>
          <w:b/>
          <w:color w:val="auto"/>
          <w:sz w:val="24"/>
          <w:highlight w:val="none"/>
        </w:rPr>
      </w:pPr>
      <w:r>
        <w:rPr>
          <w:rFonts w:hint="eastAsia" w:ascii="宋体" w:hAnsi="宋体"/>
          <w:b/>
          <w:color w:val="auto"/>
          <w:sz w:val="24"/>
          <w:highlight w:val="none"/>
        </w:rPr>
        <w:t>符合性审查表</w:t>
      </w:r>
    </w:p>
    <w:tbl>
      <w:tblPr>
        <w:tblStyle w:val="17"/>
        <w:tblW w:w="8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
        <w:gridCol w:w="4200"/>
        <w:gridCol w:w="1279"/>
        <w:gridCol w:w="1344"/>
        <w:gridCol w:w="1525"/>
      </w:tblGrid>
      <w:tr w14:paraId="5F29C539">
        <w:trPr>
          <w:trHeight w:val="933" w:hRule="atLeast"/>
          <w:jc w:val="center"/>
        </w:trPr>
        <w:tc>
          <w:tcPr>
            <w:tcW w:w="630" w:type="dxa"/>
            <w:vAlign w:val="center"/>
          </w:tcPr>
          <w:p w14:paraId="441D5580">
            <w:pPr>
              <w:jc w:val="center"/>
              <w:rPr>
                <w:b/>
                <w:bCs/>
                <w:color w:val="auto"/>
                <w:szCs w:val="21"/>
                <w:highlight w:val="none"/>
              </w:rPr>
            </w:pPr>
            <w:r>
              <w:rPr>
                <w:rFonts w:hint="eastAsia"/>
                <w:b/>
                <w:bCs/>
                <w:color w:val="auto"/>
                <w:szCs w:val="21"/>
                <w:highlight w:val="none"/>
              </w:rPr>
              <w:t>序号</w:t>
            </w:r>
          </w:p>
        </w:tc>
        <w:tc>
          <w:tcPr>
            <w:tcW w:w="4200" w:type="dxa"/>
            <w:tcBorders>
              <w:tl2br w:val="single" w:color="auto" w:sz="4" w:space="0"/>
            </w:tcBorders>
          </w:tcPr>
          <w:p w14:paraId="449AC438">
            <w:pPr>
              <w:rPr>
                <w:b/>
                <w:bCs/>
                <w:color w:val="auto"/>
                <w:szCs w:val="21"/>
                <w:highlight w:val="none"/>
              </w:rPr>
            </w:pPr>
            <w:r>
              <w:rPr>
                <w:rFonts w:hint="eastAsia"/>
                <w:b/>
                <w:bCs/>
                <w:color w:val="auto"/>
                <w:szCs w:val="21"/>
                <w:highlight w:val="none"/>
              </w:rPr>
              <w:t xml:space="preserve">                 投标人名称</w:t>
            </w:r>
          </w:p>
          <w:p w14:paraId="7A6FFE2C">
            <w:pPr>
              <w:rPr>
                <w:b/>
                <w:bCs/>
                <w:color w:val="auto"/>
                <w:szCs w:val="21"/>
                <w:highlight w:val="none"/>
              </w:rPr>
            </w:pPr>
          </w:p>
          <w:p w14:paraId="3FAF8ABC">
            <w:pPr>
              <w:rPr>
                <w:b/>
                <w:bCs/>
                <w:color w:val="auto"/>
                <w:szCs w:val="21"/>
                <w:highlight w:val="none"/>
              </w:rPr>
            </w:pPr>
            <w:r>
              <w:rPr>
                <w:rFonts w:hint="eastAsia"/>
                <w:b/>
                <w:bCs/>
                <w:color w:val="auto"/>
                <w:szCs w:val="21"/>
                <w:highlight w:val="none"/>
              </w:rPr>
              <w:t>符合性审查内容</w:t>
            </w:r>
          </w:p>
        </w:tc>
        <w:tc>
          <w:tcPr>
            <w:tcW w:w="1279" w:type="dxa"/>
            <w:vAlign w:val="center"/>
          </w:tcPr>
          <w:p w14:paraId="32D0512F">
            <w:pPr>
              <w:jc w:val="center"/>
              <w:rPr>
                <w:b/>
                <w:bCs/>
                <w:color w:val="auto"/>
                <w:szCs w:val="21"/>
                <w:highlight w:val="none"/>
              </w:rPr>
            </w:pPr>
            <w:r>
              <w:rPr>
                <w:rFonts w:hint="eastAsia"/>
                <w:b/>
                <w:bCs/>
                <w:color w:val="auto"/>
                <w:szCs w:val="21"/>
                <w:highlight w:val="none"/>
              </w:rPr>
              <w:t>投标人1</w:t>
            </w:r>
          </w:p>
        </w:tc>
        <w:tc>
          <w:tcPr>
            <w:tcW w:w="1344" w:type="dxa"/>
            <w:vAlign w:val="center"/>
          </w:tcPr>
          <w:p w14:paraId="1D6F7D88">
            <w:pPr>
              <w:jc w:val="center"/>
              <w:rPr>
                <w:b/>
                <w:bCs/>
                <w:color w:val="auto"/>
                <w:szCs w:val="21"/>
                <w:highlight w:val="none"/>
              </w:rPr>
            </w:pPr>
            <w:r>
              <w:rPr>
                <w:rFonts w:hint="eastAsia"/>
                <w:b/>
                <w:bCs/>
                <w:color w:val="auto"/>
                <w:szCs w:val="21"/>
                <w:highlight w:val="none"/>
              </w:rPr>
              <w:t>投标人2</w:t>
            </w:r>
          </w:p>
        </w:tc>
        <w:tc>
          <w:tcPr>
            <w:tcW w:w="1525" w:type="dxa"/>
            <w:vAlign w:val="center"/>
          </w:tcPr>
          <w:p w14:paraId="6A2F1963">
            <w:pPr>
              <w:jc w:val="center"/>
              <w:rPr>
                <w:b/>
                <w:bCs/>
                <w:color w:val="auto"/>
                <w:szCs w:val="21"/>
                <w:highlight w:val="none"/>
              </w:rPr>
            </w:pPr>
            <w:r>
              <w:rPr>
                <w:rFonts w:hint="eastAsia"/>
                <w:b/>
                <w:bCs/>
                <w:color w:val="auto"/>
                <w:szCs w:val="21"/>
                <w:highlight w:val="none"/>
              </w:rPr>
              <w:t>投标人3</w:t>
            </w:r>
          </w:p>
        </w:tc>
      </w:tr>
      <w:tr w14:paraId="4C2FF861">
        <w:trPr>
          <w:trHeight w:val="525" w:hRule="atLeast"/>
          <w:jc w:val="center"/>
        </w:trPr>
        <w:tc>
          <w:tcPr>
            <w:tcW w:w="630" w:type="dxa"/>
            <w:vAlign w:val="center"/>
          </w:tcPr>
          <w:p w14:paraId="7A890385">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4200" w:type="dxa"/>
            <w:vAlign w:val="center"/>
          </w:tcPr>
          <w:p w14:paraId="1C88F497">
            <w:pPr>
              <w:adjustRightInd w:val="0"/>
              <w:spacing w:line="360" w:lineRule="auto"/>
              <w:jc w:val="center"/>
              <w:rPr>
                <w:rFonts w:hint="eastAsia" w:ascii="宋体" w:hAnsi="宋体"/>
                <w:color w:val="auto"/>
                <w:szCs w:val="21"/>
                <w:highlight w:val="none"/>
              </w:rPr>
            </w:pPr>
            <w:r>
              <w:rPr>
                <w:rFonts w:hint="eastAsia" w:ascii="宋体" w:hAnsi="宋体"/>
                <w:color w:val="auto"/>
                <w:szCs w:val="21"/>
                <w:highlight w:val="none"/>
              </w:rPr>
              <w:t>投标文件密封性</w:t>
            </w:r>
            <w:r>
              <w:rPr>
                <w:rFonts w:hint="eastAsia" w:ascii="宋体" w:hAnsi="宋体" w:eastAsia="宋体" w:cs="Arial"/>
                <w:color w:val="auto"/>
                <w:szCs w:val="21"/>
                <w:highlight w:val="none"/>
                <w:lang w:val="en-US" w:eastAsia="zh-CN"/>
              </w:rPr>
              <w:t>完</w:t>
            </w:r>
            <w:r>
              <w:rPr>
                <w:rFonts w:hint="eastAsia" w:ascii="宋体" w:hAnsi="宋体" w:eastAsia="宋体" w:cs="Arial"/>
                <w:color w:val="auto"/>
                <w:szCs w:val="21"/>
                <w:highlight w:val="none"/>
              </w:rPr>
              <w:t>好</w:t>
            </w:r>
          </w:p>
        </w:tc>
        <w:tc>
          <w:tcPr>
            <w:tcW w:w="1279" w:type="dxa"/>
            <w:vAlign w:val="center"/>
          </w:tcPr>
          <w:p w14:paraId="01AC70C4">
            <w:pPr>
              <w:jc w:val="center"/>
              <w:rPr>
                <w:b/>
                <w:bCs/>
                <w:color w:val="auto"/>
                <w:szCs w:val="21"/>
                <w:highlight w:val="none"/>
              </w:rPr>
            </w:pPr>
          </w:p>
        </w:tc>
        <w:tc>
          <w:tcPr>
            <w:tcW w:w="1344" w:type="dxa"/>
            <w:vAlign w:val="center"/>
          </w:tcPr>
          <w:p w14:paraId="0A3C3BC0">
            <w:pPr>
              <w:jc w:val="center"/>
              <w:rPr>
                <w:b/>
                <w:bCs/>
                <w:color w:val="auto"/>
                <w:szCs w:val="21"/>
                <w:highlight w:val="none"/>
              </w:rPr>
            </w:pPr>
          </w:p>
        </w:tc>
        <w:tc>
          <w:tcPr>
            <w:tcW w:w="1525" w:type="dxa"/>
            <w:vAlign w:val="center"/>
          </w:tcPr>
          <w:p w14:paraId="26778277">
            <w:pPr>
              <w:jc w:val="center"/>
              <w:rPr>
                <w:b/>
                <w:bCs/>
                <w:color w:val="auto"/>
                <w:szCs w:val="21"/>
                <w:highlight w:val="none"/>
              </w:rPr>
            </w:pPr>
          </w:p>
        </w:tc>
      </w:tr>
      <w:tr w14:paraId="318D1564">
        <w:trPr>
          <w:trHeight w:val="933" w:hRule="atLeast"/>
          <w:jc w:val="center"/>
        </w:trPr>
        <w:tc>
          <w:tcPr>
            <w:tcW w:w="630" w:type="dxa"/>
            <w:vAlign w:val="center"/>
          </w:tcPr>
          <w:p w14:paraId="23AA0BF0">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4200" w:type="dxa"/>
            <w:vAlign w:val="center"/>
          </w:tcPr>
          <w:p w14:paraId="4CF1C216">
            <w:pPr>
              <w:rPr>
                <w:rFonts w:hint="eastAsia" w:ascii="宋体" w:hAnsi="宋体" w:cs="宋体"/>
                <w:color w:val="auto"/>
                <w:szCs w:val="21"/>
                <w:highlight w:val="none"/>
              </w:rPr>
            </w:pPr>
            <w:r>
              <w:rPr>
                <w:rFonts w:hint="eastAsia" w:ascii="宋体" w:hAnsi="宋体"/>
                <w:color w:val="auto"/>
                <w:szCs w:val="21"/>
                <w:highlight w:val="none"/>
              </w:rPr>
              <w:t>按采购文件规定，有投标人盖章及其法定代表人（或法定代表人委托的投标授权代表）的签字或签章。</w:t>
            </w:r>
          </w:p>
        </w:tc>
        <w:tc>
          <w:tcPr>
            <w:tcW w:w="1279" w:type="dxa"/>
          </w:tcPr>
          <w:p w14:paraId="770E8255">
            <w:pPr>
              <w:rPr>
                <w:color w:val="auto"/>
                <w:szCs w:val="21"/>
                <w:highlight w:val="none"/>
              </w:rPr>
            </w:pPr>
          </w:p>
        </w:tc>
        <w:tc>
          <w:tcPr>
            <w:tcW w:w="1344" w:type="dxa"/>
          </w:tcPr>
          <w:p w14:paraId="1CC1D748">
            <w:pPr>
              <w:rPr>
                <w:color w:val="auto"/>
                <w:szCs w:val="21"/>
                <w:highlight w:val="none"/>
              </w:rPr>
            </w:pPr>
          </w:p>
        </w:tc>
        <w:tc>
          <w:tcPr>
            <w:tcW w:w="1525" w:type="dxa"/>
          </w:tcPr>
          <w:p w14:paraId="4C3A2E20">
            <w:pPr>
              <w:rPr>
                <w:color w:val="auto"/>
                <w:szCs w:val="21"/>
                <w:highlight w:val="none"/>
              </w:rPr>
            </w:pPr>
          </w:p>
        </w:tc>
      </w:tr>
      <w:tr w14:paraId="32DDCF94">
        <w:trPr>
          <w:trHeight w:val="626" w:hRule="atLeast"/>
          <w:jc w:val="center"/>
        </w:trPr>
        <w:tc>
          <w:tcPr>
            <w:tcW w:w="630" w:type="dxa"/>
            <w:vAlign w:val="center"/>
          </w:tcPr>
          <w:p w14:paraId="6CD5DD76">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4200" w:type="dxa"/>
            <w:vAlign w:val="center"/>
          </w:tcPr>
          <w:p w14:paraId="4AC83E8E">
            <w:pPr>
              <w:rPr>
                <w:rFonts w:hint="eastAsia" w:ascii="宋体" w:hAnsi="宋体"/>
                <w:color w:val="auto"/>
                <w:szCs w:val="21"/>
                <w:highlight w:val="none"/>
              </w:rPr>
            </w:pPr>
            <w:r>
              <w:rPr>
                <w:rFonts w:hint="eastAsia" w:ascii="宋体" w:hAnsi="宋体" w:cs="宋体"/>
                <w:color w:val="auto"/>
                <w:szCs w:val="21"/>
                <w:highlight w:val="none"/>
              </w:rPr>
              <w:t>投标函已提交并符合</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文件要求，且投标有效期满足采购文件要求。</w:t>
            </w:r>
          </w:p>
        </w:tc>
        <w:tc>
          <w:tcPr>
            <w:tcW w:w="1279" w:type="dxa"/>
          </w:tcPr>
          <w:p w14:paraId="1BF7327C">
            <w:pPr>
              <w:rPr>
                <w:color w:val="auto"/>
                <w:szCs w:val="21"/>
                <w:highlight w:val="none"/>
              </w:rPr>
            </w:pPr>
          </w:p>
        </w:tc>
        <w:tc>
          <w:tcPr>
            <w:tcW w:w="1344" w:type="dxa"/>
          </w:tcPr>
          <w:p w14:paraId="249C6FE4">
            <w:pPr>
              <w:rPr>
                <w:color w:val="auto"/>
                <w:szCs w:val="21"/>
                <w:highlight w:val="none"/>
              </w:rPr>
            </w:pPr>
          </w:p>
        </w:tc>
        <w:tc>
          <w:tcPr>
            <w:tcW w:w="1525" w:type="dxa"/>
          </w:tcPr>
          <w:p w14:paraId="1C8D04EA">
            <w:pPr>
              <w:rPr>
                <w:color w:val="auto"/>
                <w:szCs w:val="21"/>
                <w:highlight w:val="none"/>
              </w:rPr>
            </w:pPr>
          </w:p>
        </w:tc>
      </w:tr>
      <w:tr w14:paraId="4A3F8F4C">
        <w:trPr>
          <w:trHeight w:val="458" w:hRule="atLeast"/>
          <w:jc w:val="center"/>
        </w:trPr>
        <w:tc>
          <w:tcPr>
            <w:tcW w:w="630" w:type="dxa"/>
            <w:vAlign w:val="center"/>
          </w:tcPr>
          <w:p w14:paraId="6F12AB12">
            <w:pPr>
              <w:pStyle w:val="25"/>
              <w:adjustRightInd w:val="0"/>
              <w:spacing w:line="264" w:lineRule="auto"/>
              <w:ind w:firstLine="0" w:firstLineChars="0"/>
              <w:jc w:val="center"/>
              <w:rPr>
                <w:rFonts w:hint="eastAsia" w:ascii="宋体" w:hAnsi="宋体"/>
                <w:bCs/>
                <w:color w:val="auto"/>
                <w:szCs w:val="21"/>
                <w:highlight w:val="none"/>
              </w:rPr>
            </w:pPr>
            <w:r>
              <w:rPr>
                <w:rFonts w:hint="eastAsia" w:ascii="宋体" w:hAnsi="宋体"/>
                <w:bCs/>
                <w:color w:val="auto"/>
                <w:szCs w:val="21"/>
                <w:highlight w:val="none"/>
              </w:rPr>
              <w:t>4</w:t>
            </w:r>
          </w:p>
        </w:tc>
        <w:tc>
          <w:tcPr>
            <w:tcW w:w="4200" w:type="dxa"/>
            <w:vAlign w:val="center"/>
          </w:tcPr>
          <w:p w14:paraId="008C9DA0">
            <w:pPr>
              <w:adjustRightInd w:val="0"/>
              <w:spacing w:line="264" w:lineRule="auto"/>
              <w:rPr>
                <w:rFonts w:hint="eastAsia" w:ascii="宋体" w:hAnsi="宋体"/>
                <w:bCs/>
                <w:color w:val="auto"/>
                <w:szCs w:val="21"/>
                <w:highlight w:val="none"/>
              </w:rPr>
            </w:pPr>
            <w:r>
              <w:rPr>
                <w:rFonts w:hint="eastAsia" w:ascii="宋体" w:hAnsi="宋体"/>
                <w:color w:val="auto"/>
                <w:szCs w:val="21"/>
                <w:highlight w:val="none"/>
              </w:rPr>
              <w:t>本项目不拆分，不接受联合体投标。</w:t>
            </w:r>
          </w:p>
        </w:tc>
        <w:tc>
          <w:tcPr>
            <w:tcW w:w="1279" w:type="dxa"/>
          </w:tcPr>
          <w:p w14:paraId="21D586C9">
            <w:pPr>
              <w:rPr>
                <w:color w:val="auto"/>
                <w:szCs w:val="21"/>
                <w:highlight w:val="none"/>
              </w:rPr>
            </w:pPr>
          </w:p>
        </w:tc>
        <w:tc>
          <w:tcPr>
            <w:tcW w:w="1344" w:type="dxa"/>
          </w:tcPr>
          <w:p w14:paraId="2448A817">
            <w:pPr>
              <w:rPr>
                <w:color w:val="auto"/>
                <w:szCs w:val="21"/>
                <w:highlight w:val="none"/>
              </w:rPr>
            </w:pPr>
          </w:p>
        </w:tc>
        <w:tc>
          <w:tcPr>
            <w:tcW w:w="1525" w:type="dxa"/>
          </w:tcPr>
          <w:p w14:paraId="55E33934">
            <w:pPr>
              <w:rPr>
                <w:color w:val="auto"/>
                <w:szCs w:val="21"/>
                <w:highlight w:val="none"/>
              </w:rPr>
            </w:pPr>
          </w:p>
        </w:tc>
      </w:tr>
      <w:tr w14:paraId="0D7D94AF">
        <w:trPr>
          <w:trHeight w:val="2377" w:hRule="atLeast"/>
          <w:jc w:val="center"/>
        </w:trPr>
        <w:tc>
          <w:tcPr>
            <w:tcW w:w="630" w:type="dxa"/>
            <w:vAlign w:val="center"/>
          </w:tcPr>
          <w:p w14:paraId="2240C6E6">
            <w:pPr>
              <w:pStyle w:val="25"/>
              <w:adjustRightInd w:val="0"/>
              <w:spacing w:line="264" w:lineRule="auto"/>
              <w:ind w:firstLine="0" w:firstLineChars="0"/>
              <w:jc w:val="center"/>
              <w:rPr>
                <w:rFonts w:hint="eastAsia" w:ascii="宋体" w:hAnsi="宋体"/>
                <w:bCs/>
                <w:color w:val="auto"/>
                <w:szCs w:val="21"/>
                <w:highlight w:val="none"/>
              </w:rPr>
            </w:pPr>
            <w:r>
              <w:rPr>
                <w:rFonts w:hint="eastAsia" w:ascii="宋体" w:hAnsi="宋体"/>
                <w:bCs/>
                <w:color w:val="auto"/>
                <w:szCs w:val="21"/>
                <w:highlight w:val="none"/>
              </w:rPr>
              <w:t>5</w:t>
            </w:r>
          </w:p>
        </w:tc>
        <w:tc>
          <w:tcPr>
            <w:tcW w:w="4200" w:type="dxa"/>
            <w:vAlign w:val="center"/>
          </w:tcPr>
          <w:p w14:paraId="0E8FD82A">
            <w:pPr>
              <w:adjustRightInd w:val="0"/>
              <w:spacing w:line="264" w:lineRule="auto"/>
              <w:rPr>
                <w:color w:val="auto"/>
                <w:szCs w:val="21"/>
                <w:highlight w:val="none"/>
              </w:rPr>
            </w:pPr>
            <w:r>
              <w:rPr>
                <w:rFonts w:hint="eastAsia"/>
                <w:color w:val="auto"/>
                <w:szCs w:val="21"/>
                <w:highlight w:val="none"/>
              </w:rPr>
              <w:t>未被列入“信用中国”网站(www.creditchina.gov.cn)“记录失信被执行人或重大税收违法案件当事人名单或政府采购严重违法失信行为”记录名单（以在“信用中国”网站（www.creditchina.gov.cn）及中国政府采购网查询结果为准，加盖企业公章，如相关失信记录已失效，供应商需提供相关证明资料）。</w:t>
            </w:r>
          </w:p>
        </w:tc>
        <w:tc>
          <w:tcPr>
            <w:tcW w:w="1279" w:type="dxa"/>
          </w:tcPr>
          <w:p w14:paraId="248AEEE7">
            <w:pPr>
              <w:rPr>
                <w:color w:val="auto"/>
                <w:szCs w:val="21"/>
                <w:highlight w:val="none"/>
              </w:rPr>
            </w:pPr>
          </w:p>
        </w:tc>
        <w:tc>
          <w:tcPr>
            <w:tcW w:w="1344" w:type="dxa"/>
          </w:tcPr>
          <w:p w14:paraId="4847F5D5">
            <w:pPr>
              <w:rPr>
                <w:color w:val="auto"/>
                <w:szCs w:val="21"/>
                <w:highlight w:val="none"/>
              </w:rPr>
            </w:pPr>
          </w:p>
        </w:tc>
        <w:tc>
          <w:tcPr>
            <w:tcW w:w="1525" w:type="dxa"/>
          </w:tcPr>
          <w:p w14:paraId="7EB38393">
            <w:pPr>
              <w:rPr>
                <w:color w:val="auto"/>
                <w:szCs w:val="21"/>
                <w:highlight w:val="none"/>
              </w:rPr>
            </w:pPr>
          </w:p>
        </w:tc>
      </w:tr>
      <w:tr w14:paraId="256A56EE">
        <w:trPr>
          <w:trHeight w:val="686" w:hRule="atLeast"/>
          <w:jc w:val="center"/>
        </w:trPr>
        <w:tc>
          <w:tcPr>
            <w:tcW w:w="630" w:type="dxa"/>
            <w:vAlign w:val="center"/>
          </w:tcPr>
          <w:p w14:paraId="54139DAE">
            <w:pPr>
              <w:pStyle w:val="25"/>
              <w:adjustRightInd w:val="0"/>
              <w:spacing w:line="264" w:lineRule="auto"/>
              <w:ind w:firstLine="0" w:firstLineChars="0"/>
              <w:jc w:val="center"/>
              <w:rPr>
                <w:rFonts w:hint="eastAsia" w:ascii="宋体" w:hAnsi="宋体"/>
                <w:bCs/>
                <w:color w:val="auto"/>
                <w:szCs w:val="21"/>
                <w:highlight w:val="none"/>
              </w:rPr>
            </w:pPr>
            <w:r>
              <w:rPr>
                <w:rFonts w:hint="eastAsia" w:ascii="宋体" w:hAnsi="宋体"/>
                <w:bCs/>
                <w:color w:val="auto"/>
                <w:szCs w:val="21"/>
                <w:highlight w:val="none"/>
              </w:rPr>
              <w:t>6</w:t>
            </w:r>
          </w:p>
        </w:tc>
        <w:tc>
          <w:tcPr>
            <w:tcW w:w="4200" w:type="dxa"/>
            <w:vAlign w:val="center"/>
          </w:tcPr>
          <w:p w14:paraId="322CA3A5">
            <w:pPr>
              <w:adjustRightInd w:val="0"/>
              <w:spacing w:line="264" w:lineRule="auto"/>
              <w:rPr>
                <w:color w:val="auto"/>
                <w:szCs w:val="21"/>
                <w:highlight w:val="none"/>
              </w:rPr>
            </w:pPr>
            <w:r>
              <w:rPr>
                <w:rFonts w:hint="eastAsia" w:ascii="宋体" w:hAnsi="宋体"/>
                <w:color w:val="auto"/>
                <w:szCs w:val="21"/>
                <w:highlight w:val="none"/>
              </w:rPr>
              <w:t>单位负责人为同一人或者存在直接控股、管理关系的不同供应商，不得同时参加本项采购投标。</w:t>
            </w:r>
          </w:p>
        </w:tc>
        <w:tc>
          <w:tcPr>
            <w:tcW w:w="1279" w:type="dxa"/>
          </w:tcPr>
          <w:p w14:paraId="5ABAF3C6">
            <w:pPr>
              <w:rPr>
                <w:color w:val="auto"/>
                <w:szCs w:val="21"/>
                <w:highlight w:val="none"/>
              </w:rPr>
            </w:pPr>
          </w:p>
        </w:tc>
        <w:tc>
          <w:tcPr>
            <w:tcW w:w="1344" w:type="dxa"/>
          </w:tcPr>
          <w:p w14:paraId="2BD0BD33">
            <w:pPr>
              <w:rPr>
                <w:color w:val="auto"/>
                <w:szCs w:val="21"/>
                <w:highlight w:val="none"/>
              </w:rPr>
            </w:pPr>
          </w:p>
        </w:tc>
        <w:tc>
          <w:tcPr>
            <w:tcW w:w="1525" w:type="dxa"/>
          </w:tcPr>
          <w:p w14:paraId="0D5A4336">
            <w:pPr>
              <w:rPr>
                <w:color w:val="auto"/>
                <w:szCs w:val="21"/>
                <w:highlight w:val="none"/>
              </w:rPr>
            </w:pPr>
          </w:p>
        </w:tc>
      </w:tr>
      <w:tr w14:paraId="346056B2">
        <w:trPr>
          <w:trHeight w:val="511" w:hRule="atLeast"/>
          <w:jc w:val="center"/>
        </w:trPr>
        <w:tc>
          <w:tcPr>
            <w:tcW w:w="630" w:type="dxa"/>
            <w:vAlign w:val="center"/>
          </w:tcPr>
          <w:p w14:paraId="54699B2D">
            <w:pPr>
              <w:pStyle w:val="25"/>
              <w:adjustRightInd w:val="0"/>
              <w:spacing w:line="360" w:lineRule="auto"/>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4200" w:type="dxa"/>
            <w:vAlign w:val="center"/>
          </w:tcPr>
          <w:p w14:paraId="3CE3207E">
            <w:pPr>
              <w:rPr>
                <w:rFonts w:hint="eastAsia" w:eastAsia="宋体"/>
                <w:color w:val="auto"/>
                <w:szCs w:val="21"/>
                <w:highlight w:val="none"/>
                <w:lang w:val="en-US" w:eastAsia="zh-CN"/>
              </w:rPr>
            </w:pPr>
            <w:r>
              <w:rPr>
                <w:rFonts w:hint="eastAsia"/>
                <w:color w:val="auto"/>
                <w:szCs w:val="21"/>
                <w:highlight w:val="none"/>
              </w:rPr>
              <w:t>投标人具有符合投标有效期内的有效安保服务许可证，需提供加盖公章的复印件。</w:t>
            </w:r>
          </w:p>
        </w:tc>
        <w:tc>
          <w:tcPr>
            <w:tcW w:w="1279" w:type="dxa"/>
          </w:tcPr>
          <w:p w14:paraId="5629E3A1">
            <w:pPr>
              <w:rPr>
                <w:color w:val="auto"/>
                <w:szCs w:val="21"/>
                <w:highlight w:val="none"/>
              </w:rPr>
            </w:pPr>
          </w:p>
        </w:tc>
        <w:tc>
          <w:tcPr>
            <w:tcW w:w="1344" w:type="dxa"/>
          </w:tcPr>
          <w:p w14:paraId="7F5A5460">
            <w:pPr>
              <w:rPr>
                <w:color w:val="auto"/>
                <w:szCs w:val="21"/>
                <w:highlight w:val="none"/>
              </w:rPr>
            </w:pPr>
          </w:p>
        </w:tc>
        <w:tc>
          <w:tcPr>
            <w:tcW w:w="1525" w:type="dxa"/>
          </w:tcPr>
          <w:p w14:paraId="4AA92728">
            <w:pPr>
              <w:rPr>
                <w:color w:val="auto"/>
                <w:szCs w:val="21"/>
                <w:highlight w:val="none"/>
              </w:rPr>
            </w:pPr>
          </w:p>
        </w:tc>
      </w:tr>
      <w:tr w14:paraId="1E6715B8">
        <w:trPr>
          <w:trHeight w:val="541" w:hRule="atLeast"/>
          <w:jc w:val="center"/>
        </w:trPr>
        <w:tc>
          <w:tcPr>
            <w:tcW w:w="630" w:type="dxa"/>
            <w:vAlign w:val="center"/>
          </w:tcPr>
          <w:p w14:paraId="6487FA98">
            <w:pPr>
              <w:pStyle w:val="25"/>
              <w:adjustRightInd w:val="0"/>
              <w:spacing w:line="360" w:lineRule="auto"/>
              <w:ind w:firstLine="0" w:firstLineChars="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rPr>
              <w:t>8</w:t>
            </w:r>
          </w:p>
        </w:tc>
        <w:tc>
          <w:tcPr>
            <w:tcW w:w="4200" w:type="dxa"/>
            <w:vAlign w:val="center"/>
          </w:tcPr>
          <w:p w14:paraId="7152132D">
            <w:pPr>
              <w:rPr>
                <w:color w:val="auto"/>
                <w:szCs w:val="21"/>
                <w:highlight w:val="none"/>
              </w:rPr>
            </w:pPr>
            <w:r>
              <w:rPr>
                <w:rFonts w:hint="eastAsia"/>
                <w:color w:val="auto"/>
                <w:szCs w:val="21"/>
                <w:highlight w:val="none"/>
              </w:rPr>
              <w:t>投标报价不超过本项目最高限价且符合招标文件规定。</w:t>
            </w:r>
          </w:p>
        </w:tc>
        <w:tc>
          <w:tcPr>
            <w:tcW w:w="1279" w:type="dxa"/>
          </w:tcPr>
          <w:p w14:paraId="718395B2">
            <w:pPr>
              <w:rPr>
                <w:color w:val="auto"/>
                <w:szCs w:val="21"/>
                <w:highlight w:val="none"/>
              </w:rPr>
            </w:pPr>
          </w:p>
        </w:tc>
        <w:tc>
          <w:tcPr>
            <w:tcW w:w="1344" w:type="dxa"/>
          </w:tcPr>
          <w:p w14:paraId="7825CB2F">
            <w:pPr>
              <w:rPr>
                <w:color w:val="auto"/>
                <w:szCs w:val="21"/>
                <w:highlight w:val="none"/>
              </w:rPr>
            </w:pPr>
          </w:p>
        </w:tc>
        <w:tc>
          <w:tcPr>
            <w:tcW w:w="1525" w:type="dxa"/>
          </w:tcPr>
          <w:p w14:paraId="04CE0150">
            <w:pPr>
              <w:rPr>
                <w:color w:val="auto"/>
                <w:szCs w:val="21"/>
                <w:highlight w:val="none"/>
              </w:rPr>
            </w:pPr>
          </w:p>
        </w:tc>
      </w:tr>
      <w:tr w14:paraId="371B1C55">
        <w:trPr>
          <w:trHeight w:val="813" w:hRule="atLeast"/>
          <w:jc w:val="center"/>
        </w:trPr>
        <w:tc>
          <w:tcPr>
            <w:tcW w:w="630" w:type="dxa"/>
            <w:vAlign w:val="center"/>
          </w:tcPr>
          <w:p w14:paraId="38504F51">
            <w:pPr>
              <w:jc w:val="center"/>
              <w:rPr>
                <w:color w:val="auto"/>
                <w:szCs w:val="21"/>
                <w:highlight w:val="none"/>
              </w:rPr>
            </w:pPr>
            <w:r>
              <w:rPr>
                <w:rFonts w:hint="eastAsia"/>
                <w:color w:val="auto"/>
                <w:szCs w:val="21"/>
                <w:highlight w:val="none"/>
              </w:rPr>
              <w:t>结论</w:t>
            </w:r>
          </w:p>
        </w:tc>
        <w:tc>
          <w:tcPr>
            <w:tcW w:w="4200" w:type="dxa"/>
            <w:vAlign w:val="center"/>
          </w:tcPr>
          <w:p w14:paraId="17294560">
            <w:pPr>
              <w:rPr>
                <w:color w:val="auto"/>
                <w:szCs w:val="21"/>
                <w:highlight w:val="none"/>
              </w:rPr>
            </w:pPr>
            <w:r>
              <w:rPr>
                <w:rFonts w:hint="eastAsia"/>
                <w:color w:val="auto"/>
                <w:szCs w:val="21"/>
                <w:highlight w:val="none"/>
              </w:rPr>
              <w:t>是否通过符合性审查，进入下一阶段</w:t>
            </w:r>
          </w:p>
        </w:tc>
        <w:tc>
          <w:tcPr>
            <w:tcW w:w="1279" w:type="dxa"/>
          </w:tcPr>
          <w:p w14:paraId="262421C4">
            <w:pPr>
              <w:rPr>
                <w:color w:val="auto"/>
                <w:szCs w:val="21"/>
                <w:highlight w:val="none"/>
              </w:rPr>
            </w:pPr>
          </w:p>
        </w:tc>
        <w:tc>
          <w:tcPr>
            <w:tcW w:w="1344" w:type="dxa"/>
          </w:tcPr>
          <w:p w14:paraId="54DAECFF">
            <w:pPr>
              <w:rPr>
                <w:color w:val="auto"/>
                <w:szCs w:val="21"/>
                <w:highlight w:val="none"/>
              </w:rPr>
            </w:pPr>
          </w:p>
        </w:tc>
        <w:tc>
          <w:tcPr>
            <w:tcW w:w="1525" w:type="dxa"/>
          </w:tcPr>
          <w:p w14:paraId="1EE84CCD">
            <w:pPr>
              <w:rPr>
                <w:color w:val="auto"/>
                <w:szCs w:val="21"/>
                <w:highlight w:val="none"/>
              </w:rPr>
            </w:pPr>
          </w:p>
        </w:tc>
      </w:tr>
    </w:tbl>
    <w:p w14:paraId="085812EC">
      <w:pPr>
        <w:tabs>
          <w:tab w:val="left" w:pos="720"/>
        </w:tabs>
        <w:snapToGrid w:val="0"/>
        <w:rPr>
          <w:rFonts w:ascii="宋体"/>
          <w:color w:val="auto"/>
          <w:szCs w:val="21"/>
          <w:highlight w:val="none"/>
        </w:rPr>
      </w:pPr>
      <w:r>
        <w:rPr>
          <w:rFonts w:hint="eastAsia" w:ascii="宋体"/>
          <w:color w:val="auto"/>
          <w:szCs w:val="21"/>
          <w:highlight w:val="none"/>
        </w:rPr>
        <w:t>备注：1、“是否通过并进入下一阶段评审”一栏应写“通过”或“不通过”。</w:t>
      </w:r>
    </w:p>
    <w:p w14:paraId="6674684E">
      <w:pPr>
        <w:tabs>
          <w:tab w:val="left" w:pos="720"/>
        </w:tabs>
        <w:snapToGrid w:val="0"/>
        <w:ind w:left="840" w:leftChars="300" w:hanging="210" w:hangingChars="100"/>
        <w:rPr>
          <w:rFonts w:ascii="宋体"/>
          <w:color w:val="auto"/>
          <w:szCs w:val="21"/>
          <w:highlight w:val="none"/>
        </w:rPr>
      </w:pPr>
      <w:r>
        <w:rPr>
          <w:rFonts w:hint="eastAsia" w:ascii="宋体"/>
          <w:color w:val="auto"/>
          <w:szCs w:val="21"/>
          <w:highlight w:val="none"/>
        </w:rPr>
        <w:t>2、满足以上任何一种情形用“</w:t>
      </w:r>
      <w:r>
        <w:rPr>
          <w:rFonts w:hint="eastAsia" w:ascii="宋体" w:hAnsi="宋体"/>
          <w:color w:val="auto"/>
          <w:szCs w:val="21"/>
          <w:highlight w:val="none"/>
        </w:rPr>
        <w:t>○</w:t>
      </w:r>
      <w:r>
        <w:rPr>
          <w:rFonts w:hint="eastAsia" w:ascii="宋体"/>
          <w:color w:val="auto"/>
          <w:szCs w:val="21"/>
          <w:highlight w:val="none"/>
        </w:rPr>
        <w:t>”表示，不满足用“×”表示。出现一个“×”的结论为“不通过”。表中全部为“</w:t>
      </w:r>
      <w:r>
        <w:rPr>
          <w:rFonts w:hint="eastAsia" w:ascii="宋体" w:hAnsi="宋体"/>
          <w:color w:val="auto"/>
          <w:szCs w:val="21"/>
          <w:highlight w:val="none"/>
        </w:rPr>
        <w:t>○</w:t>
      </w:r>
      <w:r>
        <w:rPr>
          <w:rFonts w:hint="eastAsia" w:ascii="宋体"/>
          <w:color w:val="auto"/>
          <w:szCs w:val="21"/>
          <w:highlight w:val="none"/>
        </w:rPr>
        <w:t>”，结论为：“通过”方可进入下一阶段评审。</w:t>
      </w:r>
    </w:p>
    <w:p w14:paraId="3132B1AE">
      <w:pPr>
        <w:spacing w:before="312" w:beforeLines="100" w:after="312" w:afterLines="100"/>
        <w:rPr>
          <w:rFonts w:hint="eastAsia" w:ascii="宋体" w:hAnsi="宋体"/>
          <w:b/>
          <w:color w:val="auto"/>
          <w:szCs w:val="21"/>
          <w:highlight w:val="none"/>
        </w:rPr>
      </w:pPr>
      <w:r>
        <w:rPr>
          <w:rFonts w:hint="eastAsia" w:ascii="宋体" w:hAnsi="宋体"/>
          <w:b/>
          <w:color w:val="auto"/>
          <w:szCs w:val="21"/>
          <w:highlight w:val="none"/>
        </w:rPr>
        <w:t xml:space="preserve">评审人员签名：                                           </w:t>
      </w:r>
    </w:p>
    <w:p w14:paraId="642DCDF8">
      <w:pPr>
        <w:spacing w:before="312" w:beforeLines="100" w:after="312" w:afterLines="100"/>
        <w:ind w:firstLine="5045" w:firstLineChars="2400"/>
        <w:rPr>
          <w:rFonts w:hint="eastAsia" w:ascii="宋体" w:hAnsi="宋体"/>
          <w:b/>
          <w:color w:val="auto"/>
          <w:sz w:val="24"/>
          <w:highlight w:val="none"/>
        </w:rPr>
      </w:pPr>
      <w:r>
        <w:rPr>
          <w:rFonts w:hint="eastAsia" w:ascii="宋体" w:hAnsi="宋体"/>
          <w:b/>
          <w:color w:val="auto"/>
          <w:szCs w:val="21"/>
          <w:highlight w:val="none"/>
        </w:rPr>
        <w:t>日期：</w:t>
      </w:r>
      <w:r>
        <w:rPr>
          <w:rFonts w:hint="eastAsia" w:ascii="宋体" w:hAnsi="宋体"/>
          <w:b/>
          <w:color w:val="auto"/>
          <w:szCs w:val="21"/>
          <w:highlight w:val="none"/>
          <w:lang w:val="en-US" w:eastAsia="zh-CN"/>
        </w:rPr>
        <w:t xml:space="preserve">     </w:t>
      </w:r>
      <w:r>
        <w:rPr>
          <w:rFonts w:hint="eastAsia" w:ascii="宋体" w:hAnsi="宋体"/>
          <w:b/>
          <w:color w:val="auto"/>
          <w:szCs w:val="21"/>
          <w:highlight w:val="none"/>
        </w:rPr>
        <w:t>年</w:t>
      </w:r>
      <w:r>
        <w:rPr>
          <w:rFonts w:hint="eastAsia" w:ascii="宋体" w:hAnsi="宋体"/>
          <w:b/>
          <w:color w:val="auto"/>
          <w:szCs w:val="21"/>
          <w:highlight w:val="none"/>
          <w:u w:val="single"/>
        </w:rPr>
        <w:t xml:space="preserve"> </w:t>
      </w:r>
      <w:r>
        <w:rPr>
          <w:rFonts w:hint="eastAsia" w:ascii="宋体" w:hAnsi="宋体"/>
          <w:b/>
          <w:color w:val="auto"/>
          <w:szCs w:val="21"/>
          <w:highlight w:val="none"/>
          <w:u w:val="single"/>
          <w:lang w:val="en-US" w:eastAsia="zh-CN"/>
        </w:rPr>
        <w:t xml:space="preserve">  </w:t>
      </w:r>
      <w:r>
        <w:rPr>
          <w:rFonts w:hint="eastAsia" w:ascii="宋体" w:hAnsi="宋体"/>
          <w:b/>
          <w:color w:val="auto"/>
          <w:szCs w:val="21"/>
          <w:highlight w:val="none"/>
        </w:rPr>
        <w:t>月</w:t>
      </w:r>
      <w:r>
        <w:rPr>
          <w:rFonts w:hint="eastAsia" w:ascii="宋体" w:hAnsi="宋体"/>
          <w:b/>
          <w:color w:val="auto"/>
          <w:szCs w:val="21"/>
          <w:highlight w:val="none"/>
          <w:u w:val="single"/>
        </w:rPr>
        <w:t xml:space="preserve">    </w:t>
      </w:r>
      <w:r>
        <w:rPr>
          <w:rFonts w:hint="eastAsia" w:ascii="宋体" w:hAnsi="宋体"/>
          <w:b/>
          <w:color w:val="auto"/>
          <w:szCs w:val="21"/>
          <w:highlight w:val="none"/>
        </w:rPr>
        <w:t>日</w:t>
      </w:r>
    </w:p>
    <w:p w14:paraId="4038B771">
      <w:pPr>
        <w:rPr>
          <w:rFonts w:hint="eastAsia" w:ascii="宋体" w:hAnsi="宋体"/>
          <w:b/>
          <w:color w:val="auto"/>
          <w:sz w:val="24"/>
          <w:highlight w:val="none"/>
        </w:rPr>
      </w:pPr>
      <w:r>
        <w:rPr>
          <w:rFonts w:hint="eastAsia" w:ascii="宋体" w:hAnsi="宋体"/>
          <w:b/>
          <w:color w:val="auto"/>
          <w:sz w:val="24"/>
          <w:highlight w:val="none"/>
        </w:rPr>
        <w:br w:type="page"/>
      </w:r>
    </w:p>
    <w:p w14:paraId="63846C18">
      <w:pPr>
        <w:spacing w:before="312" w:beforeLines="100" w:after="312" w:afterLines="100"/>
        <w:rPr>
          <w:rFonts w:hint="eastAsia" w:ascii="宋体" w:hAnsi="宋体"/>
          <w:b/>
          <w:color w:val="auto"/>
          <w:sz w:val="24"/>
          <w:highlight w:val="none"/>
        </w:rPr>
      </w:pPr>
      <w:r>
        <w:rPr>
          <w:rFonts w:hint="eastAsia" w:ascii="宋体" w:hAnsi="宋体"/>
          <w:b/>
          <w:color w:val="auto"/>
          <w:sz w:val="24"/>
          <w:highlight w:val="none"/>
        </w:rPr>
        <w:t xml:space="preserve">附件2   评分表 </w:t>
      </w:r>
    </w:p>
    <w:tbl>
      <w:tblPr>
        <w:tblStyle w:val="34"/>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1"/>
        <w:gridCol w:w="749"/>
        <w:gridCol w:w="629"/>
        <w:gridCol w:w="6014"/>
      </w:tblGrid>
      <w:tr w14:paraId="56499B7D">
        <w:trPr>
          <w:trHeight w:val="684" w:hRule="atLeast"/>
        </w:trPr>
        <w:tc>
          <w:tcPr>
            <w:tcW w:w="1009" w:type="pct"/>
            <w:gridSpan w:val="2"/>
            <w:vAlign w:val="center"/>
          </w:tcPr>
          <w:p w14:paraId="1847693B">
            <w:pPr>
              <w:spacing w:before="244" w:line="220" w:lineRule="auto"/>
              <w:ind w:left="444"/>
              <w:jc w:val="center"/>
              <w:rPr>
                <w:rFonts w:ascii="宋体" w:hAnsi="宋体" w:eastAsia="宋体" w:cs="宋体"/>
                <w:sz w:val="21"/>
                <w:szCs w:val="21"/>
                <w:highlight w:val="none"/>
              </w:rPr>
            </w:pPr>
            <w:r>
              <w:rPr>
                <w:rFonts w:ascii="宋体" w:hAnsi="宋体" w:eastAsia="宋体" w:cs="宋体"/>
                <w:spacing w:val="-2"/>
                <w:sz w:val="21"/>
                <w:szCs w:val="21"/>
                <w:highlight w:val="none"/>
              </w:rPr>
              <w:t>评分指标</w:t>
            </w:r>
          </w:p>
        </w:tc>
        <w:tc>
          <w:tcPr>
            <w:tcW w:w="378" w:type="pct"/>
            <w:vAlign w:val="center"/>
          </w:tcPr>
          <w:p w14:paraId="43AFAEAA">
            <w:pPr>
              <w:tabs>
                <w:tab w:val="left" w:pos="840"/>
              </w:tabs>
              <w:spacing w:before="68" w:line="235" w:lineRule="auto"/>
              <w:ind w:left="90" w:right="57"/>
              <w:jc w:val="center"/>
              <w:rPr>
                <w:rFonts w:ascii="宋体" w:hAnsi="宋体" w:eastAsia="宋体" w:cs="宋体"/>
                <w:sz w:val="21"/>
                <w:szCs w:val="21"/>
                <w:highlight w:val="none"/>
              </w:rPr>
            </w:pPr>
            <w:r>
              <w:rPr>
                <w:rFonts w:ascii="宋体" w:hAnsi="宋体" w:eastAsia="宋体" w:cs="宋体"/>
                <w:spacing w:val="2"/>
                <w:sz w:val="21"/>
                <w:szCs w:val="21"/>
                <w:highlight w:val="none"/>
              </w:rPr>
              <w:t>分项分值</w:t>
            </w:r>
          </w:p>
        </w:tc>
        <w:tc>
          <w:tcPr>
            <w:tcW w:w="3612" w:type="pct"/>
            <w:vAlign w:val="center"/>
          </w:tcPr>
          <w:p w14:paraId="10A94C4D">
            <w:pPr>
              <w:spacing w:before="243" w:line="219" w:lineRule="auto"/>
              <w:ind w:left="2772"/>
              <w:jc w:val="center"/>
              <w:rPr>
                <w:rFonts w:ascii="宋体" w:hAnsi="宋体" w:eastAsia="宋体" w:cs="宋体"/>
                <w:sz w:val="21"/>
                <w:szCs w:val="21"/>
                <w:highlight w:val="none"/>
              </w:rPr>
            </w:pPr>
            <w:r>
              <w:rPr>
                <w:rFonts w:ascii="宋体" w:hAnsi="宋体" w:eastAsia="宋体" w:cs="宋体"/>
                <w:spacing w:val="-7"/>
                <w:sz w:val="21"/>
                <w:szCs w:val="21"/>
                <w:highlight w:val="none"/>
              </w:rPr>
              <w:t>评 分 说</w:t>
            </w:r>
            <w:r>
              <w:rPr>
                <w:rFonts w:ascii="宋体" w:hAnsi="宋体" w:eastAsia="宋体" w:cs="宋体"/>
                <w:spacing w:val="16"/>
                <w:sz w:val="21"/>
                <w:szCs w:val="21"/>
                <w:highlight w:val="none"/>
              </w:rPr>
              <w:t xml:space="preserve"> </w:t>
            </w:r>
            <w:r>
              <w:rPr>
                <w:rFonts w:ascii="宋体" w:hAnsi="宋体" w:eastAsia="宋体" w:cs="宋体"/>
                <w:spacing w:val="-7"/>
                <w:sz w:val="21"/>
                <w:szCs w:val="21"/>
                <w:highlight w:val="none"/>
              </w:rPr>
              <w:t>明</w:t>
            </w:r>
          </w:p>
        </w:tc>
      </w:tr>
      <w:tr w14:paraId="42534AD9">
        <w:trPr>
          <w:trHeight w:val="1140" w:hRule="atLeast"/>
        </w:trPr>
        <w:tc>
          <w:tcPr>
            <w:tcW w:w="1009" w:type="pct"/>
            <w:gridSpan w:val="2"/>
            <w:vAlign w:val="center"/>
          </w:tcPr>
          <w:p w14:paraId="6F148A32">
            <w:pPr>
              <w:pStyle w:val="35"/>
              <w:spacing w:line="407" w:lineRule="auto"/>
              <w:jc w:val="center"/>
              <w:rPr>
                <w:highlight w:val="none"/>
              </w:rPr>
            </w:pPr>
          </w:p>
          <w:p w14:paraId="4A82DC2E">
            <w:pPr>
              <w:spacing w:before="68" w:line="218" w:lineRule="auto"/>
              <w:ind w:left="84"/>
              <w:jc w:val="center"/>
              <w:rPr>
                <w:rFonts w:ascii="宋体" w:hAnsi="宋体" w:eastAsia="宋体" w:cs="宋体"/>
                <w:sz w:val="21"/>
                <w:szCs w:val="21"/>
                <w:highlight w:val="none"/>
              </w:rPr>
            </w:pPr>
            <w:r>
              <w:rPr>
                <w:rFonts w:ascii="宋体" w:hAnsi="宋体" w:eastAsia="宋体" w:cs="宋体"/>
                <w:spacing w:val="-2"/>
                <w:sz w:val="21"/>
                <w:szCs w:val="21"/>
                <w:highlight w:val="none"/>
              </w:rPr>
              <w:t>价格部分</w:t>
            </w:r>
          </w:p>
        </w:tc>
        <w:tc>
          <w:tcPr>
            <w:tcW w:w="378" w:type="pct"/>
            <w:vAlign w:val="center"/>
          </w:tcPr>
          <w:p w14:paraId="05B2C595">
            <w:pPr>
              <w:pStyle w:val="35"/>
              <w:spacing w:line="462" w:lineRule="auto"/>
              <w:jc w:val="center"/>
              <w:rPr>
                <w:highlight w:val="none"/>
              </w:rPr>
            </w:pPr>
          </w:p>
          <w:p w14:paraId="5DF57A9B">
            <w:pPr>
              <w:spacing w:before="68" w:line="183" w:lineRule="auto"/>
              <w:ind w:left="231"/>
              <w:rPr>
                <w:rFonts w:ascii="宋体" w:hAnsi="宋体" w:eastAsia="宋体" w:cs="宋体"/>
                <w:sz w:val="21"/>
                <w:szCs w:val="21"/>
                <w:highlight w:val="none"/>
              </w:rPr>
            </w:pPr>
            <w:r>
              <w:rPr>
                <w:rFonts w:hint="eastAsia" w:ascii="宋体" w:hAnsi="宋体" w:cs="宋体"/>
                <w:spacing w:val="-4"/>
                <w:sz w:val="21"/>
                <w:szCs w:val="21"/>
                <w:highlight w:val="none"/>
                <w:lang w:val="en-US" w:eastAsia="zh-CN"/>
              </w:rPr>
              <w:t>3</w:t>
            </w:r>
            <w:r>
              <w:rPr>
                <w:rFonts w:ascii="宋体" w:hAnsi="宋体" w:eastAsia="宋体" w:cs="宋体"/>
                <w:spacing w:val="-4"/>
                <w:sz w:val="21"/>
                <w:szCs w:val="21"/>
                <w:highlight w:val="none"/>
              </w:rPr>
              <w:t>0</w:t>
            </w:r>
          </w:p>
        </w:tc>
        <w:tc>
          <w:tcPr>
            <w:tcW w:w="3612" w:type="pct"/>
            <w:vAlign w:val="center"/>
          </w:tcPr>
          <w:p w14:paraId="0FF1475C">
            <w:pPr>
              <w:spacing w:before="46" w:line="240" w:lineRule="auto"/>
              <w:ind w:left="2" w:right="20" w:firstLine="10"/>
              <w:jc w:val="both"/>
              <w:rPr>
                <w:rFonts w:ascii="宋体" w:hAnsi="宋体" w:eastAsia="宋体" w:cs="宋体"/>
                <w:sz w:val="21"/>
                <w:szCs w:val="21"/>
                <w:highlight w:val="none"/>
              </w:rPr>
            </w:pPr>
            <w:r>
              <w:rPr>
                <w:rFonts w:ascii="宋体" w:hAnsi="宋体" w:eastAsia="宋体" w:cs="宋体"/>
                <w:spacing w:val="-3"/>
                <w:sz w:val="21"/>
                <w:szCs w:val="21"/>
                <w:highlight w:val="none"/>
              </w:rPr>
              <w:t>即满足招标文件要求且投标价格最低的投标报价为评标基准价，其价格分</w:t>
            </w:r>
            <w:r>
              <w:rPr>
                <w:rFonts w:ascii="宋体" w:hAnsi="宋体" w:eastAsia="宋体" w:cs="宋体"/>
                <w:spacing w:val="3"/>
                <w:sz w:val="21"/>
                <w:szCs w:val="21"/>
                <w:highlight w:val="none"/>
              </w:rPr>
              <w:t xml:space="preserve"> </w:t>
            </w:r>
            <w:r>
              <w:rPr>
                <w:rFonts w:ascii="宋体" w:hAnsi="宋体" w:eastAsia="宋体" w:cs="宋体"/>
                <w:sz w:val="21"/>
                <w:szCs w:val="21"/>
                <w:highlight w:val="none"/>
              </w:rPr>
              <w:t>为满分。其他投标人的价格分统一按照下列公式计算：投标价格得分=基</w:t>
            </w:r>
            <w:r>
              <w:rPr>
                <w:rFonts w:ascii="宋体" w:hAnsi="宋体" w:eastAsia="宋体" w:cs="宋体"/>
                <w:spacing w:val="11"/>
                <w:sz w:val="21"/>
                <w:szCs w:val="21"/>
                <w:highlight w:val="none"/>
              </w:rPr>
              <w:t>准价/投标报价*</w:t>
            </w:r>
            <w:r>
              <w:rPr>
                <w:rFonts w:hint="eastAsia" w:ascii="宋体" w:hAnsi="宋体" w:cs="宋体"/>
                <w:spacing w:val="11"/>
                <w:sz w:val="21"/>
                <w:szCs w:val="21"/>
                <w:highlight w:val="none"/>
                <w:lang w:val="en-US" w:eastAsia="zh-CN"/>
              </w:rPr>
              <w:t>40</w:t>
            </w:r>
          </w:p>
        </w:tc>
      </w:tr>
      <w:tr w14:paraId="0BDDC2A9">
        <w:trPr>
          <w:trHeight w:val="1655" w:hRule="atLeast"/>
        </w:trPr>
        <w:tc>
          <w:tcPr>
            <w:tcW w:w="559" w:type="pct"/>
            <w:vMerge w:val="restart"/>
            <w:vAlign w:val="center"/>
          </w:tcPr>
          <w:p w14:paraId="18640D18">
            <w:pPr>
              <w:spacing w:before="68" w:line="220" w:lineRule="auto"/>
              <w:ind w:left="293" w:right="77" w:hanging="209"/>
              <w:jc w:val="center"/>
              <w:rPr>
                <w:highlight w:val="none"/>
              </w:rPr>
            </w:pPr>
          </w:p>
          <w:p w14:paraId="6BEEC96D">
            <w:pPr>
              <w:spacing w:before="68" w:line="220" w:lineRule="auto"/>
              <w:ind w:left="293" w:right="77" w:hanging="209"/>
              <w:jc w:val="center"/>
              <w:rPr>
                <w:highlight w:val="none"/>
              </w:rPr>
            </w:pPr>
          </w:p>
          <w:p w14:paraId="74AAC4D8">
            <w:pPr>
              <w:spacing w:before="68" w:line="220" w:lineRule="auto"/>
              <w:ind w:left="293" w:right="77" w:hanging="209"/>
              <w:jc w:val="center"/>
              <w:rPr>
                <w:highlight w:val="none"/>
              </w:rPr>
            </w:pPr>
          </w:p>
          <w:p w14:paraId="4D5EEE7A">
            <w:pPr>
              <w:spacing w:before="68" w:line="220" w:lineRule="auto"/>
              <w:ind w:left="293" w:right="77" w:hanging="209"/>
              <w:jc w:val="center"/>
              <w:rPr>
                <w:highlight w:val="none"/>
              </w:rPr>
            </w:pPr>
          </w:p>
          <w:p w14:paraId="30B4D2B7">
            <w:pPr>
              <w:spacing w:before="68" w:line="220" w:lineRule="auto"/>
              <w:ind w:left="293" w:right="77" w:hanging="209"/>
              <w:jc w:val="center"/>
              <w:rPr>
                <w:highlight w:val="none"/>
              </w:rPr>
            </w:pPr>
          </w:p>
          <w:p w14:paraId="454B3A30">
            <w:pPr>
              <w:spacing w:before="68" w:line="220" w:lineRule="auto"/>
              <w:ind w:left="293" w:right="77" w:hanging="209"/>
              <w:jc w:val="center"/>
              <w:rPr>
                <w:highlight w:val="none"/>
              </w:rPr>
            </w:pPr>
          </w:p>
          <w:p w14:paraId="425A1B0A">
            <w:pPr>
              <w:spacing w:before="68" w:line="220" w:lineRule="auto"/>
              <w:ind w:left="293" w:right="77" w:hanging="209"/>
              <w:jc w:val="center"/>
              <w:rPr>
                <w:highlight w:val="none"/>
              </w:rPr>
            </w:pPr>
          </w:p>
          <w:p w14:paraId="3C533A42">
            <w:pPr>
              <w:spacing w:before="68" w:line="220" w:lineRule="auto"/>
              <w:ind w:left="293" w:right="77" w:hanging="209"/>
              <w:jc w:val="center"/>
              <w:rPr>
                <w:highlight w:val="none"/>
              </w:rPr>
            </w:pPr>
          </w:p>
          <w:p w14:paraId="53505DD9">
            <w:pPr>
              <w:spacing w:before="68" w:line="220" w:lineRule="auto"/>
              <w:ind w:left="0" w:right="-34" w:firstLine="0"/>
              <w:jc w:val="both"/>
              <w:rPr>
                <w:rFonts w:ascii="宋体" w:hAnsi="宋体" w:eastAsia="宋体" w:cs="宋体"/>
                <w:sz w:val="21"/>
                <w:szCs w:val="21"/>
                <w:highlight w:val="none"/>
              </w:rPr>
            </w:pPr>
            <w:r>
              <w:rPr>
                <w:rFonts w:ascii="宋体" w:hAnsi="宋体" w:eastAsia="宋体" w:cs="宋体"/>
                <w:spacing w:val="3"/>
                <w:sz w:val="21"/>
                <w:szCs w:val="21"/>
                <w:highlight w:val="none"/>
              </w:rPr>
              <w:t>商务部</w:t>
            </w:r>
            <w:r>
              <w:rPr>
                <w:rFonts w:ascii="宋体" w:hAnsi="宋体" w:eastAsia="宋体" w:cs="宋体"/>
                <w:sz w:val="21"/>
                <w:szCs w:val="21"/>
                <w:highlight w:val="none"/>
              </w:rPr>
              <w:t>分</w:t>
            </w:r>
            <w:r>
              <w:rPr>
                <w:rFonts w:ascii="宋体" w:hAnsi="宋体" w:eastAsia="宋体" w:cs="宋体"/>
                <w:spacing w:val="1"/>
                <w:sz w:val="21"/>
                <w:szCs w:val="21"/>
                <w:highlight w:val="none"/>
              </w:rPr>
              <w:t>(</w:t>
            </w:r>
            <w:r>
              <w:rPr>
                <w:rFonts w:hint="eastAsia" w:ascii="宋体" w:hAnsi="宋体" w:cs="宋体"/>
                <w:spacing w:val="1"/>
                <w:sz w:val="21"/>
                <w:szCs w:val="21"/>
                <w:highlight w:val="none"/>
                <w:lang w:val="en-US" w:eastAsia="zh-CN"/>
              </w:rPr>
              <w:t>4</w:t>
            </w:r>
            <w:r>
              <w:rPr>
                <w:rFonts w:ascii="宋体" w:hAnsi="宋体" w:eastAsia="宋体" w:cs="宋体"/>
                <w:spacing w:val="1"/>
                <w:sz w:val="21"/>
                <w:szCs w:val="21"/>
                <w:highlight w:val="none"/>
              </w:rPr>
              <w:t>0分</w:t>
            </w:r>
            <w:r>
              <w:rPr>
                <w:rFonts w:ascii="宋体" w:hAnsi="宋体" w:eastAsia="宋体" w:cs="宋体"/>
                <w:sz w:val="21"/>
                <w:szCs w:val="21"/>
                <w:highlight w:val="none"/>
              </w:rPr>
              <w:t xml:space="preserve"> )</w:t>
            </w:r>
          </w:p>
        </w:tc>
        <w:tc>
          <w:tcPr>
            <w:tcW w:w="449" w:type="pct"/>
            <w:vAlign w:val="center"/>
          </w:tcPr>
          <w:p w14:paraId="3BA120AB">
            <w:pPr>
              <w:tabs>
                <w:tab w:val="left" w:pos="840"/>
              </w:tabs>
              <w:spacing w:before="68" w:line="235" w:lineRule="auto"/>
              <w:ind w:left="90" w:right="57"/>
              <w:jc w:val="center"/>
              <w:rPr>
                <w:rFonts w:ascii="宋体" w:hAnsi="宋体" w:cs="宋体"/>
                <w:spacing w:val="2"/>
                <w:szCs w:val="21"/>
                <w:highlight w:val="none"/>
              </w:rPr>
            </w:pPr>
          </w:p>
          <w:p w14:paraId="6B1D44B8">
            <w:pPr>
              <w:tabs>
                <w:tab w:val="left" w:pos="840"/>
              </w:tabs>
              <w:spacing w:before="68" w:line="235" w:lineRule="auto"/>
              <w:ind w:left="90" w:right="57"/>
              <w:jc w:val="center"/>
              <w:rPr>
                <w:rFonts w:ascii="宋体" w:hAnsi="宋体" w:eastAsia="宋体" w:cs="宋体"/>
                <w:sz w:val="21"/>
                <w:szCs w:val="21"/>
                <w:highlight w:val="none"/>
              </w:rPr>
            </w:pPr>
            <w:r>
              <w:rPr>
                <w:highlight w:val="none"/>
              </w:rPr>
              <w:t>同类项目业绩</w:t>
            </w:r>
          </w:p>
        </w:tc>
        <w:tc>
          <w:tcPr>
            <w:tcW w:w="378" w:type="pct"/>
            <w:vAlign w:val="center"/>
          </w:tcPr>
          <w:p w14:paraId="770EA473">
            <w:pPr>
              <w:spacing w:before="68" w:line="183" w:lineRule="auto"/>
              <w:ind w:left="231"/>
              <w:jc w:val="center"/>
              <w:rPr>
                <w:rFonts w:hint="eastAsia" w:ascii="宋体" w:hAnsi="宋体" w:eastAsia="宋体" w:cs="宋体"/>
                <w:spacing w:val="-4"/>
                <w:szCs w:val="21"/>
                <w:highlight w:val="none"/>
              </w:rPr>
            </w:pPr>
          </w:p>
          <w:p w14:paraId="36B4FE0C">
            <w:pPr>
              <w:spacing w:before="68" w:line="183" w:lineRule="auto"/>
              <w:ind w:left="0"/>
              <w:jc w:val="center"/>
              <w:rPr>
                <w:rFonts w:hint="default" w:ascii="宋体" w:hAnsi="宋体" w:eastAsia="宋体" w:cs="宋体"/>
                <w:spacing w:val="-4"/>
                <w:sz w:val="21"/>
                <w:szCs w:val="21"/>
                <w:highlight w:val="none"/>
                <w:lang w:val="en-US"/>
              </w:rPr>
            </w:pPr>
            <w:r>
              <w:rPr>
                <w:rFonts w:hint="eastAsia" w:ascii="宋体" w:hAnsi="宋体" w:eastAsia="宋体" w:cs="宋体"/>
                <w:spacing w:val="-4"/>
                <w:szCs w:val="21"/>
                <w:highlight w:val="none"/>
                <w:lang w:val="en-US" w:eastAsia="zh-CN"/>
              </w:rPr>
              <w:t>1</w:t>
            </w:r>
            <w:r>
              <w:rPr>
                <w:rFonts w:hint="eastAsia" w:ascii="宋体" w:hAnsi="宋体" w:cs="宋体"/>
                <w:spacing w:val="-4"/>
                <w:szCs w:val="21"/>
                <w:highlight w:val="none"/>
                <w:lang w:val="en-US" w:eastAsia="zh-CN"/>
              </w:rPr>
              <w:t>6</w:t>
            </w:r>
          </w:p>
        </w:tc>
        <w:tc>
          <w:tcPr>
            <w:tcW w:w="3612" w:type="pct"/>
            <w:vAlign w:val="center"/>
          </w:tcPr>
          <w:p w14:paraId="748C91FE">
            <w:pPr>
              <w:spacing w:before="46" w:line="240" w:lineRule="auto"/>
              <w:ind w:left="2" w:right="20" w:firstLine="10"/>
              <w:jc w:val="both"/>
              <w:rPr>
                <w:rFonts w:ascii="宋体" w:hAnsi="宋体" w:eastAsia="宋体" w:cs="宋体"/>
                <w:sz w:val="21"/>
                <w:szCs w:val="21"/>
                <w:highlight w:val="none"/>
              </w:rPr>
            </w:pPr>
            <w:r>
              <w:rPr>
                <w:rFonts w:ascii="宋体" w:hAnsi="宋体" w:cs="宋体"/>
                <w:szCs w:val="21"/>
                <w:highlight w:val="none"/>
              </w:rPr>
              <w:t>响应供应商2022年1月1日（以合同签订时间为准）至今具有</w:t>
            </w:r>
            <w:r>
              <w:rPr>
                <w:rFonts w:hint="eastAsia" w:ascii="宋体" w:hAnsi="宋体" w:cs="宋体"/>
                <w:szCs w:val="21"/>
                <w:highlight w:val="none"/>
                <w:lang w:val="en-US" w:eastAsia="zh-CN"/>
              </w:rPr>
              <w:t>主办或合作或</w:t>
            </w:r>
            <w:r>
              <w:rPr>
                <w:rFonts w:ascii="宋体" w:hAnsi="宋体" w:cs="宋体"/>
                <w:szCs w:val="21"/>
                <w:highlight w:val="none"/>
              </w:rPr>
              <w:t>承接服务过</w:t>
            </w:r>
            <w:r>
              <w:rPr>
                <w:rFonts w:hint="eastAsia" w:ascii="宋体" w:hAnsi="宋体" w:cs="宋体"/>
                <w:szCs w:val="21"/>
                <w:highlight w:val="none"/>
                <w:lang w:val="en-US" w:eastAsia="zh-CN"/>
              </w:rPr>
              <w:t>的</w:t>
            </w:r>
            <w:r>
              <w:rPr>
                <w:rFonts w:ascii="宋体" w:hAnsi="宋体" w:cs="宋体"/>
                <w:szCs w:val="21"/>
                <w:highlight w:val="none"/>
              </w:rPr>
              <w:t>体育</w:t>
            </w:r>
            <w:bookmarkStart w:id="224" w:name="_GoBack"/>
            <w:bookmarkEnd w:id="224"/>
            <w:r>
              <w:rPr>
                <w:rFonts w:ascii="宋体" w:hAnsi="宋体" w:cs="宋体"/>
                <w:szCs w:val="21"/>
                <w:highlight w:val="none"/>
              </w:rPr>
              <w:t>活动相关项目业绩，每提供一项得</w:t>
            </w:r>
            <w:r>
              <w:rPr>
                <w:rFonts w:hint="eastAsia" w:ascii="宋体" w:hAnsi="宋体" w:cs="宋体"/>
                <w:szCs w:val="21"/>
                <w:highlight w:val="none"/>
                <w:lang w:val="en-US" w:eastAsia="zh-CN"/>
              </w:rPr>
              <w:t>3</w:t>
            </w:r>
            <w:r>
              <w:rPr>
                <w:rFonts w:ascii="宋体" w:hAnsi="宋体" w:cs="宋体"/>
                <w:szCs w:val="21"/>
                <w:highlight w:val="none"/>
              </w:rPr>
              <w:t>分，本项最高得</w:t>
            </w:r>
            <w:r>
              <w:rPr>
                <w:rFonts w:hint="eastAsia" w:ascii="宋体" w:hAnsi="宋体" w:eastAsia="宋体" w:cs="宋体"/>
                <w:szCs w:val="21"/>
                <w:highlight w:val="none"/>
                <w:lang w:eastAsia="zh-CN"/>
              </w:rPr>
              <w:t>1</w:t>
            </w:r>
            <w:r>
              <w:rPr>
                <w:rFonts w:hint="eastAsia" w:ascii="宋体" w:hAnsi="宋体" w:eastAsia="宋体" w:cs="宋体"/>
                <w:szCs w:val="21"/>
                <w:highlight w:val="none"/>
                <w:lang w:val="en-US" w:eastAsia="zh-CN"/>
              </w:rPr>
              <w:t>0</w:t>
            </w:r>
            <w:r>
              <w:rPr>
                <w:rFonts w:ascii="宋体" w:hAnsi="宋体" w:cs="宋体"/>
                <w:szCs w:val="21"/>
                <w:highlight w:val="none"/>
              </w:rPr>
              <w:t>分。 注：需提供合同关键页（含签订合同双方的单位名称、合同项目名称与含签订合同双方的落款盖章、签订日期的关键页）复印件作为同类业绩证明资料，不按要求提供或无法认定的不得分。</w:t>
            </w:r>
          </w:p>
        </w:tc>
      </w:tr>
      <w:tr w14:paraId="295149FA">
        <w:trPr>
          <w:trHeight w:val="2667" w:hRule="atLeast"/>
        </w:trPr>
        <w:tc>
          <w:tcPr>
            <w:tcW w:w="559" w:type="pct"/>
            <w:vMerge w:val="continue"/>
            <w:vAlign w:val="center"/>
          </w:tcPr>
          <w:p w14:paraId="41BC7986">
            <w:pPr>
              <w:pStyle w:val="35"/>
              <w:jc w:val="center"/>
              <w:rPr>
                <w:highlight w:val="none"/>
              </w:rPr>
            </w:pPr>
          </w:p>
        </w:tc>
        <w:tc>
          <w:tcPr>
            <w:tcW w:w="449" w:type="pct"/>
            <w:vAlign w:val="center"/>
          </w:tcPr>
          <w:p w14:paraId="340ADBFC">
            <w:pPr>
              <w:tabs>
                <w:tab w:val="left" w:pos="840"/>
              </w:tabs>
              <w:spacing w:before="68" w:line="235" w:lineRule="auto"/>
              <w:ind w:left="90" w:right="57"/>
              <w:jc w:val="center"/>
              <w:rPr>
                <w:rFonts w:ascii="宋体" w:hAnsi="宋体" w:cs="宋体"/>
                <w:spacing w:val="2"/>
                <w:szCs w:val="21"/>
                <w:highlight w:val="none"/>
              </w:rPr>
            </w:pPr>
          </w:p>
          <w:p w14:paraId="6AFC650E">
            <w:pPr>
              <w:tabs>
                <w:tab w:val="left" w:pos="840"/>
              </w:tabs>
              <w:spacing w:before="68" w:line="235" w:lineRule="auto"/>
              <w:ind w:left="0" w:right="57" w:firstLine="0"/>
              <w:jc w:val="both"/>
              <w:rPr>
                <w:rFonts w:ascii="宋体" w:hAnsi="宋体" w:eastAsia="宋体" w:cs="宋体"/>
                <w:spacing w:val="2"/>
                <w:sz w:val="21"/>
                <w:szCs w:val="21"/>
                <w:highlight w:val="none"/>
              </w:rPr>
            </w:pPr>
            <w:r>
              <w:rPr>
                <w:highlight w:val="none"/>
              </w:rPr>
              <w:t>拟投入本项目团队人员情况</w:t>
            </w:r>
          </w:p>
        </w:tc>
        <w:tc>
          <w:tcPr>
            <w:tcW w:w="378" w:type="pct"/>
            <w:vAlign w:val="center"/>
          </w:tcPr>
          <w:p w14:paraId="62ED7CA8">
            <w:pPr>
              <w:spacing w:before="68" w:line="183" w:lineRule="auto"/>
              <w:ind w:left="231"/>
              <w:jc w:val="center"/>
              <w:rPr>
                <w:rFonts w:hint="eastAsia" w:ascii="宋体" w:hAnsi="宋体" w:eastAsia="宋体" w:cs="宋体"/>
                <w:spacing w:val="-4"/>
                <w:szCs w:val="21"/>
                <w:highlight w:val="none"/>
              </w:rPr>
            </w:pPr>
          </w:p>
          <w:p w14:paraId="14086EC0">
            <w:pPr>
              <w:spacing w:before="68" w:line="183" w:lineRule="auto"/>
              <w:ind w:left="231"/>
              <w:jc w:val="center"/>
              <w:rPr>
                <w:rFonts w:hint="eastAsia" w:ascii="宋体" w:hAnsi="宋体" w:eastAsia="宋体" w:cs="宋体"/>
                <w:spacing w:val="-4"/>
                <w:szCs w:val="21"/>
                <w:highlight w:val="none"/>
              </w:rPr>
            </w:pPr>
          </w:p>
          <w:p w14:paraId="142ABF78">
            <w:pPr>
              <w:spacing w:before="68" w:line="183" w:lineRule="auto"/>
              <w:ind w:left="231"/>
              <w:jc w:val="center"/>
              <w:rPr>
                <w:rFonts w:hint="eastAsia" w:ascii="宋体" w:hAnsi="宋体" w:eastAsia="宋体" w:cs="宋体"/>
                <w:spacing w:val="-4"/>
                <w:szCs w:val="21"/>
                <w:highlight w:val="none"/>
              </w:rPr>
            </w:pPr>
          </w:p>
          <w:p w14:paraId="3D0A4B4F">
            <w:pPr>
              <w:spacing w:before="68" w:line="183" w:lineRule="auto"/>
              <w:ind w:left="0"/>
              <w:jc w:val="center"/>
              <w:rPr>
                <w:rFonts w:hint="default" w:ascii="宋体" w:hAnsi="宋体" w:eastAsia="宋体" w:cs="宋体"/>
                <w:spacing w:val="-4"/>
                <w:sz w:val="21"/>
                <w:szCs w:val="21"/>
                <w:highlight w:val="none"/>
                <w:lang w:val="en-US"/>
              </w:rPr>
            </w:pPr>
            <w:r>
              <w:rPr>
                <w:rFonts w:hint="eastAsia" w:ascii="宋体" w:hAnsi="宋体" w:eastAsia="宋体" w:cs="宋体"/>
                <w:spacing w:val="-4"/>
                <w:szCs w:val="21"/>
                <w:highlight w:val="none"/>
                <w:lang w:val="en-US" w:eastAsia="zh-CN"/>
              </w:rPr>
              <w:t>1</w:t>
            </w:r>
            <w:r>
              <w:rPr>
                <w:rFonts w:hint="eastAsia" w:ascii="宋体" w:hAnsi="宋体" w:cs="宋体"/>
                <w:spacing w:val="-4"/>
                <w:szCs w:val="21"/>
                <w:highlight w:val="none"/>
                <w:lang w:val="en-US" w:eastAsia="zh-CN"/>
              </w:rPr>
              <w:t>4</w:t>
            </w:r>
          </w:p>
        </w:tc>
        <w:tc>
          <w:tcPr>
            <w:tcW w:w="3612" w:type="pct"/>
            <w:vAlign w:val="center"/>
          </w:tcPr>
          <w:p w14:paraId="7FE6A589">
            <w:pPr>
              <w:spacing w:before="46" w:line="240" w:lineRule="auto"/>
              <w:ind w:left="2" w:right="20" w:firstLine="10"/>
              <w:jc w:val="both"/>
              <w:rPr>
                <w:rFonts w:ascii="宋体" w:hAnsi="宋体" w:eastAsia="宋体" w:cs="宋体"/>
                <w:sz w:val="21"/>
                <w:szCs w:val="21"/>
                <w:highlight w:val="none"/>
              </w:rPr>
            </w:pPr>
            <w:r>
              <w:rPr>
                <w:rFonts w:ascii="宋体" w:hAnsi="宋体" w:cs="宋体"/>
                <w:szCs w:val="21"/>
                <w:highlight w:val="none"/>
              </w:rPr>
              <w:t>根据响应供应商拟投入本项目的团队人员情况进行评审，配备了解项目比赛及运动员参赛所需保障的人员，</w:t>
            </w:r>
            <w:r>
              <w:rPr>
                <w:rFonts w:ascii="宋体" w:hAnsi="宋体" w:eastAsia="宋体" w:cs="宋体"/>
                <w:szCs w:val="21"/>
                <w:highlight w:val="none"/>
              </w:rPr>
              <w:t>团队成员中</w:t>
            </w:r>
            <w:r>
              <w:rPr>
                <w:rFonts w:hint="eastAsia" w:ascii="宋体" w:hAnsi="宋体" w:eastAsia="宋体" w:cs="宋体"/>
                <w:szCs w:val="21"/>
                <w:highlight w:val="none"/>
                <w:lang w:val="en-US" w:eastAsia="zh-CN"/>
              </w:rPr>
              <w:t>大专学历提供一名得1分、本科学历提供一名得2分、</w:t>
            </w:r>
            <w:r>
              <w:rPr>
                <w:rFonts w:ascii="宋体" w:hAnsi="宋体" w:cs="宋体"/>
                <w:szCs w:val="21"/>
                <w:highlight w:val="none"/>
              </w:rPr>
              <w:t>具有运动健将及以上技术等级的</w:t>
            </w:r>
            <w:r>
              <w:rPr>
                <w:rFonts w:hint="eastAsia" w:ascii="宋体" w:hAnsi="宋体" w:eastAsia="宋体" w:cs="宋体"/>
                <w:szCs w:val="21"/>
                <w:highlight w:val="none"/>
                <w:lang w:val="en-US" w:eastAsia="zh-CN"/>
              </w:rPr>
              <w:t>提供一名</w:t>
            </w:r>
            <w:r>
              <w:rPr>
                <w:rFonts w:ascii="宋体" w:hAnsi="宋体" w:cs="宋体"/>
                <w:szCs w:val="21"/>
                <w:highlight w:val="none"/>
              </w:rPr>
              <w:t>得4分，本项最高得</w:t>
            </w:r>
            <w:r>
              <w:rPr>
                <w:rFonts w:hint="eastAsia" w:ascii="宋体" w:hAnsi="宋体" w:eastAsia="宋体" w:cs="宋体"/>
                <w:szCs w:val="21"/>
                <w:highlight w:val="none"/>
                <w:lang w:eastAsia="zh-CN"/>
              </w:rPr>
              <w:t>1</w:t>
            </w:r>
            <w:r>
              <w:rPr>
                <w:rFonts w:hint="eastAsia" w:ascii="宋体" w:hAnsi="宋体" w:eastAsia="宋体" w:cs="宋体"/>
                <w:szCs w:val="21"/>
                <w:highlight w:val="none"/>
                <w:lang w:val="en-US" w:eastAsia="zh-CN"/>
              </w:rPr>
              <w:t>0</w:t>
            </w:r>
            <w:r>
              <w:rPr>
                <w:rFonts w:ascii="宋体" w:hAnsi="宋体" w:cs="宋体"/>
                <w:szCs w:val="21"/>
                <w:highlight w:val="none"/>
              </w:rPr>
              <w:t>分。 注：提供①上述人员证书复印件或国家体育总局运动员技术等级信息查询系统查询截图；②劳动合同或加盖政府有关部门印章的在投标截止日前半年内任意一个月响应供应商为项目团队人员购买的投保单或社会保险参保人员证明，或单位代缴个人所得税税单并加盖公章。不按要求提供或提供不全或无法认定的不得分。</w:t>
            </w:r>
          </w:p>
        </w:tc>
      </w:tr>
      <w:tr w14:paraId="06B64112">
        <w:trPr>
          <w:trHeight w:val="90" w:hRule="atLeast"/>
        </w:trPr>
        <w:tc>
          <w:tcPr>
            <w:tcW w:w="559" w:type="pct"/>
            <w:vMerge w:val="continue"/>
            <w:vAlign w:val="center"/>
          </w:tcPr>
          <w:p w14:paraId="1BEB3449">
            <w:pPr>
              <w:pStyle w:val="35"/>
              <w:jc w:val="center"/>
              <w:rPr>
                <w:highlight w:val="none"/>
              </w:rPr>
            </w:pPr>
          </w:p>
        </w:tc>
        <w:tc>
          <w:tcPr>
            <w:tcW w:w="449" w:type="pct"/>
            <w:vAlign w:val="center"/>
          </w:tcPr>
          <w:p w14:paraId="509A9523">
            <w:pPr>
              <w:tabs>
                <w:tab w:val="left" w:pos="840"/>
              </w:tabs>
              <w:spacing w:before="68" w:line="235" w:lineRule="auto"/>
              <w:ind w:left="0" w:right="57"/>
              <w:jc w:val="both"/>
              <w:rPr>
                <w:rFonts w:ascii="宋体" w:hAnsi="宋体" w:eastAsia="宋体" w:cs="宋体"/>
                <w:spacing w:val="2"/>
                <w:sz w:val="21"/>
                <w:szCs w:val="21"/>
                <w:highlight w:val="none"/>
              </w:rPr>
            </w:pPr>
            <w:r>
              <w:t>服务响应便利性</w:t>
            </w:r>
          </w:p>
        </w:tc>
        <w:tc>
          <w:tcPr>
            <w:tcW w:w="378" w:type="pct"/>
            <w:vAlign w:val="center"/>
          </w:tcPr>
          <w:p w14:paraId="60C42A8F">
            <w:pPr>
              <w:spacing w:before="68" w:line="183" w:lineRule="auto"/>
              <w:ind w:left="0"/>
              <w:jc w:val="center"/>
              <w:rPr>
                <w:rFonts w:hint="eastAsia" w:ascii="宋体" w:hAnsi="宋体" w:eastAsia="宋体" w:cs="宋体"/>
                <w:spacing w:val="-4"/>
                <w:sz w:val="21"/>
                <w:szCs w:val="21"/>
                <w:highlight w:val="none"/>
              </w:rPr>
            </w:pPr>
            <w:r>
              <w:rPr>
                <w:rFonts w:hint="eastAsia" w:ascii="宋体" w:hAnsi="宋体" w:eastAsia="宋体" w:cs="宋体"/>
                <w:spacing w:val="-4"/>
                <w:szCs w:val="21"/>
                <w:highlight w:val="none"/>
                <w:lang w:val="en-US" w:eastAsia="zh-CN"/>
              </w:rPr>
              <w:t>10</w:t>
            </w:r>
          </w:p>
        </w:tc>
        <w:tc>
          <w:tcPr>
            <w:tcW w:w="3612" w:type="pct"/>
            <w:vAlign w:val="center"/>
          </w:tcPr>
          <w:p w14:paraId="3885C9A0">
            <w:pPr>
              <w:spacing w:before="46" w:line="240" w:lineRule="auto"/>
              <w:ind w:left="2" w:right="20" w:firstLine="10"/>
              <w:jc w:val="both"/>
              <w:rPr>
                <w:rFonts w:ascii="宋体" w:hAnsi="宋体" w:eastAsia="宋体" w:cs="宋体"/>
                <w:sz w:val="21"/>
                <w:szCs w:val="21"/>
                <w:highlight w:val="none"/>
              </w:rPr>
            </w:pPr>
            <w:r>
              <w:rPr>
                <w:rFonts w:ascii="宋体" w:hAnsi="宋体" w:cs="宋体"/>
                <w:szCs w:val="21"/>
                <w:highlight w:val="none"/>
              </w:rPr>
              <w:t>根据响应供应商提供服务响应情况进行评审：（1）响应供应商15分钟内（含1</w:t>
            </w:r>
            <w:r>
              <w:rPr>
                <w:rFonts w:hint="eastAsia" w:ascii="宋体" w:hAnsi="宋体" w:eastAsia="宋体" w:cs="宋体"/>
                <w:szCs w:val="21"/>
                <w:highlight w:val="none"/>
                <w:lang w:val="en-US" w:eastAsia="zh-CN"/>
              </w:rPr>
              <w:t>0</w:t>
            </w:r>
            <w:r>
              <w:rPr>
                <w:rFonts w:ascii="宋体" w:hAnsi="宋体" w:cs="宋体"/>
                <w:szCs w:val="21"/>
                <w:highlight w:val="none"/>
              </w:rPr>
              <w:t>分钟）能提供服务响应的，得</w:t>
            </w:r>
            <w:r>
              <w:rPr>
                <w:rFonts w:hint="eastAsia" w:ascii="宋体" w:hAnsi="宋体" w:eastAsia="宋体" w:cs="宋体"/>
                <w:szCs w:val="21"/>
                <w:highlight w:val="none"/>
                <w:lang w:val="en-US" w:eastAsia="zh-CN"/>
              </w:rPr>
              <w:t>10</w:t>
            </w:r>
            <w:r>
              <w:rPr>
                <w:rFonts w:ascii="宋体" w:hAnsi="宋体" w:cs="宋体"/>
                <w:szCs w:val="21"/>
                <w:highlight w:val="none"/>
              </w:rPr>
              <w:t>分；（2）响应供应商15分钟以上30分钟内（含30分钟）能提供服务响应的，得</w:t>
            </w:r>
            <w:r>
              <w:rPr>
                <w:rFonts w:hint="eastAsia" w:ascii="宋体" w:hAnsi="宋体" w:eastAsia="宋体" w:cs="宋体"/>
                <w:szCs w:val="21"/>
                <w:highlight w:val="none"/>
                <w:lang w:val="en-US" w:eastAsia="zh-CN"/>
              </w:rPr>
              <w:t>5</w:t>
            </w:r>
            <w:r>
              <w:rPr>
                <w:rFonts w:ascii="宋体" w:hAnsi="宋体" w:cs="宋体"/>
                <w:szCs w:val="21"/>
                <w:highlight w:val="none"/>
              </w:rPr>
              <w:t>分；（3）响应供应商提供服务响应需30分钟以上4小时内（含4小时）的，得</w:t>
            </w:r>
            <w:r>
              <w:rPr>
                <w:rFonts w:hint="eastAsia" w:ascii="宋体" w:hAnsi="宋体" w:eastAsia="宋体" w:cs="宋体"/>
                <w:szCs w:val="21"/>
                <w:highlight w:val="none"/>
                <w:lang w:val="en-US" w:eastAsia="zh-CN"/>
              </w:rPr>
              <w:t>3</w:t>
            </w:r>
            <w:r>
              <w:rPr>
                <w:rFonts w:ascii="宋体" w:hAnsi="宋体" w:cs="宋体"/>
                <w:szCs w:val="21"/>
                <w:highlight w:val="none"/>
              </w:rPr>
              <w:t>分；（4）响应供应商提供服务响应需4小时以上的不得分。 注：提供</w:t>
            </w:r>
            <w:r>
              <w:rPr>
                <w:rFonts w:hint="eastAsia" w:ascii="宋体" w:hAnsi="宋体" w:eastAsia="宋体" w:cs="宋体"/>
                <w:szCs w:val="21"/>
                <w:highlight w:val="none"/>
              </w:rPr>
              <w:t>服务响应便利性承诺函</w:t>
            </w:r>
            <w:r>
              <w:rPr>
                <w:rFonts w:ascii="宋体" w:hAnsi="宋体" w:cs="宋体"/>
                <w:szCs w:val="21"/>
                <w:highlight w:val="none"/>
              </w:rPr>
              <w:t>加盖响应供应商公章等作为评审材料，不按要求提供或无法认定的不得分。</w:t>
            </w:r>
          </w:p>
        </w:tc>
      </w:tr>
      <w:tr w14:paraId="0755008D">
        <w:trPr>
          <w:trHeight w:val="2342" w:hRule="atLeast"/>
        </w:trPr>
        <w:tc>
          <w:tcPr>
            <w:tcW w:w="559" w:type="pct"/>
            <w:vMerge w:val="restart"/>
            <w:vAlign w:val="center"/>
          </w:tcPr>
          <w:p w14:paraId="41697574">
            <w:pPr>
              <w:spacing w:before="69" w:line="229" w:lineRule="auto"/>
              <w:ind w:left="304" w:right="97" w:hanging="209"/>
              <w:jc w:val="center"/>
              <w:rPr>
                <w:highlight w:val="none"/>
              </w:rPr>
            </w:pPr>
          </w:p>
          <w:p w14:paraId="7E7B9A41">
            <w:pPr>
              <w:spacing w:before="69" w:line="229" w:lineRule="auto"/>
              <w:ind w:left="304" w:right="97" w:hanging="209"/>
              <w:jc w:val="center"/>
              <w:rPr>
                <w:highlight w:val="none"/>
              </w:rPr>
            </w:pPr>
          </w:p>
          <w:p w14:paraId="036B3813">
            <w:pPr>
              <w:spacing w:before="69" w:line="229" w:lineRule="auto"/>
              <w:ind w:left="304" w:right="97" w:hanging="209"/>
              <w:jc w:val="center"/>
              <w:rPr>
                <w:highlight w:val="none"/>
              </w:rPr>
            </w:pPr>
          </w:p>
          <w:p w14:paraId="5384BF33">
            <w:pPr>
              <w:spacing w:before="69" w:line="229" w:lineRule="auto"/>
              <w:ind w:left="304" w:right="97" w:hanging="209"/>
              <w:jc w:val="center"/>
              <w:rPr>
                <w:highlight w:val="none"/>
              </w:rPr>
            </w:pPr>
          </w:p>
          <w:p w14:paraId="15B50832">
            <w:pPr>
              <w:spacing w:before="69" w:line="229" w:lineRule="auto"/>
              <w:ind w:left="304" w:right="97" w:hanging="209"/>
              <w:jc w:val="center"/>
              <w:rPr>
                <w:highlight w:val="none"/>
              </w:rPr>
            </w:pPr>
          </w:p>
          <w:p w14:paraId="7F1A1D0A">
            <w:pPr>
              <w:spacing w:before="69" w:line="229" w:lineRule="auto"/>
              <w:ind w:left="304" w:right="97" w:hanging="209"/>
              <w:jc w:val="center"/>
              <w:rPr>
                <w:highlight w:val="none"/>
              </w:rPr>
            </w:pPr>
          </w:p>
          <w:p w14:paraId="75CABF92">
            <w:pPr>
              <w:spacing w:before="69" w:line="229" w:lineRule="auto"/>
              <w:ind w:left="304" w:right="97" w:hanging="209"/>
              <w:jc w:val="center"/>
              <w:rPr>
                <w:highlight w:val="none"/>
              </w:rPr>
            </w:pPr>
          </w:p>
          <w:p w14:paraId="6E35BD99">
            <w:pPr>
              <w:spacing w:before="69" w:line="229" w:lineRule="auto"/>
              <w:ind w:left="304" w:right="97" w:hanging="209"/>
              <w:jc w:val="center"/>
              <w:rPr>
                <w:highlight w:val="none"/>
              </w:rPr>
            </w:pPr>
          </w:p>
          <w:p w14:paraId="30E9BFDB">
            <w:pPr>
              <w:spacing w:before="69" w:line="229" w:lineRule="auto"/>
              <w:ind w:left="304" w:right="97" w:hanging="209"/>
              <w:jc w:val="center"/>
              <w:rPr>
                <w:highlight w:val="none"/>
              </w:rPr>
            </w:pPr>
          </w:p>
          <w:p w14:paraId="62B6F43F">
            <w:pPr>
              <w:spacing w:before="69" w:line="229" w:lineRule="auto"/>
              <w:ind w:left="0" w:right="97" w:firstLine="0"/>
              <w:jc w:val="both"/>
              <w:rPr>
                <w:rFonts w:ascii="宋体" w:hAnsi="宋体" w:eastAsia="宋体" w:cs="宋体"/>
                <w:sz w:val="21"/>
                <w:szCs w:val="21"/>
                <w:highlight w:val="none"/>
              </w:rPr>
            </w:pPr>
            <w:r>
              <w:rPr>
                <w:rFonts w:ascii="宋体" w:hAnsi="宋体" w:eastAsia="宋体" w:cs="宋体"/>
                <w:spacing w:val="3"/>
                <w:sz w:val="21"/>
                <w:szCs w:val="21"/>
                <w:highlight w:val="none"/>
              </w:rPr>
              <w:t>技术部</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分</w:t>
            </w:r>
            <w:r>
              <w:rPr>
                <w:rFonts w:ascii="宋体" w:hAnsi="宋体" w:eastAsia="宋体" w:cs="宋体"/>
                <w:spacing w:val="3"/>
                <w:sz w:val="21"/>
                <w:szCs w:val="21"/>
                <w:highlight w:val="none"/>
              </w:rPr>
              <w:t>(</w:t>
            </w:r>
            <w:r>
              <w:rPr>
                <w:rFonts w:hint="eastAsia" w:ascii="宋体" w:hAnsi="宋体" w:cs="宋体"/>
                <w:spacing w:val="3"/>
                <w:sz w:val="21"/>
                <w:szCs w:val="21"/>
                <w:highlight w:val="none"/>
                <w:lang w:val="en-US" w:eastAsia="zh-CN"/>
              </w:rPr>
              <w:t>3</w:t>
            </w:r>
            <w:r>
              <w:rPr>
                <w:rFonts w:ascii="宋体" w:hAnsi="宋体" w:eastAsia="宋体" w:cs="宋体"/>
                <w:spacing w:val="3"/>
                <w:sz w:val="21"/>
                <w:szCs w:val="21"/>
                <w:highlight w:val="none"/>
              </w:rPr>
              <w:t>0分</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w:t>
            </w:r>
          </w:p>
        </w:tc>
        <w:tc>
          <w:tcPr>
            <w:tcW w:w="449" w:type="pct"/>
            <w:vAlign w:val="center"/>
          </w:tcPr>
          <w:p w14:paraId="22EF87A3">
            <w:pPr>
              <w:spacing w:before="141" w:line="220" w:lineRule="auto"/>
              <w:ind w:left="0"/>
              <w:jc w:val="center"/>
              <w:rPr>
                <w:rFonts w:ascii="宋体" w:hAnsi="宋体" w:eastAsia="宋体" w:cs="宋体"/>
                <w:sz w:val="21"/>
                <w:szCs w:val="21"/>
                <w:highlight w:val="none"/>
              </w:rPr>
            </w:pPr>
            <w:r>
              <w:t>对项目整体的理解及认识程度</w:t>
            </w:r>
          </w:p>
        </w:tc>
        <w:tc>
          <w:tcPr>
            <w:tcW w:w="378" w:type="pct"/>
            <w:vAlign w:val="center"/>
          </w:tcPr>
          <w:p w14:paraId="6F41584C">
            <w:pPr>
              <w:pStyle w:val="35"/>
              <w:spacing w:line="257" w:lineRule="auto"/>
              <w:jc w:val="center"/>
              <w:rPr>
                <w:highlight w:val="none"/>
              </w:rPr>
            </w:pPr>
          </w:p>
          <w:p w14:paraId="41038F75">
            <w:pPr>
              <w:spacing w:before="68" w:line="184" w:lineRule="auto"/>
              <w:ind w:left="0"/>
              <w:jc w:val="center"/>
              <w:rPr>
                <w:rFonts w:ascii="宋体" w:hAnsi="宋体" w:eastAsia="宋体" w:cs="宋体"/>
                <w:sz w:val="21"/>
                <w:szCs w:val="21"/>
                <w:highlight w:val="none"/>
              </w:rPr>
            </w:pPr>
            <w:r>
              <w:rPr>
                <w:rFonts w:ascii="宋体" w:hAnsi="宋体" w:eastAsia="宋体" w:cs="宋体"/>
                <w:spacing w:val="-6"/>
                <w:sz w:val="21"/>
                <w:szCs w:val="21"/>
                <w:highlight w:val="none"/>
              </w:rPr>
              <w:t>10</w:t>
            </w:r>
          </w:p>
        </w:tc>
        <w:tc>
          <w:tcPr>
            <w:tcW w:w="3612" w:type="pct"/>
            <w:vAlign w:val="center"/>
          </w:tcPr>
          <w:p w14:paraId="132FF297">
            <w:pPr>
              <w:spacing w:before="1" w:line="240" w:lineRule="auto"/>
              <w:ind w:left="62"/>
              <w:rPr>
                <w:rFonts w:ascii="宋体" w:hAnsi="宋体" w:eastAsia="宋体" w:cs="宋体"/>
                <w:sz w:val="21"/>
                <w:szCs w:val="21"/>
                <w:highlight w:val="none"/>
              </w:rPr>
            </w:pPr>
            <w:r>
              <w:rPr>
                <w:rFonts w:ascii="宋体" w:hAnsi="宋体" w:cs="宋体"/>
                <w:szCs w:val="21"/>
                <w:highlight w:val="none"/>
              </w:rPr>
              <w:t>根据《第二章 采购需求》“一、项目背景”中对响应供应商提出的项目整体的理解及认识程度（包括但不限于：①项目基本概况；②服务内容及要求；③项目操作等的熟悉情况）进行评审： （1）对项目的内容及要求理解透彻，项目流程操作熟悉，得1</w:t>
            </w:r>
            <w:r>
              <w:rPr>
                <w:rFonts w:hint="eastAsia" w:ascii="宋体" w:hAnsi="宋体" w:eastAsia="宋体" w:cs="宋体"/>
                <w:szCs w:val="21"/>
                <w:highlight w:val="none"/>
                <w:lang w:val="en-US" w:eastAsia="zh-CN"/>
              </w:rPr>
              <w:t>0</w:t>
            </w:r>
            <w:r>
              <w:rPr>
                <w:rFonts w:ascii="宋体" w:hAnsi="宋体" w:cs="宋体"/>
                <w:szCs w:val="21"/>
                <w:highlight w:val="none"/>
              </w:rPr>
              <w:t>分； （2）对项目的内容及要求理解较为透彻，项目流程操作较为熟悉，得</w:t>
            </w:r>
            <w:r>
              <w:rPr>
                <w:rFonts w:hint="eastAsia" w:ascii="宋体" w:hAnsi="宋体" w:eastAsia="宋体" w:cs="宋体"/>
                <w:szCs w:val="21"/>
                <w:highlight w:val="none"/>
                <w:lang w:val="en-US" w:eastAsia="zh-CN"/>
              </w:rPr>
              <w:t>6</w:t>
            </w:r>
            <w:r>
              <w:rPr>
                <w:rFonts w:ascii="宋体" w:hAnsi="宋体" w:cs="宋体"/>
                <w:szCs w:val="21"/>
                <w:highlight w:val="none"/>
              </w:rPr>
              <w:t>分；（3）对项目的内容及要求理解不够透彻，项目流程操作不够熟悉，得</w:t>
            </w:r>
            <w:r>
              <w:rPr>
                <w:rFonts w:hint="eastAsia" w:ascii="宋体" w:hAnsi="宋体" w:eastAsia="宋体" w:cs="宋体"/>
                <w:szCs w:val="21"/>
                <w:highlight w:val="none"/>
                <w:lang w:val="en-US" w:eastAsia="zh-CN"/>
              </w:rPr>
              <w:t>3</w:t>
            </w:r>
            <w:r>
              <w:rPr>
                <w:rFonts w:ascii="宋体" w:hAnsi="宋体" w:cs="宋体"/>
                <w:szCs w:val="21"/>
                <w:highlight w:val="none"/>
              </w:rPr>
              <w:t>分；（4）不提供不得分。</w:t>
            </w:r>
          </w:p>
        </w:tc>
      </w:tr>
      <w:tr w14:paraId="0B04626B">
        <w:trPr>
          <w:trHeight w:val="1578" w:hRule="atLeast"/>
        </w:trPr>
        <w:tc>
          <w:tcPr>
            <w:tcW w:w="559" w:type="pct"/>
            <w:vMerge w:val="continue"/>
            <w:vAlign w:val="center"/>
          </w:tcPr>
          <w:p w14:paraId="689AAD1D">
            <w:pPr>
              <w:pStyle w:val="35"/>
              <w:jc w:val="center"/>
              <w:rPr>
                <w:highlight w:val="none"/>
              </w:rPr>
            </w:pPr>
          </w:p>
        </w:tc>
        <w:tc>
          <w:tcPr>
            <w:tcW w:w="449" w:type="pct"/>
            <w:vAlign w:val="center"/>
          </w:tcPr>
          <w:p w14:paraId="6C56DAA7">
            <w:pPr>
              <w:spacing w:before="173" w:line="184" w:lineRule="auto"/>
              <w:ind w:left="0"/>
              <w:jc w:val="center"/>
              <w:rPr>
                <w:rFonts w:ascii="宋体" w:hAnsi="宋体" w:eastAsia="宋体" w:cs="宋体"/>
                <w:sz w:val="21"/>
                <w:szCs w:val="21"/>
                <w:highlight w:val="none"/>
              </w:rPr>
            </w:pPr>
            <w:r>
              <w:t xml:space="preserve">组织实施方案 </w:t>
            </w:r>
          </w:p>
        </w:tc>
        <w:tc>
          <w:tcPr>
            <w:tcW w:w="378" w:type="pct"/>
            <w:vAlign w:val="center"/>
          </w:tcPr>
          <w:p w14:paraId="42B2084A">
            <w:pPr>
              <w:spacing w:before="68" w:line="183" w:lineRule="auto"/>
              <w:ind w:left="0"/>
              <w:jc w:val="center"/>
              <w:rPr>
                <w:rFonts w:ascii="宋体" w:hAnsi="宋体" w:eastAsia="宋体" w:cs="宋体"/>
                <w:sz w:val="21"/>
                <w:szCs w:val="21"/>
                <w:highlight w:val="none"/>
              </w:rPr>
            </w:pPr>
            <w:r>
              <w:rPr>
                <w:rFonts w:hint="eastAsia" w:ascii="宋体" w:hAnsi="宋体" w:cs="宋体"/>
                <w:sz w:val="21"/>
                <w:szCs w:val="21"/>
                <w:highlight w:val="none"/>
                <w:lang w:val="en-US" w:eastAsia="zh-CN"/>
              </w:rPr>
              <w:t>10</w:t>
            </w:r>
          </w:p>
        </w:tc>
        <w:tc>
          <w:tcPr>
            <w:tcW w:w="3612" w:type="pct"/>
            <w:vAlign w:val="center"/>
          </w:tcPr>
          <w:p w14:paraId="7314623F">
            <w:pPr>
              <w:spacing w:before="263" w:line="240" w:lineRule="auto"/>
              <w:ind w:left="0" w:right="9" w:firstLine="0"/>
              <w:jc w:val="both"/>
              <w:rPr>
                <w:rFonts w:ascii="宋体" w:hAnsi="宋体" w:eastAsia="宋体" w:cs="宋体"/>
                <w:sz w:val="21"/>
                <w:szCs w:val="21"/>
                <w:highlight w:val="none"/>
              </w:rPr>
            </w:pPr>
            <w:r>
              <w:rPr>
                <w:rFonts w:ascii="宋体" w:hAnsi="宋体" w:cs="宋体"/>
                <w:szCs w:val="21"/>
                <w:highlight w:val="none"/>
              </w:rPr>
              <w:t>根据《第二章 采购需求》“四、服务要求”对响应供应商提供的组织实施方案（包括但不限于前期准备工作、赛事活动实施组织安排、住宿及餐食安排等）进行评审： （1）方案详细全面，针对性强，前期准备工作充足，赛事活动实施组织安排合理，住宿安排干净卫生、位置便利，餐食安排营养丰富、卫生干净，完全满足且优于采购需求的，得1</w:t>
            </w:r>
            <w:r>
              <w:rPr>
                <w:rFonts w:hint="eastAsia" w:ascii="宋体" w:hAnsi="宋体" w:eastAsia="宋体" w:cs="宋体"/>
                <w:szCs w:val="21"/>
                <w:highlight w:val="none"/>
                <w:lang w:val="en-US" w:eastAsia="zh-CN"/>
              </w:rPr>
              <w:t>0</w:t>
            </w:r>
            <w:r>
              <w:rPr>
                <w:rFonts w:ascii="宋体" w:hAnsi="宋体" w:cs="宋体"/>
                <w:szCs w:val="21"/>
                <w:highlight w:val="none"/>
              </w:rPr>
              <w:t>分； （2）方案较详细，针对性较强，前期准备工作比较充足，赛事活动实施组织安排比较合理，住宿安排干净卫生、位置相对便利，餐食安排相对营养丰富、卫生干净，完全满足采购需求的，得</w:t>
            </w:r>
            <w:r>
              <w:rPr>
                <w:rFonts w:hint="eastAsia" w:ascii="宋体" w:hAnsi="宋体" w:eastAsia="宋体" w:cs="宋体"/>
                <w:szCs w:val="21"/>
                <w:highlight w:val="none"/>
                <w:lang w:val="en-US" w:eastAsia="zh-CN"/>
              </w:rPr>
              <w:t>6</w:t>
            </w:r>
            <w:r>
              <w:rPr>
                <w:rFonts w:ascii="宋体" w:hAnsi="宋体" w:cs="宋体"/>
                <w:szCs w:val="21"/>
                <w:highlight w:val="none"/>
              </w:rPr>
              <w:t>分； （3）方案的详细全面性、有一定的针对性，前期准备工作不够充分，赛事活动实施组织安排不够合理，住宿安排干净卫生、位置不够便利，餐食安排部分符合营养要求，部分满足采购需求的，得</w:t>
            </w:r>
            <w:r>
              <w:rPr>
                <w:rFonts w:hint="eastAsia" w:ascii="宋体" w:hAnsi="宋体" w:eastAsia="宋体" w:cs="宋体"/>
                <w:szCs w:val="21"/>
                <w:highlight w:val="none"/>
                <w:lang w:val="en-US" w:eastAsia="zh-CN"/>
              </w:rPr>
              <w:t>3</w:t>
            </w:r>
            <w:r>
              <w:rPr>
                <w:rFonts w:ascii="宋体" w:hAnsi="宋体" w:cs="宋体"/>
                <w:szCs w:val="21"/>
                <w:highlight w:val="none"/>
              </w:rPr>
              <w:t>分； （4）不提供不得分。</w:t>
            </w:r>
          </w:p>
        </w:tc>
      </w:tr>
      <w:tr w14:paraId="24B951AB">
        <w:trPr>
          <w:trHeight w:val="1519" w:hRule="atLeast"/>
        </w:trPr>
        <w:tc>
          <w:tcPr>
            <w:tcW w:w="559" w:type="pct"/>
            <w:vMerge w:val="continue"/>
            <w:vAlign w:val="center"/>
          </w:tcPr>
          <w:p w14:paraId="50749592">
            <w:pPr>
              <w:pStyle w:val="35"/>
              <w:jc w:val="center"/>
              <w:rPr>
                <w:highlight w:val="none"/>
              </w:rPr>
            </w:pPr>
          </w:p>
        </w:tc>
        <w:tc>
          <w:tcPr>
            <w:tcW w:w="449" w:type="pct"/>
            <w:vAlign w:val="center"/>
          </w:tcPr>
          <w:p w14:paraId="04932B3C">
            <w:pPr>
              <w:spacing w:before="184" w:line="183" w:lineRule="auto"/>
              <w:ind w:left="0"/>
              <w:jc w:val="center"/>
              <w:rPr>
                <w:rFonts w:ascii="宋体" w:hAnsi="宋体" w:eastAsia="宋体" w:cs="宋体"/>
                <w:sz w:val="21"/>
                <w:szCs w:val="21"/>
                <w:highlight w:val="none"/>
              </w:rPr>
            </w:pPr>
            <w:r>
              <w:t xml:space="preserve">应急保障服务方案 </w:t>
            </w:r>
          </w:p>
        </w:tc>
        <w:tc>
          <w:tcPr>
            <w:tcW w:w="378" w:type="pct"/>
            <w:vAlign w:val="center"/>
          </w:tcPr>
          <w:p w14:paraId="01449D5A">
            <w:pPr>
              <w:spacing w:before="68" w:line="184" w:lineRule="auto"/>
              <w:ind w:left="0"/>
              <w:jc w:val="center"/>
              <w:rPr>
                <w:rFonts w:ascii="宋体" w:hAnsi="宋体" w:eastAsia="宋体" w:cs="宋体"/>
                <w:sz w:val="21"/>
                <w:szCs w:val="21"/>
                <w:highlight w:val="none"/>
              </w:rPr>
            </w:pPr>
            <w:r>
              <w:rPr>
                <w:rFonts w:ascii="宋体" w:hAnsi="宋体" w:eastAsia="宋体" w:cs="宋体"/>
                <w:spacing w:val="-6"/>
                <w:sz w:val="21"/>
                <w:szCs w:val="21"/>
                <w:highlight w:val="none"/>
              </w:rPr>
              <w:t>10</w:t>
            </w:r>
          </w:p>
        </w:tc>
        <w:tc>
          <w:tcPr>
            <w:tcW w:w="3612" w:type="pct"/>
            <w:vAlign w:val="center"/>
          </w:tcPr>
          <w:p w14:paraId="354EA6D9">
            <w:pPr>
              <w:spacing w:before="226" w:line="240" w:lineRule="auto"/>
              <w:ind w:left="62" w:right="9"/>
              <w:jc w:val="both"/>
              <w:rPr>
                <w:rFonts w:ascii="宋体" w:hAnsi="宋体" w:eastAsia="宋体" w:cs="宋体"/>
                <w:sz w:val="21"/>
                <w:szCs w:val="21"/>
                <w:highlight w:val="none"/>
              </w:rPr>
            </w:pPr>
            <w:r>
              <w:t>根据《第二章 采购需求》“八、其他服务要求”中“（二）应急保障服务方案”对响应供应商提供的应急保障服务方案（包括但不限于紧急人员服务、紧急物资服务、参赛人员伤亡应急预案等）进行评审：（1）应急保障服务方案详细具体，紧急人员服务准备充分，紧急物资储备充足，参赛人员伤亡应急预案完善全面，可操作性强，完全满足且优于采购需求的，得1</w:t>
            </w:r>
            <w:r>
              <w:rPr>
                <w:rFonts w:hint="eastAsia"/>
                <w:lang w:val="en-US" w:eastAsia="zh-CN"/>
              </w:rPr>
              <w:t>0</w:t>
            </w:r>
            <w:r>
              <w:t>分；（2）应急保障服务方案较为详细具体，紧急人员服务准备较为充分，紧急物资储备较为充足，参赛人员伤亡应急预案较为完善全面，可操作性较强，完全满足采购需求的，得</w:t>
            </w:r>
            <w:r>
              <w:rPr>
                <w:rFonts w:hint="eastAsia"/>
                <w:lang w:val="en-US" w:eastAsia="zh-CN"/>
              </w:rPr>
              <w:t>6</w:t>
            </w:r>
            <w:r>
              <w:t>分；（3）应急保障服务方案不够详细，紧急人员服务准备不够充分，紧急物资储备不够充足，参赛人员伤亡应急预案不够全面，有一定可操作性，部分满足采购需求的，得</w:t>
            </w:r>
            <w:r>
              <w:rPr>
                <w:rFonts w:hint="eastAsia"/>
                <w:lang w:val="en-US" w:eastAsia="zh-CN"/>
              </w:rPr>
              <w:t>3</w:t>
            </w:r>
            <w:r>
              <w:t>分； （4）不提供不得分。</w:t>
            </w:r>
          </w:p>
        </w:tc>
      </w:tr>
      <w:tr w14:paraId="4486191F">
        <w:trPr>
          <w:trHeight w:val="544" w:hRule="atLeast"/>
        </w:trPr>
        <w:tc>
          <w:tcPr>
            <w:tcW w:w="1009" w:type="pct"/>
            <w:gridSpan w:val="2"/>
            <w:vAlign w:val="center"/>
          </w:tcPr>
          <w:p w14:paraId="46CBA655">
            <w:pPr>
              <w:spacing w:before="134" w:line="221" w:lineRule="auto"/>
              <w:ind w:left="80"/>
              <w:jc w:val="center"/>
              <w:rPr>
                <w:rFonts w:ascii="宋体" w:hAnsi="宋体" w:eastAsia="宋体" w:cs="宋体"/>
                <w:sz w:val="21"/>
                <w:szCs w:val="21"/>
                <w:highlight w:val="none"/>
              </w:rPr>
            </w:pPr>
            <w:r>
              <w:rPr>
                <w:rFonts w:ascii="宋体" w:hAnsi="宋体" w:eastAsia="宋体" w:cs="宋体"/>
                <w:spacing w:val="0"/>
                <w:sz w:val="21"/>
                <w:szCs w:val="21"/>
                <w:highlight w:val="none"/>
              </w:rPr>
              <w:t>合计</w:t>
            </w:r>
          </w:p>
        </w:tc>
        <w:tc>
          <w:tcPr>
            <w:tcW w:w="378" w:type="pct"/>
            <w:vAlign w:val="center"/>
          </w:tcPr>
          <w:p w14:paraId="4DC41819">
            <w:pPr>
              <w:spacing w:before="134" w:line="221" w:lineRule="auto"/>
              <w:ind w:left="80"/>
              <w:jc w:val="center"/>
              <w:rPr>
                <w:rFonts w:ascii="宋体" w:hAnsi="宋体" w:eastAsia="宋体" w:cs="宋体"/>
                <w:sz w:val="21"/>
                <w:szCs w:val="21"/>
                <w:highlight w:val="none"/>
              </w:rPr>
            </w:pPr>
            <w:r>
              <w:rPr>
                <w:rFonts w:ascii="宋体" w:hAnsi="宋体" w:eastAsia="宋体" w:cs="宋体"/>
                <w:spacing w:val="0"/>
                <w:sz w:val="21"/>
                <w:szCs w:val="21"/>
                <w:highlight w:val="none"/>
              </w:rPr>
              <w:t>100</w:t>
            </w:r>
          </w:p>
        </w:tc>
        <w:tc>
          <w:tcPr>
            <w:tcW w:w="3612" w:type="pct"/>
            <w:vAlign w:val="center"/>
          </w:tcPr>
          <w:p w14:paraId="43A57AF7">
            <w:pPr>
              <w:spacing w:before="134" w:line="221" w:lineRule="auto"/>
              <w:ind w:left="80"/>
              <w:jc w:val="center"/>
              <w:rPr>
                <w:rFonts w:ascii="宋体" w:hAnsi="宋体" w:cs="宋体"/>
                <w:szCs w:val="21"/>
                <w:highlight w:val="none"/>
              </w:rPr>
            </w:pPr>
          </w:p>
        </w:tc>
      </w:tr>
    </w:tbl>
    <w:p w14:paraId="22E11EB5">
      <w:pPr>
        <w:spacing w:before="312" w:beforeLines="100" w:after="312" w:afterLines="1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备注：1、</w:t>
      </w:r>
      <w:r>
        <w:rPr>
          <w:rFonts w:hint="eastAsia" w:ascii="宋体" w:hAnsi="宋体" w:cs="宋体"/>
          <w:color w:val="auto"/>
          <w:szCs w:val="21"/>
          <w:highlight w:val="none"/>
        </w:rPr>
        <w:t>招标</w:t>
      </w:r>
      <w:r>
        <w:rPr>
          <w:rFonts w:hint="eastAsia" w:ascii="宋体" w:hAnsi="宋体" w:cs="宋体"/>
          <w:color w:val="auto"/>
          <w:szCs w:val="21"/>
          <w:highlight w:val="none"/>
          <w:lang w:val="zh-CN"/>
        </w:rPr>
        <w:t>文件要求提交的与评价指标体系相关的各类有效资料，供应商如未按要求提交的，该项评分为零分；</w:t>
      </w:r>
    </w:p>
    <w:p w14:paraId="64BBF87E">
      <w:pPr>
        <w:spacing w:before="312" w:beforeLines="100" w:after="312" w:afterLines="100"/>
        <w:ind w:firstLine="630" w:firstLineChars="300"/>
        <w:jc w:val="left"/>
        <w:rPr>
          <w:rFonts w:hint="eastAsia" w:ascii="宋体" w:hAnsi="宋体"/>
          <w:b/>
          <w:color w:val="auto"/>
          <w:szCs w:val="21"/>
          <w:highlight w:val="none"/>
        </w:rPr>
      </w:pPr>
      <w:r>
        <w:rPr>
          <w:rFonts w:hint="eastAsia" w:ascii="宋体" w:hAnsi="宋体" w:cs="宋体"/>
          <w:color w:val="auto"/>
          <w:szCs w:val="21"/>
          <w:highlight w:val="none"/>
          <w:lang w:val="zh-CN"/>
        </w:rPr>
        <w:t>2、将每个评委的评分汇总，各评委评分的算术平均值，即为该投标人的最终技术得分。（四舍五入后，小数点后保留两位有效数）。</w:t>
      </w:r>
    </w:p>
    <w:p w14:paraId="280DA632">
      <w:pPr>
        <w:pStyle w:val="4"/>
        <w:rPr>
          <w:color w:val="auto"/>
          <w:highlight w:val="none"/>
        </w:rPr>
      </w:pPr>
      <w:r>
        <w:rPr>
          <w:rFonts w:hint="eastAsia" w:ascii="宋体" w:hAnsi="宋体"/>
          <w:color w:val="auto"/>
          <w:sz w:val="21"/>
          <w:szCs w:val="21"/>
          <w:highlight w:val="none"/>
        </w:rPr>
        <w:t>评审人员签名：                                   日期：</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年</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w:t>
      </w:r>
      <w:r>
        <w:rPr>
          <w:rFonts w:hint="eastAsia" w:ascii="宋体" w:hAnsi="宋体"/>
          <w:color w:val="auto"/>
          <w:sz w:val="21"/>
          <w:szCs w:val="21"/>
          <w:highlight w:val="none"/>
        </w:rPr>
        <w:t>月</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日</w:t>
      </w:r>
    </w:p>
    <w:p w14:paraId="1EEAAF57">
      <w:pPr>
        <w:jc w:val="left"/>
        <w:rPr>
          <w:b/>
          <w:color w:val="auto"/>
          <w:sz w:val="44"/>
          <w:szCs w:val="44"/>
          <w:highlight w:val="none"/>
        </w:rPr>
        <w:sectPr>
          <w:footerReference r:id="rId5" w:type="default"/>
          <w:pgSz w:w="11906" w:h="16838"/>
          <w:pgMar w:top="1440" w:right="1800" w:bottom="1440" w:left="1800" w:header="794" w:footer="850" w:gutter="0"/>
          <w:pgNumType w:fmt="decimal"/>
          <w:cols w:space="425" w:num="1"/>
          <w:docGrid w:type="lines" w:linePitch="312" w:charSpace="0"/>
        </w:sectPr>
      </w:pPr>
    </w:p>
    <w:p w14:paraId="6C62A581">
      <w:pPr>
        <w:jc w:val="center"/>
        <w:rPr>
          <w:color w:val="auto"/>
          <w:sz w:val="44"/>
          <w:szCs w:val="44"/>
          <w:highlight w:val="none"/>
        </w:rPr>
      </w:pPr>
      <w:r>
        <w:rPr>
          <w:b/>
          <w:color w:val="auto"/>
          <w:sz w:val="44"/>
          <w:szCs w:val="44"/>
          <w:highlight w:val="none"/>
        </w:rPr>
        <w:t>第</w:t>
      </w:r>
      <w:r>
        <w:rPr>
          <w:rFonts w:hint="eastAsia"/>
          <w:b/>
          <w:color w:val="auto"/>
          <w:sz w:val="44"/>
          <w:szCs w:val="44"/>
          <w:highlight w:val="none"/>
          <w:lang w:val="en-US" w:eastAsia="zh-CN"/>
        </w:rPr>
        <w:t>五</w:t>
      </w:r>
      <w:r>
        <w:rPr>
          <w:b/>
          <w:color w:val="auto"/>
          <w:sz w:val="44"/>
          <w:szCs w:val="44"/>
          <w:highlight w:val="none"/>
        </w:rPr>
        <w:t>章</w:t>
      </w:r>
      <w:r>
        <w:rPr>
          <w:rFonts w:hint="eastAsia"/>
          <w:b/>
          <w:color w:val="auto"/>
          <w:sz w:val="44"/>
          <w:szCs w:val="44"/>
          <w:highlight w:val="none"/>
        </w:rPr>
        <w:t xml:space="preserve"> </w:t>
      </w:r>
      <w:r>
        <w:rPr>
          <w:b/>
          <w:color w:val="auto"/>
          <w:sz w:val="44"/>
          <w:szCs w:val="44"/>
          <w:highlight w:val="none"/>
        </w:rPr>
        <w:t>合同文本</w:t>
      </w:r>
    </w:p>
    <w:p w14:paraId="73724893">
      <w:pPr>
        <w:rPr>
          <w:color w:val="auto"/>
          <w:highlight w:val="none"/>
        </w:rPr>
      </w:pPr>
    </w:p>
    <w:p w14:paraId="13C0252D">
      <w:pPr>
        <w:jc w:val="center"/>
        <w:rPr>
          <w:color w:val="auto"/>
          <w:szCs w:val="21"/>
          <w:highlight w:val="none"/>
        </w:rPr>
      </w:pPr>
      <w:r>
        <w:rPr>
          <w:rFonts w:hint="eastAsia"/>
          <w:b/>
          <w:color w:val="auto"/>
          <w:szCs w:val="21"/>
          <w:highlight w:val="none"/>
        </w:rPr>
        <w:t>（仅为范本，以实际签订为准）</w:t>
      </w:r>
      <w:r>
        <w:rPr>
          <w:b/>
          <w:color w:val="auto"/>
          <w:szCs w:val="21"/>
          <w:highlight w:val="none"/>
        </w:rPr>
        <w:t xml:space="preserve"> </w:t>
      </w:r>
    </w:p>
    <w:p w14:paraId="2F45B742">
      <w:pPr>
        <w:jc w:val="center"/>
        <w:rPr>
          <w:color w:val="auto"/>
          <w:highlight w:val="none"/>
        </w:rPr>
      </w:pPr>
      <w:r>
        <w:rPr>
          <w:b/>
          <w:color w:val="auto"/>
          <w:sz w:val="48"/>
          <w:highlight w:val="none"/>
        </w:rPr>
        <w:t xml:space="preserve"> </w:t>
      </w:r>
    </w:p>
    <w:p w14:paraId="536804E5">
      <w:pPr>
        <w:jc w:val="center"/>
        <w:rPr>
          <w:color w:val="auto"/>
          <w:highlight w:val="none"/>
        </w:rPr>
      </w:pPr>
      <w:r>
        <w:rPr>
          <w:b/>
          <w:color w:val="auto"/>
          <w:sz w:val="48"/>
          <w:highlight w:val="none"/>
        </w:rPr>
        <w:t xml:space="preserve"> </w:t>
      </w:r>
    </w:p>
    <w:p w14:paraId="044C4620">
      <w:pPr>
        <w:rPr>
          <w:color w:val="auto"/>
          <w:highlight w:val="none"/>
        </w:rPr>
      </w:pPr>
      <w:r>
        <w:rPr>
          <w:b/>
          <w:color w:val="auto"/>
          <w:sz w:val="48"/>
          <w:highlight w:val="none"/>
        </w:rPr>
        <w:t xml:space="preserve"> </w:t>
      </w:r>
    </w:p>
    <w:p w14:paraId="077266F7">
      <w:pPr>
        <w:keepNext w:val="0"/>
        <w:keepLines w:val="0"/>
        <w:pageBreakBefore w:val="0"/>
        <w:kinsoku/>
        <w:wordWrap/>
        <w:overflowPunct/>
        <w:topLinePunct w:val="0"/>
        <w:bidi w:val="0"/>
        <w:spacing w:line="240" w:lineRule="auto"/>
        <w:jc w:val="right"/>
        <w:rPr>
          <w:rFonts w:hint="default" w:ascii="仿宋_GB2312" w:eastAsia="仿宋_GB2312" w:cs="仿宋_GB2312"/>
          <w:sz w:val="28"/>
          <w:szCs w:val="28"/>
          <w:highlight w:val="none"/>
          <w:lang w:val="en-US" w:eastAsia="zh-CN"/>
        </w:rPr>
      </w:pPr>
      <w:r>
        <w:rPr>
          <w:rFonts w:hint="eastAsia" w:ascii="仿宋_GB2312" w:eastAsia="仿宋_GB2312" w:cs="仿宋_GB2312"/>
          <w:sz w:val="28"/>
          <w:szCs w:val="28"/>
          <w:highlight w:val="none"/>
        </w:rPr>
        <w:t>合同编号：</w:t>
      </w:r>
    </w:p>
    <w:p w14:paraId="50B3101A">
      <w:pPr>
        <w:pStyle w:val="2"/>
        <w:keepNext w:val="0"/>
        <w:keepLines w:val="0"/>
        <w:pageBreakBefore w:val="0"/>
        <w:kinsoku/>
        <w:wordWrap/>
        <w:overflowPunct/>
        <w:topLinePunct w:val="0"/>
        <w:bidi w:val="0"/>
        <w:spacing w:line="240" w:lineRule="auto"/>
        <w:rPr>
          <w:highlight w:val="none"/>
          <w:lang w:val="en-US"/>
        </w:rPr>
      </w:pPr>
    </w:p>
    <w:p w14:paraId="486BBAA2">
      <w:pPr>
        <w:keepNext w:val="0"/>
        <w:keepLines w:val="0"/>
        <w:pageBreakBefore w:val="0"/>
        <w:kinsoku/>
        <w:wordWrap/>
        <w:overflowPunct/>
        <w:topLinePunct w:val="0"/>
        <w:bidi w:val="0"/>
        <w:spacing w:line="240" w:lineRule="auto"/>
        <w:jc w:val="center"/>
        <w:rPr>
          <w:rFonts w:hint="eastAsia" w:ascii="小标宋" w:hAnsi="小标宋" w:eastAsia="小标宋" w:cs="小标宋"/>
          <w:b/>
          <w:bCs/>
          <w:sz w:val="32"/>
          <w:szCs w:val="32"/>
          <w:highlight w:val="none"/>
          <w:lang w:val="en-US" w:eastAsia="zh-CN"/>
        </w:rPr>
      </w:pPr>
      <w:r>
        <w:rPr>
          <w:rFonts w:hint="eastAsia" w:ascii="小标宋" w:hAnsi="小标宋" w:eastAsia="小标宋" w:cs="小标宋"/>
          <w:b/>
          <w:bCs/>
          <w:sz w:val="32"/>
          <w:szCs w:val="32"/>
          <w:highlight w:val="none"/>
          <w:lang w:val="en-US" w:eastAsia="zh-CN"/>
        </w:rPr>
        <w:t>采购2025年体育赛事后勤保障服务项目服务合同</w:t>
      </w:r>
    </w:p>
    <w:p w14:paraId="63018F5B">
      <w:pPr>
        <w:pStyle w:val="2"/>
        <w:keepNext w:val="0"/>
        <w:keepLines w:val="0"/>
        <w:pageBreakBefore w:val="0"/>
        <w:kinsoku/>
        <w:wordWrap/>
        <w:overflowPunct/>
        <w:topLinePunct w:val="0"/>
        <w:bidi w:val="0"/>
        <w:spacing w:line="240" w:lineRule="auto"/>
        <w:rPr>
          <w:rFonts w:hint="eastAsia"/>
          <w:highlight w:val="none"/>
        </w:rPr>
      </w:pPr>
    </w:p>
    <w:p w14:paraId="5E4E4332">
      <w:pPr>
        <w:keepNext w:val="0"/>
        <w:keepLines w:val="0"/>
        <w:pageBreakBefore w:val="0"/>
        <w:widowControl w:val="0"/>
        <w:kinsoku/>
        <w:wordWrap/>
        <w:overflowPunct/>
        <w:topLinePunct w:val="0"/>
        <w:bidi w:val="0"/>
        <w:adjustRightInd/>
        <w:spacing w:line="58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甲方：广州南沙文体投资有限公司</w:t>
      </w:r>
    </w:p>
    <w:p w14:paraId="4DC6ACB4">
      <w:pPr>
        <w:keepNext w:val="0"/>
        <w:keepLines w:val="0"/>
        <w:pageBreakBefore w:val="0"/>
        <w:widowControl w:val="0"/>
        <w:kinsoku/>
        <w:wordWrap/>
        <w:overflowPunct/>
        <w:topLinePunct w:val="0"/>
        <w:bidi w:val="0"/>
        <w:adjustRightInd/>
        <w:spacing w:line="58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乙方：</w:t>
      </w:r>
    </w:p>
    <w:p w14:paraId="64DAD572">
      <w:pPr>
        <w:keepNext w:val="0"/>
        <w:keepLines w:val="0"/>
        <w:pageBreakBefore w:val="0"/>
        <w:widowControl w:val="0"/>
        <w:kinsoku/>
        <w:wordWrap/>
        <w:overflowPunct/>
        <w:topLinePunct w:val="0"/>
        <w:bidi w:val="0"/>
        <w:adjustRightInd/>
        <w:spacing w:line="580" w:lineRule="exact"/>
        <w:ind w:firstLine="560" w:firstLineChars="200"/>
        <w:textAlignment w:val="auto"/>
        <w:rPr>
          <w:rFonts w:hint="eastAsia" w:ascii="仿宋" w:hAnsi="仿宋" w:eastAsia="仿宋" w:cs="仿宋"/>
          <w:sz w:val="28"/>
          <w:szCs w:val="28"/>
          <w:highlight w:val="none"/>
          <w:u w:val="single"/>
        </w:rPr>
      </w:pPr>
    </w:p>
    <w:p w14:paraId="19F2F7F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甲乙双方依据《中华人民共和国民法典》以及相关法律法规的规定，就采购</w:t>
      </w:r>
      <w:r>
        <w:rPr>
          <w:rFonts w:hint="eastAsia" w:ascii="仿宋_GB2312" w:hAnsi="仿宋_GB2312" w:eastAsia="仿宋_GB2312" w:cs="仿宋_GB2312"/>
          <w:sz w:val="28"/>
          <w:szCs w:val="28"/>
          <w:highlight w:val="none"/>
          <w:lang w:eastAsia="zh-CN"/>
        </w:rPr>
        <w:t>2025年体育赛事后勤保障服务项目</w:t>
      </w:r>
      <w:r>
        <w:rPr>
          <w:rFonts w:hint="eastAsia" w:ascii="仿宋_GB2312" w:hAnsi="仿宋_GB2312" w:eastAsia="仿宋_GB2312" w:cs="仿宋_GB2312"/>
          <w:sz w:val="28"/>
          <w:szCs w:val="28"/>
          <w:highlight w:val="none"/>
        </w:rPr>
        <w:t>事宜达成一致，特签订本合同。</w:t>
      </w:r>
    </w:p>
    <w:p w14:paraId="499C6443">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一、服务事项</w:t>
      </w:r>
    </w:p>
    <w:p w14:paraId="3839300F">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rPr>
        <w:t>（一）服务</w:t>
      </w:r>
      <w:r>
        <w:rPr>
          <w:rFonts w:hint="eastAsia" w:ascii="仿宋_GB2312" w:hAnsi="仿宋_GB2312" w:eastAsia="仿宋_GB2312" w:cs="仿宋_GB2312"/>
          <w:b w:val="0"/>
          <w:bCs w:val="0"/>
          <w:sz w:val="28"/>
          <w:szCs w:val="28"/>
          <w:highlight w:val="none"/>
          <w:lang w:val="en-US"/>
        </w:rPr>
        <w:t>期限</w:t>
      </w:r>
    </w:p>
    <w:p w14:paraId="1C34B863">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自合同生效之日起至项目/活动完成且付清合同款项之日止。</w:t>
      </w:r>
    </w:p>
    <w:p w14:paraId="45FD21C2">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val="0"/>
          <w:bCs w:val="0"/>
          <w:sz w:val="28"/>
          <w:szCs w:val="28"/>
          <w:highlight w:val="none"/>
          <w:lang w:val="en-US"/>
        </w:rPr>
      </w:pPr>
      <w:r>
        <w:rPr>
          <w:rFonts w:hint="eastAsia" w:ascii="仿宋_GB2312" w:hAnsi="仿宋_GB2312" w:eastAsia="仿宋_GB2312" w:cs="仿宋_GB2312"/>
          <w:b w:val="0"/>
          <w:bCs w:val="0"/>
          <w:sz w:val="28"/>
          <w:szCs w:val="28"/>
          <w:highlight w:val="none"/>
          <w:lang w:val="en-US"/>
        </w:rPr>
        <w:t>（二）服务时间</w:t>
      </w:r>
    </w:p>
    <w:p w14:paraId="052FF423">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b w:val="0"/>
          <w:bCs w:val="0"/>
          <w:sz w:val="28"/>
          <w:szCs w:val="28"/>
          <w:highlight w:val="none"/>
          <w:lang w:val="en-US" w:eastAsia="zh-CN"/>
        </w:rPr>
        <w:t>自合同生效之日起至项目完成且付清合同款项之日止；（如因不可抗力原因导致项目改期，以甲方重新约定的时间为准）。</w:t>
      </w:r>
    </w:p>
    <w:p w14:paraId="501F8DDB">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val="0"/>
          <w:bCs w:val="0"/>
          <w:sz w:val="28"/>
          <w:szCs w:val="28"/>
          <w:highlight w:val="none"/>
          <w:lang w:val="en-US"/>
        </w:rPr>
      </w:pPr>
      <w:r>
        <w:rPr>
          <w:rFonts w:hint="eastAsia" w:ascii="仿宋_GB2312" w:hAnsi="仿宋_GB2312" w:eastAsia="仿宋_GB2312" w:cs="仿宋_GB2312"/>
          <w:b w:val="0"/>
          <w:bCs w:val="0"/>
          <w:sz w:val="28"/>
          <w:szCs w:val="28"/>
          <w:highlight w:val="none"/>
          <w:lang w:val="en-US"/>
        </w:rPr>
        <w:t>（三）服务地点</w:t>
      </w:r>
    </w:p>
    <w:p w14:paraId="67C83B71">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广州市内。</w:t>
      </w:r>
    </w:p>
    <w:p w14:paraId="5CE69EC6">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w:t>
      </w:r>
      <w:r>
        <w:rPr>
          <w:rFonts w:hint="eastAsia" w:ascii="仿宋_GB2312" w:hAnsi="仿宋_GB2312" w:eastAsia="仿宋_GB2312" w:cs="仿宋_GB2312"/>
          <w:b w:val="0"/>
          <w:bCs w:val="0"/>
          <w:sz w:val="28"/>
          <w:szCs w:val="28"/>
          <w:highlight w:val="none"/>
          <w:lang w:val="en-US" w:eastAsia="zh-CN"/>
        </w:rPr>
        <w:t>四</w:t>
      </w:r>
      <w:r>
        <w:rPr>
          <w:rFonts w:hint="eastAsia" w:ascii="仿宋_GB2312" w:hAnsi="仿宋_GB2312" w:eastAsia="仿宋_GB2312" w:cs="仿宋_GB2312"/>
          <w:b w:val="0"/>
          <w:bCs w:val="0"/>
          <w:sz w:val="28"/>
          <w:szCs w:val="28"/>
          <w:highlight w:val="none"/>
        </w:rPr>
        <w:t>）服务内容</w:t>
      </w:r>
    </w:p>
    <w:p w14:paraId="4D7D8107">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乙方为甲方</w:t>
      </w:r>
      <w:r>
        <w:rPr>
          <w:rFonts w:hint="eastAsia" w:ascii="仿宋_GB2312" w:hAnsi="仿宋_GB2312" w:eastAsia="仿宋_GB2312" w:cs="仿宋_GB2312"/>
          <w:b w:val="0"/>
          <w:bCs w:val="0"/>
          <w:color w:val="auto"/>
          <w:sz w:val="28"/>
          <w:szCs w:val="28"/>
          <w:highlight w:val="none"/>
          <w:lang w:val="en-US" w:eastAsia="zh-CN"/>
        </w:rPr>
        <w:t>的</w:t>
      </w:r>
      <w:r>
        <w:rPr>
          <w:rFonts w:hint="eastAsia" w:ascii="仿宋_GB2312" w:hAnsi="仿宋_GB2312" w:eastAsia="仿宋_GB2312" w:cs="仿宋_GB2312"/>
          <w:b w:val="0"/>
          <w:bCs w:val="0"/>
          <w:sz w:val="28"/>
          <w:szCs w:val="28"/>
          <w:highlight w:val="none"/>
          <w:lang w:eastAsia="zh-CN"/>
        </w:rPr>
        <w:t>2025年体育赛事后勤保障服务项目</w:t>
      </w:r>
      <w:r>
        <w:rPr>
          <w:rFonts w:hint="eastAsia" w:ascii="仿宋_GB2312" w:hAnsi="仿宋_GB2312" w:eastAsia="仿宋_GB2312" w:cs="仿宋_GB2312"/>
          <w:b w:val="0"/>
          <w:bCs w:val="0"/>
          <w:sz w:val="28"/>
          <w:szCs w:val="28"/>
          <w:highlight w:val="none"/>
          <w:lang w:val="en-US" w:eastAsia="zh-CN"/>
        </w:rPr>
        <w:t>，</w:t>
      </w:r>
      <w:r>
        <w:rPr>
          <w:rFonts w:hint="eastAsia" w:ascii="仿宋_GB2312" w:hAnsi="仿宋_GB2312" w:eastAsia="仿宋_GB2312" w:cs="仿宋_GB2312"/>
          <w:b w:val="0"/>
          <w:bCs w:val="0"/>
          <w:sz w:val="28"/>
          <w:szCs w:val="28"/>
          <w:highlight w:val="none"/>
        </w:rPr>
        <w:t>具体包括：</w:t>
      </w:r>
    </w:p>
    <w:p w14:paraId="4884872B">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1.安排落实部分参赛项目运动员、教练员、领队等工作人员因参赛所需的住宿，提供足够数量的、符合标准的住宿房间，协调解决相关的住宿服务；</w:t>
      </w:r>
    </w:p>
    <w:p w14:paraId="1213FF11">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2.安排落实参赛运动员、教练员、领队等工作人员因参赛所需的伙食，提供足够数量的、符合标准的食物，协调解决相关的餐饮服务；</w:t>
      </w:r>
    </w:p>
    <w:p w14:paraId="2E4176CF">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3.组织落实运动员</w:t>
      </w:r>
      <w:r>
        <w:rPr>
          <w:rFonts w:hint="eastAsia" w:ascii="仿宋_GB2312" w:hAnsi="仿宋_GB2312" w:eastAsia="仿宋_GB2312" w:cs="仿宋_GB2312"/>
          <w:b w:val="0"/>
          <w:bCs w:val="0"/>
          <w:sz w:val="28"/>
          <w:szCs w:val="28"/>
          <w:highlight w:val="none"/>
          <w:lang w:val="en-US" w:eastAsia="zh-CN"/>
        </w:rPr>
        <w:t>赛前</w:t>
      </w:r>
      <w:r>
        <w:rPr>
          <w:rFonts w:hint="eastAsia" w:ascii="仿宋_GB2312" w:hAnsi="仿宋_GB2312" w:eastAsia="仿宋_GB2312" w:cs="仿宋_GB2312"/>
          <w:b w:val="0"/>
          <w:bCs w:val="0"/>
          <w:sz w:val="28"/>
          <w:szCs w:val="28"/>
          <w:highlight w:val="none"/>
          <w:lang w:eastAsia="zh-CN"/>
        </w:rPr>
        <w:t>体检等相关事宜；</w:t>
      </w:r>
    </w:p>
    <w:p w14:paraId="7F1E86A3">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4.购买落实参赛所需的应急医药品、能量补给品，确保产品数量、质量符合参赛及安全要求；</w:t>
      </w:r>
    </w:p>
    <w:p w14:paraId="406C6E51">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5.购买保险：必须为参赛运动员购买人身意外险，</w:t>
      </w:r>
      <w:r>
        <w:rPr>
          <w:rFonts w:hint="eastAsia" w:ascii="仿宋_GB2312" w:hAnsi="仿宋_GB2312" w:eastAsia="仿宋_GB2312" w:cs="仿宋_GB2312"/>
          <w:b w:val="0"/>
          <w:bCs w:val="0"/>
          <w:sz w:val="28"/>
          <w:szCs w:val="28"/>
          <w:highlight w:val="none"/>
          <w:lang w:val="en-US" w:eastAsia="zh-CN"/>
        </w:rPr>
        <w:t>并负责</w:t>
      </w:r>
      <w:r>
        <w:rPr>
          <w:rFonts w:hint="eastAsia" w:ascii="仿宋_GB2312" w:hAnsi="仿宋_GB2312" w:eastAsia="仿宋_GB2312" w:cs="仿宋_GB2312"/>
          <w:b w:val="0"/>
          <w:bCs w:val="0"/>
          <w:sz w:val="28"/>
          <w:szCs w:val="28"/>
          <w:highlight w:val="none"/>
          <w:lang w:eastAsia="zh-CN"/>
        </w:rPr>
        <w:t>办理保险理赔等相关事宜</w:t>
      </w:r>
    </w:p>
    <w:p w14:paraId="4EA50265">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6.</w:t>
      </w:r>
      <w:r>
        <w:rPr>
          <w:rFonts w:hint="eastAsia" w:ascii="仿宋_GB2312" w:hAnsi="仿宋_GB2312" w:eastAsia="仿宋_GB2312" w:cs="仿宋_GB2312"/>
          <w:b w:val="0"/>
          <w:bCs w:val="0"/>
          <w:sz w:val="28"/>
          <w:szCs w:val="28"/>
          <w:highlight w:val="none"/>
          <w:lang w:val="en-US" w:eastAsia="zh-CN"/>
        </w:rPr>
        <w:t>协助</w:t>
      </w:r>
      <w:r>
        <w:rPr>
          <w:rFonts w:hint="eastAsia" w:ascii="仿宋_GB2312" w:hAnsi="仿宋_GB2312" w:eastAsia="仿宋_GB2312" w:cs="仿宋_GB2312"/>
          <w:b w:val="0"/>
          <w:bCs w:val="0"/>
          <w:sz w:val="28"/>
          <w:szCs w:val="28"/>
          <w:highlight w:val="none"/>
          <w:lang w:eastAsia="zh-CN"/>
        </w:rPr>
        <w:t>落实参赛运动员、教练员、领队等工作人员因参赛所需其他不可预计的工作事项。</w:t>
      </w:r>
    </w:p>
    <w:p w14:paraId="1A3FA4B1">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二、合同金额及支付方式</w:t>
      </w:r>
    </w:p>
    <w:p w14:paraId="05075DA1">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（一）合同金额</w:t>
      </w:r>
    </w:p>
    <w:p w14:paraId="6831D5F4">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本合同</w:t>
      </w:r>
      <w:r>
        <w:rPr>
          <w:rFonts w:hint="eastAsia" w:ascii="仿宋_GB2312" w:hAnsi="仿宋_GB2312" w:eastAsia="仿宋_GB2312" w:cs="仿宋_GB2312"/>
          <w:b w:val="0"/>
          <w:bCs w:val="0"/>
          <w:sz w:val="28"/>
          <w:szCs w:val="28"/>
          <w:highlight w:val="none"/>
          <w:lang w:val="en-US" w:eastAsia="zh-CN"/>
        </w:rPr>
        <w:t>暂定</w:t>
      </w:r>
      <w:r>
        <w:rPr>
          <w:rFonts w:hint="eastAsia" w:ascii="仿宋_GB2312" w:hAnsi="仿宋_GB2312" w:eastAsia="仿宋_GB2312" w:cs="仿宋_GB2312"/>
          <w:b w:val="0"/>
          <w:bCs w:val="0"/>
          <w:sz w:val="28"/>
          <w:szCs w:val="28"/>
          <w:highlight w:val="none"/>
          <w:lang w:eastAsia="zh-CN"/>
        </w:rPr>
        <w:t>金额（含税）为</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lang w:eastAsia="zh-CN"/>
        </w:rPr>
        <w:t>元（大写：</w:t>
      </w:r>
      <w:r>
        <w:rPr>
          <w:rFonts w:hint="eastAsia" w:ascii="仿宋_GB2312" w:hAnsi="仿宋_GB2312" w:eastAsia="仿宋_GB2312" w:cs="仿宋_GB2312"/>
          <w:b w:val="0"/>
          <w:bCs w:val="0"/>
          <w:sz w:val="28"/>
          <w:szCs w:val="28"/>
          <w:highlight w:val="none"/>
          <w:lang w:val="en-US" w:eastAsia="zh-CN"/>
        </w:rPr>
        <w:t>人民币</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。合同约定单价为含税价格（单价详见附件）</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按各参赛项目据实结算费用，但结算总金额不得超过</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lang w:val="en-US" w:eastAsia="zh-CN"/>
        </w:rPr>
        <w:t>元</w:t>
      </w:r>
      <w:r>
        <w:rPr>
          <w:rFonts w:hint="eastAsia" w:ascii="仿宋_GB2312" w:hAnsi="仿宋_GB2312" w:eastAsia="仿宋_GB2312" w:cs="仿宋_GB2312"/>
          <w:b w:val="0"/>
          <w:bCs w:val="0"/>
          <w:sz w:val="28"/>
          <w:szCs w:val="28"/>
          <w:highlight w:val="none"/>
          <w:lang w:eastAsia="zh-CN"/>
        </w:rPr>
        <w:t>。</w:t>
      </w:r>
    </w:p>
    <w:p w14:paraId="57AC27F9">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（二）支付方式</w:t>
      </w:r>
    </w:p>
    <w:p w14:paraId="6BF06260">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分两期支付：</w:t>
      </w:r>
    </w:p>
    <w:p w14:paraId="388B6AAA">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第一期支付合同总金额的30%，即</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lang w:eastAsia="zh-CN"/>
        </w:rPr>
        <w:t>元（大写：</w:t>
      </w:r>
      <w:r>
        <w:rPr>
          <w:rFonts w:hint="eastAsia" w:ascii="仿宋_GB2312" w:hAnsi="仿宋_GB2312" w:eastAsia="仿宋_GB2312" w:cs="仿宋_GB2312"/>
          <w:b w:val="0"/>
          <w:bCs w:val="0"/>
          <w:sz w:val="28"/>
          <w:szCs w:val="28"/>
          <w:highlight w:val="none"/>
          <w:lang w:val="en-US" w:eastAsia="zh-CN"/>
        </w:rPr>
        <w:t>人民币</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，甲方在收到乙方提供的增值税专用发票后30个工作日内向乙方支付；</w:t>
      </w:r>
    </w:p>
    <w:p w14:paraId="736B796F">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第二期合同款项，乙方在赛事结束后按照合同约定单价为含税价格（单价详见附件），按各参赛项目据实结算费用，但结算总金额不得超过</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lang w:eastAsia="zh-CN"/>
        </w:rPr>
        <w:t>元</w:t>
      </w:r>
      <w:r>
        <w:rPr>
          <w:rFonts w:hint="eastAsia" w:ascii="仿宋_GB2312" w:hAnsi="仿宋_GB2312" w:eastAsia="仿宋_GB2312" w:cs="仿宋_GB2312"/>
          <w:b w:val="0"/>
          <w:bCs w:val="0"/>
          <w:sz w:val="28"/>
          <w:szCs w:val="28"/>
          <w:highlight w:val="none"/>
          <w:lang w:val="en-US" w:eastAsia="zh-CN"/>
        </w:rPr>
        <w:t>。甲方自收到乙方提供的增值税专用发票之日起30个工作日内办理支付手续。</w:t>
      </w:r>
    </w:p>
    <w:p w14:paraId="4A7DF487">
      <w:pPr>
        <w:pStyle w:val="2"/>
        <w:keepNext w:val="0"/>
        <w:keepLines w:val="0"/>
        <w:pageBreakBefore w:val="0"/>
        <w:widowControl w:val="0"/>
        <w:numPr>
          <w:ilvl w:val="-1"/>
          <w:numId w:val="0"/>
        </w:numPr>
        <w:tabs>
          <w:tab w:val="left" w:pos="0"/>
        </w:tabs>
        <w:kinsoku/>
        <w:wordWrap/>
        <w:overflowPunct/>
        <w:topLinePunct w:val="0"/>
        <w:autoSpaceDE/>
        <w:autoSpaceDN/>
        <w:bidi w:val="0"/>
        <w:adjustRightInd/>
        <w:spacing w:line="560" w:lineRule="exact"/>
        <w:ind w:leftChars="0" w:firstLine="562" w:firstLineChars="200"/>
        <w:textAlignment w:val="auto"/>
        <w:rPr>
          <w:rFonts w:hint="eastAsia" w:ascii="仿宋_GB2312" w:hAnsi="仿宋_GB2312" w:eastAsia="仿宋_GB2312" w:cs="仿宋_GB2312"/>
          <w:sz w:val="28"/>
          <w:szCs w:val="28"/>
          <w:highlight w:val="none"/>
          <w:lang w:val="en-US"/>
        </w:rPr>
      </w:pPr>
      <w:r>
        <w:rPr>
          <w:rFonts w:hint="eastAsia" w:ascii="仿宋_GB2312" w:hAnsi="仿宋_GB2312" w:eastAsia="仿宋_GB2312" w:cs="仿宋_GB2312"/>
          <w:sz w:val="28"/>
          <w:szCs w:val="28"/>
          <w:highlight w:val="none"/>
          <w:lang w:val="en-US" w:eastAsia="zh-CN"/>
        </w:rPr>
        <w:t>（三）</w:t>
      </w:r>
      <w:r>
        <w:rPr>
          <w:rFonts w:hint="eastAsia" w:ascii="仿宋_GB2312" w:hAnsi="仿宋_GB2312" w:eastAsia="仿宋_GB2312" w:cs="仿宋_GB2312"/>
          <w:sz w:val="28"/>
          <w:szCs w:val="28"/>
          <w:highlight w:val="none"/>
          <w:lang w:val="en-US"/>
        </w:rPr>
        <w:t>双方信息</w:t>
      </w:r>
    </w:p>
    <w:p w14:paraId="65A923E1">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1.甲方开票信息：</w:t>
      </w:r>
    </w:p>
    <w:p w14:paraId="6A732CB3">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单位名称：广州南沙文体投资有限公司</w:t>
      </w:r>
    </w:p>
    <w:p w14:paraId="22DA17A1">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纳税人识别号：91440101MA9W1FKL83</w:t>
      </w:r>
    </w:p>
    <w:p w14:paraId="667A21B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2.乙方银行账户信息：</w:t>
      </w:r>
    </w:p>
    <w:p w14:paraId="1CECC91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银</w:t>
      </w:r>
      <w:r>
        <w:rPr>
          <w:rFonts w:hint="eastAsia" w:ascii="仿宋_GB2312" w:hAnsi="仿宋_GB2312" w:eastAsia="仿宋_GB2312" w:cs="仿宋_GB2312"/>
          <w:sz w:val="28"/>
          <w:szCs w:val="28"/>
          <w:highlight w:val="none"/>
          <w:lang w:eastAsia="zh-CN"/>
        </w:rPr>
        <w:t>行账号：</w:t>
      </w:r>
    </w:p>
    <w:p w14:paraId="150A6E93">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开户名：</w:t>
      </w:r>
    </w:p>
    <w:p w14:paraId="1F87D03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开户行：</w:t>
      </w:r>
    </w:p>
    <w:p w14:paraId="4DFEED0F">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3.若甲方对乙方提出的付款通知有异议的，甲方将在收到该付款通知三个工作日内向乙方发出异议通知且暂时停止支付。经甲方同意确认后，甲方再行支付该笔费用。</w:t>
      </w:r>
    </w:p>
    <w:p w14:paraId="04FB20D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4.若乙方未及时发出书面通知导致甲方未支付的，甲方不承担任何违约责任。</w:t>
      </w:r>
    </w:p>
    <w:p w14:paraId="28B36ED7">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在甲方付款前，乙方必须提供正式、合法、等额的增值税专用发票。若乙方不提供发票，甲方有权拒绝支付该笔款项且不承担任何违约责任。同时，乙方不得因此而停止工作。如乙方向甲方提供的发票不符合本合同约定或法律规定，因此给甲方造成的一切损失由乙方承担（包括但不限于损害赔偿、消除影响等）。</w:t>
      </w:r>
    </w:p>
    <w:p w14:paraId="02237304">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6.乙方必须保证合同签订方、提供服务方、收款方、发票开具方一致，收款账号必须和合同约定的银行账号以及实际收款账号一致，否则甲方有权拒绝支付款项。</w:t>
      </w:r>
    </w:p>
    <w:p w14:paraId="393D449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7.乙方必须确保该项服务在乙方营业范围内，发票开具项目内容要与实际发生业务相符，否则甲方有权拒绝支付款项。</w:t>
      </w:r>
    </w:p>
    <w:p w14:paraId="719356E5">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sz w:val="28"/>
          <w:szCs w:val="28"/>
          <w:highlight w:val="none"/>
        </w:rPr>
        <w:t>8.乙方签订合同时已充分了解甲方价款支付流程，因甲方请款流程导致付款时间延后不属于甲方违约。</w:t>
      </w:r>
    </w:p>
    <w:p w14:paraId="116127C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三、双方权利与义务</w:t>
      </w:r>
    </w:p>
    <w:p w14:paraId="31C75992">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（一）甲方权利与义务</w:t>
      </w:r>
    </w:p>
    <w:p w14:paraId="2198B53C">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1.负责合同金额的申请及支付。</w:t>
      </w:r>
    </w:p>
    <w:p w14:paraId="17A06017">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2.负责向乙方提供完成本合同约定服务事项所必须的资料。</w:t>
      </w:r>
    </w:p>
    <w:p w14:paraId="34024F99">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3.对超出本合同报价范围内的工作，需另签专项合作协议。</w:t>
      </w:r>
    </w:p>
    <w:p w14:paraId="26B42ADA">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4.甲方有权对乙方服务提出整改意见，乙方应按照甲方的要求限期予以整改。</w:t>
      </w:r>
    </w:p>
    <w:p w14:paraId="480BBE15">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（二）乙方权利与义务</w:t>
      </w:r>
    </w:p>
    <w:p w14:paraId="532D58E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1.负责提供服务发票、收取合同金额。</w:t>
      </w:r>
    </w:p>
    <w:p w14:paraId="416313A1">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2.负责根据甲方要求落实各项服务工作。</w:t>
      </w:r>
    </w:p>
    <w:p w14:paraId="50B517CA">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3.若甲方要求乙方提供的服务超出附件报价内容，乙方有义务及时告知甲方。如超出部分服务内容在乙方经营范围内，双方另行协商。</w:t>
      </w:r>
    </w:p>
    <w:p w14:paraId="68C1AEBC">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val="en-US"/>
        </w:rPr>
      </w:pPr>
      <w:r>
        <w:rPr>
          <w:rFonts w:hint="eastAsia" w:ascii="仿宋_GB2312" w:hAnsi="仿宋_GB2312" w:eastAsia="仿宋_GB2312" w:cs="仿宋_GB2312"/>
          <w:b w:val="0"/>
          <w:bCs/>
          <w:sz w:val="28"/>
          <w:szCs w:val="28"/>
          <w:highlight w:val="none"/>
          <w:lang w:val="en-US"/>
        </w:rPr>
        <w:t>4.乙方保证其具有签署和履行本合同的合法经营资质和履约能力，已依法办理实施本业务所需的公司内外之审批许可、相关授权和登记备案手续并取得相关证照，其实施本业务不违反现行法律法规，不侵犯任何第三方的合法权益，不从事任何损害或者可能损害甲方或甲方客户品牌形象、名誉和其他商业利益的行为。</w:t>
      </w:r>
    </w:p>
    <w:p w14:paraId="3146B8BE">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val="en-US"/>
        </w:rPr>
      </w:pPr>
      <w:r>
        <w:rPr>
          <w:rFonts w:hint="eastAsia" w:ascii="仿宋_GB2312" w:hAnsi="仿宋_GB2312" w:eastAsia="仿宋_GB2312" w:cs="仿宋_GB2312"/>
          <w:b w:val="0"/>
          <w:bCs/>
          <w:sz w:val="28"/>
          <w:szCs w:val="28"/>
          <w:highlight w:val="none"/>
          <w:lang w:val="en-US"/>
        </w:rPr>
        <w:t>5.因乙方责任导致甲方受到经济损失、人身损害或第三方主张权利的，由乙方负责处理及承担赔偿责任，并赔偿甲方因此所受到的全部损失，包括但不限于对被侵权方的赔偿、律师费、诉讼费等。</w:t>
      </w:r>
    </w:p>
    <w:p w14:paraId="3A047C4C">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val="en-US"/>
        </w:rPr>
      </w:pPr>
      <w:r>
        <w:rPr>
          <w:rFonts w:hint="eastAsia" w:ascii="仿宋_GB2312" w:hAnsi="仿宋_GB2312" w:eastAsia="仿宋_GB2312" w:cs="仿宋_GB2312"/>
          <w:b w:val="0"/>
          <w:bCs/>
          <w:sz w:val="28"/>
          <w:szCs w:val="28"/>
          <w:highlight w:val="none"/>
          <w:lang w:val="en-US"/>
        </w:rPr>
        <w:t>6.乙方及其工作人员因履行本合同而知晓的甲方相关项目信息（包括但不限于资料、文件、个人信息等），乙方未经甲方书面同意，乙方不得为其他任何目的使用或者许可任何第三人使用前述保密信息，亦不得向任何第三人透露或者泄露上述保密信息。</w:t>
      </w:r>
    </w:p>
    <w:p w14:paraId="6AE122C2">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val="en-US"/>
        </w:rPr>
      </w:pPr>
      <w:r>
        <w:rPr>
          <w:rFonts w:hint="eastAsia" w:ascii="仿宋_GB2312" w:hAnsi="仿宋_GB2312" w:eastAsia="仿宋_GB2312" w:cs="仿宋_GB2312"/>
          <w:b w:val="0"/>
          <w:bCs/>
          <w:sz w:val="28"/>
          <w:szCs w:val="28"/>
          <w:highlight w:val="none"/>
          <w:lang w:val="en-US"/>
        </w:rPr>
        <w:t>7.乙方保证在履行本合同中向甲方提供的全部工作成果（包括但不限于动画、设计、视频、海报、图片、文字等资料）具有原创性或具有合法权益，不会侵犯任何其他人的知识产权或合法权益，否则一切责任由乙方自行承担。因乙方侵犯他人权益导致甲方为此承担法律责任的，甲方有权向乙方全部追偿。</w:t>
      </w:r>
    </w:p>
    <w:p w14:paraId="06A64D62">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8.乙方需委派专人负责跟进本次项目全过程，包括跟进就餐、安排住宿等一切事宜。乙方还应指派不少于1名工作人员独立跟进单个项目，跟进各项比赛的参赛后勤保障服务，确保服务落实到位；</w:t>
      </w:r>
    </w:p>
    <w:p w14:paraId="31DDFA3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9.若比赛中涉及住宿的，其伙食费应包含一日三餐。住宿标准要求：标准双人间，空调房。两位人员同性别的为一个房间，如出现单数或单男、单女情况，需保证其各自有独立房间。餐食及酒店须经采购人同意后方可预定；</w:t>
      </w:r>
    </w:p>
    <w:p w14:paraId="6CE8ADB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10.若比赛中涉及用餐的，应优先选择住宿酒店自有自助餐。餐食标准不得低于以下标准：早餐选择种类应包括但不限于鸡蛋、牛奶、粥、粉、面等；午餐标准应为二菜二肉一汤；晚餐要求安排围餐或自助餐；三餐应不限量，以满足参赛运动员在剧烈运动过后的用餐需求；</w:t>
      </w:r>
    </w:p>
    <w:p w14:paraId="149426FC">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11.乙方提供的各项参赛后勤保障服务，均须在事前与采购人充分洽谈，无条件配合采购人的各项工作安排；</w:t>
      </w:r>
    </w:p>
    <w:p w14:paraId="4B7DF3E4">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12.乙方须承诺在服务期间，如因赛程调整或突发情况，导致新增运动项目，采购人不另行支付任何费用，乙方不得拒绝提供服务。</w:t>
      </w:r>
    </w:p>
    <w:p w14:paraId="345E3D8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13.乙方拒绝完成或降低质量完成参赛后勤保障服务的，采购人有权终止合同，一切后果由乙方自行承担；</w:t>
      </w:r>
    </w:p>
    <w:p w14:paraId="7435333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14.乙方不得以任何形式转包或分包本项目。</w:t>
      </w:r>
    </w:p>
    <w:p w14:paraId="4AA976C3">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15.该合同金额包含本项目合同实施过程中的可预见和不可预见的全部费用。</w:t>
      </w:r>
    </w:p>
    <w:p w14:paraId="2966F26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16.投标报价为最高报价，以人民币为结算单位，包括完成本项目全部服务内容所产生的所有费用，以及其他必要的伴随服务、全额含税发票、劳务费用、合同实施过程中应预见和不可预见费用等。</w:t>
      </w:r>
    </w:p>
    <w:p w14:paraId="1DED139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kern w:val="2"/>
          <w:sz w:val="28"/>
          <w:szCs w:val="28"/>
          <w:highlight w:val="none"/>
          <w:lang w:val="en-US" w:eastAsia="zh-CN" w:bidi="zh-CN"/>
        </w:rPr>
      </w:pPr>
      <w:r>
        <w:rPr>
          <w:rFonts w:hint="eastAsia" w:ascii="仿宋_GB2312" w:hAnsi="仿宋_GB2312" w:eastAsia="仿宋_GB2312" w:cs="仿宋_GB2312"/>
          <w:kern w:val="2"/>
          <w:sz w:val="28"/>
          <w:szCs w:val="28"/>
          <w:highlight w:val="none"/>
          <w:lang w:val="en-US" w:eastAsia="zh-CN" w:bidi="zh-CN"/>
        </w:rPr>
        <w:t>17.若因政府各级部门根据实际情况对活动作出调整、暂停或取消的决定，乙方须按政府各级部门的相关要求执行，同时须无条件接受本次活动调整、暂停或取消。</w:t>
      </w:r>
    </w:p>
    <w:p w14:paraId="2888649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四</w:t>
      </w:r>
      <w:r>
        <w:rPr>
          <w:rFonts w:hint="eastAsia" w:ascii="仿宋_GB2312" w:hAnsi="仿宋_GB2312" w:eastAsia="仿宋_GB2312" w:cs="仿宋_GB2312"/>
          <w:b/>
          <w:bCs/>
          <w:sz w:val="28"/>
          <w:szCs w:val="28"/>
          <w:highlight w:val="none"/>
        </w:rPr>
        <w:t>、违约责任</w:t>
      </w:r>
    </w:p>
    <w:p w14:paraId="6E026FB8">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val="en-US"/>
        </w:rPr>
      </w:pPr>
      <w:r>
        <w:rPr>
          <w:rFonts w:hint="eastAsia" w:ascii="仿宋_GB2312" w:hAnsi="仿宋_GB2312" w:eastAsia="仿宋_GB2312" w:cs="仿宋_GB2312"/>
          <w:b w:val="0"/>
          <w:bCs/>
          <w:sz w:val="28"/>
          <w:szCs w:val="28"/>
          <w:highlight w:val="none"/>
          <w:lang w:val="en-US"/>
        </w:rPr>
        <w:t>（一）乙方逾期履行本合同义务的，每逾期一日，乙方应当向甲方支付本合同金额的10‰作为违约金；逾期至10日的，甲方有权单方解除本合同，不予支付任何款项，已经支付的，乙方应当返还，并且乙方应当向甲方支付本合同金额的10%作为违约金及赔偿由此造成的甲方损失。</w:t>
      </w:r>
    </w:p>
    <w:p w14:paraId="3D515643">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val="en-US" w:eastAsia="zh-CN"/>
        </w:rPr>
      </w:pPr>
      <w:r>
        <w:rPr>
          <w:rFonts w:hint="eastAsia" w:ascii="仿宋_GB2312" w:hAnsi="仿宋_GB2312" w:eastAsia="仿宋_GB2312" w:cs="仿宋_GB2312"/>
          <w:b w:val="0"/>
          <w:bCs/>
          <w:sz w:val="28"/>
          <w:szCs w:val="28"/>
          <w:highlight w:val="none"/>
          <w:lang w:val="en-US"/>
        </w:rPr>
        <w:t>（二）甲方对乙方提供的服务提出意见，乙方应限期整改。若乙方拒绝整改或整改后仍不符合要求的，甲方有权单方解除本合同，不予支付任何款项，已经支付的，乙方应当返还，并且乙方应当向甲方支付本合同金额的10%作为违约金及赔偿由此造成的甲方损失。</w:t>
      </w:r>
    </w:p>
    <w:p w14:paraId="138FB597">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lang w:val="en-US"/>
        </w:rPr>
      </w:pPr>
      <w:r>
        <w:rPr>
          <w:rFonts w:hint="eastAsia" w:ascii="仿宋_GB2312" w:hAnsi="仿宋_GB2312" w:eastAsia="仿宋_GB2312" w:cs="仿宋_GB2312"/>
          <w:b w:val="0"/>
          <w:bCs/>
          <w:sz w:val="28"/>
          <w:szCs w:val="28"/>
          <w:highlight w:val="none"/>
          <w:lang w:val="en-US"/>
        </w:rPr>
        <w:t>（三）任何签约方违反本合同约定或因己方责任导致对方受到经济损失、人身损害或第三方主张权利的，违约方应向守约方承担一切经济损失并承担相应赔偿责任，该损失包括但不限于涉诉产生律师费、诉讼费/仲裁费、公证费、保全费、鉴定费等。</w:t>
      </w:r>
    </w:p>
    <w:p w14:paraId="3479F2FF">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五</w:t>
      </w:r>
      <w:r>
        <w:rPr>
          <w:rFonts w:hint="eastAsia" w:ascii="仿宋_GB2312" w:hAnsi="仿宋_GB2312" w:eastAsia="仿宋_GB2312" w:cs="仿宋_GB2312"/>
          <w:b/>
          <w:bCs/>
          <w:sz w:val="28"/>
          <w:szCs w:val="28"/>
          <w:highlight w:val="none"/>
        </w:rPr>
        <w:t>、不可抗力</w:t>
      </w:r>
    </w:p>
    <w:p w14:paraId="1886955D">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val="en-US"/>
        </w:rPr>
      </w:pPr>
      <w:r>
        <w:rPr>
          <w:rFonts w:hint="eastAsia" w:ascii="仿宋_GB2312" w:hAnsi="仿宋_GB2312" w:eastAsia="仿宋_GB2312" w:cs="仿宋_GB2312"/>
          <w:b w:val="0"/>
          <w:bCs/>
          <w:sz w:val="28"/>
          <w:szCs w:val="28"/>
          <w:highlight w:val="none"/>
          <w:lang w:val="en-US"/>
        </w:rPr>
        <w:t>因不可抗力因素而导致不能履行合同时（不可抗力因素包括战争、火灾、洪水、台风、地震、政策变化、疫情原因或其他人力不可抗拒之事件）。双方的任何一方由于不可抗力的原因不能履行合同时，应及时以书面形式通知对方不能履行或不能完全履行的理由，以减轻可能给对方造成的损失，在取得双方同意后，允许延期履行、部分履行或不履行合同，并根据情况可部分或全部免予承担违约责任。</w:t>
      </w:r>
    </w:p>
    <w:p w14:paraId="0ABD932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六</w:t>
      </w:r>
      <w:r>
        <w:rPr>
          <w:rFonts w:hint="eastAsia" w:ascii="仿宋_GB2312" w:hAnsi="仿宋_GB2312" w:eastAsia="仿宋_GB2312" w:cs="仿宋_GB2312"/>
          <w:b/>
          <w:bCs/>
          <w:sz w:val="28"/>
          <w:szCs w:val="28"/>
          <w:highlight w:val="none"/>
        </w:rPr>
        <w:t>、争议解决</w:t>
      </w:r>
    </w:p>
    <w:p w14:paraId="4F2EF591">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bidi="zh-CN"/>
        </w:rPr>
        <w:t>双方因履行本合同发生纠纷的，应本着友好的态度协商解决。协商不成的，任何一方均有权向广州市南沙区人民法院提起诉讼。</w:t>
      </w:r>
    </w:p>
    <w:p w14:paraId="719BE21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七</w:t>
      </w:r>
      <w:r>
        <w:rPr>
          <w:rFonts w:hint="eastAsia" w:ascii="仿宋_GB2312" w:hAnsi="仿宋_GB2312" w:eastAsia="仿宋_GB2312" w:cs="仿宋_GB2312"/>
          <w:b/>
          <w:bCs/>
          <w:sz w:val="28"/>
          <w:szCs w:val="28"/>
          <w:highlight w:val="none"/>
        </w:rPr>
        <w:t>、其它事宜</w:t>
      </w:r>
    </w:p>
    <w:p w14:paraId="48F6219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（一）本合同有效期自本合同签订之日起至双方权利义务履行完毕之日止。</w:t>
      </w:r>
    </w:p>
    <w:p w14:paraId="2A11955D">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（二）本合同未尽事宜，双方友好协商，另订补充协议。附件是本合同的有效组成部分，与本合同具有同等法律效力。</w:t>
      </w:r>
    </w:p>
    <w:p w14:paraId="1D7203E9">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（三）本合同一式</w:t>
      </w:r>
      <w:r>
        <w:rPr>
          <w:rFonts w:hint="eastAsia" w:ascii="仿宋_GB2312" w:hAnsi="仿宋_GB2312" w:eastAsia="仿宋_GB2312" w:cs="仿宋_GB2312"/>
          <w:sz w:val="28"/>
          <w:szCs w:val="28"/>
          <w:highlight w:val="none"/>
          <w:lang w:val="en-US" w:eastAsia="zh-CN"/>
        </w:rPr>
        <w:t>陆</w:t>
      </w:r>
      <w:r>
        <w:rPr>
          <w:rFonts w:hint="eastAsia" w:ascii="仿宋_GB2312" w:hAnsi="仿宋_GB2312" w:eastAsia="仿宋_GB2312" w:cs="仿宋_GB2312"/>
          <w:sz w:val="28"/>
          <w:szCs w:val="28"/>
          <w:highlight w:val="none"/>
        </w:rPr>
        <w:t>份，</w:t>
      </w:r>
      <w:r>
        <w:rPr>
          <w:rFonts w:hint="eastAsia" w:ascii="仿宋_GB2312" w:hAnsi="仿宋_GB2312" w:eastAsia="仿宋_GB2312" w:cs="仿宋_GB2312"/>
          <w:sz w:val="28"/>
          <w:szCs w:val="28"/>
          <w:highlight w:val="none"/>
          <w:lang w:val="en-US" w:eastAsia="zh-CN"/>
        </w:rPr>
        <w:t>甲方持肆份，乙方持贰份</w:t>
      </w:r>
      <w:r>
        <w:rPr>
          <w:rFonts w:hint="eastAsia" w:ascii="仿宋_GB2312" w:hAnsi="仿宋_GB2312" w:eastAsia="仿宋_GB2312" w:cs="仿宋_GB2312"/>
          <w:sz w:val="28"/>
          <w:szCs w:val="28"/>
          <w:highlight w:val="none"/>
        </w:rPr>
        <w:t>，经双方法定代表人或授权代表签字且加盖公章后生效。</w:t>
      </w:r>
    </w:p>
    <w:p w14:paraId="4E7F9667">
      <w:pPr>
        <w:pStyle w:val="11"/>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8"/>
          <w:szCs w:val="28"/>
          <w:highlight w:val="none"/>
        </w:rPr>
      </w:pPr>
    </w:p>
    <w:p w14:paraId="7064B1BC">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b w:val="0"/>
          <w:bCs/>
          <w:sz w:val="28"/>
          <w:szCs w:val="28"/>
          <w:highlight w:val="none"/>
          <w:lang w:eastAsia="zh-CN"/>
        </w:rPr>
      </w:pPr>
      <w:r>
        <w:rPr>
          <w:rFonts w:hint="eastAsia" w:ascii="仿宋_GB2312" w:hAnsi="仿宋_GB2312" w:eastAsia="仿宋_GB2312" w:cs="仿宋_GB2312"/>
          <w:b w:val="0"/>
          <w:bCs/>
          <w:sz w:val="28"/>
          <w:szCs w:val="28"/>
          <w:highlight w:val="none"/>
        </w:rPr>
        <w:t>附件：2025年体育赛事后勤保障服务项目报价明细</w:t>
      </w:r>
    </w:p>
    <w:p w14:paraId="448C9085">
      <w:pPr>
        <w:pStyle w:val="2"/>
        <w:keepNext w:val="0"/>
        <w:keepLines w:val="0"/>
        <w:pageBreakBefore w:val="0"/>
        <w:widowControl w:val="0"/>
        <w:kinsoku/>
        <w:wordWrap/>
        <w:overflowPunct/>
        <w:topLinePunct w:val="0"/>
        <w:autoSpaceDE/>
        <w:autoSpaceDN/>
        <w:bidi w:val="0"/>
        <w:adjustRightInd/>
        <w:spacing w:line="620" w:lineRule="exact"/>
        <w:textAlignment w:val="auto"/>
        <w:rPr>
          <w:rFonts w:hint="eastAsia" w:ascii="仿宋_GB2312" w:hAnsi="仿宋_GB2312" w:eastAsia="仿宋_GB2312" w:cs="仿宋_GB2312"/>
          <w:sz w:val="28"/>
          <w:szCs w:val="28"/>
          <w:highlight w:val="none"/>
        </w:rPr>
      </w:pPr>
    </w:p>
    <w:p w14:paraId="78AE0E6E">
      <w:pPr>
        <w:spacing w:line="480" w:lineRule="auto"/>
        <w:rPr>
          <w:rFonts w:hint="eastAsia"/>
          <w:highlight w:val="none"/>
        </w:rPr>
      </w:pPr>
    </w:p>
    <w:p w14:paraId="5F4DBE1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甲方（盖章）</w:t>
      </w:r>
      <w:r>
        <w:rPr>
          <w:rFonts w:hint="eastAsia" w:ascii="仿宋" w:hAnsi="仿宋" w:eastAsia="仿宋" w:cs="仿宋"/>
          <w:sz w:val="28"/>
          <w:szCs w:val="28"/>
          <w:highlight w:val="none"/>
          <w:lang w:val="en-GB"/>
        </w:rPr>
        <w:t>：</w:t>
      </w:r>
      <w:r>
        <w:rPr>
          <w:rFonts w:hint="eastAsia" w:ascii="仿宋" w:hAnsi="仿宋" w:eastAsia="仿宋" w:cs="仿宋"/>
          <w:sz w:val="28"/>
          <w:szCs w:val="28"/>
          <w:highlight w:val="none"/>
          <w:lang w:val="en-US" w:eastAsia="zh-CN"/>
        </w:rPr>
        <w:t>广州南沙文体投资有限公司</w:t>
      </w:r>
    </w:p>
    <w:p w14:paraId="3C1DD7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法定代表人或授权</w:t>
      </w:r>
      <w:r>
        <w:rPr>
          <w:rFonts w:hint="eastAsia" w:ascii="仿宋" w:hAnsi="仿宋" w:eastAsia="仿宋" w:cs="仿宋"/>
          <w:sz w:val="28"/>
          <w:szCs w:val="28"/>
          <w:highlight w:val="none"/>
        </w:rPr>
        <w:t>代表（签字）：</w:t>
      </w:r>
    </w:p>
    <w:p w14:paraId="22A77D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日期：</w:t>
      </w:r>
      <w:r>
        <w:rPr>
          <w:rFonts w:hint="eastAsia" w:ascii="仿宋" w:hAnsi="仿宋" w:eastAsia="仿宋" w:cs="仿宋"/>
          <w:sz w:val="28"/>
          <w:szCs w:val="28"/>
          <w:highlight w:val="none"/>
        </w:rPr>
        <w:tab/>
      </w:r>
    </w:p>
    <w:p w14:paraId="1882245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ab/>
      </w:r>
    </w:p>
    <w:p w14:paraId="688113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highlight w:val="none"/>
        </w:rPr>
      </w:pPr>
    </w:p>
    <w:p w14:paraId="495F322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乙方（盖章）：</w:t>
      </w:r>
    </w:p>
    <w:p w14:paraId="1D4DEF2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法定代表人或授权</w:t>
      </w:r>
      <w:r>
        <w:rPr>
          <w:rFonts w:hint="eastAsia" w:ascii="仿宋" w:hAnsi="仿宋" w:eastAsia="仿宋" w:cs="仿宋"/>
          <w:sz w:val="28"/>
          <w:szCs w:val="28"/>
          <w:highlight w:val="none"/>
        </w:rPr>
        <w:t>代表（签字）：</w:t>
      </w:r>
    </w:p>
    <w:p w14:paraId="67006337">
      <w:pPr>
        <w:keepNext w:val="0"/>
        <w:keepLines w:val="0"/>
        <w:pageBreakBefore w:val="0"/>
        <w:kinsoku/>
        <w:wordWrap/>
        <w:overflowPunct/>
        <w:topLinePunct w:val="0"/>
        <w:bidi w:val="0"/>
        <w:spacing w:line="240" w:lineRule="auto"/>
        <w:rPr>
          <w:rFonts w:hint="eastAsia" w:ascii="仿宋" w:hAnsi="仿宋" w:eastAsia="仿宋" w:cs="仿宋"/>
          <w:sz w:val="28"/>
          <w:szCs w:val="28"/>
          <w:highlight w:val="none"/>
        </w:rPr>
        <w:sectPr>
          <w:headerReference r:id="rId6" w:type="default"/>
          <w:footerReference r:id="rId7" w:type="default"/>
          <w:pgSz w:w="11906" w:h="16838"/>
          <w:pgMar w:top="1440" w:right="2126" w:bottom="1440" w:left="1800" w:header="851" w:footer="992" w:gutter="0"/>
          <w:cols w:space="720" w:num="1"/>
          <w:docGrid w:type="lines" w:linePitch="312" w:charSpace="0"/>
        </w:sectPr>
      </w:pPr>
      <w:r>
        <w:rPr>
          <w:rFonts w:hint="eastAsia" w:ascii="仿宋" w:hAnsi="仿宋" w:eastAsia="仿宋" w:cs="仿宋"/>
          <w:sz w:val="28"/>
          <w:szCs w:val="28"/>
          <w:highlight w:val="none"/>
        </w:rPr>
        <w:t>日期：</w:t>
      </w:r>
    </w:p>
    <w:p w14:paraId="7D0EC47C">
      <w:pPr>
        <w:pStyle w:val="11"/>
        <w:keepNext w:val="0"/>
        <w:keepLines w:val="0"/>
        <w:pageBreakBefore w:val="0"/>
        <w:kinsoku/>
        <w:wordWrap/>
        <w:overflowPunct/>
        <w:topLinePunct w:val="0"/>
        <w:bidi w:val="0"/>
        <w:spacing w:line="240" w:lineRule="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rPr>
        <w:t>附件</w:t>
      </w:r>
    </w:p>
    <w:p w14:paraId="541A9C5E">
      <w:pPr>
        <w:pStyle w:val="11"/>
        <w:keepNext w:val="0"/>
        <w:keepLines w:val="0"/>
        <w:pageBreakBefore w:val="0"/>
        <w:kinsoku/>
        <w:wordWrap/>
        <w:overflowPunct/>
        <w:topLinePunct w:val="0"/>
        <w:bidi w:val="0"/>
        <w:spacing w:line="240" w:lineRule="auto"/>
        <w:rPr>
          <w:rFonts w:ascii="仿宋_GB2312" w:eastAsia="仿宋_GB2312" w:cs="仿宋_GB2312"/>
          <w:sz w:val="32"/>
          <w:szCs w:val="32"/>
          <w:highlight w:val="none"/>
        </w:rPr>
      </w:pPr>
    </w:p>
    <w:p w14:paraId="3E028C9C">
      <w:pPr>
        <w:pStyle w:val="11"/>
        <w:keepNext w:val="0"/>
        <w:keepLines w:val="0"/>
        <w:pageBreakBefore w:val="0"/>
        <w:kinsoku/>
        <w:wordWrap/>
        <w:overflowPunct/>
        <w:topLinePunct w:val="0"/>
        <w:bidi w:val="0"/>
        <w:spacing w:line="240" w:lineRule="auto"/>
        <w:jc w:val="center"/>
        <w:rPr>
          <w:rFonts w:hint="eastAsia" w:ascii="小标宋" w:hAnsi="小标宋" w:eastAsia="小标宋" w:cs="小标宋"/>
          <w:b/>
          <w:bCs/>
          <w:sz w:val="32"/>
          <w:szCs w:val="32"/>
          <w:highlight w:val="none"/>
          <w:lang w:val="en-US" w:eastAsia="zh-CN"/>
        </w:rPr>
      </w:pPr>
      <w:r>
        <w:rPr>
          <w:rFonts w:hint="eastAsia" w:ascii="小标宋" w:hAnsi="小标宋" w:eastAsia="小标宋" w:cs="小标宋"/>
          <w:b/>
          <w:bCs/>
          <w:sz w:val="32"/>
          <w:szCs w:val="32"/>
          <w:highlight w:val="none"/>
          <w:lang w:val="en-US" w:eastAsia="zh-CN"/>
        </w:rPr>
        <w:t>2025年体育赛事后勤保障服务项目报价明细</w:t>
      </w:r>
    </w:p>
    <w:tbl>
      <w:tblPr>
        <w:tblStyle w:val="17"/>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6"/>
        <w:gridCol w:w="1059"/>
        <w:gridCol w:w="632"/>
        <w:gridCol w:w="564"/>
        <w:gridCol w:w="785"/>
        <w:gridCol w:w="524"/>
        <w:gridCol w:w="1003"/>
        <w:gridCol w:w="881"/>
        <w:gridCol w:w="768"/>
        <w:gridCol w:w="819"/>
        <w:gridCol w:w="516"/>
        <w:gridCol w:w="870"/>
        <w:gridCol w:w="921"/>
        <w:gridCol w:w="706"/>
        <w:gridCol w:w="802"/>
        <w:gridCol w:w="904"/>
        <w:gridCol w:w="706"/>
        <w:gridCol w:w="1307"/>
      </w:tblGrid>
      <w:tr w14:paraId="666B2765">
        <w:trPr>
          <w:trHeight w:val="57" w:hRule="atLeast"/>
        </w:trPr>
        <w:tc>
          <w:tcPr>
            <w:tcW w:w="1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50F4D">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序号</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25712">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项目</w:t>
            </w:r>
          </w:p>
        </w:tc>
        <w:tc>
          <w:tcPr>
            <w:tcW w:w="69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1433A4">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人数</w:t>
            </w:r>
          </w:p>
        </w:tc>
        <w:tc>
          <w:tcPr>
            <w:tcW w:w="1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6808C">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比赛天数</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9C66B">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①伙食费（平均人数×天</w:t>
            </w:r>
            <w:r>
              <w:rPr>
                <w:rFonts w:hint="eastAsia" w:ascii="宋体" w:hAnsi="宋体" w:eastAsia="宋体" w:cs="宋体"/>
                <w:b/>
                <w:bCs/>
                <w:i w:val="0"/>
                <w:iCs w:val="0"/>
                <w:color w:val="000000"/>
                <w:kern w:val="0"/>
                <w:sz w:val="15"/>
                <w:szCs w:val="15"/>
                <w:highlight w:val="none"/>
                <w:u w:val="none"/>
                <w:lang w:val="en-US" w:eastAsia="zh-CN" w:bidi="ar"/>
              </w:rPr>
              <w:br w:type="textWrapping"/>
            </w:r>
            <w:r>
              <w:rPr>
                <w:rFonts w:hint="eastAsia" w:ascii="宋体" w:hAnsi="宋体" w:eastAsia="宋体" w:cs="宋体"/>
                <w:b/>
                <w:bCs/>
                <w:i w:val="0"/>
                <w:iCs w:val="0"/>
                <w:color w:val="000000"/>
                <w:kern w:val="0"/>
                <w:sz w:val="15"/>
                <w:szCs w:val="15"/>
                <w:highlight w:val="none"/>
                <w:u w:val="none"/>
                <w:lang w:val="en-US" w:eastAsia="zh-CN" w:bidi="ar"/>
              </w:rPr>
              <w:t>×单价）</w:t>
            </w:r>
          </w:p>
        </w:tc>
        <w:tc>
          <w:tcPr>
            <w:tcW w:w="104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68EE91">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②住宿费（间数×天×单价）</w:t>
            </w:r>
          </w:p>
        </w:tc>
        <w:tc>
          <w:tcPr>
            <w:tcW w:w="5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FADF8">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③保险</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26BBC">
            <w:pPr>
              <w:keepNext w:val="0"/>
              <w:keepLines w:val="0"/>
              <w:widowControl/>
              <w:suppressLineNumbers w:val="0"/>
              <w:jc w:val="center"/>
              <w:textAlignment w:val="center"/>
              <w:rPr>
                <w:rFonts w:ascii="PingFang SC" w:hAnsi="PingFang SC" w:eastAsia="PingFang SC" w:cs="PingFang SC"/>
                <w:b/>
                <w:bCs/>
                <w:i w:val="0"/>
                <w:iCs w:val="0"/>
                <w:color w:val="000000"/>
                <w:sz w:val="15"/>
                <w:szCs w:val="15"/>
                <w:highlight w:val="none"/>
                <w:u w:val="none"/>
              </w:rPr>
            </w:pPr>
            <w:r>
              <w:rPr>
                <w:rStyle w:val="29"/>
                <w:sz w:val="15"/>
                <w:szCs w:val="15"/>
                <w:highlight w:val="none"/>
                <w:lang w:val="en-US" w:eastAsia="zh-CN" w:bidi="ar"/>
              </w:rPr>
              <w:t>④</w:t>
            </w:r>
            <w:r>
              <w:rPr>
                <w:rStyle w:val="31"/>
                <w:sz w:val="15"/>
                <w:szCs w:val="15"/>
                <w:highlight w:val="none"/>
                <w:lang w:val="en-US" w:eastAsia="zh-CN" w:bidi="ar"/>
              </w:rPr>
              <w:t>药品</w:t>
            </w:r>
          </w:p>
        </w:tc>
        <w:tc>
          <w:tcPr>
            <w:tcW w:w="5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81E12">
            <w:pPr>
              <w:keepNext w:val="0"/>
              <w:keepLines w:val="0"/>
              <w:widowControl/>
              <w:suppressLineNumbers w:val="0"/>
              <w:jc w:val="center"/>
              <w:textAlignment w:val="center"/>
              <w:rPr>
                <w:rFonts w:hint="eastAsia" w:ascii="PingFang SC" w:hAnsi="PingFang SC" w:eastAsia="PingFang SC" w:cs="PingFang SC"/>
                <w:b/>
                <w:bCs/>
                <w:i w:val="0"/>
                <w:iCs w:val="0"/>
                <w:color w:val="000000"/>
                <w:sz w:val="15"/>
                <w:szCs w:val="15"/>
                <w:highlight w:val="none"/>
                <w:u w:val="none"/>
              </w:rPr>
            </w:pPr>
            <w:r>
              <w:rPr>
                <w:rStyle w:val="29"/>
                <w:sz w:val="15"/>
                <w:szCs w:val="15"/>
                <w:highlight w:val="none"/>
                <w:lang w:val="en-US" w:eastAsia="zh-CN" w:bidi="ar"/>
              </w:rPr>
              <w:t>⑤</w:t>
            </w:r>
            <w:r>
              <w:rPr>
                <w:rStyle w:val="31"/>
                <w:sz w:val="15"/>
                <w:szCs w:val="15"/>
                <w:highlight w:val="none"/>
                <w:lang w:val="en-US" w:eastAsia="zh-CN" w:bidi="ar"/>
              </w:rPr>
              <w:t>体检</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C3BA4">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含税合计（元）</w:t>
            </w:r>
          </w:p>
        </w:tc>
      </w:tr>
      <w:tr w14:paraId="469F05B7">
        <w:trPr>
          <w:trHeight w:val="57" w:hRule="atLeast"/>
        </w:trPr>
        <w:tc>
          <w:tcPr>
            <w:tcW w:w="1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0FF58">
            <w:pPr>
              <w:jc w:val="center"/>
              <w:rPr>
                <w:rFonts w:hint="eastAsia" w:ascii="宋体" w:hAnsi="宋体" w:eastAsia="宋体" w:cs="宋体"/>
                <w:b/>
                <w:bCs/>
                <w:i w:val="0"/>
                <w:iCs w:val="0"/>
                <w:color w:val="000000"/>
                <w:sz w:val="15"/>
                <w:szCs w:val="15"/>
                <w:highlight w:val="none"/>
                <w:u w:val="none"/>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74A51">
            <w:pPr>
              <w:jc w:val="center"/>
              <w:rPr>
                <w:rFonts w:hint="eastAsia" w:ascii="宋体" w:hAnsi="宋体" w:eastAsia="宋体" w:cs="宋体"/>
                <w:b/>
                <w:bCs/>
                <w:i w:val="0"/>
                <w:iCs w:val="0"/>
                <w:color w:val="000000"/>
                <w:sz w:val="15"/>
                <w:szCs w:val="15"/>
                <w:highlight w:val="none"/>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E3E9">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总数</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A4981">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教练</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E9C04">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运动员</w:t>
            </w:r>
          </w:p>
        </w:tc>
        <w:tc>
          <w:tcPr>
            <w:tcW w:w="1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5EE34">
            <w:pPr>
              <w:jc w:val="center"/>
              <w:rPr>
                <w:rFonts w:hint="eastAsia" w:ascii="宋体" w:hAnsi="宋体" w:eastAsia="宋体" w:cs="宋体"/>
                <w:b/>
                <w:bCs/>
                <w:i w:val="0"/>
                <w:iCs w:val="0"/>
                <w:color w:val="000000"/>
                <w:sz w:val="15"/>
                <w:szCs w:val="15"/>
                <w:highlight w:val="none"/>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3F804">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含税单价（元）</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E0CB9">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小计（元）</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D99B1">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间数</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BB07">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含税单价（元）</w:t>
            </w: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1DE77">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天数</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E9714">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小计（元）</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E8B31">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含税单价（元）</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ABF90">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小计</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A5B3">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小计</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306EA">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含税单价（元）</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6926C">
            <w:pPr>
              <w:keepNext w:val="0"/>
              <w:keepLines w:val="0"/>
              <w:widowControl/>
              <w:suppressLineNumbers w:val="0"/>
              <w:jc w:val="center"/>
              <w:textAlignment w:val="center"/>
              <w:rPr>
                <w:rFonts w:hint="eastAsia" w:ascii="宋体" w:hAnsi="宋体" w:eastAsia="宋体" w:cs="宋体"/>
                <w:b/>
                <w:bCs/>
                <w:i w:val="0"/>
                <w:iCs w:val="0"/>
                <w:color w:val="000000"/>
                <w:sz w:val="15"/>
                <w:szCs w:val="15"/>
                <w:highlight w:val="none"/>
                <w:u w:val="none"/>
              </w:rPr>
            </w:pPr>
            <w:r>
              <w:rPr>
                <w:rFonts w:hint="eastAsia" w:ascii="宋体" w:hAnsi="宋体" w:eastAsia="宋体" w:cs="宋体"/>
                <w:b/>
                <w:bCs/>
                <w:i w:val="0"/>
                <w:iCs w:val="0"/>
                <w:color w:val="000000"/>
                <w:kern w:val="0"/>
                <w:sz w:val="15"/>
                <w:szCs w:val="15"/>
                <w:highlight w:val="none"/>
                <w:u w:val="none"/>
                <w:lang w:val="en-US" w:eastAsia="zh-CN" w:bidi="ar"/>
              </w:rPr>
              <w:t>小计</w:t>
            </w: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6D2EE">
            <w:pPr>
              <w:jc w:val="center"/>
              <w:rPr>
                <w:rFonts w:hint="eastAsia" w:ascii="宋体" w:hAnsi="宋体" w:eastAsia="宋体" w:cs="宋体"/>
                <w:b/>
                <w:bCs/>
                <w:i w:val="0"/>
                <w:iCs w:val="0"/>
                <w:color w:val="000000"/>
                <w:sz w:val="15"/>
                <w:szCs w:val="15"/>
                <w:highlight w:val="none"/>
                <w:u w:val="none"/>
              </w:rPr>
            </w:pPr>
          </w:p>
        </w:tc>
      </w:tr>
      <w:tr w14:paraId="097FF641">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5CF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4A0F0">
            <w:pPr>
              <w:keepNext w:val="0"/>
              <w:keepLines w:val="0"/>
              <w:widowControl/>
              <w:suppressLineNumbers w:val="0"/>
              <w:jc w:val="center"/>
              <w:textAlignment w:val="center"/>
              <w:rPr>
                <w:rFonts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柔道</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7F75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1C03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F31B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38</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6E6E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FFB64">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4A2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4B6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818F2">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67D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D19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8FC8D">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CB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422E">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E25DE">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06A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C3656">
            <w:pPr>
              <w:jc w:val="center"/>
              <w:rPr>
                <w:rFonts w:hint="eastAsia" w:ascii="宋体" w:hAnsi="宋体" w:eastAsia="宋体" w:cs="宋体"/>
                <w:i w:val="0"/>
                <w:iCs w:val="0"/>
                <w:color w:val="000000"/>
                <w:sz w:val="20"/>
                <w:szCs w:val="20"/>
                <w:highlight w:val="none"/>
                <w:u w:val="none"/>
              </w:rPr>
            </w:pPr>
          </w:p>
        </w:tc>
      </w:tr>
      <w:tr w14:paraId="6005B576">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5A3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7CAB7">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击剑</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E1D7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47</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EBFE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5636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41</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1C0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08076">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B0F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A15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E558">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27C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D3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08DA">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C3A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647A4">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33D6">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48E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368D">
            <w:pPr>
              <w:jc w:val="center"/>
              <w:rPr>
                <w:rFonts w:hint="eastAsia" w:ascii="宋体" w:hAnsi="宋体" w:eastAsia="宋体" w:cs="宋体"/>
                <w:i w:val="0"/>
                <w:iCs w:val="0"/>
                <w:color w:val="000000"/>
                <w:sz w:val="20"/>
                <w:szCs w:val="20"/>
                <w:highlight w:val="none"/>
                <w:u w:val="none"/>
              </w:rPr>
            </w:pPr>
          </w:p>
        </w:tc>
      </w:tr>
      <w:tr w14:paraId="42351C35">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664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F4772">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田径</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1A67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84</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6B60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E2D7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74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73BB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8DE67">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DFE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34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B3E31">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3A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B8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9EF91">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80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F70B7">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0E650">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7F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EDE22">
            <w:pPr>
              <w:jc w:val="center"/>
              <w:rPr>
                <w:rFonts w:hint="eastAsia" w:ascii="宋体" w:hAnsi="宋体" w:eastAsia="宋体" w:cs="宋体"/>
                <w:i w:val="0"/>
                <w:iCs w:val="0"/>
                <w:color w:val="000000"/>
                <w:sz w:val="20"/>
                <w:szCs w:val="20"/>
                <w:highlight w:val="none"/>
                <w:u w:val="none"/>
              </w:rPr>
            </w:pPr>
          </w:p>
        </w:tc>
      </w:tr>
      <w:tr w14:paraId="4CB4CBDF">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39DA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76B0B">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射箭</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B3A5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32</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CECD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E5FA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A456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7565">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66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EE3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2F1BE">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2A9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E82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FEB9">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6E2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C5653">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64E62">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7B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7CA34">
            <w:pPr>
              <w:jc w:val="center"/>
              <w:rPr>
                <w:rFonts w:hint="eastAsia" w:ascii="宋体" w:hAnsi="宋体" w:eastAsia="宋体" w:cs="宋体"/>
                <w:i w:val="0"/>
                <w:iCs w:val="0"/>
                <w:color w:val="000000"/>
                <w:sz w:val="20"/>
                <w:szCs w:val="20"/>
                <w:highlight w:val="none"/>
                <w:u w:val="none"/>
              </w:rPr>
            </w:pPr>
          </w:p>
        </w:tc>
      </w:tr>
      <w:tr w14:paraId="6D274717">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643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12983">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速度轮滑</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98B5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3B78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4438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69D4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F7F98">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00A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94C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666D">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A42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875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B175">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BB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0B9A">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E3200">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DD1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6F2D7">
            <w:pPr>
              <w:jc w:val="center"/>
              <w:rPr>
                <w:rFonts w:hint="eastAsia" w:ascii="宋体" w:hAnsi="宋体" w:eastAsia="宋体" w:cs="宋体"/>
                <w:i w:val="0"/>
                <w:iCs w:val="0"/>
                <w:color w:val="000000"/>
                <w:sz w:val="20"/>
                <w:szCs w:val="20"/>
                <w:highlight w:val="none"/>
                <w:u w:val="none"/>
              </w:rPr>
            </w:pPr>
          </w:p>
        </w:tc>
      </w:tr>
      <w:tr w14:paraId="3CB6FEC0">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BA4C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CA4F">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冰球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DAE6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44</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B05F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04DA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FA7A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4779">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0A4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2E3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057E5">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1F7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948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69FA7">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BAB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4DD5">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4C46C">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424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5DA3">
            <w:pPr>
              <w:jc w:val="center"/>
              <w:rPr>
                <w:rFonts w:hint="eastAsia" w:ascii="宋体" w:hAnsi="宋体" w:eastAsia="宋体" w:cs="宋体"/>
                <w:i w:val="0"/>
                <w:iCs w:val="0"/>
                <w:color w:val="000000"/>
                <w:sz w:val="20"/>
                <w:szCs w:val="20"/>
                <w:highlight w:val="none"/>
                <w:u w:val="none"/>
              </w:rPr>
            </w:pPr>
          </w:p>
        </w:tc>
      </w:tr>
      <w:tr w14:paraId="2255AADB">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1992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6A52D">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足球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E34F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5538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E6C0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1410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415A6">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14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34C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5D83B">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783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1F4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DE183">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46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B74FD">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64A7B">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5C0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B9616">
            <w:pPr>
              <w:jc w:val="center"/>
              <w:rPr>
                <w:rFonts w:hint="eastAsia" w:ascii="宋体" w:hAnsi="宋体" w:eastAsia="宋体" w:cs="宋体"/>
                <w:i w:val="0"/>
                <w:iCs w:val="0"/>
                <w:color w:val="000000"/>
                <w:sz w:val="20"/>
                <w:szCs w:val="20"/>
                <w:highlight w:val="none"/>
                <w:u w:val="none"/>
              </w:rPr>
            </w:pPr>
          </w:p>
        </w:tc>
      </w:tr>
      <w:tr w14:paraId="028F5151">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D22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26EF5">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游泳</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D294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64</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55D2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081F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C144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F51E">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08F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F9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43492">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2E9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832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98B82">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B0C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169DC">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427A1">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C28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218B6">
            <w:pPr>
              <w:jc w:val="center"/>
              <w:rPr>
                <w:rFonts w:hint="eastAsia" w:ascii="宋体" w:hAnsi="宋体" w:eastAsia="宋体" w:cs="宋体"/>
                <w:i w:val="0"/>
                <w:iCs w:val="0"/>
                <w:color w:val="000000"/>
                <w:sz w:val="20"/>
                <w:szCs w:val="20"/>
                <w:highlight w:val="none"/>
                <w:u w:val="none"/>
              </w:rPr>
            </w:pPr>
          </w:p>
        </w:tc>
      </w:tr>
      <w:tr w14:paraId="0EA1D7D9">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6BAF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CE464">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射击</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696D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5A51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6DBA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9852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EA138">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61A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49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0A36">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05F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4CD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EDD38">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ADB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EF0C">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B339D">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7F6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399E7">
            <w:pPr>
              <w:jc w:val="center"/>
              <w:rPr>
                <w:rFonts w:hint="eastAsia" w:ascii="宋体" w:hAnsi="宋体" w:eastAsia="宋体" w:cs="宋体"/>
                <w:i w:val="0"/>
                <w:iCs w:val="0"/>
                <w:color w:val="000000"/>
                <w:sz w:val="20"/>
                <w:szCs w:val="20"/>
                <w:highlight w:val="none"/>
                <w:u w:val="none"/>
              </w:rPr>
            </w:pPr>
          </w:p>
        </w:tc>
      </w:tr>
      <w:tr w14:paraId="60CFEC73">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D364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8FAC2">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蹦床</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0A4D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23</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47EF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1D8C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21</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E532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EF1DD">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E86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24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29277">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4A4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1E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EE316">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BA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696B0">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76E4B">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0E1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44FBD">
            <w:pPr>
              <w:jc w:val="center"/>
              <w:rPr>
                <w:rFonts w:hint="eastAsia" w:ascii="宋体" w:hAnsi="宋体" w:eastAsia="宋体" w:cs="宋体"/>
                <w:i w:val="0"/>
                <w:iCs w:val="0"/>
                <w:color w:val="000000"/>
                <w:sz w:val="20"/>
                <w:szCs w:val="20"/>
                <w:highlight w:val="none"/>
                <w:u w:val="none"/>
              </w:rPr>
            </w:pPr>
          </w:p>
        </w:tc>
      </w:tr>
      <w:tr w14:paraId="50B58EA3">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9308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CE83D">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垒球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5170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39</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3C17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E5DA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33</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B917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C0A32">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8D9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ADF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A8B5B">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21A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7B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6D14">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C20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51AAB">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CFEA">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45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E8184">
            <w:pPr>
              <w:jc w:val="center"/>
              <w:rPr>
                <w:rFonts w:hint="eastAsia" w:ascii="宋体" w:hAnsi="宋体" w:eastAsia="宋体" w:cs="宋体"/>
                <w:i w:val="0"/>
                <w:iCs w:val="0"/>
                <w:color w:val="000000"/>
                <w:sz w:val="20"/>
                <w:szCs w:val="20"/>
                <w:highlight w:val="none"/>
                <w:u w:val="none"/>
              </w:rPr>
            </w:pPr>
          </w:p>
        </w:tc>
      </w:tr>
      <w:tr w14:paraId="0A0139B2">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33B3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2B028">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棒球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EA9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39</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A7BC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C606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33</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570E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5</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5BB55">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A5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769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7B2F2">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8C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12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F895">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F3D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ECC2C">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15602">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767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2A144">
            <w:pPr>
              <w:jc w:val="center"/>
              <w:rPr>
                <w:rFonts w:hint="eastAsia" w:ascii="宋体" w:hAnsi="宋体" w:eastAsia="宋体" w:cs="宋体"/>
                <w:i w:val="0"/>
                <w:iCs w:val="0"/>
                <w:color w:val="000000"/>
                <w:sz w:val="20"/>
                <w:szCs w:val="20"/>
                <w:highlight w:val="none"/>
                <w:u w:val="none"/>
              </w:rPr>
            </w:pPr>
          </w:p>
        </w:tc>
      </w:tr>
      <w:tr w14:paraId="64652C30">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B32B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D7DDA">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高尔夫</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D35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13</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267A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2FB8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1889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5</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A8A4">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CB6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695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CF7D1">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5EE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758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29110">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54A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8EDE4">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B5300">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502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3510A">
            <w:pPr>
              <w:jc w:val="center"/>
              <w:rPr>
                <w:rFonts w:hint="eastAsia" w:ascii="宋体" w:hAnsi="宋体" w:eastAsia="宋体" w:cs="宋体"/>
                <w:i w:val="0"/>
                <w:iCs w:val="0"/>
                <w:color w:val="000000"/>
                <w:sz w:val="20"/>
                <w:szCs w:val="20"/>
                <w:highlight w:val="none"/>
                <w:u w:val="none"/>
              </w:rPr>
            </w:pPr>
          </w:p>
        </w:tc>
      </w:tr>
      <w:tr w14:paraId="28E91F35">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053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A01CC">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篮球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AD1C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96</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19D4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F895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90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DCFE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E40C9">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218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752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C4695">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AC7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4FC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AF2A6">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B92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1B58E">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A4031">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62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3F27">
            <w:pPr>
              <w:jc w:val="center"/>
              <w:rPr>
                <w:rFonts w:hint="eastAsia" w:ascii="宋体" w:hAnsi="宋体" w:eastAsia="宋体" w:cs="宋体"/>
                <w:i w:val="0"/>
                <w:iCs w:val="0"/>
                <w:color w:val="000000"/>
                <w:sz w:val="20"/>
                <w:szCs w:val="20"/>
                <w:highlight w:val="none"/>
                <w:u w:val="none"/>
              </w:rPr>
            </w:pPr>
          </w:p>
        </w:tc>
      </w:tr>
      <w:tr w14:paraId="78E51983">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B1F7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F29E9">
            <w:pPr>
              <w:jc w:val="center"/>
              <w:rPr>
                <w:rFonts w:hint="default" w:ascii="仿宋_GB2312" w:hAnsi="宋体" w:eastAsia="仿宋_GB2312" w:cs="仿宋_GB2312"/>
                <w:i w:val="0"/>
                <w:iCs w:val="0"/>
                <w:color w:val="000000"/>
                <w:sz w:val="18"/>
                <w:szCs w:val="18"/>
                <w:highlight w:val="none"/>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3E99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5D8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69F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25CF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6E7A4">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2C3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D9B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F8DCD">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06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ABD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D1551">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E9F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0F5D">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D99ED">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021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3CAB">
            <w:pPr>
              <w:jc w:val="center"/>
              <w:rPr>
                <w:rFonts w:hint="eastAsia" w:ascii="宋体" w:hAnsi="宋体" w:eastAsia="宋体" w:cs="宋体"/>
                <w:i w:val="0"/>
                <w:iCs w:val="0"/>
                <w:color w:val="000000"/>
                <w:sz w:val="20"/>
                <w:szCs w:val="20"/>
                <w:highlight w:val="none"/>
                <w:u w:val="none"/>
              </w:rPr>
            </w:pPr>
          </w:p>
        </w:tc>
      </w:tr>
      <w:tr w14:paraId="07B255D8">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7ED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C86D">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乒乓球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5053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23</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855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F377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21</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B075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E8AA">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4E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3E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89E34">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04F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13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1C947">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BEA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1E087">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30F2B">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8E7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25433">
            <w:pPr>
              <w:jc w:val="center"/>
              <w:rPr>
                <w:rFonts w:hint="eastAsia" w:ascii="宋体" w:hAnsi="宋体" w:eastAsia="宋体" w:cs="宋体"/>
                <w:i w:val="0"/>
                <w:iCs w:val="0"/>
                <w:color w:val="000000"/>
                <w:sz w:val="20"/>
                <w:szCs w:val="20"/>
                <w:highlight w:val="none"/>
                <w:u w:val="none"/>
              </w:rPr>
            </w:pPr>
          </w:p>
        </w:tc>
      </w:tr>
      <w:tr w14:paraId="57249012">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766D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689F5">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体操</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1893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17EA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8F60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C73A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C9C97">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89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52D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6CA1">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B60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4E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B057">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3CF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52D6C">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121E">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5F1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C7A1B">
            <w:pPr>
              <w:jc w:val="center"/>
              <w:rPr>
                <w:rFonts w:hint="eastAsia" w:ascii="宋体" w:hAnsi="宋体" w:eastAsia="宋体" w:cs="宋体"/>
                <w:i w:val="0"/>
                <w:iCs w:val="0"/>
                <w:color w:val="000000"/>
                <w:sz w:val="20"/>
                <w:szCs w:val="20"/>
                <w:highlight w:val="none"/>
                <w:u w:val="none"/>
              </w:rPr>
            </w:pPr>
          </w:p>
        </w:tc>
      </w:tr>
      <w:tr w14:paraId="63E7B55C">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D304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78B4">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网球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655B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39</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F999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68F1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C6CC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5</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B1546">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BBD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407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6BD77">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D5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89A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C6ECC">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848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487D">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81E6B">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BDC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50D0A">
            <w:pPr>
              <w:jc w:val="center"/>
              <w:rPr>
                <w:rFonts w:hint="eastAsia" w:ascii="宋体" w:hAnsi="宋体" w:eastAsia="宋体" w:cs="宋体"/>
                <w:i w:val="0"/>
                <w:iCs w:val="0"/>
                <w:color w:val="000000"/>
                <w:sz w:val="20"/>
                <w:szCs w:val="20"/>
                <w:highlight w:val="none"/>
                <w:u w:val="none"/>
              </w:rPr>
            </w:pPr>
          </w:p>
        </w:tc>
      </w:tr>
      <w:tr w14:paraId="091434DA">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2895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8315">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羽毛球</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13A8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66</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8FFC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63D1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8DF5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5</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EAC3A">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963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628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5A6B6">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781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75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D1C0">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AF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A72FB">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5838D">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13E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6126A">
            <w:pPr>
              <w:jc w:val="center"/>
              <w:rPr>
                <w:rFonts w:hint="eastAsia" w:ascii="宋体" w:hAnsi="宋体" w:eastAsia="宋体" w:cs="宋体"/>
                <w:i w:val="0"/>
                <w:iCs w:val="0"/>
                <w:color w:val="000000"/>
                <w:sz w:val="20"/>
                <w:szCs w:val="20"/>
                <w:highlight w:val="none"/>
                <w:u w:val="none"/>
              </w:rPr>
            </w:pPr>
          </w:p>
        </w:tc>
      </w:tr>
      <w:tr w14:paraId="1D095374">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11D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D890B">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跆拳道</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3413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54</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138F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54D8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50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B3FA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AA506">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77C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B90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3D8BE">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971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F66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BD55F">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529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57B3C">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FDD1A">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37C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15FC0">
            <w:pPr>
              <w:jc w:val="center"/>
              <w:rPr>
                <w:rFonts w:hint="eastAsia" w:ascii="宋体" w:hAnsi="宋体" w:eastAsia="宋体" w:cs="宋体"/>
                <w:i w:val="0"/>
                <w:iCs w:val="0"/>
                <w:color w:val="000000"/>
                <w:sz w:val="20"/>
                <w:szCs w:val="20"/>
                <w:highlight w:val="none"/>
                <w:u w:val="none"/>
              </w:rPr>
            </w:pPr>
          </w:p>
        </w:tc>
      </w:tr>
      <w:tr w14:paraId="316AC18B">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73CC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BC39B">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武术套路</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C49E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66</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CD02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313F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6C36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00D34">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990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FC9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8D3C6">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C12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097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BC4FC">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C11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097C5">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99DE7">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FE7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38D11">
            <w:pPr>
              <w:jc w:val="center"/>
              <w:rPr>
                <w:rFonts w:hint="eastAsia" w:ascii="宋体" w:hAnsi="宋体" w:eastAsia="宋体" w:cs="宋体"/>
                <w:i w:val="0"/>
                <w:iCs w:val="0"/>
                <w:color w:val="000000"/>
                <w:sz w:val="20"/>
                <w:szCs w:val="20"/>
                <w:highlight w:val="none"/>
                <w:u w:val="none"/>
              </w:rPr>
            </w:pPr>
          </w:p>
        </w:tc>
      </w:tr>
      <w:tr w14:paraId="2458FC5F">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27FA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AD22A">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花样滑冰</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5161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8E4B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B9B5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0A57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18975">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C48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F6D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803D6">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E43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A37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30A9F">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70A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37582">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F2817">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834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E3D9E">
            <w:pPr>
              <w:jc w:val="center"/>
              <w:rPr>
                <w:rFonts w:hint="eastAsia" w:ascii="宋体" w:hAnsi="宋体" w:eastAsia="宋体" w:cs="宋体"/>
                <w:i w:val="0"/>
                <w:iCs w:val="0"/>
                <w:color w:val="000000"/>
                <w:sz w:val="20"/>
                <w:szCs w:val="20"/>
                <w:highlight w:val="none"/>
                <w:u w:val="none"/>
              </w:rPr>
            </w:pPr>
          </w:p>
        </w:tc>
      </w:tr>
      <w:tr w14:paraId="69A91C09">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A15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4A30">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攀岩</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059B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7</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BC3B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3040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5025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CB48E">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E4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68F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E9FF5">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DF6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219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01E9">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3AD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2EC3D">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EEB41">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83E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E5F26">
            <w:pPr>
              <w:jc w:val="center"/>
              <w:rPr>
                <w:rFonts w:hint="eastAsia" w:ascii="宋体" w:hAnsi="宋体" w:eastAsia="宋体" w:cs="宋体"/>
                <w:i w:val="0"/>
                <w:iCs w:val="0"/>
                <w:color w:val="000000"/>
                <w:sz w:val="20"/>
                <w:szCs w:val="20"/>
                <w:highlight w:val="none"/>
                <w:u w:val="none"/>
              </w:rPr>
            </w:pPr>
          </w:p>
        </w:tc>
      </w:tr>
      <w:tr w14:paraId="0C7D074F">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9846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E5E2">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摔跤</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348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27</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CA04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6915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4551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0B2EC">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12C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5A2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EC688">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3E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7EE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2E412">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2DC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852B9">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BC126">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AD1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72E23">
            <w:pPr>
              <w:jc w:val="center"/>
              <w:rPr>
                <w:rFonts w:hint="eastAsia" w:ascii="宋体" w:hAnsi="宋体" w:eastAsia="宋体" w:cs="宋体"/>
                <w:i w:val="0"/>
                <w:iCs w:val="0"/>
                <w:color w:val="000000"/>
                <w:sz w:val="20"/>
                <w:szCs w:val="20"/>
                <w:highlight w:val="none"/>
                <w:u w:val="none"/>
              </w:rPr>
            </w:pPr>
          </w:p>
        </w:tc>
      </w:tr>
      <w:tr w14:paraId="7695274A">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FF2B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BA58C">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皮划艇</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6775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34</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DD92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62A0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2E0F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E9D81">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735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4FF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85034">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CE7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11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B1501">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DD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E1B49">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3E9DE">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0CB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D5321">
            <w:pPr>
              <w:jc w:val="center"/>
              <w:rPr>
                <w:rFonts w:hint="eastAsia" w:ascii="宋体" w:hAnsi="宋体" w:eastAsia="宋体" w:cs="宋体"/>
                <w:i w:val="0"/>
                <w:iCs w:val="0"/>
                <w:color w:val="000000"/>
                <w:sz w:val="20"/>
                <w:szCs w:val="20"/>
                <w:highlight w:val="none"/>
                <w:u w:val="none"/>
              </w:rPr>
            </w:pPr>
          </w:p>
        </w:tc>
      </w:tr>
      <w:tr w14:paraId="5A4E2E0A">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1C3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7A779">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自行车</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1F4E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16AF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2262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35F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6734">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00B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FC4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85137">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2D6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3A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BA9D3">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D3E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8DE5">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49FA3">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E50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18F5">
            <w:pPr>
              <w:jc w:val="center"/>
              <w:rPr>
                <w:rFonts w:hint="eastAsia" w:ascii="宋体" w:hAnsi="宋体" w:eastAsia="宋体" w:cs="宋体"/>
                <w:i w:val="0"/>
                <w:iCs w:val="0"/>
                <w:color w:val="000000"/>
                <w:sz w:val="20"/>
                <w:szCs w:val="20"/>
                <w:highlight w:val="none"/>
                <w:u w:val="none"/>
              </w:rPr>
            </w:pPr>
          </w:p>
        </w:tc>
      </w:tr>
      <w:tr w14:paraId="3B79562B">
        <w:trPr>
          <w:trHeight w:val="57" w:hRule="atLeast"/>
        </w:trPr>
        <w:tc>
          <w:tcPr>
            <w:tcW w:w="1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2B39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2C107">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跳水</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DC81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3</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3F51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4163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216F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highlight w:val="none"/>
                <w:u w:val="no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DEF0D">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D94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D3C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A1B0F">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627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F4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26E75">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4E2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40400">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A2EA3">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EB3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8A3F8">
            <w:pPr>
              <w:jc w:val="center"/>
              <w:rPr>
                <w:rFonts w:hint="eastAsia" w:ascii="宋体" w:hAnsi="宋体" w:eastAsia="宋体" w:cs="宋体"/>
                <w:i w:val="0"/>
                <w:iCs w:val="0"/>
                <w:color w:val="000000"/>
                <w:sz w:val="20"/>
                <w:szCs w:val="20"/>
                <w:highlight w:val="none"/>
                <w:u w:val="none"/>
              </w:rPr>
            </w:pPr>
          </w:p>
        </w:tc>
      </w:tr>
      <w:tr w14:paraId="48B42784">
        <w:trPr>
          <w:trHeight w:val="57" w:hRule="atLeast"/>
        </w:trPr>
        <w:tc>
          <w:tcPr>
            <w:tcW w:w="5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ADB3E">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highlight w:val="none"/>
                <w:u w:val="none"/>
              </w:rPr>
            </w:pPr>
            <w:r>
              <w:rPr>
                <w:rFonts w:hint="default" w:ascii="仿宋_GB2312" w:hAnsi="宋体" w:eastAsia="仿宋_GB2312" w:cs="仿宋_GB2312"/>
                <w:i w:val="0"/>
                <w:iCs w:val="0"/>
                <w:color w:val="000000"/>
                <w:kern w:val="0"/>
                <w:sz w:val="18"/>
                <w:szCs w:val="18"/>
                <w:highlight w:val="none"/>
                <w:u w:val="none"/>
                <w:lang w:val="en-US" w:eastAsia="zh-CN" w:bidi="ar"/>
              </w:rPr>
              <w:t>含税合计</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472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910</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065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87</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CD0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823</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7A65">
            <w:pPr>
              <w:jc w:val="center"/>
              <w:rPr>
                <w:rFonts w:hint="eastAsia" w:ascii="宋体" w:hAnsi="宋体" w:eastAsia="宋体" w:cs="宋体"/>
                <w:i w:val="0"/>
                <w:iCs w:val="0"/>
                <w:color w:val="000000"/>
                <w:sz w:val="20"/>
                <w:szCs w:val="20"/>
                <w:highlight w:val="none"/>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B5BF2">
            <w:pPr>
              <w:jc w:val="center"/>
              <w:rPr>
                <w:rFonts w:hint="eastAsia" w:ascii="宋体" w:hAnsi="宋体" w:eastAsia="宋体" w:cs="宋体"/>
                <w:i w:val="0"/>
                <w:iCs w:val="0"/>
                <w:color w:val="000000"/>
                <w:sz w:val="20"/>
                <w:szCs w:val="20"/>
                <w:highlight w:val="none"/>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665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9DB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7FCFE">
            <w:pPr>
              <w:jc w:val="center"/>
              <w:rPr>
                <w:rFonts w:hint="eastAsia" w:ascii="宋体" w:hAnsi="宋体" w:eastAsia="宋体" w:cs="宋体"/>
                <w:i w:val="0"/>
                <w:iCs w:val="0"/>
                <w:color w:val="000000"/>
                <w:sz w:val="20"/>
                <w:szCs w:val="20"/>
                <w:highlight w:val="none"/>
                <w:u w:val="none"/>
              </w:rPr>
            </w:pP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39719">
            <w:pPr>
              <w:jc w:val="center"/>
              <w:rPr>
                <w:rFonts w:hint="eastAsia" w:ascii="宋体" w:hAnsi="宋体" w:eastAsia="宋体" w:cs="宋体"/>
                <w:i w:val="0"/>
                <w:iCs w:val="0"/>
                <w:color w:val="000000"/>
                <w:sz w:val="20"/>
                <w:szCs w:val="20"/>
                <w:highlight w:val="none"/>
                <w:u w:val="none"/>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C2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F17B">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059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CB3CA">
            <w:pPr>
              <w:jc w:val="center"/>
              <w:rPr>
                <w:rFonts w:hint="eastAsia" w:ascii="宋体" w:hAnsi="宋体" w:eastAsia="宋体" w:cs="宋体"/>
                <w:i w:val="0"/>
                <w:iCs w:val="0"/>
                <w:color w:val="000000"/>
                <w:sz w:val="20"/>
                <w:szCs w:val="20"/>
                <w:highlight w:val="none"/>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8856F">
            <w:pPr>
              <w:jc w:val="center"/>
              <w:rPr>
                <w:rFonts w:hint="eastAsia" w:ascii="宋体" w:hAnsi="宋体" w:eastAsia="宋体" w:cs="宋体"/>
                <w:i w:val="0"/>
                <w:iCs w:val="0"/>
                <w:color w:val="000000"/>
                <w:sz w:val="20"/>
                <w:szCs w:val="20"/>
                <w:highlight w:val="none"/>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AA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5F765">
            <w:pPr>
              <w:jc w:val="center"/>
              <w:rPr>
                <w:rFonts w:hint="eastAsia" w:ascii="宋体" w:hAnsi="宋体" w:eastAsia="宋体" w:cs="宋体"/>
                <w:i w:val="0"/>
                <w:iCs w:val="0"/>
                <w:color w:val="000000"/>
                <w:sz w:val="20"/>
                <w:szCs w:val="20"/>
                <w:highlight w:val="none"/>
                <w:u w:val="none"/>
              </w:rPr>
            </w:pPr>
          </w:p>
        </w:tc>
      </w:tr>
    </w:tbl>
    <w:p w14:paraId="5A774F18"/>
    <w:sectPr>
      <w:headerReference r:id="rId8" w:type="default"/>
      <w:footerReference r:id="rId9" w:type="default"/>
      <w:pgSz w:w="16838" w:h="11906" w:orient="landscape"/>
      <w:pgMar w:top="1800" w:right="1440" w:bottom="1800" w:left="1440" w:header="794"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EF" w:usb1="C0007841" w:usb2="00000009" w:usb3="00000000" w:csb0="400001FF" w:csb1="FFFF0000"/>
    <w:embedRegular r:id="rId1" w:fontKey="{1905525D-B3CE-02C4-1C57-0B68016C825C}"/>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8CACDDC3-BF64-AC5B-1C57-0B68ECCDC874}"/>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152D595C-E517-E7DD-1C57-0B68A5172485}"/>
  </w:font>
  <w:font w:name="楷体_GB2312">
    <w:altName w:val="汉仪楷体简"/>
    <w:panose1 w:val="02010609030101010101"/>
    <w:charset w:val="86"/>
    <w:family w:val="auto"/>
    <w:pitch w:val="default"/>
    <w:sig w:usb0="00000000" w:usb1="00000000" w:usb2="00000000" w:usb3="00000000" w:csb0="00040000" w:csb1="00000000"/>
  </w:font>
  <w:font w:name="Cambria">
    <w:altName w:val="苹方-简"/>
    <w:panose1 w:val="02040503050406030204"/>
    <w:charset w:val="00"/>
    <w:family w:val="roman"/>
    <w:pitch w:val="default"/>
    <w:sig w:usb0="00000000" w:usb1="00000000" w:usb2="02000000" w:usb3="00000000" w:csb0="2000019F" w:csb1="00000000"/>
  </w:font>
  <w:font w:name="微软雅黑">
    <w:altName w:val="汉仪旗黑"/>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小标宋">
    <w:altName w:val="方正小标宋_GBK"/>
    <w:panose1 w:val="03000509000000000000"/>
    <w:charset w:val="86"/>
    <w:family w:val="auto"/>
    <w:pitch w:val="default"/>
    <w:sig w:usb0="00000000" w:usb1="00000000" w:usb2="00000000" w:usb3="00000000" w:csb0="00040000" w:csb1="00000000"/>
  </w:font>
  <w:font w:name="PingFang SC">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汉仪楷体简">
    <w:panose1 w:val="02010600000101010101"/>
    <w:charset w:val="86"/>
    <w:family w:val="auto"/>
    <w:pitch w:val="default"/>
    <w:sig w:usb0="00000001" w:usb1="080E0800" w:usb2="00000002" w:usb3="00000000" w:csb0="00040000" w:csb1="00000000"/>
  </w:font>
  <w:font w:name="汉仪旗黑">
    <w:panose1 w:val="00020600040101010101"/>
    <w:charset w:val="86"/>
    <w:family w:val="auto"/>
    <w:pitch w:val="default"/>
    <w:sig w:usb0="A00002BF" w:usb1="1ACF7CFA" w:usb2="00000016" w:usb3="00000000" w:csb0="0004009F" w:csb1="DFD70000"/>
  </w:font>
  <w:font w:name="方正仿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F587A">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5253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1E5253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096A6">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1BBE4">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81BBE4">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54306">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FBEB6">
                          <w:pPr>
                            <w:pStyle w:val="12"/>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04FBEB6">
                    <w:pPr>
                      <w:pStyle w:val="12"/>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DACFA">
    <w:pPr>
      <w:rPr>
        <w:rFonts w:hint="eastAsia" w:eastAsia="宋体"/>
        <w:lang w:eastAsia="zh-CN"/>
      </w:rPr>
    </w:pPr>
    <w:r>
      <w:rPr>
        <w:sz w:val="28"/>
      </w:rPr>
      <mc:AlternateContent>
        <mc:Choice Requires="wps">
          <w:drawing>
            <wp:anchor distT="0" distB="0" distL="90805" distR="90805" simplePos="0" relativeHeight="251662336" behindDoc="0" locked="0" layoutInCell="1" allowOverlap="1">
              <wp:simplePos x="0" y="0"/>
              <wp:positionH relativeFrom="margin">
                <wp:align>center</wp:align>
              </wp:positionH>
              <wp:positionV relativeFrom="paragraph">
                <wp:posOffset>0</wp:posOffset>
              </wp:positionV>
              <wp:extent cx="57150" cy="131445"/>
              <wp:effectExtent l="0" t="0" r="0" b="0"/>
              <wp:wrapNone/>
              <wp:docPr id="6" name="文本框 2"/>
              <wp:cNvGraphicFramePr/>
              <a:graphic xmlns:a="http://schemas.openxmlformats.org/drawingml/2006/main">
                <a:graphicData uri="http://schemas.microsoft.com/office/word/2010/wordprocessingShape">
                  <wps:wsp>
                    <wps:cNvSpPr/>
                    <wps:spPr>
                      <a:xfrm>
                        <a:off x="0" y="0"/>
                        <a:ext cx="57150" cy="131445"/>
                      </a:xfrm>
                      <a:prstGeom prst="rect">
                        <a:avLst/>
                      </a:prstGeom>
                      <a:noFill/>
                      <a:ln w="6350" cap="flat" cmpd="sng">
                        <a:noFill/>
                        <a:prstDash val="solid"/>
                        <a:round/>
                      </a:ln>
                    </wps:spPr>
                    <wps:txbx>
                      <w:txbxContent>
                        <w:p w14:paraId="57A7F196">
                          <w:pPr>
                            <w:pStyle w:val="12"/>
                          </w:pPr>
                          <w:r>
                            <w:fldChar w:fldCharType="begin"/>
                          </w:r>
                          <w:r>
                            <w:instrText xml:space="preserve"> PAGE  \* MERGEFORMAT </w:instrText>
                          </w:r>
                          <w:r>
                            <w:fldChar w:fldCharType="separate"/>
                          </w:r>
                          <w:r>
                            <w:t>4</w:t>
                          </w:r>
                          <w:r>
                            <w:fldChar w:fldCharType="end"/>
                          </w:r>
                        </w:p>
                      </w:txbxContent>
                    </wps:txbx>
                    <wps:bodyPr vert="horz" wrap="none" lIns="0" tIns="0" rIns="0" bIns="0" anchor="t" anchorCtr="0">
                      <a:spAutoFit/>
                    </wps:bodyPr>
                  </wps:wsp>
                </a:graphicData>
              </a:graphic>
            </wp:anchor>
          </w:drawing>
        </mc:Choice>
        <mc:Fallback>
          <w:pict>
            <v:rect id="文本框 2" o:spid="_x0000_s1026" o:spt="1" style="position:absolute;left:0pt;margin-top:0pt;height:10.35pt;width:4.5pt;mso-position-horizontal:center;mso-position-horizontal-relative:margin;mso-wrap-style:none;z-index:251662336;mso-width-relative:page;mso-height-relative:page;" filled="f" stroked="f" coordsize="21600,21600" o:gfxdata="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qYvz1QAAAAIBAAAPAAAAAAAAAAEAIAAAACIAAABkcnMvZG93bnJldi54bWxQ&#10;SwECFAAUAAAACACHTuJAFNqS0/oBAADnAwAADgAAAAAAAAABACAAAAAkAQAAZHJzL2Uyb0RvYy54&#10;bWxQSwUGAAAAAAYABgBZAQAAkAUAAAAA&#10;">
              <v:fill on="f" focussize="0,0"/>
              <v:stroke on="f" weight="0.5pt" joinstyle="round"/>
              <v:imagedata o:title=""/>
              <o:lock v:ext="edit" aspectratio="f"/>
              <v:textbox inset="0mm,0mm,0mm,0mm" style="mso-fit-shape-to-text:t;">
                <w:txbxContent>
                  <w:p w14:paraId="57A7F196">
                    <w:pPr>
                      <w:pStyle w:val="12"/>
                    </w:pPr>
                    <w:r>
                      <w:fldChar w:fldCharType="begin"/>
                    </w:r>
                    <w:r>
                      <w:instrText xml:space="preserve"> PAGE  \* MERGEFORMAT </w:instrText>
                    </w:r>
                    <w:r>
                      <w:fldChar w:fldCharType="separate"/>
                    </w:r>
                    <w:r>
                      <w:t>4</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3E008">
    <w:pPr>
      <w:spacing w:line="169" w:lineRule="auto"/>
      <w:ind w:left="4736"/>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06066">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2C06066">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564A0">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5A9DF">
    <w:pPr>
      <w:spacing w:line="218" w:lineRule="auto"/>
      <w:ind w:left="6"/>
      <w:rPr>
        <w:rFonts w:ascii="宋体" w:hAnsi="宋体" w:eastAsia="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8728C"/>
    <w:multiLevelType w:val="multilevel"/>
    <w:tmpl w:val="8F08728C"/>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default" w:ascii="宋体" w:hAnsi="宋体" w:eastAsia="宋体" w:cs="Times New Roman"/>
        <w:sz w:val="24"/>
        <w:szCs w:val="24"/>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1">
    <w:nsid w:val="BE96E967"/>
    <w:multiLevelType w:val="singleLevel"/>
    <w:tmpl w:val="BE96E967"/>
    <w:lvl w:ilvl="0" w:tentative="0">
      <w:start w:val="1"/>
      <w:numFmt w:val="chineseCounting"/>
      <w:suff w:val="space"/>
      <w:lvlText w:val="第%1章"/>
      <w:lvlJc w:val="left"/>
      <w:rPr>
        <w:rFonts w:hint="eastAsia"/>
      </w:rPr>
    </w:lvl>
  </w:abstractNum>
  <w:abstractNum w:abstractNumId="2">
    <w:nsid w:val="DD2703DB"/>
    <w:multiLevelType w:val="multilevel"/>
    <w:tmpl w:val="DD2703DB"/>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default" w:ascii="宋体" w:hAnsi="宋体" w:eastAsia="宋体" w:cs="Times New Roman"/>
        <w:sz w:val="24"/>
        <w:szCs w:val="24"/>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3">
    <w:nsid w:val="0000000F"/>
    <w:multiLevelType w:val="multilevel"/>
    <w:tmpl w:val="0000000F"/>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4">
    <w:nsid w:val="00000012"/>
    <w:multiLevelType w:val="multilevel"/>
    <w:tmpl w:val="00000012"/>
    <w:lvl w:ilvl="0" w:tentative="0">
      <w:start w:val="1"/>
      <w:numFmt w:val="decimalEnclosedCircle"/>
      <w:suff w:val="space"/>
      <w:lvlText w:val="%1"/>
      <w:lvlJc w:val="left"/>
      <w:pPr>
        <w:ind w:left="1634" w:hanging="794"/>
      </w:pPr>
      <w:rPr>
        <w:rFonts w:ascii="宋体" w:hAnsi="宋体" w:eastAsia="宋体" w:cs="Times New Roman"/>
      </w:rPr>
    </w:lvl>
    <w:lvl w:ilvl="1" w:tentative="0">
      <w:start w:val="1"/>
      <w:numFmt w:val="lowerLetter"/>
      <w:lvlText w:val="%2)"/>
      <w:lvlJc w:val="left"/>
      <w:pPr>
        <w:tabs>
          <w:tab w:val="left" w:pos="1680"/>
        </w:tabs>
        <w:ind w:left="1680" w:hanging="420"/>
      </w:pPr>
      <w:rPr>
        <w:rFonts w:hint="eastAsia"/>
      </w:rPr>
    </w:lvl>
    <w:lvl w:ilvl="2" w:tentative="0">
      <w:start w:val="1"/>
      <w:numFmt w:val="lowerRoman"/>
      <w:lvlText w:val="%3."/>
      <w:lvlJc w:val="right"/>
      <w:pPr>
        <w:tabs>
          <w:tab w:val="left" w:pos="2100"/>
        </w:tabs>
        <w:ind w:left="2100" w:hanging="420"/>
      </w:pPr>
      <w:rPr>
        <w:rFonts w:hint="eastAsia"/>
      </w:rPr>
    </w:lvl>
    <w:lvl w:ilvl="3" w:tentative="0">
      <w:start w:val="1"/>
      <w:numFmt w:val="decimal"/>
      <w:lvlText w:val="%4."/>
      <w:lvlJc w:val="left"/>
      <w:pPr>
        <w:tabs>
          <w:tab w:val="left" w:pos="2520"/>
        </w:tabs>
        <w:ind w:left="2520" w:hanging="420"/>
      </w:pPr>
      <w:rPr>
        <w:rFonts w:hint="eastAsia"/>
      </w:rPr>
    </w:lvl>
    <w:lvl w:ilvl="4" w:tentative="0">
      <w:start w:val="1"/>
      <w:numFmt w:val="lowerLetter"/>
      <w:lvlText w:val="%5)"/>
      <w:lvlJc w:val="left"/>
      <w:pPr>
        <w:tabs>
          <w:tab w:val="left" w:pos="2940"/>
        </w:tabs>
        <w:ind w:left="2940" w:hanging="420"/>
      </w:pPr>
      <w:rPr>
        <w:rFonts w:hint="eastAsia"/>
      </w:rPr>
    </w:lvl>
    <w:lvl w:ilvl="5" w:tentative="0">
      <w:start w:val="1"/>
      <w:numFmt w:val="lowerRoman"/>
      <w:lvlText w:val="%6."/>
      <w:lvlJc w:val="right"/>
      <w:pPr>
        <w:tabs>
          <w:tab w:val="left" w:pos="3360"/>
        </w:tabs>
        <w:ind w:left="3360" w:hanging="420"/>
      </w:pPr>
      <w:rPr>
        <w:rFonts w:hint="eastAsia"/>
      </w:rPr>
    </w:lvl>
    <w:lvl w:ilvl="6" w:tentative="0">
      <w:start w:val="1"/>
      <w:numFmt w:val="decimal"/>
      <w:lvlText w:val="%7."/>
      <w:lvlJc w:val="left"/>
      <w:pPr>
        <w:tabs>
          <w:tab w:val="left" w:pos="3780"/>
        </w:tabs>
        <w:ind w:left="3780" w:hanging="420"/>
      </w:pPr>
      <w:rPr>
        <w:rFonts w:hint="eastAsia"/>
      </w:rPr>
    </w:lvl>
    <w:lvl w:ilvl="7" w:tentative="0">
      <w:start w:val="1"/>
      <w:numFmt w:val="lowerLetter"/>
      <w:lvlText w:val="%8)"/>
      <w:lvlJc w:val="left"/>
      <w:pPr>
        <w:tabs>
          <w:tab w:val="left" w:pos="4200"/>
        </w:tabs>
        <w:ind w:left="4200" w:hanging="420"/>
      </w:pPr>
      <w:rPr>
        <w:rFonts w:hint="eastAsia"/>
      </w:rPr>
    </w:lvl>
    <w:lvl w:ilvl="8" w:tentative="0">
      <w:start w:val="1"/>
      <w:numFmt w:val="lowerRoman"/>
      <w:lvlText w:val="%9."/>
      <w:lvlJc w:val="right"/>
      <w:pPr>
        <w:tabs>
          <w:tab w:val="left" w:pos="4620"/>
        </w:tabs>
        <w:ind w:left="4620" w:hanging="420"/>
      </w:pPr>
      <w:rPr>
        <w:rFonts w:hint="eastAsia"/>
      </w:rPr>
    </w:lvl>
  </w:abstractNum>
  <w:abstractNum w:abstractNumId="5">
    <w:nsid w:val="00000016"/>
    <w:multiLevelType w:val="multilevel"/>
    <w:tmpl w:val="00000016"/>
    <w:lvl w:ilvl="0" w:tentative="0">
      <w:start w:val="1"/>
      <w:numFmt w:val="upp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6">
    <w:nsid w:val="00000018"/>
    <w:multiLevelType w:val="multilevel"/>
    <w:tmpl w:val="00000018"/>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7">
    <w:nsid w:val="0000001D"/>
    <w:multiLevelType w:val="multilevel"/>
    <w:tmpl w:val="0000001D"/>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8">
    <w:nsid w:val="00000021"/>
    <w:multiLevelType w:val="multilevel"/>
    <w:tmpl w:val="00000021"/>
    <w:lvl w:ilvl="0" w:tentative="0">
      <w:start w:val="1"/>
      <w:numFmt w:val="japaneseCounting"/>
      <w:lvlText w:val="%1、"/>
      <w:lvlJc w:val="left"/>
      <w:pPr>
        <w:tabs>
          <w:tab w:val="left" w:pos="1905"/>
        </w:tabs>
        <w:ind w:left="1905" w:hanging="855"/>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23"/>
    <w:multiLevelType w:val="multilevel"/>
    <w:tmpl w:val="00000023"/>
    <w:lvl w:ilvl="0" w:tentative="0">
      <w:start w:val="1"/>
      <w:numFmt w:val="bullet"/>
      <w:lvlText w:val=""/>
      <w:lvlJc w:val="left"/>
      <w:pPr>
        <w:tabs>
          <w:tab w:val="left" w:pos="1440"/>
        </w:tabs>
        <w:ind w:left="1440" w:hanging="720"/>
      </w:pPr>
      <w:rPr>
        <w:rFonts w:hint="default" w:ascii="Wingdings" w:hAnsi="Wingdings"/>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0">
    <w:nsid w:val="00000027"/>
    <w:multiLevelType w:val="multilevel"/>
    <w:tmpl w:val="00000027"/>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default" w:ascii="宋体" w:hAnsi="宋体" w:eastAsia="宋体" w:cs="Times New Roman"/>
        <w:sz w:val="24"/>
        <w:szCs w:val="24"/>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11">
    <w:nsid w:val="59DDFFAA"/>
    <w:multiLevelType w:val="singleLevel"/>
    <w:tmpl w:val="59DDFFAA"/>
    <w:lvl w:ilvl="0" w:tentative="0">
      <w:start w:val="1"/>
      <w:numFmt w:val="decimal"/>
      <w:suff w:val="nothing"/>
      <w:lvlText w:val="（%1）"/>
      <w:lvlJc w:val="left"/>
    </w:lvl>
  </w:abstractNum>
  <w:abstractNum w:abstractNumId="12">
    <w:nsid w:val="727E1B3B"/>
    <w:multiLevelType w:val="multilevel"/>
    <w:tmpl w:val="727E1B3B"/>
    <w:lvl w:ilvl="0" w:tentative="0">
      <w:start w:val="1"/>
      <w:numFmt w:val="decimal"/>
      <w:lvlText w:val="%1）"/>
      <w:lvlJc w:val="left"/>
      <w:pPr>
        <w:tabs>
          <w:tab w:val="left" w:pos="360"/>
        </w:tabs>
        <w:ind w:left="360" w:hanging="36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1"/>
  </w:num>
  <w:num w:numId="3">
    <w:abstractNumId w:val="10"/>
  </w:num>
  <w:num w:numId="4">
    <w:abstractNumId w:val="0"/>
  </w:num>
  <w:num w:numId="5">
    <w:abstractNumId w:val="2"/>
  </w:num>
  <w:num w:numId="6">
    <w:abstractNumId w:val="9"/>
  </w:num>
  <w:num w:numId="7">
    <w:abstractNumId w:val="6"/>
  </w:num>
  <w:num w:numId="8">
    <w:abstractNumId w:val="3"/>
  </w:num>
  <w:num w:numId="9">
    <w:abstractNumId w:val="4"/>
  </w:num>
  <w:num w:numId="10">
    <w:abstractNumId w:val="5"/>
  </w:num>
  <w:num w:numId="11">
    <w:abstractNumId w:val="7"/>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ZDIzMjBhYjY3YjcwYmIxYWI1NjM4YzVmYjEyMDMifQ=="/>
    <w:docVar w:name="KSO_WPS_MARK_KEY" w:val="0d9617b0-8c7f-4e67-91a8-44c3d85fc965"/>
  </w:docVars>
  <w:rsids>
    <w:rsidRoot w:val="4ECC55F7"/>
    <w:rsid w:val="001D5FB4"/>
    <w:rsid w:val="002235D1"/>
    <w:rsid w:val="00495543"/>
    <w:rsid w:val="005D5FF8"/>
    <w:rsid w:val="00930024"/>
    <w:rsid w:val="00932993"/>
    <w:rsid w:val="00CE392F"/>
    <w:rsid w:val="00D836C6"/>
    <w:rsid w:val="00ED1E2A"/>
    <w:rsid w:val="012F5F9F"/>
    <w:rsid w:val="01453A14"/>
    <w:rsid w:val="0159126E"/>
    <w:rsid w:val="01B514BB"/>
    <w:rsid w:val="02201D8C"/>
    <w:rsid w:val="02443CCC"/>
    <w:rsid w:val="028A1AEA"/>
    <w:rsid w:val="03182412"/>
    <w:rsid w:val="037B752C"/>
    <w:rsid w:val="03A03184"/>
    <w:rsid w:val="03D96696"/>
    <w:rsid w:val="043821A3"/>
    <w:rsid w:val="047F2D99"/>
    <w:rsid w:val="048F389D"/>
    <w:rsid w:val="04EA02EB"/>
    <w:rsid w:val="04F33787"/>
    <w:rsid w:val="05010C9B"/>
    <w:rsid w:val="050F05C1"/>
    <w:rsid w:val="05283431"/>
    <w:rsid w:val="05CB7A65"/>
    <w:rsid w:val="05FF26C1"/>
    <w:rsid w:val="06E006E2"/>
    <w:rsid w:val="06E15F8D"/>
    <w:rsid w:val="07B42FEC"/>
    <w:rsid w:val="07C5765D"/>
    <w:rsid w:val="08D527C6"/>
    <w:rsid w:val="0981677A"/>
    <w:rsid w:val="0A2A7C4B"/>
    <w:rsid w:val="0A495F79"/>
    <w:rsid w:val="0A4C38C5"/>
    <w:rsid w:val="0A6A0028"/>
    <w:rsid w:val="0AFD40C4"/>
    <w:rsid w:val="0B41349E"/>
    <w:rsid w:val="0B420FC5"/>
    <w:rsid w:val="0B4F486D"/>
    <w:rsid w:val="0BEA7692"/>
    <w:rsid w:val="0C230069"/>
    <w:rsid w:val="0C2B3807"/>
    <w:rsid w:val="0C5172E2"/>
    <w:rsid w:val="0CC8641F"/>
    <w:rsid w:val="0CD84F8D"/>
    <w:rsid w:val="0D6D4EFE"/>
    <w:rsid w:val="0D770524"/>
    <w:rsid w:val="0D935B07"/>
    <w:rsid w:val="0DB11E9F"/>
    <w:rsid w:val="0DFB1D1B"/>
    <w:rsid w:val="0EE20AF5"/>
    <w:rsid w:val="0F4B4D78"/>
    <w:rsid w:val="0F81030D"/>
    <w:rsid w:val="0FA90822"/>
    <w:rsid w:val="0FB02F35"/>
    <w:rsid w:val="0FB26719"/>
    <w:rsid w:val="0FDC6702"/>
    <w:rsid w:val="10720E30"/>
    <w:rsid w:val="10B53D13"/>
    <w:rsid w:val="11020174"/>
    <w:rsid w:val="117F3570"/>
    <w:rsid w:val="11A60792"/>
    <w:rsid w:val="11BE7C91"/>
    <w:rsid w:val="12415B32"/>
    <w:rsid w:val="125504EC"/>
    <w:rsid w:val="127777A6"/>
    <w:rsid w:val="128864D7"/>
    <w:rsid w:val="13154596"/>
    <w:rsid w:val="1319085D"/>
    <w:rsid w:val="13280AA0"/>
    <w:rsid w:val="13392CAD"/>
    <w:rsid w:val="1352299C"/>
    <w:rsid w:val="13C609E5"/>
    <w:rsid w:val="144F47DA"/>
    <w:rsid w:val="147E119C"/>
    <w:rsid w:val="147F0B94"/>
    <w:rsid w:val="14C41AA0"/>
    <w:rsid w:val="14E76E65"/>
    <w:rsid w:val="150A2B53"/>
    <w:rsid w:val="15192D96"/>
    <w:rsid w:val="157306F8"/>
    <w:rsid w:val="159A3ED7"/>
    <w:rsid w:val="15D53161"/>
    <w:rsid w:val="16167214"/>
    <w:rsid w:val="1652482D"/>
    <w:rsid w:val="16CA0382"/>
    <w:rsid w:val="16DE6045"/>
    <w:rsid w:val="172C595D"/>
    <w:rsid w:val="1784268A"/>
    <w:rsid w:val="17EB38E9"/>
    <w:rsid w:val="181C1FF2"/>
    <w:rsid w:val="18BE5A29"/>
    <w:rsid w:val="18FD1020"/>
    <w:rsid w:val="190A1374"/>
    <w:rsid w:val="192A6617"/>
    <w:rsid w:val="19A85B4E"/>
    <w:rsid w:val="19B20A68"/>
    <w:rsid w:val="19D35C0A"/>
    <w:rsid w:val="1A3B37AF"/>
    <w:rsid w:val="1A49306D"/>
    <w:rsid w:val="1AB95EAC"/>
    <w:rsid w:val="1AE8627D"/>
    <w:rsid w:val="1AEE3E86"/>
    <w:rsid w:val="1B13276C"/>
    <w:rsid w:val="1B2408A3"/>
    <w:rsid w:val="1B6B3C20"/>
    <w:rsid w:val="1BBC14BF"/>
    <w:rsid w:val="1BBF2B94"/>
    <w:rsid w:val="1BF21BDD"/>
    <w:rsid w:val="1C0C325D"/>
    <w:rsid w:val="1C7A236C"/>
    <w:rsid w:val="1CE4221E"/>
    <w:rsid w:val="1CE44B16"/>
    <w:rsid w:val="1D0205B4"/>
    <w:rsid w:val="1D036806"/>
    <w:rsid w:val="1D0740CC"/>
    <w:rsid w:val="1D0F08AC"/>
    <w:rsid w:val="1D917D7B"/>
    <w:rsid w:val="1DB91AD3"/>
    <w:rsid w:val="1DE71C83"/>
    <w:rsid w:val="1DEF0B38"/>
    <w:rsid w:val="1E6B017B"/>
    <w:rsid w:val="1EC27D3D"/>
    <w:rsid w:val="1EFB350D"/>
    <w:rsid w:val="1F2029B8"/>
    <w:rsid w:val="1F580771"/>
    <w:rsid w:val="1FC13F2B"/>
    <w:rsid w:val="1FFFF7BB"/>
    <w:rsid w:val="200978C3"/>
    <w:rsid w:val="202B2A83"/>
    <w:rsid w:val="20511636"/>
    <w:rsid w:val="205F0D2C"/>
    <w:rsid w:val="20B971DB"/>
    <w:rsid w:val="20FF24EA"/>
    <w:rsid w:val="21346C8B"/>
    <w:rsid w:val="21B16134"/>
    <w:rsid w:val="226950D3"/>
    <w:rsid w:val="228D6B72"/>
    <w:rsid w:val="22FF23FA"/>
    <w:rsid w:val="23256DAA"/>
    <w:rsid w:val="239D3981"/>
    <w:rsid w:val="242A07C9"/>
    <w:rsid w:val="246608C7"/>
    <w:rsid w:val="247B5F11"/>
    <w:rsid w:val="24AE34FB"/>
    <w:rsid w:val="24D42836"/>
    <w:rsid w:val="25514F2D"/>
    <w:rsid w:val="25867FD4"/>
    <w:rsid w:val="26445FBA"/>
    <w:rsid w:val="26773DC1"/>
    <w:rsid w:val="272E0923"/>
    <w:rsid w:val="27375980"/>
    <w:rsid w:val="27AD0B5A"/>
    <w:rsid w:val="281E30AB"/>
    <w:rsid w:val="28305FD5"/>
    <w:rsid w:val="283C7070"/>
    <w:rsid w:val="284D6B87"/>
    <w:rsid w:val="287D6474"/>
    <w:rsid w:val="28EC07E1"/>
    <w:rsid w:val="28F10F21"/>
    <w:rsid w:val="28F74D45"/>
    <w:rsid w:val="290336EA"/>
    <w:rsid w:val="29453F6F"/>
    <w:rsid w:val="296A19BB"/>
    <w:rsid w:val="29F51284"/>
    <w:rsid w:val="2A110159"/>
    <w:rsid w:val="2A377AEF"/>
    <w:rsid w:val="2A61691A"/>
    <w:rsid w:val="2B7F4304"/>
    <w:rsid w:val="2B8D5D83"/>
    <w:rsid w:val="2BC25ADE"/>
    <w:rsid w:val="2BCE7FDF"/>
    <w:rsid w:val="2CE33F5E"/>
    <w:rsid w:val="2D2A6A76"/>
    <w:rsid w:val="2D403676"/>
    <w:rsid w:val="2D6055AE"/>
    <w:rsid w:val="2D6B77A0"/>
    <w:rsid w:val="2D776454"/>
    <w:rsid w:val="2DA41E97"/>
    <w:rsid w:val="2DE0049D"/>
    <w:rsid w:val="2E1D5D1E"/>
    <w:rsid w:val="2E576295"/>
    <w:rsid w:val="2E5B35DA"/>
    <w:rsid w:val="2E7635D3"/>
    <w:rsid w:val="2EC76F67"/>
    <w:rsid w:val="2EF5691D"/>
    <w:rsid w:val="2F5702EB"/>
    <w:rsid w:val="2F8B1EF8"/>
    <w:rsid w:val="30224D9D"/>
    <w:rsid w:val="30534F57"/>
    <w:rsid w:val="309C4B4F"/>
    <w:rsid w:val="309C7E7B"/>
    <w:rsid w:val="30E21786"/>
    <w:rsid w:val="310E24B8"/>
    <w:rsid w:val="312C5329"/>
    <w:rsid w:val="3139239E"/>
    <w:rsid w:val="31E7004C"/>
    <w:rsid w:val="323C47BB"/>
    <w:rsid w:val="32EC51EE"/>
    <w:rsid w:val="33FF1E55"/>
    <w:rsid w:val="342A06C4"/>
    <w:rsid w:val="345474EF"/>
    <w:rsid w:val="34676FA3"/>
    <w:rsid w:val="34A47EBC"/>
    <w:rsid w:val="34D33C65"/>
    <w:rsid w:val="34ED161D"/>
    <w:rsid w:val="35B91D00"/>
    <w:rsid w:val="36CC15BF"/>
    <w:rsid w:val="37074CED"/>
    <w:rsid w:val="37373156"/>
    <w:rsid w:val="379708C7"/>
    <w:rsid w:val="37B54749"/>
    <w:rsid w:val="37F67C2B"/>
    <w:rsid w:val="38733523"/>
    <w:rsid w:val="38792DCD"/>
    <w:rsid w:val="38F80078"/>
    <w:rsid w:val="39297982"/>
    <w:rsid w:val="392A3BCE"/>
    <w:rsid w:val="392E05E5"/>
    <w:rsid w:val="395F6F26"/>
    <w:rsid w:val="3A652EF7"/>
    <w:rsid w:val="3A68640B"/>
    <w:rsid w:val="3A8D5509"/>
    <w:rsid w:val="3AB371FF"/>
    <w:rsid w:val="3AEC66D3"/>
    <w:rsid w:val="3B4E4C98"/>
    <w:rsid w:val="3C176208"/>
    <w:rsid w:val="3CB0434E"/>
    <w:rsid w:val="3CE565D2"/>
    <w:rsid w:val="3D2832C7"/>
    <w:rsid w:val="3D775694"/>
    <w:rsid w:val="3DA94408"/>
    <w:rsid w:val="3DCFD84E"/>
    <w:rsid w:val="3E0077CE"/>
    <w:rsid w:val="3E0265E3"/>
    <w:rsid w:val="3E3F7012"/>
    <w:rsid w:val="3E6A003B"/>
    <w:rsid w:val="3E6E11AD"/>
    <w:rsid w:val="3F1C6199"/>
    <w:rsid w:val="3F71307C"/>
    <w:rsid w:val="3F846999"/>
    <w:rsid w:val="40375F64"/>
    <w:rsid w:val="404457C1"/>
    <w:rsid w:val="40705866"/>
    <w:rsid w:val="40905D53"/>
    <w:rsid w:val="41396764"/>
    <w:rsid w:val="41524DB6"/>
    <w:rsid w:val="427B20EB"/>
    <w:rsid w:val="433230F1"/>
    <w:rsid w:val="437463D9"/>
    <w:rsid w:val="43EF32F7"/>
    <w:rsid w:val="440C56F0"/>
    <w:rsid w:val="44511A38"/>
    <w:rsid w:val="44907990"/>
    <w:rsid w:val="44BD1B0F"/>
    <w:rsid w:val="44CC6269"/>
    <w:rsid w:val="44D83825"/>
    <w:rsid w:val="453E5D7D"/>
    <w:rsid w:val="45A0366A"/>
    <w:rsid w:val="45AF7C5C"/>
    <w:rsid w:val="46182B8E"/>
    <w:rsid w:val="46C42CC2"/>
    <w:rsid w:val="480A63EB"/>
    <w:rsid w:val="48757D08"/>
    <w:rsid w:val="487E16BE"/>
    <w:rsid w:val="48BA396D"/>
    <w:rsid w:val="492E789D"/>
    <w:rsid w:val="49500888"/>
    <w:rsid w:val="49732782"/>
    <w:rsid w:val="49BE123B"/>
    <w:rsid w:val="49E64758"/>
    <w:rsid w:val="4A01592C"/>
    <w:rsid w:val="4A2C1986"/>
    <w:rsid w:val="4A38492F"/>
    <w:rsid w:val="4A673681"/>
    <w:rsid w:val="4ACC0362"/>
    <w:rsid w:val="4ADB406F"/>
    <w:rsid w:val="4ADF1C17"/>
    <w:rsid w:val="4AEE3DA2"/>
    <w:rsid w:val="4CFE5DF2"/>
    <w:rsid w:val="4D1A70D0"/>
    <w:rsid w:val="4D6D36A4"/>
    <w:rsid w:val="4DAC0601"/>
    <w:rsid w:val="4DAE740E"/>
    <w:rsid w:val="4E050AEE"/>
    <w:rsid w:val="4E12313C"/>
    <w:rsid w:val="4ECC55F7"/>
    <w:rsid w:val="4F7C3148"/>
    <w:rsid w:val="4F840831"/>
    <w:rsid w:val="4FBF3F5F"/>
    <w:rsid w:val="4FCF3153"/>
    <w:rsid w:val="4FF57980"/>
    <w:rsid w:val="4FF82FCD"/>
    <w:rsid w:val="502538AD"/>
    <w:rsid w:val="508278CB"/>
    <w:rsid w:val="50C64E79"/>
    <w:rsid w:val="50EC3FE1"/>
    <w:rsid w:val="522B768A"/>
    <w:rsid w:val="522D3402"/>
    <w:rsid w:val="52D970E6"/>
    <w:rsid w:val="52FC57CF"/>
    <w:rsid w:val="531D1D20"/>
    <w:rsid w:val="53A82FE1"/>
    <w:rsid w:val="53BE1989"/>
    <w:rsid w:val="54095638"/>
    <w:rsid w:val="541B5AFB"/>
    <w:rsid w:val="54B27BEE"/>
    <w:rsid w:val="54DED5E7"/>
    <w:rsid w:val="56532585"/>
    <w:rsid w:val="56B539C6"/>
    <w:rsid w:val="56CD3EB2"/>
    <w:rsid w:val="57235785"/>
    <w:rsid w:val="57AA1051"/>
    <w:rsid w:val="583C11D8"/>
    <w:rsid w:val="58486254"/>
    <w:rsid w:val="58931808"/>
    <w:rsid w:val="58B9770A"/>
    <w:rsid w:val="59374B66"/>
    <w:rsid w:val="59A0095D"/>
    <w:rsid w:val="59C95EFC"/>
    <w:rsid w:val="59FE54E8"/>
    <w:rsid w:val="5A4738C2"/>
    <w:rsid w:val="5AEA3429"/>
    <w:rsid w:val="5B1240F8"/>
    <w:rsid w:val="5B411CCC"/>
    <w:rsid w:val="5B5419FF"/>
    <w:rsid w:val="5BD74D4C"/>
    <w:rsid w:val="5BED775E"/>
    <w:rsid w:val="5C42784C"/>
    <w:rsid w:val="5C814A76"/>
    <w:rsid w:val="5C8D6F66"/>
    <w:rsid w:val="5D683540"/>
    <w:rsid w:val="5DFE39EA"/>
    <w:rsid w:val="5E483371"/>
    <w:rsid w:val="5E601CA4"/>
    <w:rsid w:val="5E9035C5"/>
    <w:rsid w:val="5EFF999D"/>
    <w:rsid w:val="5F1784F5"/>
    <w:rsid w:val="5F763B05"/>
    <w:rsid w:val="5F7A3834"/>
    <w:rsid w:val="5F7F06E5"/>
    <w:rsid w:val="5F891984"/>
    <w:rsid w:val="5FBF1411"/>
    <w:rsid w:val="6002119E"/>
    <w:rsid w:val="603E7F38"/>
    <w:rsid w:val="607664CF"/>
    <w:rsid w:val="60A67F6B"/>
    <w:rsid w:val="61C80A51"/>
    <w:rsid w:val="622C7647"/>
    <w:rsid w:val="62AB3E7A"/>
    <w:rsid w:val="62AB4DD7"/>
    <w:rsid w:val="62F51069"/>
    <w:rsid w:val="63416D0D"/>
    <w:rsid w:val="639826A5"/>
    <w:rsid w:val="639A38C0"/>
    <w:rsid w:val="644F0291"/>
    <w:rsid w:val="64951DDB"/>
    <w:rsid w:val="64A137DB"/>
    <w:rsid w:val="64B61035"/>
    <w:rsid w:val="660D2B0C"/>
    <w:rsid w:val="661630C7"/>
    <w:rsid w:val="66330F5A"/>
    <w:rsid w:val="66370B0B"/>
    <w:rsid w:val="668313EA"/>
    <w:rsid w:val="67126D54"/>
    <w:rsid w:val="67283702"/>
    <w:rsid w:val="672C1A82"/>
    <w:rsid w:val="6744501E"/>
    <w:rsid w:val="67584625"/>
    <w:rsid w:val="67654F94"/>
    <w:rsid w:val="6776B353"/>
    <w:rsid w:val="6778655A"/>
    <w:rsid w:val="67B6134C"/>
    <w:rsid w:val="67CB5B7C"/>
    <w:rsid w:val="683C519F"/>
    <w:rsid w:val="684E17E8"/>
    <w:rsid w:val="69EC3FD8"/>
    <w:rsid w:val="6AD225AD"/>
    <w:rsid w:val="6ADF6E0B"/>
    <w:rsid w:val="6B833C3B"/>
    <w:rsid w:val="6B905A67"/>
    <w:rsid w:val="6B96396E"/>
    <w:rsid w:val="6B9E73C9"/>
    <w:rsid w:val="6BAE7493"/>
    <w:rsid w:val="6C0E79A8"/>
    <w:rsid w:val="6C200F3D"/>
    <w:rsid w:val="6C7A2185"/>
    <w:rsid w:val="6C961E57"/>
    <w:rsid w:val="6CB95B66"/>
    <w:rsid w:val="6D0A63C2"/>
    <w:rsid w:val="6E1119D2"/>
    <w:rsid w:val="6E2214E9"/>
    <w:rsid w:val="6E331948"/>
    <w:rsid w:val="6EA63EC8"/>
    <w:rsid w:val="6EB72579"/>
    <w:rsid w:val="6F1F535B"/>
    <w:rsid w:val="6F5B4DEA"/>
    <w:rsid w:val="6F7FB66F"/>
    <w:rsid w:val="6FD34DCD"/>
    <w:rsid w:val="70EB475C"/>
    <w:rsid w:val="71325A18"/>
    <w:rsid w:val="71632544"/>
    <w:rsid w:val="71C5A153"/>
    <w:rsid w:val="71CA25C3"/>
    <w:rsid w:val="7215672A"/>
    <w:rsid w:val="727B566C"/>
    <w:rsid w:val="7294672D"/>
    <w:rsid w:val="739F35DC"/>
    <w:rsid w:val="73BA3E31"/>
    <w:rsid w:val="74055B35"/>
    <w:rsid w:val="74CD58D8"/>
    <w:rsid w:val="74E905C9"/>
    <w:rsid w:val="751A2C75"/>
    <w:rsid w:val="753F5A2A"/>
    <w:rsid w:val="75433731"/>
    <w:rsid w:val="757A4300"/>
    <w:rsid w:val="759E0BDF"/>
    <w:rsid w:val="75C31241"/>
    <w:rsid w:val="75EC72EC"/>
    <w:rsid w:val="75F7474E"/>
    <w:rsid w:val="7651143B"/>
    <w:rsid w:val="769E57D2"/>
    <w:rsid w:val="76C5219A"/>
    <w:rsid w:val="77100A78"/>
    <w:rsid w:val="7762504C"/>
    <w:rsid w:val="77C81353"/>
    <w:rsid w:val="77DE744A"/>
    <w:rsid w:val="786C1477"/>
    <w:rsid w:val="787B0173"/>
    <w:rsid w:val="78B35B5F"/>
    <w:rsid w:val="791146B7"/>
    <w:rsid w:val="79B02245"/>
    <w:rsid w:val="7A2A367D"/>
    <w:rsid w:val="7AAA99D3"/>
    <w:rsid w:val="7AF12CAD"/>
    <w:rsid w:val="7B79499A"/>
    <w:rsid w:val="7B7D3BE3"/>
    <w:rsid w:val="7BD18B0E"/>
    <w:rsid w:val="7BEE18D8"/>
    <w:rsid w:val="7BF226D6"/>
    <w:rsid w:val="7BFE09FB"/>
    <w:rsid w:val="7BFFFED1"/>
    <w:rsid w:val="7C184503"/>
    <w:rsid w:val="7C356B4F"/>
    <w:rsid w:val="7C972518"/>
    <w:rsid w:val="7CAA54CB"/>
    <w:rsid w:val="7CB40069"/>
    <w:rsid w:val="7CB579CC"/>
    <w:rsid w:val="7D2650CB"/>
    <w:rsid w:val="7D9615AC"/>
    <w:rsid w:val="7DB9B8E6"/>
    <w:rsid w:val="7DDB4A9F"/>
    <w:rsid w:val="7DEE55F8"/>
    <w:rsid w:val="7DF54524"/>
    <w:rsid w:val="7DFFF7C0"/>
    <w:rsid w:val="7E2F76F1"/>
    <w:rsid w:val="7EB4618D"/>
    <w:rsid w:val="7EEB6999"/>
    <w:rsid w:val="7F1906E6"/>
    <w:rsid w:val="7F1F1AC7"/>
    <w:rsid w:val="7FFD02F5"/>
    <w:rsid w:val="7FFF8CE5"/>
    <w:rsid w:val="B6793CBD"/>
    <w:rsid w:val="B9ED9CD5"/>
    <w:rsid w:val="BF7F3AC9"/>
    <w:rsid w:val="BFEFE77C"/>
    <w:rsid w:val="DED799FC"/>
    <w:rsid w:val="DFD0573E"/>
    <w:rsid w:val="DFFB8401"/>
    <w:rsid w:val="E0F93B32"/>
    <w:rsid w:val="E3FF629B"/>
    <w:rsid w:val="E5EF4554"/>
    <w:rsid w:val="E7F1DE56"/>
    <w:rsid w:val="F7FC9D3C"/>
    <w:rsid w:val="F7FFDC51"/>
    <w:rsid w:val="FDFA3974"/>
    <w:rsid w:val="FE13DB4C"/>
    <w:rsid w:val="FF7E73E8"/>
    <w:rsid w:val="FFAE9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99"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qFormat/>
    <w:uiPriority w:val="0"/>
    <w:pPr>
      <w:keepNext/>
      <w:keepLines/>
      <w:adjustRightInd w:val="0"/>
      <w:spacing w:before="40" w:after="40" w:line="360" w:lineRule="auto"/>
      <w:textAlignment w:val="baseline"/>
      <w:outlineLvl w:val="2"/>
    </w:pPr>
    <w:rPr>
      <w:rFonts w:ascii="宋体" w:hAnsi="宋体"/>
      <w:b/>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spacing w:line="480" w:lineRule="atLeast"/>
    </w:pPr>
    <w:rPr>
      <w:rFonts w:ascii="楷体_GB2312" w:eastAsia="楷体_GB2312"/>
      <w:b/>
      <w:sz w:val="30"/>
    </w:rPr>
  </w:style>
  <w:style w:type="paragraph" w:styleId="6">
    <w:name w:val="Note Heading"/>
    <w:next w:val="1"/>
    <w:qFormat/>
    <w:uiPriority w:val="99"/>
    <w:pPr>
      <w:widowControl w:val="0"/>
      <w:snapToGrid w:val="0"/>
      <w:spacing w:before="120" w:after="120" w:line="320" w:lineRule="exact"/>
      <w:ind w:firstLine="413" w:firstLineChars="200"/>
      <w:jc w:val="both"/>
    </w:pPr>
    <w:rPr>
      <w:rFonts w:ascii="宋体" w:hAnsi="宋体" w:eastAsia="宋体" w:cs="Times New Roman"/>
      <w:b/>
      <w:color w:val="000000"/>
      <w:kern w:val="2"/>
      <w:sz w:val="21"/>
      <w:szCs w:val="22"/>
      <w:lang w:val="en-US" w:eastAsia="zh-CN" w:bidi="ar-SA"/>
    </w:rPr>
  </w:style>
  <w:style w:type="paragraph" w:styleId="7">
    <w:name w:val="toa heading"/>
    <w:basedOn w:val="1"/>
    <w:next w:val="1"/>
    <w:semiHidden/>
    <w:qFormat/>
    <w:uiPriority w:val="99"/>
    <w:pPr>
      <w:spacing w:before="120"/>
    </w:pPr>
    <w:rPr>
      <w:rFonts w:ascii="Cambria" w:hAnsi="Cambria" w:cs="Cambria"/>
      <w:sz w:val="24"/>
      <w:szCs w:val="24"/>
    </w:rPr>
  </w:style>
  <w:style w:type="paragraph" w:styleId="8">
    <w:name w:val="annotation text"/>
    <w:basedOn w:val="1"/>
    <w:qFormat/>
    <w:uiPriority w:val="0"/>
    <w:pPr>
      <w:jc w:val="left"/>
    </w:pPr>
  </w:style>
  <w:style w:type="paragraph" w:styleId="9">
    <w:name w:val="Body Text Indent"/>
    <w:basedOn w:val="1"/>
    <w:qFormat/>
    <w:uiPriority w:val="0"/>
    <w:pPr>
      <w:ind w:firstLine="360"/>
    </w:pPr>
    <w:rPr>
      <w:rFonts w:ascii="Arial" w:hAnsi="Arial"/>
    </w:rPr>
  </w:style>
  <w:style w:type="paragraph" w:styleId="10">
    <w:name w:val="Plain Text"/>
    <w:basedOn w:val="1"/>
    <w:next w:val="1"/>
    <w:qFormat/>
    <w:uiPriority w:val="0"/>
    <w:rPr>
      <w:rFonts w:ascii="宋体" w:hAnsi="Courier New"/>
    </w:rPr>
  </w:style>
  <w:style w:type="paragraph" w:styleId="11">
    <w:name w:val="endnote text"/>
    <w:basedOn w:val="1"/>
    <w:qFormat/>
    <w:uiPriority w:val="0"/>
    <w:pPr>
      <w:snapToGrid w:val="0"/>
      <w:jc w:val="left"/>
    </w:pPr>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Body Text 2"/>
    <w:basedOn w:val="1"/>
    <w:qFormat/>
    <w:uiPriority w:val="0"/>
    <w:rPr>
      <w:sz w:val="18"/>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basedOn w:val="2"/>
    <w:qFormat/>
    <w:uiPriority w:val="0"/>
    <w:pPr>
      <w:wordWrap w:val="0"/>
      <w:spacing w:line="360" w:lineRule="auto"/>
      <w:ind w:firstLine="200" w:firstLineChars="200"/>
    </w:pPr>
    <w:rPr>
      <w:rFonts w:cs="Times New Roman"/>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annotation reference"/>
    <w:basedOn w:val="19"/>
    <w:qFormat/>
    <w:uiPriority w:val="0"/>
    <w:rPr>
      <w:sz w:val="21"/>
      <w:szCs w:val="21"/>
    </w:rPr>
  </w:style>
  <w:style w:type="paragraph" w:customStyle="1" w:styleId="21">
    <w:name w:val="列出段落1"/>
    <w:basedOn w:val="1"/>
    <w:qFormat/>
    <w:uiPriority w:val="0"/>
    <w:pPr>
      <w:widowControl/>
      <w:ind w:firstLine="420" w:firstLineChars="200"/>
      <w:jc w:val="left"/>
    </w:pPr>
    <w:rPr>
      <w:rFonts w:ascii="Cambria" w:hAnsi="Cambria" w:eastAsia="微软雅黑"/>
      <w:color w:val="595959"/>
      <w:kern w:val="20"/>
      <w:lang w:val="zh-CN"/>
    </w:rPr>
  </w:style>
  <w:style w:type="paragraph" w:customStyle="1" w:styleId="2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3">
    <w:name w:val="xl29"/>
    <w:basedOn w:val="1"/>
    <w:qFormat/>
    <w:uiPriority w:val="0"/>
    <w:pPr>
      <w:widowControl/>
      <w:spacing w:before="100" w:beforeAutospacing="1" w:after="100" w:afterAutospacing="1"/>
      <w:jc w:val="center"/>
    </w:pPr>
    <w:rPr>
      <w:rFonts w:ascii="宋体" w:hAnsi="宋体"/>
      <w:szCs w:val="28"/>
    </w:rPr>
  </w:style>
  <w:style w:type="paragraph" w:customStyle="1" w:styleId="24">
    <w:name w:val="样式 小四 段前: 5 磅 段后: 5 磅 首行缩进:  2 字符"/>
    <w:basedOn w:val="1"/>
    <w:qFormat/>
    <w:uiPriority w:val="0"/>
    <w:pPr>
      <w:spacing w:line="360" w:lineRule="auto"/>
    </w:pPr>
    <w:rPr>
      <w:rFonts w:ascii="宋体" w:hAnsi="宋体"/>
      <w:color w:val="000000"/>
      <w:sz w:val="24"/>
    </w:rPr>
  </w:style>
  <w:style w:type="paragraph" w:customStyle="1" w:styleId="25">
    <w:name w:val="_Style 4"/>
    <w:basedOn w:val="1"/>
    <w:qFormat/>
    <w:uiPriority w:val="34"/>
    <w:pPr>
      <w:ind w:firstLine="420" w:firstLineChars="200"/>
    </w:pPr>
  </w:style>
  <w:style w:type="character" w:customStyle="1" w:styleId="26">
    <w:name w:val="p141"/>
    <w:qFormat/>
    <w:uiPriority w:val="0"/>
    <w:rPr>
      <w:sz w:val="21"/>
      <w:szCs w:val="21"/>
    </w:rPr>
  </w:style>
  <w:style w:type="character" w:customStyle="1" w:styleId="27">
    <w:name w:val="font101"/>
    <w:basedOn w:val="19"/>
    <w:qFormat/>
    <w:uiPriority w:val="0"/>
    <w:rPr>
      <w:rFonts w:hint="eastAsia" w:ascii="宋体" w:hAnsi="宋体" w:eastAsia="宋体" w:cs="宋体"/>
      <w:color w:val="000000"/>
      <w:sz w:val="20"/>
      <w:szCs w:val="20"/>
      <w:u w:val="none"/>
    </w:rPr>
  </w:style>
  <w:style w:type="character" w:customStyle="1" w:styleId="28">
    <w:name w:val="font11"/>
    <w:basedOn w:val="19"/>
    <w:qFormat/>
    <w:uiPriority w:val="0"/>
    <w:rPr>
      <w:rFonts w:hint="eastAsia" w:ascii="宋体" w:hAnsi="宋体" w:eastAsia="宋体" w:cs="宋体"/>
      <w:color w:val="000000"/>
      <w:sz w:val="20"/>
      <w:szCs w:val="20"/>
      <w:u w:val="none"/>
    </w:rPr>
  </w:style>
  <w:style w:type="character" w:customStyle="1" w:styleId="29">
    <w:name w:val="font71"/>
    <w:basedOn w:val="19"/>
    <w:qFormat/>
    <w:uiPriority w:val="0"/>
    <w:rPr>
      <w:rFonts w:hint="eastAsia" w:ascii="宋体" w:hAnsi="宋体" w:eastAsia="宋体" w:cs="宋体"/>
      <w:color w:val="000000"/>
      <w:sz w:val="20"/>
      <w:szCs w:val="20"/>
      <w:u w:val="none"/>
    </w:rPr>
  </w:style>
  <w:style w:type="paragraph" w:customStyle="1" w:styleId="30">
    <w:name w:val="Revision"/>
    <w:hidden/>
    <w:unhideWhenUsed/>
    <w:qFormat/>
    <w:uiPriority w:val="99"/>
    <w:rPr>
      <w:rFonts w:ascii="Calibri" w:hAnsi="Calibri" w:eastAsia="宋体" w:cs="Arial"/>
      <w:kern w:val="2"/>
      <w:sz w:val="21"/>
      <w:szCs w:val="22"/>
      <w:lang w:val="en-US" w:eastAsia="zh-CN" w:bidi="ar-SA"/>
    </w:rPr>
  </w:style>
  <w:style w:type="character" w:customStyle="1" w:styleId="31">
    <w:name w:val="font21"/>
    <w:basedOn w:val="19"/>
    <w:qFormat/>
    <w:uiPriority w:val="0"/>
    <w:rPr>
      <w:rFonts w:hint="eastAsia" w:ascii="宋体" w:hAnsi="宋体" w:eastAsia="宋体" w:cs="宋体"/>
      <w:b/>
      <w:bCs/>
      <w:color w:val="000000"/>
      <w:sz w:val="24"/>
      <w:szCs w:val="24"/>
      <w:u w:val="none"/>
    </w:rPr>
  </w:style>
  <w:style w:type="paragraph" w:customStyle="1" w:styleId="32">
    <w:name w:val="样式 小四 行距: 1.5 倍行距"/>
    <w:qFormat/>
    <w:uiPriority w:val="0"/>
    <w:pPr>
      <w:ind w:firstLine="480"/>
    </w:pPr>
    <w:rPr>
      <w:rFonts w:ascii="Times New Roman" w:hAnsi="Times New Roman" w:eastAsia="宋体" w:cs="宋体"/>
      <w:kern w:val="2"/>
      <w:sz w:val="21"/>
      <w:lang w:val="en-US" w:eastAsia="zh-CN" w:bidi="ar-SA"/>
    </w:rPr>
  </w:style>
  <w:style w:type="paragraph" w:customStyle="1" w:styleId="33">
    <w:name w:val="_Style 3"/>
    <w:qFormat/>
    <w:uiPriority w:val="1"/>
    <w:pPr>
      <w:widowControl w:val="0"/>
      <w:jc w:val="both"/>
    </w:pPr>
    <w:rPr>
      <w:rFonts w:ascii="Calibri" w:hAnsi="Calibri" w:eastAsia="宋体" w:cs="Times New Roman"/>
      <w:kern w:val="2"/>
      <w:sz w:val="21"/>
      <w:szCs w:val="22"/>
      <w:lang w:val="en-US" w:eastAsia="zh-CN" w:bidi="ar-SA"/>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Table Text"/>
    <w:basedOn w:val="1"/>
    <w:semiHidden/>
    <w:qFormat/>
    <w:uiPriority w:val="0"/>
    <w:rPr>
      <w:rFonts w:ascii="仿宋" w:hAnsi="仿宋" w:eastAsia="仿宋" w:cs="仿宋"/>
      <w:sz w:val="20"/>
      <w:szCs w:val="20"/>
      <w:lang w:val="en-US" w:eastAsia="en-US" w:bidi="ar-SA"/>
    </w:rPr>
  </w:style>
  <w:style w:type="paragraph" w:customStyle="1" w:styleId="36">
    <w:name w:val="正文首行缩进1"/>
    <w:basedOn w:val="1"/>
    <w:qFormat/>
    <w:uiPriority w:val="0"/>
    <w:pPr>
      <w:spacing w:after="120" w:line="360" w:lineRule="exact"/>
      <w:ind w:left="400" w:leftChars="400" w:firstLine="420" w:firstLineChars="100"/>
    </w:pPr>
    <w:rPr>
      <w:rFonts w:eastAsia="楷体_GB2312"/>
    </w:rPr>
  </w:style>
  <w:style w:type="paragraph" w:customStyle="1" w:styleId="37">
    <w:name w:val="null3"/>
    <w:uiPriority w:val="0"/>
    <w:rPr>
      <w:rFonts w:hint="eastAsia" w:ascii="Calibri" w:hAnsi="Calibri" w:eastAsia="宋体" w:cs="Times New Roman"/>
      <w:lang w:val="en-US" w:eastAsia="zh-Hans"/>
    </w:rPr>
  </w:style>
  <w:style w:type="paragraph" w:customStyle="1" w:styleId="38">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9562</Words>
  <Characters>10086</Characters>
  <Lines>170</Lines>
  <Paragraphs>48</Paragraphs>
  <TotalTime>20</TotalTime>
  <ScaleCrop>false</ScaleCrop>
  <LinksUpToDate>false</LinksUpToDate>
  <CharactersWithSpaces>10485</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2023-09-22T02:57:00Z</dcterms:created>
  <dc:creator>.</dc:creator>
  <cp:lastModifiedBy>guanyu</cp:lastModifiedBy>
  <cp:lastPrinted>2025-03-30T19:16:00Z</cp:lastPrinted>
  <dcterms:modified xsi:type="dcterms:W3CDTF">2025-04-25T17:34:20Z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1715F6F43ED94393B9459F75042ABA65_13</vt:lpwstr>
  </property>
  <property fmtid="{D5CDD505-2E9C-101B-9397-08002B2CF9AE}" pid="4" name="KSOTemplateDocerSaveRecord">
    <vt:lpwstr>eyJoZGlkIjoiN2YzNjBkOTgyNWQ1YTMxYzM3MzMwNWFiODNmOWIzYWMiLCJ1c2VySWQiOiIyNjAwNjgzNjMifQ==</vt:lpwstr>
  </property>
</Properties>
</file>