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E2291">
      <w:pPr>
        <w:spacing w:line="360" w:lineRule="exact"/>
        <w:rPr>
          <w:rFonts w:ascii="宋体" w:hAnsi="宋体" w:eastAsia="宋体" w:cs="宋体"/>
          <w:color w:val="auto"/>
          <w:szCs w:val="21"/>
          <w:highlight w:val="none"/>
        </w:rPr>
      </w:pPr>
    </w:p>
    <w:p w14:paraId="50B579AC">
      <w:pPr>
        <w:spacing w:line="360" w:lineRule="exact"/>
        <w:rPr>
          <w:rFonts w:ascii="宋体" w:hAnsi="宋体" w:eastAsia="宋体" w:cs="宋体"/>
          <w:color w:val="auto"/>
          <w:szCs w:val="21"/>
          <w:highlight w:val="none"/>
        </w:rPr>
      </w:pPr>
    </w:p>
    <w:p w14:paraId="44F03F5B">
      <w:pPr>
        <w:spacing w:line="360" w:lineRule="exact"/>
        <w:rPr>
          <w:rFonts w:ascii="宋体" w:hAnsi="宋体" w:eastAsia="宋体" w:cs="宋体"/>
          <w:color w:val="auto"/>
          <w:szCs w:val="21"/>
          <w:highlight w:val="none"/>
        </w:rPr>
      </w:pPr>
    </w:p>
    <w:p w14:paraId="17D89A11">
      <w:pPr>
        <w:spacing w:line="360" w:lineRule="exact"/>
        <w:rPr>
          <w:rFonts w:ascii="宋体" w:hAnsi="宋体" w:eastAsia="宋体" w:cs="宋体"/>
          <w:color w:val="auto"/>
          <w:szCs w:val="21"/>
          <w:highlight w:val="none"/>
        </w:rPr>
      </w:pPr>
    </w:p>
    <w:p w14:paraId="0D4A3E58">
      <w:pPr>
        <w:spacing w:line="360" w:lineRule="exact"/>
        <w:rPr>
          <w:rFonts w:ascii="宋体" w:hAnsi="宋体" w:eastAsia="宋体" w:cs="宋体"/>
          <w:color w:val="auto"/>
          <w:szCs w:val="21"/>
          <w:highlight w:val="none"/>
        </w:rPr>
      </w:pPr>
    </w:p>
    <w:p w14:paraId="3D526AB1">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金岭北路地块开发项目临电工程施工</w:t>
      </w:r>
    </w:p>
    <w:p w14:paraId="4E239269">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171A6C1D">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7191208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5E5FD18">
      <w:pPr>
        <w:jc w:val="center"/>
        <w:rPr>
          <w:rFonts w:hint="eastAsia" w:ascii="宋体" w:hAnsi="宋体" w:eastAsia="宋体" w:cs="宋体"/>
          <w:color w:val="auto"/>
          <w:sz w:val="32"/>
          <w:szCs w:val="32"/>
          <w:highlight w:val="none"/>
          <w:lang w:val="en-US" w:eastAsia="zh-CN"/>
        </w:rPr>
      </w:pPr>
    </w:p>
    <w:p w14:paraId="353879DB">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86C306C">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C310DC2">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E941F6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F34CFDE">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B55D304">
      <w:pPr>
        <w:ind w:firstLine="0" w:firstLineChars="0"/>
        <w:jc w:val="center"/>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广州南沙经发建筑有限公司</w:t>
      </w:r>
    </w:p>
    <w:p w14:paraId="0D71B967">
      <w:pPr>
        <w:spacing w:line="520" w:lineRule="exact"/>
        <w:ind w:right="-101" w:rightChars="-48" w:firstLine="0" w:firstLineChars="0"/>
        <w:jc w:val="center"/>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2025</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rPr>
        <w:t>月</w:t>
      </w:r>
    </w:p>
    <w:p w14:paraId="4E210640">
      <w:pPr>
        <w:jc w:val="cente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14:paraId="238E5A5E">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1567D868">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6B48C69C">
          <w:pPr>
            <w:pStyle w:val="15"/>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075BCC19">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3D617955">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18627ABB">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A7AE500">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D33CF18">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B286FF3">
          <w:pPr>
            <w:rPr>
              <w:color w:val="auto"/>
              <w:highlight w:val="none"/>
            </w:rPr>
          </w:pPr>
          <w:r>
            <w:rPr>
              <w:rFonts w:hint="eastAsia" w:asciiTheme="minorEastAsia" w:hAnsiTheme="minorEastAsia" w:cstheme="minorEastAsia"/>
              <w:color w:val="auto"/>
              <w:sz w:val="24"/>
              <w:highlight w:val="none"/>
            </w:rPr>
            <w:fldChar w:fldCharType="end"/>
          </w:r>
        </w:p>
      </w:sdtContent>
    </w:sdt>
    <w:p w14:paraId="498F7F24">
      <w:pPr>
        <w:pStyle w:val="16"/>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0D51939C">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14:paraId="4F301F1B">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9"/>
        <w:tblW w:w="9709" w:type="dxa"/>
        <w:jc w:val="center"/>
        <w:tblLayout w:type="fixed"/>
        <w:tblCellMar>
          <w:top w:w="0" w:type="dxa"/>
          <w:left w:w="108" w:type="dxa"/>
          <w:bottom w:w="0" w:type="dxa"/>
          <w:right w:w="108" w:type="dxa"/>
        </w:tblCellMar>
      </w:tblPr>
      <w:tblGrid>
        <w:gridCol w:w="720"/>
        <w:gridCol w:w="990"/>
        <w:gridCol w:w="1706"/>
        <w:gridCol w:w="6293"/>
      </w:tblGrid>
      <w:tr w14:paraId="19C0BBE0">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3F947A49">
            <w:pPr>
              <w:pStyle w:val="16"/>
              <w:widowControl/>
              <w:spacing w:after="0" w:line="360" w:lineRule="auto"/>
              <w:ind w:firstLine="0"/>
              <w:jc w:val="center"/>
              <w:rPr>
                <w:rFonts w:hint="eastAsia" w:ascii="宋体" w:hAnsi="宋体" w:eastAsia="宋体" w:cs="宋体"/>
                <w:b/>
                <w:color w:val="auto"/>
                <w:highlight w:val="none"/>
              </w:rPr>
            </w:pPr>
            <w:bookmarkStart w:id="41" w:name="_GoBack"/>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54582FBE">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3D52F468">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793F4362">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1D82BDA7">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171C2F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1C89177">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C2F90B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B372A1B">
            <w:pPr>
              <w:pStyle w:val="16"/>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金岭北路地块开发项目临电工程施工</w:t>
            </w:r>
          </w:p>
        </w:tc>
      </w:tr>
      <w:tr w14:paraId="6F52454A">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30614715">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219E23AE">
            <w:pPr>
              <w:pStyle w:val="16"/>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19CD84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31F953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75DF20C">
            <w:pPr>
              <w:spacing w:line="360" w:lineRule="auto"/>
              <w:rPr>
                <w:rFonts w:hint="eastAsia" w:ascii="宋体" w:hAnsi="宋体" w:eastAsia="宋体" w:cs="宋体"/>
                <w:color w:val="auto"/>
                <w:szCs w:val="21"/>
                <w:highlight w:val="none"/>
                <w:lang w:eastAsia="zh-CN"/>
              </w:rPr>
            </w:pPr>
            <w:r>
              <w:rPr>
                <w:rFonts w:hint="eastAsia" w:ascii="宋体" w:hAnsi="宋体" w:eastAsia="宋体" w:cs="宋体"/>
                <w:bCs/>
                <w:color w:val="auto"/>
                <w:kern w:val="2"/>
                <w:position w:val="0"/>
                <w:sz w:val="21"/>
                <w:szCs w:val="21"/>
                <w:highlight w:val="none"/>
                <w:lang w:val="en-US" w:eastAsia="zh-CN"/>
              </w:rPr>
              <w:t>广州市南沙区</w:t>
            </w:r>
          </w:p>
        </w:tc>
      </w:tr>
      <w:tr w14:paraId="3989058A">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631D1B34">
            <w:pPr>
              <w:pStyle w:val="16"/>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3ABD54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12E648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6DC9E9C">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Cs/>
                <w:color w:val="auto"/>
                <w:kern w:val="0"/>
                <w:sz w:val="21"/>
                <w:szCs w:val="21"/>
                <w:highlight w:val="none"/>
                <w:u w:val="none"/>
                <w:lang w:val="en-US" w:eastAsia="zh-CN"/>
              </w:rPr>
              <w:t>项目地块总用地面积为15242.40平方米，总建筑面积约41500平方米（含地下室），地上计容建筑面积约27500平方米，地下建筑面积约14000平方米</w:t>
            </w:r>
            <w:r>
              <w:rPr>
                <w:rFonts w:hint="eastAsia" w:ascii="宋体" w:hAnsi="宋体" w:eastAsia="宋体" w:cs="宋体"/>
                <w:bCs/>
                <w:color w:val="auto"/>
                <w:kern w:val="2"/>
                <w:sz w:val="21"/>
                <w:szCs w:val="21"/>
                <w:highlight w:val="none"/>
                <w:u w:val="none"/>
                <w:lang w:val="en-US" w:eastAsia="zh-CN"/>
              </w:rPr>
              <w:t>。</w:t>
            </w:r>
          </w:p>
        </w:tc>
      </w:tr>
      <w:tr w14:paraId="316CD6AA">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63A1979">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8A50581">
            <w:pPr>
              <w:pStyle w:val="16"/>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BD3B29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6C02F81">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14:paraId="26BACA80">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00302D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10FAFE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08E5D3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40F7EC5">
            <w:pPr>
              <w:pStyle w:val="16"/>
              <w:widowControl/>
              <w:spacing w:after="0" w:line="360" w:lineRule="auto"/>
              <w:ind w:firstLine="0"/>
              <w:rPr>
                <w:rFonts w:hint="eastAsia" w:ascii="宋体" w:hAnsi="宋体" w:eastAsia="宋体" w:cs="宋体"/>
                <w:color w:val="auto"/>
                <w:highlight w:val="none"/>
                <w:lang w:val="en-US"/>
              </w:rPr>
            </w:pPr>
            <w:r>
              <w:rPr>
                <w:rFonts w:hint="eastAsia" w:ascii="宋体" w:hAnsi="宋体" w:eastAsia="宋体" w:cs="宋体"/>
                <w:color w:val="auto"/>
                <w:highlight w:val="none"/>
                <w:lang w:eastAsia="zh-CN"/>
              </w:rPr>
              <w:t>金岭北路地块开发</w:t>
            </w:r>
            <w:r>
              <w:rPr>
                <w:rFonts w:hint="eastAsia" w:ascii="宋体" w:hAnsi="宋体" w:eastAsia="宋体" w:cs="宋体"/>
                <w:color w:val="auto"/>
                <w:highlight w:val="none"/>
                <w:lang w:val="en-US" w:eastAsia="zh-CN"/>
              </w:rPr>
              <w:t>项目总投资约2.6亿元</w:t>
            </w:r>
          </w:p>
        </w:tc>
      </w:tr>
      <w:tr w14:paraId="2D523262">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ECF3AC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BC36EF5">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FFDD5B">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AFBE56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14:paraId="6427805C">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B1491E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7223C92">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6570852">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49A540F">
            <w:pPr>
              <w:pStyle w:val="25"/>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由南房2号开关房2M母线原有断路器柜(G09柜)新敷高压电缆FY-ZRYJV22-8.7/15kV-3×70mm2/280米至新建经发金岭北路临电箱变，新建经发金岭北路临电箱变(S11-M-500kVA)</w:t>
            </w:r>
            <w:r>
              <w:rPr>
                <w:rFonts w:hint="eastAsia" w:ascii="宋体" w:hAnsi="宋体" w:eastAsia="宋体" w:cs="宋体"/>
                <w:b w:val="0"/>
                <w:bCs/>
                <w:color w:val="auto"/>
                <w:sz w:val="21"/>
                <w:szCs w:val="21"/>
                <w:highlight w:val="none"/>
                <w:lang w:eastAsia="zh-CN"/>
              </w:rPr>
              <w:t>，最终以实际工程量清单和图纸为准</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kern w:val="2"/>
                <w:sz w:val="21"/>
                <w:szCs w:val="21"/>
                <w:highlight w:val="none"/>
              </w:rPr>
              <w:t>投标人需按招标文件、图纸规范等要求进行施工，如设计图纸有调整时，必须服从要求调整</w:t>
            </w:r>
            <w:r>
              <w:rPr>
                <w:rFonts w:hint="eastAsia" w:ascii="宋体" w:hAnsi="宋体" w:eastAsia="宋体" w:cs="宋体"/>
                <w:b w:val="0"/>
                <w:bCs/>
                <w:color w:val="auto"/>
                <w:sz w:val="21"/>
                <w:szCs w:val="21"/>
                <w:highlight w:val="none"/>
                <w:lang w:val="en-US" w:eastAsia="zh-CN"/>
              </w:rPr>
              <w:t>。</w:t>
            </w:r>
          </w:p>
        </w:tc>
      </w:tr>
      <w:tr w14:paraId="250FCF63">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842D66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90B7F41">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4F835ED">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A3B0756">
            <w:pPr>
              <w:widowControl/>
              <w:spacing w:line="36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45日历天内完工并通电，开工时间以开工通知为准。</w:t>
            </w:r>
          </w:p>
        </w:tc>
      </w:tr>
      <w:tr w14:paraId="1D4317A2">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CE62E2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49BE40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FB0BB7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B2EBA65">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050ED3C0">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1A29BD2">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8F5A81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F9D546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9DC6692">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投标人具有承接本工程所需的</w:t>
            </w:r>
            <w:r>
              <w:rPr>
                <w:rFonts w:hint="eastAsia" w:ascii="宋体" w:hAnsi="宋体" w:eastAsia="宋体" w:cs="宋体"/>
                <w:bCs/>
                <w:i w:val="0"/>
                <w:iCs w:val="0"/>
                <w:caps w:val="0"/>
                <w:color w:val="auto"/>
                <w:spacing w:val="0"/>
                <w:kern w:val="2"/>
                <w:sz w:val="21"/>
                <w:szCs w:val="21"/>
                <w:highlight w:val="none"/>
                <w:shd w:val="clear"/>
                <w:lang w:bidi="ar-SA"/>
              </w:rPr>
              <w:t>承装电力设施许可证三级或以上资质</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sz w:val="21"/>
                <w:szCs w:val="21"/>
                <w:highlight w:val="none"/>
                <w:u w:val="none"/>
              </w:rPr>
              <w:t>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p>
        </w:tc>
      </w:tr>
      <w:tr w14:paraId="52B960AA">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9E050D0">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4395446">
            <w:pPr>
              <w:pStyle w:val="16"/>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2A859D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483BFA0">
            <w:pPr>
              <w:pStyle w:val="11"/>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14:paraId="5603BBB8">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D4BDD70">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C36D937">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B9E7A3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7F08A314">
            <w:pPr>
              <w:pStyle w:val="16"/>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E8C41B">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w:t>
            </w:r>
            <w:r>
              <w:rPr>
                <w:rFonts w:hint="eastAsia" w:ascii="宋体" w:hAnsi="宋体" w:eastAsia="宋体" w:cs="宋体"/>
                <w:b w:val="0"/>
                <w:bCs/>
                <w:color w:val="auto"/>
                <w:sz w:val="21"/>
                <w:szCs w:val="21"/>
                <w:highlight w:val="none"/>
                <w:u w:val="none"/>
              </w:rPr>
              <w:t>。</w:t>
            </w:r>
          </w:p>
          <w:p w14:paraId="1811147D">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14:paraId="4FD151E8">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73D6CA4">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3B0213">
            <w:pPr>
              <w:pStyle w:val="16"/>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F2DB346">
            <w:pPr>
              <w:pStyle w:val="16"/>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C43BBF5">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7BD13E23">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26B585A">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173483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A63918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B7DEE5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5CC5BEA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7CF86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C52FCE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70C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D9950B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14:paraId="6D664C5B">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DFA013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59D000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868DA13">
            <w:pPr>
              <w:pStyle w:val="16"/>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C68CC92">
            <w:pPr>
              <w:pStyle w:val="11"/>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color w:val="auto"/>
                <w:highlight w:val="none"/>
              </w:rPr>
              <w:t>452,929.87</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，其中，绿色施工安全防护措施费</w:t>
            </w:r>
            <w:r>
              <w:rPr>
                <w:rFonts w:hint="eastAsia" w:ascii="宋体" w:hAnsi="宋体" w:eastAsia="宋体" w:cs="宋体"/>
                <w:b w:val="0"/>
                <w:bCs/>
                <w:color w:val="auto"/>
                <w:sz w:val="21"/>
                <w:szCs w:val="21"/>
                <w:highlight w:val="none"/>
                <w:lang w:val="en-US" w:eastAsia="zh-CN"/>
              </w:rPr>
              <w:t>为¥</w:t>
            </w:r>
            <w:r>
              <w:rPr>
                <w:rFonts w:hint="eastAsia" w:ascii="宋体" w:hAnsi="宋体" w:eastAsia="宋体" w:cs="宋体"/>
                <w:bCs/>
                <w:color w:val="auto"/>
                <w:highlight w:val="none"/>
              </w:rPr>
              <w:t>25035.14</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（固定值）。</w:t>
            </w:r>
          </w:p>
          <w:p w14:paraId="09789576">
            <w:pPr>
              <w:pStyle w:val="11"/>
              <w:widowControl/>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tc>
      </w:tr>
      <w:tr w14:paraId="4D385F22">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E677AAA">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3BF94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52C1AD">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D0AC8EA">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eastAsia="zh-CN"/>
              </w:rPr>
              <w:t>75日历天</w:t>
            </w:r>
            <w:r>
              <w:rPr>
                <w:rFonts w:hint="eastAsia" w:ascii="宋体" w:hAnsi="宋体" w:eastAsia="宋体" w:cs="宋体"/>
                <w:color w:val="auto"/>
                <w:highlight w:val="none"/>
              </w:rPr>
              <w:t>（从投标截止之日算起）。</w:t>
            </w:r>
          </w:p>
        </w:tc>
      </w:tr>
      <w:tr w14:paraId="2E616740">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A0DF4F1">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8EFE717">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86F0B36">
            <w:pPr>
              <w:pStyle w:val="16"/>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D08F219">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lang w:eastAsia="zh-CN"/>
              </w:rPr>
              <w:t>伍仟</w:t>
            </w:r>
            <w:r>
              <w:rPr>
                <w:rFonts w:hint="eastAsia" w:ascii="宋体" w:hAnsi="宋体" w:eastAsia="宋体" w:cs="宋体"/>
                <w:color w:val="auto"/>
                <w:szCs w:val="21"/>
                <w:highlight w:val="none"/>
              </w:rPr>
              <w:t>元。</w:t>
            </w:r>
          </w:p>
          <w:p w14:paraId="48607BDC">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14:paraId="5EF11A2E">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w:t>
            </w:r>
            <w:r>
              <w:rPr>
                <w:rFonts w:hint="eastAsia" w:ascii="宋体" w:hAnsi="宋体" w:eastAsia="宋体" w:cs="宋体"/>
                <w:color w:val="auto"/>
                <w:sz w:val="21"/>
                <w:szCs w:val="21"/>
                <w:highlight w:val="none"/>
                <w:u w:val="none"/>
                <w:lang w:eastAsia="zh-CN"/>
              </w:rPr>
              <w:t>广州南沙建设维护管理有限公司</w:t>
            </w:r>
          </w:p>
          <w:p w14:paraId="7CF7C06E">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14:paraId="4D661B88">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14:paraId="6D1385B3">
            <w:pPr>
              <w:numPr>
                <w:ilvl w:val="0"/>
                <w:numId w:val="0"/>
              </w:numPr>
              <w:adjustRightInd w:val="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2025</w:t>
            </w:r>
            <w:r>
              <w:rPr>
                <w:rFonts w:hint="eastAsia" w:ascii="宋体" w:hAnsi="宋体" w:eastAsia="宋体" w:cs="宋体"/>
                <w:color w:val="auto"/>
                <w:szCs w:val="21"/>
                <w:highlight w:val="none"/>
              </w:rPr>
              <w:t>年</w:t>
            </w:r>
            <w:r>
              <w:rPr>
                <w:rFonts w:hint="eastAsia" w:ascii="宋体" w:hAnsi="宋体" w:eastAsia="宋体" w:cs="宋体"/>
                <w:b w:val="0"/>
                <w:bCs/>
                <w:color w:val="auto"/>
                <w:sz w:val="21"/>
                <w:szCs w:val="21"/>
                <w:highlight w:val="none"/>
                <w:lang w:val="en-US" w:eastAsia="zh-CN"/>
              </w:rPr>
              <w:t>7月16</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三</w:t>
            </w:r>
            <w:r>
              <w:rPr>
                <w:rFonts w:hint="eastAsia" w:ascii="宋体" w:hAnsi="宋体" w:eastAsia="宋体" w:cs="宋体"/>
                <w:b w:val="0"/>
                <w:bCs/>
                <w:color w:val="auto"/>
                <w:sz w:val="21"/>
                <w:szCs w:val="21"/>
                <w:highlight w:val="none"/>
                <w:lang w:eastAsia="zh-CN"/>
              </w:rPr>
              <w:t>）</w:t>
            </w:r>
            <w:r>
              <w:rPr>
                <w:rFonts w:hint="eastAsia" w:ascii="宋体" w:hAnsi="宋体" w:eastAsia="宋体" w:cs="宋体"/>
                <w:color w:val="auto"/>
                <w:szCs w:val="21"/>
                <w:highlight w:val="none"/>
              </w:rPr>
              <w:t>17时00分前以投标人转出【汇款时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金岭北路地块开发项目临电工程施工</w:t>
            </w:r>
            <w:r>
              <w:rPr>
                <w:rFonts w:hint="eastAsia" w:ascii="宋体" w:hAnsi="宋体" w:eastAsia="宋体" w:cs="宋体"/>
                <w:color w:val="auto"/>
                <w:szCs w:val="21"/>
                <w:highlight w:val="none"/>
              </w:rPr>
              <w:t>投标保证金】</w:t>
            </w:r>
          </w:p>
        </w:tc>
      </w:tr>
      <w:tr w14:paraId="1D119349">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36CABB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AAA835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088D8CA">
            <w:pPr>
              <w:pStyle w:val="16"/>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BB9D4F4">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739D9109">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CFE15DC">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EBF944F">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A773D23">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2CD72F2F">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6F6B947C">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39E34F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14:paraId="3D83978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3号楼5楼会议</w:t>
            </w:r>
            <w:r>
              <w:rPr>
                <w:rFonts w:hint="eastAsia" w:ascii="宋体" w:hAnsi="宋体" w:eastAsia="宋体" w:cs="宋体"/>
                <w:b w:val="0"/>
                <w:bCs/>
                <w:color w:val="auto"/>
                <w:sz w:val="21"/>
                <w:szCs w:val="21"/>
                <w:highlight w:val="none"/>
              </w:rPr>
              <w:t>室</w:t>
            </w:r>
          </w:p>
          <w:p w14:paraId="1199290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2025</w:t>
            </w:r>
            <w:r>
              <w:rPr>
                <w:rFonts w:hint="eastAsia" w:ascii="宋体" w:hAnsi="宋体" w:eastAsia="宋体" w:cs="宋体"/>
                <w:color w:val="auto"/>
                <w:szCs w:val="21"/>
                <w:highlight w:val="none"/>
              </w:rPr>
              <w:t>年</w:t>
            </w:r>
            <w:r>
              <w:rPr>
                <w:rFonts w:hint="eastAsia" w:ascii="宋体" w:hAnsi="宋体" w:eastAsia="宋体" w:cs="宋体"/>
                <w:b w:val="0"/>
                <w:bCs/>
                <w:color w:val="auto"/>
                <w:sz w:val="21"/>
                <w:szCs w:val="21"/>
                <w:highlight w:val="none"/>
                <w:lang w:val="en-US" w:eastAsia="zh-CN"/>
              </w:rPr>
              <w:t>7月17</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lang w:eastAsia="zh-CN"/>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时00分至</w:t>
            </w:r>
            <w:r>
              <w:rPr>
                <w:rFonts w:hint="eastAsia" w:ascii="宋体" w:hAnsi="宋体" w:eastAsia="宋体" w:cs="宋体"/>
                <w:color w:val="auto"/>
                <w:szCs w:val="21"/>
                <w:highlight w:val="none"/>
                <w:lang w:eastAsia="zh-CN"/>
              </w:rPr>
              <w:t>2025</w:t>
            </w:r>
            <w:r>
              <w:rPr>
                <w:rFonts w:hint="eastAsia" w:ascii="宋体" w:hAnsi="宋体" w:eastAsia="宋体" w:cs="宋体"/>
                <w:color w:val="auto"/>
                <w:szCs w:val="21"/>
                <w:highlight w:val="none"/>
              </w:rPr>
              <w:t>年</w:t>
            </w:r>
            <w:r>
              <w:rPr>
                <w:rFonts w:hint="eastAsia" w:ascii="宋体" w:hAnsi="宋体" w:eastAsia="宋体" w:cs="宋体"/>
                <w:b w:val="0"/>
                <w:bCs/>
                <w:color w:val="auto"/>
                <w:sz w:val="21"/>
                <w:szCs w:val="21"/>
                <w:highlight w:val="none"/>
                <w:lang w:val="en-US" w:eastAsia="zh-CN"/>
              </w:rPr>
              <w:t>7月17</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lang w:eastAsia="zh-CN"/>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时30分前。</w:t>
            </w:r>
          </w:p>
          <w:p w14:paraId="1A654B1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7A7464B5">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9C3F860">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45408A8">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257E13E">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06ABC8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2025</w:t>
            </w:r>
            <w:r>
              <w:rPr>
                <w:rFonts w:hint="eastAsia" w:ascii="宋体" w:hAnsi="宋体" w:eastAsia="宋体" w:cs="宋体"/>
                <w:color w:val="auto"/>
                <w:szCs w:val="21"/>
                <w:highlight w:val="none"/>
              </w:rPr>
              <w:t>年</w:t>
            </w:r>
            <w:r>
              <w:rPr>
                <w:rFonts w:hint="eastAsia" w:ascii="宋体" w:hAnsi="宋体" w:eastAsia="宋体" w:cs="宋体"/>
                <w:b w:val="0"/>
                <w:bCs/>
                <w:color w:val="auto"/>
                <w:sz w:val="21"/>
                <w:szCs w:val="21"/>
                <w:highlight w:val="none"/>
                <w:lang w:val="en-US" w:eastAsia="zh-CN"/>
              </w:rPr>
              <w:t>7月17</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lang w:eastAsia="zh-CN"/>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w:t>
            </w:r>
          </w:p>
          <w:p w14:paraId="01824C0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3号楼5楼会议</w:t>
            </w:r>
            <w:r>
              <w:rPr>
                <w:rFonts w:hint="eastAsia" w:ascii="宋体" w:hAnsi="宋体" w:eastAsia="宋体" w:cs="宋体"/>
                <w:b w:val="0"/>
                <w:bCs/>
                <w:color w:val="auto"/>
                <w:sz w:val="21"/>
                <w:szCs w:val="21"/>
                <w:highlight w:val="none"/>
              </w:rPr>
              <w:t>室</w:t>
            </w:r>
          </w:p>
          <w:p w14:paraId="7164422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14:paraId="0D6CC3FC">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12BA0C26">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6C67EFCA">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6676C773">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57236A3C">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综合评审法，总得分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bookmarkEnd w:id="41"/>
    </w:tbl>
    <w:p w14:paraId="782D58A7">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473478E">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2EC219C8">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11082843">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6E2BCC4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780EA87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73AE0198">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广州南沙经发建筑有限公司</w:t>
      </w:r>
      <w:r>
        <w:rPr>
          <w:rFonts w:hint="eastAsia" w:ascii="宋体" w:hAnsi="宋体" w:eastAsia="宋体" w:cs="宋体"/>
          <w:color w:val="auto"/>
          <w:sz w:val="24"/>
          <w:highlight w:val="none"/>
          <w:u w:val="single"/>
        </w:rPr>
        <w:t>。</w:t>
      </w:r>
    </w:p>
    <w:p w14:paraId="02F0670B">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580109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6F0F4CB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73EBC1F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3DB5F848">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500DF87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16FC9CB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1EE4DD5E">
      <w:pPr>
        <w:pStyle w:val="16"/>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5AE2E11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14:paraId="6837721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21B68BE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3553E67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33A6E88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5B015A6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37B751C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14:paraId="6DC8A3F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14:paraId="700C758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6D09CDD6">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058646B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680FB8F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14:paraId="198A2C0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6426468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2E46124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279611BA">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48BD771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38D59A38">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382C72F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03AAB8A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41CCA1E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02617D7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55F9539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340DAC26">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2CC92C77">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64885143">
      <w:pPr>
        <w:pStyle w:val="16"/>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0421E800">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32C93E84">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4BE80356">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4A58780B">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266E441B">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2EE5B3C3">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23A7050F">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7F29DF2F">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0E0034CF">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6DF028C0">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6C851A6C">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330A5567">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260BE0D7">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29C29798">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1E6FFB20">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14:paraId="12A7A3DD">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1D49E814">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33CEB968">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64B68ED3">
      <w:pPr>
        <w:pStyle w:val="16"/>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7263CC26">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68137D1B">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49351AFE">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2E53F090">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5B70CF6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3CD1BC7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14:paraId="61F2176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2ACCAC1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41867E6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14:paraId="273EA73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14:paraId="655EE8E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14:paraId="583929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14:paraId="25D7B12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14:paraId="67A49A4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14:paraId="60CE8DF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14:paraId="46EEE47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14:paraId="18A3FBDF">
      <w:pPr>
        <w:pStyle w:val="11"/>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14:paraId="1DCF0552">
      <w:pPr>
        <w:pStyle w:val="11"/>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14:paraId="0404EF58">
      <w:pPr>
        <w:pStyle w:val="11"/>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14:paraId="58200770">
      <w:pPr>
        <w:pStyle w:val="11"/>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14:paraId="0E73F8E0">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2942553A">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71917971">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1688ACB3">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5B9C6319">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425510CA">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14:paraId="6F4C6D05">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4251AC83">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7181CFE4">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592400A6">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523A9620">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2AF567B6">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2615BB22">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14:paraId="630719F3">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548DE069">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29391369">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3D73481C">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7C033878">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47455AC5">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14:paraId="77895D4F">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4905805F">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4356F41F">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695067D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14:paraId="6DE89C8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45A5405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7C60F1FC">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1402E26A">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14:paraId="6848A0B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14:paraId="172BAA0D">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55442FB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77663A2E">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09D31A5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342EAC6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02220D1A">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49EC7D3C">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434542D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56863E1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04EF1854">
      <w:pPr>
        <w:pStyle w:val="16"/>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543028C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3E076AFA">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217C82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0D995F7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24184C2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26425DF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1AF4B51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336756EC">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4E1A0EB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0C6C511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56E71B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0571F3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70B035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258BDA9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3E18A86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5A3EA48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3E64A77A">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08CA0A9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06DF57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6AD3046F">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1BB867C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14:paraId="0634B429">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5954358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394720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7E49158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2E877016">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096571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259526F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22F68A0B">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7E73C13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529DD83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6192AB4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14:paraId="5C277DBD">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274DFF2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28FCF3CC">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1CEA5A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4E61B794">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692EFC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1460BA1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6E11CDAC">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279515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13AFE87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644E8869">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7C61888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5CB1E36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14:paraId="1DCEE6B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2916D1F6">
      <w:pPr>
        <w:pStyle w:val="16"/>
        <w:widowControl/>
        <w:numPr>
          <w:ilvl w:val="0"/>
          <w:numId w:val="3"/>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14:paraId="3FC4424F">
      <w:pPr>
        <w:pStyle w:val="16"/>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14:paraId="45D42B50">
      <w:pPr>
        <w:pStyle w:val="3"/>
        <w:widowControl/>
        <w:spacing w:before="0" w:after="0" w:line="360" w:lineRule="auto"/>
        <w:jc w:val="center"/>
        <w:rPr>
          <w:rFonts w:ascii="黑体" w:hAnsi="宋体" w:cs="黑体"/>
          <w:b/>
          <w:color w:val="auto"/>
          <w:kern w:val="44"/>
          <w:sz w:val="44"/>
          <w:szCs w:val="44"/>
          <w:highlight w:val="none"/>
        </w:rPr>
      </w:pPr>
    </w:p>
    <w:p w14:paraId="497FE565">
      <w:pPr>
        <w:pStyle w:val="3"/>
        <w:widowControl/>
        <w:spacing w:before="0" w:after="0" w:line="360" w:lineRule="auto"/>
        <w:jc w:val="center"/>
        <w:rPr>
          <w:rFonts w:ascii="黑体" w:hAnsi="宋体" w:cs="黑体"/>
          <w:b/>
          <w:color w:val="auto"/>
          <w:kern w:val="44"/>
          <w:sz w:val="44"/>
          <w:szCs w:val="44"/>
          <w:highlight w:val="none"/>
        </w:rPr>
      </w:pPr>
    </w:p>
    <w:p w14:paraId="046E9AC4">
      <w:pPr>
        <w:pStyle w:val="3"/>
        <w:widowControl/>
        <w:spacing w:before="0" w:after="0" w:line="360" w:lineRule="auto"/>
        <w:jc w:val="center"/>
        <w:rPr>
          <w:rFonts w:ascii="黑体" w:hAnsi="宋体" w:cs="黑体"/>
          <w:b/>
          <w:color w:val="auto"/>
          <w:kern w:val="44"/>
          <w:sz w:val="44"/>
          <w:szCs w:val="44"/>
          <w:highlight w:val="none"/>
        </w:rPr>
      </w:pPr>
    </w:p>
    <w:p w14:paraId="7CC3CEB2">
      <w:pPr>
        <w:pStyle w:val="3"/>
        <w:widowControl/>
        <w:spacing w:before="0" w:after="0" w:line="360" w:lineRule="auto"/>
        <w:jc w:val="center"/>
        <w:rPr>
          <w:rFonts w:ascii="黑体" w:hAnsi="宋体" w:cs="黑体"/>
          <w:b/>
          <w:color w:val="auto"/>
          <w:kern w:val="44"/>
          <w:sz w:val="44"/>
          <w:szCs w:val="44"/>
          <w:highlight w:val="none"/>
        </w:rPr>
      </w:pPr>
    </w:p>
    <w:p w14:paraId="3E2097B2">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481A3689">
      <w:pPr>
        <w:rPr>
          <w:color w:val="auto"/>
          <w:highlight w:val="none"/>
        </w:rPr>
      </w:pPr>
    </w:p>
    <w:p w14:paraId="28E6CE08">
      <w:pPr>
        <w:pStyle w:val="3"/>
        <w:widowControl/>
        <w:spacing w:before="0" w:after="0" w:line="360" w:lineRule="auto"/>
        <w:jc w:val="center"/>
        <w:rPr>
          <w:rFonts w:ascii="黑体" w:hAnsi="宋体" w:cs="黑体"/>
          <w:b/>
          <w:color w:val="auto"/>
          <w:kern w:val="44"/>
          <w:sz w:val="44"/>
          <w:szCs w:val="44"/>
          <w:highlight w:val="none"/>
        </w:rPr>
      </w:pPr>
    </w:p>
    <w:p w14:paraId="6F3498A0">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14:paraId="041323ED">
      <w:pPr>
        <w:rPr>
          <w:rFonts w:ascii="宋体" w:hAnsi="宋体" w:eastAsia="宋体" w:cs="宋体"/>
          <w:b/>
          <w:color w:val="auto"/>
          <w:sz w:val="30"/>
          <w:szCs w:val="30"/>
          <w:highlight w:val="none"/>
        </w:rPr>
      </w:pPr>
    </w:p>
    <w:p w14:paraId="2C3475E7">
      <w:pPr>
        <w:numPr>
          <w:ilvl w:val="0"/>
          <w:numId w:val="4"/>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14:paraId="7AD49924">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kern w:val="0"/>
          <w:sz w:val="32"/>
          <w:szCs w:val="32"/>
          <w:highlight w:val="none"/>
          <w:u w:val="none"/>
          <w:lang w:val="en-US" w:eastAsia="zh-CN"/>
        </w:rPr>
        <w:t>项目地块总用地面积为15242.40平方米，总建筑面积约41500平方米（含地下室），地上计容建筑面积约27500平方米，地下建筑面积约14000平方米</w:t>
      </w:r>
      <w:r>
        <w:rPr>
          <w:rFonts w:hint="eastAsia" w:ascii="仿宋_GB2312" w:hAnsi="仿宋_GB2312" w:eastAsia="仿宋_GB2312" w:cs="仿宋_GB2312"/>
          <w:b w:val="0"/>
          <w:bCs/>
          <w:color w:val="auto"/>
          <w:sz w:val="32"/>
          <w:szCs w:val="32"/>
          <w:highlight w:val="none"/>
          <w:lang w:val="en-US" w:eastAsia="zh-CN"/>
        </w:rPr>
        <w:t>。</w:t>
      </w:r>
    </w:p>
    <w:p w14:paraId="64FD6886">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14:paraId="5671C331">
      <w:pPr>
        <w:pStyle w:val="25"/>
        <w:rPr>
          <w:rFonts w:ascii="仿宋_GB2312" w:hAnsi="仿宋_GB2312" w:eastAsia="仿宋_GB2312" w:cs="仿宋_GB2312"/>
          <w:color w:val="auto"/>
          <w:sz w:val="32"/>
          <w:szCs w:val="32"/>
          <w:highlight w:val="none"/>
        </w:rPr>
      </w:pPr>
      <w:r>
        <w:rPr>
          <w:rFonts w:hint="eastAsia" w:ascii="仿宋" w:hAnsi="仿宋" w:eastAsia="仿宋" w:cs="Times New Roman"/>
          <w:color w:val="auto"/>
          <w:kern w:val="2"/>
          <w:sz w:val="32"/>
          <w:szCs w:val="24"/>
          <w:highlight w:val="none"/>
          <w:lang w:val="en-US" w:eastAsia="zh-CN" w:bidi="ar-SA"/>
        </w:rPr>
        <w:t>由南房2号开关房2M母线原有断路器柜(G09柜)新敷高压电缆FY-ZRYJV22-8.7/15kV-3×70mm2/280米至新建经发金岭北路临电箱变，新建经发金岭北路临电箱变(S11-M-500kVA)</w:t>
      </w:r>
      <w:r>
        <w:rPr>
          <w:rFonts w:hint="eastAsia" w:ascii="仿宋_GB2312" w:hAnsi="仿宋_GB2312" w:eastAsia="仿宋_GB2312" w:cs="仿宋_GB2312"/>
          <w:b w:val="0"/>
          <w:bCs/>
          <w:color w:val="auto"/>
          <w:sz w:val="32"/>
          <w:szCs w:val="32"/>
          <w:highlight w:val="none"/>
          <w:lang w:eastAsia="zh-CN"/>
        </w:rPr>
        <w:t>，最终以实际工程量清单和图纸为准</w:t>
      </w:r>
      <w:r>
        <w:rPr>
          <w:rFonts w:hint="eastAsia" w:ascii="仿宋_GB2312" w:hAnsi="仿宋_GB2312" w:eastAsia="仿宋_GB2312" w:cs="仿宋_GB2312"/>
          <w:b w:val="0"/>
          <w:bCs/>
          <w:color w:val="auto"/>
          <w:sz w:val="32"/>
          <w:szCs w:val="32"/>
          <w:highlight w:val="none"/>
          <w:lang w:val="en-US" w:eastAsia="zh-CN"/>
        </w:rPr>
        <w:t>。</w:t>
      </w:r>
      <w:r>
        <w:rPr>
          <w:rFonts w:hint="eastAsia" w:ascii="仿宋_GB2312" w:hAnsi="仿宋_GB2312" w:eastAsia="仿宋_GB2312" w:cs="仿宋_GB2312"/>
          <w:bCs/>
          <w:color w:val="auto"/>
          <w:kern w:val="2"/>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14:paraId="548E8A45">
      <w:pPr>
        <w:ind w:firstLine="480" w:firstLineChars="200"/>
        <w:rPr>
          <w:rFonts w:asciiTheme="minorEastAsia" w:hAnsiTheme="minorEastAsia" w:cstheme="minorEastAsia"/>
          <w:color w:val="auto"/>
          <w:kern w:val="0"/>
          <w:sz w:val="24"/>
          <w:highlight w:val="none"/>
        </w:rPr>
      </w:pPr>
    </w:p>
    <w:p w14:paraId="7CAB8357">
      <w:pPr>
        <w:rPr>
          <w:rFonts w:ascii="黑体" w:hAnsi="宋体" w:cs="黑体"/>
          <w:b/>
          <w:color w:val="auto"/>
          <w:kern w:val="44"/>
          <w:sz w:val="44"/>
          <w:szCs w:val="44"/>
          <w:highlight w:val="none"/>
        </w:rPr>
      </w:pPr>
    </w:p>
    <w:p w14:paraId="13761F16">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6E7CEFDC">
      <w:pPr>
        <w:pStyle w:val="3"/>
        <w:widowControl/>
        <w:spacing w:before="0" w:after="0" w:line="360" w:lineRule="auto"/>
        <w:jc w:val="center"/>
        <w:rPr>
          <w:rFonts w:ascii="黑体" w:hAnsi="宋体" w:cs="黑体"/>
          <w:b/>
          <w:color w:val="auto"/>
          <w:kern w:val="44"/>
          <w:sz w:val="44"/>
          <w:szCs w:val="44"/>
          <w:highlight w:val="none"/>
        </w:rPr>
      </w:pPr>
    </w:p>
    <w:p w14:paraId="060B39E8">
      <w:pPr>
        <w:pStyle w:val="3"/>
        <w:widowControl/>
        <w:spacing w:before="0" w:after="0" w:line="360" w:lineRule="auto"/>
        <w:jc w:val="center"/>
        <w:rPr>
          <w:rFonts w:ascii="黑体" w:hAnsi="宋体" w:cs="黑体"/>
          <w:b/>
          <w:color w:val="auto"/>
          <w:kern w:val="44"/>
          <w:sz w:val="44"/>
          <w:szCs w:val="44"/>
          <w:highlight w:val="none"/>
        </w:rPr>
      </w:pPr>
    </w:p>
    <w:p w14:paraId="28E1F0D0">
      <w:pPr>
        <w:pStyle w:val="3"/>
        <w:widowControl/>
        <w:spacing w:before="0" w:after="0" w:line="360" w:lineRule="auto"/>
        <w:jc w:val="center"/>
        <w:rPr>
          <w:rFonts w:ascii="黑体" w:hAnsi="宋体" w:cs="黑体"/>
          <w:b/>
          <w:color w:val="auto"/>
          <w:kern w:val="44"/>
          <w:sz w:val="44"/>
          <w:szCs w:val="44"/>
          <w:highlight w:val="none"/>
        </w:rPr>
      </w:pPr>
    </w:p>
    <w:p w14:paraId="5BA206A8">
      <w:pPr>
        <w:pStyle w:val="3"/>
        <w:widowControl/>
        <w:spacing w:before="0" w:after="0" w:line="360" w:lineRule="auto"/>
        <w:jc w:val="center"/>
        <w:rPr>
          <w:rFonts w:ascii="黑体" w:hAnsi="宋体" w:cs="黑体"/>
          <w:b/>
          <w:color w:val="auto"/>
          <w:kern w:val="44"/>
          <w:sz w:val="44"/>
          <w:szCs w:val="44"/>
          <w:highlight w:val="none"/>
        </w:rPr>
      </w:pPr>
    </w:p>
    <w:p w14:paraId="147ED15A">
      <w:pPr>
        <w:pStyle w:val="3"/>
        <w:widowControl/>
        <w:spacing w:before="0" w:after="0" w:line="360" w:lineRule="auto"/>
        <w:jc w:val="center"/>
        <w:rPr>
          <w:rFonts w:ascii="黑体" w:hAnsi="宋体" w:cs="黑体"/>
          <w:b/>
          <w:color w:val="auto"/>
          <w:kern w:val="44"/>
          <w:sz w:val="44"/>
          <w:szCs w:val="44"/>
          <w:highlight w:val="none"/>
        </w:rPr>
      </w:pPr>
    </w:p>
    <w:p w14:paraId="363D6F53">
      <w:pPr>
        <w:pStyle w:val="3"/>
        <w:widowControl/>
        <w:spacing w:before="0" w:after="0" w:line="360" w:lineRule="auto"/>
        <w:jc w:val="center"/>
        <w:rPr>
          <w:rFonts w:ascii="黑体" w:hAnsi="宋体" w:cs="黑体"/>
          <w:b/>
          <w:color w:val="auto"/>
          <w:kern w:val="44"/>
          <w:sz w:val="44"/>
          <w:szCs w:val="44"/>
          <w:highlight w:val="none"/>
        </w:rPr>
      </w:pPr>
    </w:p>
    <w:p w14:paraId="40D79692">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005CCBEA">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61A8E00E">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CEDB3F9">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5405E2DA">
      <w:pPr>
        <w:rPr>
          <w:rFonts w:ascii="宋体" w:hAnsi="宋体" w:eastAsia="宋体" w:cs="宋体"/>
          <w:color w:val="auto"/>
          <w:sz w:val="24"/>
          <w:highlight w:val="none"/>
        </w:rPr>
      </w:pPr>
    </w:p>
    <w:p w14:paraId="2D0A13D3">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广州南沙经发建筑有限公司</w:t>
      </w:r>
      <w:r>
        <w:rPr>
          <w:rFonts w:hint="eastAsia" w:ascii="宋体" w:hAnsi="宋体" w:eastAsia="宋体" w:cs="Times New Roman"/>
          <w:color w:val="auto"/>
          <w:spacing w:val="20"/>
          <w:sz w:val="24"/>
          <w:highlight w:val="none"/>
          <w:u w:val="single"/>
        </w:rPr>
        <w:t>：</w:t>
      </w:r>
    </w:p>
    <w:p w14:paraId="0FA2E76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金岭北路地块开发项目临电工程施工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3C1F44B7">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金岭北路地块开发项目临电工程施工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4700103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633763D9">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0A2CBDE0">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2E1A34E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2D2FEDFF">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52A05A73">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3942D19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602AE08C">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DCC906D">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6CE2DD36">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D897BAD">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67F4FD9C">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27899E10">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E5F0676">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B59AFE1">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67C17EAF">
      <w:pPr>
        <w:snapToGrid w:val="0"/>
        <w:spacing w:line="480" w:lineRule="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广州南沙经发建筑有限公司</w:t>
      </w:r>
    </w:p>
    <w:p w14:paraId="04520703">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8A27556">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7053523E">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54C1B308">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59FFEE30">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6F8F5E7B">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D18EC61">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7E708E0">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19E0549">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2A64073B">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6E0BA282">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A4B37F3">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7AB04E3">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7A3B6263">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10256D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CC8FA70">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7290B6F">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F7054E9">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9FDECAB">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6A3D687">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14:paraId="61DD1E8F">
      <w:pPr>
        <w:pStyle w:val="3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2E50F44B">
      <w:pPr>
        <w:pStyle w:val="31"/>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2336688F">
      <w:pPr>
        <w:pStyle w:val="3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6A93391F">
      <w:pPr>
        <w:pStyle w:val="31"/>
        <w:widowControl/>
        <w:ind w:firstLine="618"/>
        <w:rPr>
          <w:b/>
          <w:color w:val="auto"/>
          <w:sz w:val="30"/>
          <w:szCs w:val="30"/>
          <w:highlight w:val="none"/>
        </w:rPr>
      </w:pPr>
      <w:r>
        <w:rPr>
          <w:b/>
          <w:color w:val="auto"/>
          <w:sz w:val="30"/>
          <w:szCs w:val="30"/>
          <w:highlight w:val="none"/>
        </w:rPr>
        <w:t xml:space="preserve"> </w:t>
      </w:r>
    </w:p>
    <w:p w14:paraId="44EAF6E1">
      <w:pPr>
        <w:pStyle w:val="3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353CB1E1">
      <w:pPr>
        <w:pStyle w:val="31"/>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32F818D3">
      <w:pPr>
        <w:pStyle w:val="3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36D28F07">
      <w:pPr>
        <w:pStyle w:val="2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01AD4A27">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58BAF8E3">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2AD915BB">
      <w:pPr>
        <w:pStyle w:val="31"/>
        <w:widowControl/>
        <w:ind w:firstLine="0" w:firstLineChars="0"/>
        <w:jc w:val="center"/>
        <w:rPr>
          <w:b/>
          <w:color w:val="auto"/>
          <w:sz w:val="28"/>
          <w:szCs w:val="28"/>
          <w:highlight w:val="none"/>
        </w:rPr>
      </w:pPr>
      <w:r>
        <w:rPr>
          <w:b/>
          <w:color w:val="auto"/>
          <w:sz w:val="28"/>
          <w:szCs w:val="28"/>
          <w:highlight w:val="none"/>
        </w:rPr>
        <w:t xml:space="preserve"> </w:t>
      </w:r>
    </w:p>
    <w:p w14:paraId="6CC92C3E">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274F26F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2702C6E">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广州南沙经发建筑有限公司</w:t>
      </w:r>
    </w:p>
    <w:p w14:paraId="6A7CA106">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金岭北路地块开发项目临电工程施工</w:t>
      </w:r>
    </w:p>
    <w:p w14:paraId="7CE6A812">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51CC09D">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14:paraId="48761B36">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37F690A1">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9345F71">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F264727">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4799C4E9">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7D02CAB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598F5C9F">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33CC650">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833503"/>
      <w:bookmarkEnd w:id="11"/>
      <w:bookmarkStart w:id="12" w:name="_Toc196130110"/>
      <w:bookmarkEnd w:id="12"/>
      <w:bookmarkStart w:id="13" w:name="_Toc41822703"/>
      <w:bookmarkEnd w:id="13"/>
      <w:bookmarkStart w:id="14" w:name="_Toc197235848"/>
      <w:bookmarkEnd w:id="14"/>
      <w:bookmarkStart w:id="15" w:name="_Toc415728297"/>
      <w:bookmarkEnd w:id="15"/>
      <w:bookmarkStart w:id="16" w:name="_Toc196130013"/>
      <w:bookmarkEnd w:id="16"/>
      <w:bookmarkStart w:id="17" w:name="_Toc199647675"/>
      <w:bookmarkEnd w:id="17"/>
      <w:bookmarkStart w:id="18" w:name="_Toc196036941"/>
      <w:bookmarkEnd w:id="18"/>
      <w:bookmarkStart w:id="19" w:name="_Toc459403394"/>
      <w:bookmarkEnd w:id="19"/>
      <w:bookmarkStart w:id="20" w:name="_Toc196037097"/>
      <w:bookmarkEnd w:id="20"/>
      <w:bookmarkStart w:id="21" w:name="_Toc3269092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25E837FB">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9"/>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7305E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3119848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61AD240C">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42FE23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4E2AD382">
            <w:pPr>
              <w:spacing w:line="360" w:lineRule="auto"/>
              <w:jc w:val="center"/>
              <w:rPr>
                <w:rFonts w:ascii="仿宋" w:hAnsi="仿宋" w:eastAsia="仿宋" w:cs="仿宋"/>
                <w:color w:val="auto"/>
                <w:sz w:val="24"/>
                <w:highlight w:val="none"/>
              </w:rPr>
            </w:pPr>
          </w:p>
        </w:tc>
      </w:tr>
      <w:tr w14:paraId="06572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65B32B8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4460A6F1">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5DAF492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460A04B9">
            <w:pPr>
              <w:spacing w:line="360" w:lineRule="auto"/>
              <w:jc w:val="center"/>
              <w:rPr>
                <w:rFonts w:ascii="仿宋" w:hAnsi="仿宋" w:eastAsia="仿宋" w:cs="仿宋"/>
                <w:color w:val="auto"/>
                <w:sz w:val="24"/>
                <w:highlight w:val="none"/>
              </w:rPr>
            </w:pPr>
          </w:p>
        </w:tc>
      </w:tr>
      <w:tr w14:paraId="37439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5B7D6D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4749556B">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6EF829AD">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39697850">
            <w:pPr>
              <w:spacing w:line="360" w:lineRule="auto"/>
              <w:jc w:val="center"/>
              <w:rPr>
                <w:rFonts w:ascii="仿宋" w:hAnsi="仿宋" w:eastAsia="仿宋" w:cs="仿宋"/>
                <w:color w:val="auto"/>
                <w:sz w:val="24"/>
                <w:highlight w:val="none"/>
              </w:rPr>
            </w:pPr>
          </w:p>
        </w:tc>
      </w:tr>
      <w:tr w14:paraId="6115B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3C5A310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640E2B13">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16F9C9C2">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194BF1C1">
            <w:pPr>
              <w:spacing w:line="360" w:lineRule="auto"/>
              <w:jc w:val="center"/>
              <w:rPr>
                <w:rFonts w:ascii="仿宋" w:hAnsi="仿宋" w:eastAsia="仿宋" w:cs="仿宋"/>
                <w:color w:val="auto"/>
                <w:sz w:val="24"/>
                <w:highlight w:val="none"/>
              </w:rPr>
            </w:pPr>
          </w:p>
        </w:tc>
      </w:tr>
      <w:tr w14:paraId="735F4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941D43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1F8270CE">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BF3BE0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242E5E6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0C9BE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20DD95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213B8878">
            <w:pPr>
              <w:spacing w:line="360" w:lineRule="auto"/>
              <w:jc w:val="center"/>
              <w:rPr>
                <w:rFonts w:ascii="仿宋" w:hAnsi="仿宋" w:eastAsia="仿宋" w:cs="仿宋"/>
                <w:color w:val="auto"/>
                <w:sz w:val="24"/>
                <w:highlight w:val="none"/>
              </w:rPr>
            </w:pPr>
          </w:p>
        </w:tc>
      </w:tr>
      <w:tr w14:paraId="42C2E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29297EC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30F2967A">
            <w:pPr>
              <w:spacing w:line="360" w:lineRule="auto"/>
              <w:jc w:val="center"/>
              <w:rPr>
                <w:rFonts w:ascii="仿宋" w:hAnsi="仿宋" w:eastAsia="仿宋" w:cs="仿宋"/>
                <w:color w:val="auto"/>
                <w:sz w:val="24"/>
                <w:highlight w:val="none"/>
              </w:rPr>
            </w:pPr>
          </w:p>
        </w:tc>
      </w:tr>
      <w:tr w14:paraId="79871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3B950D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0F68E02C">
            <w:pPr>
              <w:spacing w:line="360" w:lineRule="auto"/>
              <w:jc w:val="center"/>
              <w:rPr>
                <w:rFonts w:ascii="仿宋" w:hAnsi="仿宋" w:eastAsia="仿宋" w:cs="仿宋"/>
                <w:color w:val="auto"/>
                <w:sz w:val="24"/>
                <w:highlight w:val="none"/>
              </w:rPr>
            </w:pPr>
          </w:p>
        </w:tc>
      </w:tr>
      <w:tr w14:paraId="73316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77033E82">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499C2E2">
            <w:pPr>
              <w:spacing w:line="360" w:lineRule="auto"/>
              <w:jc w:val="center"/>
              <w:rPr>
                <w:rFonts w:ascii="仿宋" w:hAnsi="仿宋" w:eastAsia="仿宋" w:cs="仿宋"/>
                <w:color w:val="auto"/>
                <w:sz w:val="24"/>
                <w:highlight w:val="none"/>
              </w:rPr>
            </w:pPr>
          </w:p>
        </w:tc>
      </w:tr>
      <w:tr w14:paraId="1D012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0AC624FB">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2EF464BE">
            <w:pPr>
              <w:spacing w:line="360" w:lineRule="auto"/>
              <w:jc w:val="center"/>
              <w:rPr>
                <w:rFonts w:ascii="仿宋" w:hAnsi="仿宋" w:eastAsia="仿宋" w:cs="仿宋"/>
                <w:color w:val="auto"/>
                <w:sz w:val="24"/>
                <w:highlight w:val="none"/>
              </w:rPr>
            </w:pPr>
          </w:p>
        </w:tc>
      </w:tr>
      <w:tr w14:paraId="676CB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5D6D92B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3585675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0A583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6FE0E85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69A71A47">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1C33C36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49EF8859">
            <w:pPr>
              <w:spacing w:line="360" w:lineRule="auto"/>
              <w:jc w:val="center"/>
              <w:rPr>
                <w:rFonts w:ascii="仿宋" w:hAnsi="仿宋" w:eastAsia="仿宋" w:cs="仿宋"/>
                <w:color w:val="auto"/>
                <w:sz w:val="24"/>
                <w:highlight w:val="none"/>
              </w:rPr>
            </w:pPr>
          </w:p>
        </w:tc>
      </w:tr>
      <w:tr w14:paraId="658EC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4A34648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16EDE9BA">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18D0A80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3C1851BE">
            <w:pPr>
              <w:spacing w:line="360" w:lineRule="auto"/>
              <w:jc w:val="center"/>
              <w:rPr>
                <w:rFonts w:ascii="仿宋" w:hAnsi="仿宋" w:eastAsia="仿宋" w:cs="仿宋"/>
                <w:color w:val="auto"/>
                <w:sz w:val="24"/>
                <w:highlight w:val="none"/>
              </w:rPr>
            </w:pPr>
          </w:p>
        </w:tc>
      </w:tr>
      <w:tr w14:paraId="3B6B4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3C595E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37E2A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4C5178E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2422E2BC">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E6BC6F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4AD1FD57">
            <w:pPr>
              <w:spacing w:line="360" w:lineRule="auto"/>
              <w:jc w:val="center"/>
              <w:rPr>
                <w:rFonts w:ascii="仿宋" w:hAnsi="仿宋" w:eastAsia="仿宋" w:cs="仿宋"/>
                <w:color w:val="auto"/>
                <w:sz w:val="24"/>
                <w:highlight w:val="none"/>
              </w:rPr>
            </w:pPr>
          </w:p>
        </w:tc>
      </w:tr>
      <w:tr w14:paraId="4F1BC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2FBB39B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339E27EB">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7D6FF4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0EA779B6">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4D8D1E4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1BDC8018">
            <w:pPr>
              <w:spacing w:line="360" w:lineRule="auto"/>
              <w:jc w:val="center"/>
              <w:rPr>
                <w:rFonts w:ascii="仿宋" w:hAnsi="仿宋" w:eastAsia="仿宋" w:cs="仿宋"/>
                <w:color w:val="auto"/>
                <w:sz w:val="24"/>
                <w:highlight w:val="none"/>
              </w:rPr>
            </w:pPr>
          </w:p>
        </w:tc>
      </w:tr>
      <w:tr w14:paraId="18F13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373B6E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6DBF4FDD">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14F9D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2A6877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39A96C3B">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103A8DAA">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5B491B13">
      <w:pPr>
        <w:outlineLvl w:val="1"/>
        <w:rPr>
          <w:rFonts w:ascii="宋体" w:hAnsi="宋体" w:eastAsia="宋体" w:cs="黑体"/>
          <w:b/>
          <w:color w:val="auto"/>
          <w:spacing w:val="4"/>
          <w:kern w:val="0"/>
          <w:sz w:val="28"/>
          <w:szCs w:val="28"/>
          <w:highlight w:val="none"/>
        </w:rPr>
      </w:pPr>
      <w:bookmarkStart w:id="24" w:name="_Toc196037098"/>
      <w:bookmarkEnd w:id="24"/>
      <w:bookmarkStart w:id="25" w:name="_Toc459403395"/>
      <w:bookmarkEnd w:id="25"/>
      <w:bookmarkStart w:id="26" w:name="_Toc415728298"/>
      <w:bookmarkEnd w:id="26"/>
      <w:bookmarkStart w:id="27" w:name="_Toc415833504"/>
      <w:bookmarkEnd w:id="27"/>
      <w:bookmarkStart w:id="28" w:name="_Toc197235849"/>
      <w:bookmarkEnd w:id="28"/>
      <w:bookmarkStart w:id="29" w:name="_Toc326909214"/>
      <w:bookmarkEnd w:id="29"/>
      <w:bookmarkStart w:id="30" w:name="_Toc196130014"/>
      <w:bookmarkEnd w:id="30"/>
      <w:bookmarkStart w:id="31" w:name="_Toc199647676"/>
      <w:bookmarkEnd w:id="31"/>
      <w:bookmarkStart w:id="32" w:name="_Toc196130111"/>
      <w:bookmarkEnd w:id="32"/>
      <w:bookmarkStart w:id="33" w:name="_Toc196036942"/>
      <w:bookmarkEnd w:id="33"/>
      <w:bookmarkStart w:id="34" w:name="_Toc462911099"/>
    </w:p>
    <w:bookmarkEnd w:id="34"/>
    <w:p w14:paraId="0656EAC3">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5B8DBB1">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14:paraId="148EA4D9">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74ED3AC0">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2012805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2B5048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5C8D67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432CB0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CD937B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B2C44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F6B80F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E92FEA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82237A9">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76D5D4E3">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6CF708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65260C0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BE5C4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75E234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BFE9F6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F5F6F2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2358ED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15EB42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B552F80">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D363A2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93252C8">
            <w:pPr>
              <w:snapToGrid w:val="0"/>
              <w:spacing w:line="360" w:lineRule="auto"/>
              <w:jc w:val="center"/>
              <w:rPr>
                <w:rFonts w:ascii="仿宋" w:hAnsi="仿宋" w:eastAsia="仿宋" w:cs="仿宋"/>
                <w:color w:val="auto"/>
                <w:sz w:val="24"/>
                <w:highlight w:val="none"/>
              </w:rPr>
            </w:pPr>
          </w:p>
        </w:tc>
      </w:tr>
      <w:tr w14:paraId="1FD12A57">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0065D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EFC730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597E83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4BB0DC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14CF95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3C1D2C1">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5B2B45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33CF15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C8F6E97">
            <w:pPr>
              <w:snapToGrid w:val="0"/>
              <w:spacing w:line="360" w:lineRule="auto"/>
              <w:jc w:val="center"/>
              <w:rPr>
                <w:rFonts w:ascii="仿宋" w:hAnsi="仿宋" w:eastAsia="仿宋" w:cs="仿宋"/>
                <w:color w:val="auto"/>
                <w:sz w:val="24"/>
                <w:highlight w:val="none"/>
              </w:rPr>
            </w:pPr>
          </w:p>
        </w:tc>
      </w:tr>
      <w:tr w14:paraId="4F94A6B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599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BF2FBD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E3FB1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06480F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156217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E43305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52F099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2A7015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7D4A2A4">
            <w:pPr>
              <w:snapToGrid w:val="0"/>
              <w:spacing w:line="360" w:lineRule="auto"/>
              <w:jc w:val="center"/>
              <w:rPr>
                <w:rFonts w:ascii="仿宋" w:hAnsi="仿宋" w:eastAsia="仿宋" w:cs="仿宋"/>
                <w:color w:val="auto"/>
                <w:sz w:val="24"/>
                <w:highlight w:val="none"/>
              </w:rPr>
            </w:pPr>
          </w:p>
        </w:tc>
      </w:tr>
      <w:tr w14:paraId="3D94A83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F22BEA">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28E79F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C58426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806F1F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5259BB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0E6634D">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168CF1A">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D6825DB">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9122C91">
            <w:pPr>
              <w:snapToGrid w:val="0"/>
              <w:spacing w:line="360" w:lineRule="auto"/>
              <w:jc w:val="center"/>
              <w:rPr>
                <w:rFonts w:ascii="仿宋" w:hAnsi="仿宋" w:eastAsia="仿宋" w:cs="仿宋"/>
                <w:color w:val="auto"/>
                <w:sz w:val="24"/>
                <w:highlight w:val="none"/>
              </w:rPr>
            </w:pPr>
          </w:p>
        </w:tc>
      </w:tr>
      <w:tr w14:paraId="6F8B66B1">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1680BF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FEEB0C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ACFAD0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27CB09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EB2373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531C23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F9379D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F831E92">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823C801">
            <w:pPr>
              <w:snapToGrid w:val="0"/>
              <w:spacing w:line="360" w:lineRule="auto"/>
              <w:jc w:val="center"/>
              <w:rPr>
                <w:rFonts w:ascii="仿宋" w:hAnsi="仿宋" w:eastAsia="仿宋" w:cs="仿宋"/>
                <w:color w:val="auto"/>
                <w:sz w:val="24"/>
                <w:highlight w:val="none"/>
              </w:rPr>
            </w:pPr>
          </w:p>
        </w:tc>
      </w:tr>
      <w:tr w14:paraId="1B6EF54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49F565">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F01B93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0C664F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DEB2F73">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5B670AB">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5ACC9BC">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963F0F4">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7E250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0E517AF">
            <w:pPr>
              <w:snapToGrid w:val="0"/>
              <w:spacing w:line="360" w:lineRule="auto"/>
              <w:jc w:val="center"/>
              <w:rPr>
                <w:rFonts w:ascii="仿宋" w:hAnsi="仿宋" w:eastAsia="仿宋" w:cs="仿宋"/>
                <w:color w:val="auto"/>
                <w:sz w:val="24"/>
                <w:highlight w:val="none"/>
              </w:rPr>
            </w:pPr>
          </w:p>
        </w:tc>
      </w:tr>
      <w:tr w14:paraId="34DB917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06B7CDE">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C84CC2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DABD22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D7B3D46">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D9E0EDB">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F2167F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DFD573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CDDB5E4">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58010D3">
            <w:pPr>
              <w:snapToGrid w:val="0"/>
              <w:spacing w:line="360" w:lineRule="auto"/>
              <w:jc w:val="center"/>
              <w:rPr>
                <w:rFonts w:ascii="仿宋" w:hAnsi="仿宋" w:eastAsia="仿宋" w:cs="仿宋"/>
                <w:color w:val="auto"/>
                <w:sz w:val="24"/>
                <w:highlight w:val="none"/>
              </w:rPr>
            </w:pPr>
          </w:p>
        </w:tc>
      </w:tr>
      <w:tr w14:paraId="1265E02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935B07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AC2011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078A3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828334B">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210B51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74BE27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ABE9DD2">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B5B4C83">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C25D2B5">
            <w:pPr>
              <w:snapToGrid w:val="0"/>
              <w:spacing w:line="360" w:lineRule="auto"/>
              <w:jc w:val="center"/>
              <w:rPr>
                <w:rFonts w:ascii="仿宋" w:hAnsi="仿宋" w:eastAsia="仿宋" w:cs="仿宋"/>
                <w:color w:val="auto"/>
                <w:sz w:val="24"/>
                <w:highlight w:val="none"/>
              </w:rPr>
            </w:pPr>
          </w:p>
        </w:tc>
      </w:tr>
      <w:tr w14:paraId="5A02453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60D2115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35FA60E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7643876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6BF83FD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1C88BB1C">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117F4E6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462803B4">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0A13EA8B">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3D81E680">
            <w:pPr>
              <w:snapToGrid w:val="0"/>
              <w:spacing w:line="360" w:lineRule="auto"/>
              <w:jc w:val="center"/>
              <w:rPr>
                <w:rFonts w:ascii="仿宋" w:hAnsi="仿宋" w:eastAsia="仿宋" w:cs="仿宋"/>
                <w:color w:val="auto"/>
                <w:sz w:val="24"/>
                <w:highlight w:val="none"/>
              </w:rPr>
            </w:pPr>
          </w:p>
        </w:tc>
      </w:tr>
    </w:tbl>
    <w:p w14:paraId="355C75D4">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001C6EBE">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14:paraId="692FBA7E">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DE186D0">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1BE6291B">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4A3A519">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8C64E38">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0A1FBB05">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415195E1">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2ACEA582">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E08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9993B6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9C200E3">
            <w:pPr>
              <w:spacing w:line="460" w:lineRule="exact"/>
              <w:jc w:val="left"/>
              <w:rPr>
                <w:rFonts w:ascii="宋体" w:hAnsi="宋体" w:eastAsia="宋体" w:cs="宋体"/>
                <w:color w:val="auto"/>
                <w:szCs w:val="21"/>
                <w:highlight w:val="none"/>
              </w:rPr>
            </w:pPr>
          </w:p>
        </w:tc>
        <w:tc>
          <w:tcPr>
            <w:tcW w:w="927" w:type="dxa"/>
            <w:vAlign w:val="center"/>
          </w:tcPr>
          <w:p w14:paraId="21D341D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2A839800">
            <w:pPr>
              <w:spacing w:line="460" w:lineRule="exact"/>
              <w:jc w:val="left"/>
              <w:rPr>
                <w:rFonts w:ascii="宋体" w:hAnsi="宋体" w:eastAsia="宋体" w:cs="宋体"/>
                <w:color w:val="auto"/>
                <w:szCs w:val="21"/>
                <w:highlight w:val="none"/>
              </w:rPr>
            </w:pPr>
          </w:p>
        </w:tc>
        <w:tc>
          <w:tcPr>
            <w:tcW w:w="2130" w:type="dxa"/>
            <w:gridSpan w:val="3"/>
            <w:vAlign w:val="center"/>
          </w:tcPr>
          <w:p w14:paraId="35A649A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49E9F66C">
            <w:pPr>
              <w:spacing w:line="460" w:lineRule="exact"/>
              <w:jc w:val="left"/>
              <w:rPr>
                <w:rFonts w:ascii="宋体" w:hAnsi="宋体" w:eastAsia="宋体" w:cs="宋体"/>
                <w:color w:val="auto"/>
                <w:szCs w:val="21"/>
                <w:highlight w:val="none"/>
              </w:rPr>
            </w:pPr>
          </w:p>
        </w:tc>
      </w:tr>
      <w:tr w14:paraId="1754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E6ECF8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2BB0F263">
            <w:pPr>
              <w:spacing w:line="460" w:lineRule="exact"/>
              <w:jc w:val="left"/>
              <w:rPr>
                <w:rFonts w:ascii="宋体" w:hAnsi="宋体" w:eastAsia="宋体" w:cs="宋体"/>
                <w:color w:val="auto"/>
                <w:szCs w:val="21"/>
                <w:highlight w:val="none"/>
              </w:rPr>
            </w:pPr>
          </w:p>
        </w:tc>
        <w:tc>
          <w:tcPr>
            <w:tcW w:w="927" w:type="dxa"/>
            <w:vAlign w:val="center"/>
          </w:tcPr>
          <w:p w14:paraId="2B16997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70A480D1">
            <w:pPr>
              <w:spacing w:line="460" w:lineRule="exact"/>
              <w:jc w:val="left"/>
              <w:rPr>
                <w:rFonts w:ascii="宋体" w:hAnsi="宋体" w:eastAsia="宋体" w:cs="宋体"/>
                <w:color w:val="auto"/>
                <w:szCs w:val="21"/>
                <w:highlight w:val="none"/>
              </w:rPr>
            </w:pPr>
          </w:p>
        </w:tc>
        <w:tc>
          <w:tcPr>
            <w:tcW w:w="2130" w:type="dxa"/>
            <w:gridSpan w:val="3"/>
            <w:vAlign w:val="center"/>
          </w:tcPr>
          <w:p w14:paraId="06CC4A6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14:paraId="7202C331">
            <w:pPr>
              <w:spacing w:line="460" w:lineRule="exact"/>
              <w:jc w:val="left"/>
              <w:rPr>
                <w:rFonts w:ascii="宋体" w:hAnsi="宋体" w:eastAsia="宋体" w:cs="宋体"/>
                <w:color w:val="auto"/>
                <w:szCs w:val="21"/>
                <w:highlight w:val="none"/>
              </w:rPr>
            </w:pPr>
          </w:p>
        </w:tc>
      </w:tr>
      <w:tr w14:paraId="5233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7B09506">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43649422">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C2D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782C2C3F">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2E7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166AB5FE">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393631B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7CBBAA3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6B28BDD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477F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1414E539">
            <w:pPr>
              <w:spacing w:line="460" w:lineRule="exact"/>
              <w:jc w:val="left"/>
              <w:rPr>
                <w:rFonts w:ascii="宋体" w:hAnsi="宋体" w:eastAsia="宋体" w:cs="宋体"/>
                <w:color w:val="auto"/>
                <w:szCs w:val="21"/>
                <w:highlight w:val="none"/>
              </w:rPr>
            </w:pPr>
          </w:p>
        </w:tc>
        <w:tc>
          <w:tcPr>
            <w:tcW w:w="3420" w:type="dxa"/>
            <w:gridSpan w:val="4"/>
          </w:tcPr>
          <w:p w14:paraId="6C42326D">
            <w:pPr>
              <w:spacing w:line="460" w:lineRule="exact"/>
              <w:jc w:val="left"/>
              <w:rPr>
                <w:rFonts w:ascii="宋体" w:hAnsi="宋体" w:eastAsia="宋体" w:cs="宋体"/>
                <w:color w:val="auto"/>
                <w:szCs w:val="21"/>
                <w:highlight w:val="none"/>
              </w:rPr>
            </w:pPr>
          </w:p>
        </w:tc>
        <w:tc>
          <w:tcPr>
            <w:tcW w:w="1261" w:type="dxa"/>
          </w:tcPr>
          <w:p w14:paraId="13924AFD">
            <w:pPr>
              <w:spacing w:line="460" w:lineRule="exact"/>
              <w:jc w:val="left"/>
              <w:rPr>
                <w:rFonts w:ascii="宋体" w:hAnsi="宋体" w:eastAsia="宋体" w:cs="宋体"/>
                <w:color w:val="auto"/>
                <w:szCs w:val="21"/>
                <w:highlight w:val="none"/>
              </w:rPr>
            </w:pPr>
          </w:p>
        </w:tc>
        <w:tc>
          <w:tcPr>
            <w:tcW w:w="2296" w:type="dxa"/>
            <w:gridSpan w:val="2"/>
          </w:tcPr>
          <w:p w14:paraId="5CF0BA99">
            <w:pPr>
              <w:spacing w:line="460" w:lineRule="exact"/>
              <w:jc w:val="left"/>
              <w:rPr>
                <w:rFonts w:ascii="宋体" w:hAnsi="宋体" w:eastAsia="宋体" w:cs="宋体"/>
                <w:color w:val="auto"/>
                <w:szCs w:val="21"/>
                <w:highlight w:val="none"/>
              </w:rPr>
            </w:pPr>
          </w:p>
        </w:tc>
      </w:tr>
      <w:tr w14:paraId="612E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53A3F86">
            <w:pPr>
              <w:spacing w:line="460" w:lineRule="exact"/>
              <w:jc w:val="left"/>
              <w:rPr>
                <w:rFonts w:ascii="宋体" w:hAnsi="宋体" w:eastAsia="宋体" w:cs="宋体"/>
                <w:color w:val="auto"/>
                <w:szCs w:val="21"/>
                <w:highlight w:val="none"/>
              </w:rPr>
            </w:pPr>
          </w:p>
        </w:tc>
        <w:tc>
          <w:tcPr>
            <w:tcW w:w="3420" w:type="dxa"/>
            <w:gridSpan w:val="4"/>
          </w:tcPr>
          <w:p w14:paraId="259D62AF">
            <w:pPr>
              <w:spacing w:line="460" w:lineRule="exact"/>
              <w:jc w:val="left"/>
              <w:rPr>
                <w:rFonts w:ascii="宋体" w:hAnsi="宋体" w:eastAsia="宋体" w:cs="宋体"/>
                <w:color w:val="auto"/>
                <w:szCs w:val="21"/>
                <w:highlight w:val="none"/>
              </w:rPr>
            </w:pPr>
          </w:p>
        </w:tc>
        <w:tc>
          <w:tcPr>
            <w:tcW w:w="1261" w:type="dxa"/>
          </w:tcPr>
          <w:p w14:paraId="5996057C">
            <w:pPr>
              <w:spacing w:line="460" w:lineRule="exact"/>
              <w:jc w:val="left"/>
              <w:rPr>
                <w:rFonts w:ascii="宋体" w:hAnsi="宋体" w:eastAsia="宋体" w:cs="宋体"/>
                <w:color w:val="auto"/>
                <w:szCs w:val="21"/>
                <w:highlight w:val="none"/>
              </w:rPr>
            </w:pPr>
          </w:p>
        </w:tc>
        <w:tc>
          <w:tcPr>
            <w:tcW w:w="2296" w:type="dxa"/>
            <w:gridSpan w:val="2"/>
          </w:tcPr>
          <w:p w14:paraId="5ABC9ADF">
            <w:pPr>
              <w:spacing w:line="460" w:lineRule="exact"/>
              <w:jc w:val="left"/>
              <w:rPr>
                <w:rFonts w:ascii="宋体" w:hAnsi="宋体" w:eastAsia="宋体" w:cs="宋体"/>
                <w:color w:val="auto"/>
                <w:szCs w:val="21"/>
                <w:highlight w:val="none"/>
              </w:rPr>
            </w:pPr>
          </w:p>
        </w:tc>
      </w:tr>
      <w:tr w14:paraId="1697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4F45603">
            <w:pPr>
              <w:spacing w:line="460" w:lineRule="exact"/>
              <w:jc w:val="left"/>
              <w:rPr>
                <w:rFonts w:ascii="宋体" w:hAnsi="宋体" w:eastAsia="宋体" w:cs="宋体"/>
                <w:color w:val="auto"/>
                <w:szCs w:val="21"/>
                <w:highlight w:val="none"/>
              </w:rPr>
            </w:pPr>
          </w:p>
        </w:tc>
        <w:tc>
          <w:tcPr>
            <w:tcW w:w="3420" w:type="dxa"/>
            <w:gridSpan w:val="4"/>
          </w:tcPr>
          <w:p w14:paraId="676E95A2">
            <w:pPr>
              <w:spacing w:line="460" w:lineRule="exact"/>
              <w:jc w:val="left"/>
              <w:rPr>
                <w:rFonts w:ascii="宋体" w:hAnsi="宋体" w:eastAsia="宋体" w:cs="宋体"/>
                <w:color w:val="auto"/>
                <w:szCs w:val="21"/>
                <w:highlight w:val="none"/>
              </w:rPr>
            </w:pPr>
          </w:p>
        </w:tc>
        <w:tc>
          <w:tcPr>
            <w:tcW w:w="1261" w:type="dxa"/>
          </w:tcPr>
          <w:p w14:paraId="7440B819">
            <w:pPr>
              <w:spacing w:line="460" w:lineRule="exact"/>
              <w:jc w:val="left"/>
              <w:rPr>
                <w:rFonts w:ascii="宋体" w:hAnsi="宋体" w:eastAsia="宋体" w:cs="宋体"/>
                <w:color w:val="auto"/>
                <w:szCs w:val="21"/>
                <w:highlight w:val="none"/>
              </w:rPr>
            </w:pPr>
          </w:p>
        </w:tc>
        <w:tc>
          <w:tcPr>
            <w:tcW w:w="2296" w:type="dxa"/>
            <w:gridSpan w:val="2"/>
          </w:tcPr>
          <w:p w14:paraId="733705C2">
            <w:pPr>
              <w:spacing w:line="460" w:lineRule="exact"/>
              <w:jc w:val="left"/>
              <w:rPr>
                <w:rFonts w:ascii="宋体" w:hAnsi="宋体" w:eastAsia="宋体" w:cs="宋体"/>
                <w:color w:val="auto"/>
                <w:szCs w:val="21"/>
                <w:highlight w:val="none"/>
              </w:rPr>
            </w:pPr>
          </w:p>
        </w:tc>
      </w:tr>
      <w:tr w14:paraId="2CA0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49BD41FD">
            <w:pPr>
              <w:spacing w:line="460" w:lineRule="exact"/>
              <w:jc w:val="left"/>
              <w:rPr>
                <w:rFonts w:ascii="宋体" w:hAnsi="宋体" w:eastAsia="宋体" w:cs="宋体"/>
                <w:color w:val="auto"/>
                <w:szCs w:val="21"/>
                <w:highlight w:val="none"/>
              </w:rPr>
            </w:pPr>
          </w:p>
        </w:tc>
        <w:tc>
          <w:tcPr>
            <w:tcW w:w="3420" w:type="dxa"/>
            <w:gridSpan w:val="4"/>
            <w:vAlign w:val="center"/>
          </w:tcPr>
          <w:p w14:paraId="66F09B2E">
            <w:pPr>
              <w:spacing w:line="460" w:lineRule="exact"/>
              <w:jc w:val="left"/>
              <w:rPr>
                <w:rFonts w:ascii="宋体" w:hAnsi="宋体" w:eastAsia="宋体" w:cs="宋体"/>
                <w:color w:val="auto"/>
                <w:szCs w:val="21"/>
                <w:highlight w:val="none"/>
              </w:rPr>
            </w:pPr>
          </w:p>
        </w:tc>
        <w:tc>
          <w:tcPr>
            <w:tcW w:w="1261" w:type="dxa"/>
            <w:vAlign w:val="center"/>
          </w:tcPr>
          <w:p w14:paraId="09FCB966">
            <w:pPr>
              <w:spacing w:line="460" w:lineRule="exact"/>
              <w:jc w:val="left"/>
              <w:rPr>
                <w:rFonts w:ascii="宋体" w:hAnsi="宋体" w:eastAsia="宋体" w:cs="宋体"/>
                <w:color w:val="auto"/>
                <w:szCs w:val="21"/>
                <w:highlight w:val="none"/>
              </w:rPr>
            </w:pPr>
          </w:p>
        </w:tc>
        <w:tc>
          <w:tcPr>
            <w:tcW w:w="2296" w:type="dxa"/>
            <w:gridSpan w:val="2"/>
            <w:vAlign w:val="center"/>
          </w:tcPr>
          <w:p w14:paraId="22882BCC">
            <w:pPr>
              <w:spacing w:line="460" w:lineRule="exact"/>
              <w:jc w:val="left"/>
              <w:rPr>
                <w:rFonts w:ascii="宋体" w:hAnsi="宋体" w:eastAsia="宋体" w:cs="宋体"/>
                <w:color w:val="auto"/>
                <w:szCs w:val="21"/>
                <w:highlight w:val="none"/>
              </w:rPr>
            </w:pPr>
          </w:p>
        </w:tc>
      </w:tr>
    </w:tbl>
    <w:p w14:paraId="425EB3C8">
      <w:pPr>
        <w:rPr>
          <w:rFonts w:ascii="仿宋" w:hAnsi="仿宋" w:eastAsia="仿宋" w:cs="仿宋"/>
          <w:color w:val="auto"/>
          <w:szCs w:val="21"/>
          <w:highlight w:val="none"/>
        </w:rPr>
      </w:pPr>
    </w:p>
    <w:p w14:paraId="38BF892A">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764E245E">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14:paraId="1E6BFFA2">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703062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E682D23">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3BC4479">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4095F9BF">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997D5E1">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6D823E4">
      <w:pPr>
        <w:pStyle w:val="31"/>
        <w:widowControl/>
        <w:ind w:firstLine="0" w:firstLineChars="0"/>
        <w:rPr>
          <w:color w:val="auto"/>
          <w:spacing w:val="18"/>
          <w:highlight w:val="none"/>
        </w:rPr>
      </w:pPr>
      <w:r>
        <w:rPr>
          <w:color w:val="auto"/>
          <w:spacing w:val="18"/>
          <w:highlight w:val="none"/>
        </w:rPr>
        <w:t xml:space="preserve"> </w:t>
      </w:r>
    </w:p>
    <w:p w14:paraId="01D2A821">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2B4A8F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B020499">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3EBFA5E0">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14:paraId="27098FD3">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14:paraId="345555D7">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9"/>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2700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37D7ACCD">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65461AFB">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金岭北路地块开发项目临电工程施工</w:t>
            </w:r>
          </w:p>
        </w:tc>
      </w:tr>
      <w:tr w14:paraId="6354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3F24D010">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18F5F1EE">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14:paraId="1DF68018">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14:paraId="3BB2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072F0D98">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147D325D">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14:paraId="4A1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6538BB8A">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748FA104">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14:paraId="6C8B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14:paraId="51DF7D18">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14:paraId="36AE128F">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为25035.14元</w:t>
            </w:r>
          </w:p>
        </w:tc>
      </w:tr>
      <w:tr w14:paraId="3C9C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39405CF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57E244A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7E94B1AB">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09AC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6DD76EF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29F023FD">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0C52EDE0">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6106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587DAB31">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6E7AA376">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2B739405">
            <w:pPr>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7C2431AA">
      <w:pPr>
        <w:pStyle w:val="11"/>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41E5E5B9">
      <w:pPr>
        <w:pStyle w:val="11"/>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14:paraId="66D7594B">
      <w:pPr>
        <w:spacing w:line="360" w:lineRule="auto"/>
        <w:rPr>
          <w:rFonts w:hAnsi="宋体"/>
          <w:b/>
          <w:color w:val="auto"/>
          <w:highlight w:val="none"/>
        </w:rPr>
      </w:pPr>
      <w:r>
        <w:rPr>
          <w:rFonts w:hAnsi="宋体"/>
          <w:b/>
          <w:color w:val="auto"/>
          <w:highlight w:val="none"/>
        </w:rPr>
        <w:br w:type="page"/>
      </w:r>
    </w:p>
    <w:p w14:paraId="205D7535">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77489BA5">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05596174">
      <w:pPr>
        <w:jc w:val="center"/>
        <w:rPr>
          <w:rFonts w:ascii="宋体"/>
          <w:b/>
          <w:color w:val="auto"/>
          <w:sz w:val="32"/>
          <w:szCs w:val="32"/>
          <w:highlight w:val="none"/>
        </w:rPr>
      </w:pPr>
    </w:p>
    <w:p w14:paraId="3FBF3E30">
      <w:pPr>
        <w:jc w:val="center"/>
        <w:rPr>
          <w:rFonts w:ascii="宋体"/>
          <w:b/>
          <w:color w:val="auto"/>
          <w:sz w:val="32"/>
          <w:szCs w:val="32"/>
          <w:highlight w:val="none"/>
        </w:rPr>
      </w:pPr>
    </w:p>
    <w:p w14:paraId="4FC4A7BB">
      <w:pPr>
        <w:jc w:val="center"/>
        <w:rPr>
          <w:rFonts w:ascii="宋体"/>
          <w:b/>
          <w:color w:val="auto"/>
          <w:sz w:val="32"/>
          <w:szCs w:val="32"/>
          <w:highlight w:val="none"/>
        </w:rPr>
      </w:pPr>
    </w:p>
    <w:p w14:paraId="18FD4F0F">
      <w:pPr>
        <w:jc w:val="center"/>
        <w:rPr>
          <w:rFonts w:ascii="宋体"/>
          <w:b/>
          <w:color w:val="auto"/>
          <w:sz w:val="32"/>
          <w:szCs w:val="32"/>
          <w:highlight w:val="none"/>
        </w:rPr>
      </w:pPr>
    </w:p>
    <w:p w14:paraId="303DCC00">
      <w:pPr>
        <w:jc w:val="center"/>
        <w:rPr>
          <w:b/>
          <w:color w:val="auto"/>
          <w:sz w:val="44"/>
          <w:szCs w:val="44"/>
          <w:highlight w:val="none"/>
        </w:rPr>
      </w:pPr>
      <w:r>
        <w:rPr>
          <w:rFonts w:hint="eastAsia" w:ascii="宋体" w:hAnsi="宋体"/>
          <w:b/>
          <w:color w:val="auto"/>
          <w:sz w:val="44"/>
          <w:szCs w:val="44"/>
          <w:highlight w:val="none"/>
        </w:rPr>
        <w:t>项目名称</w:t>
      </w:r>
    </w:p>
    <w:p w14:paraId="4DD303CE">
      <w:pPr>
        <w:jc w:val="center"/>
        <w:rPr>
          <w:b/>
          <w:color w:val="auto"/>
          <w:sz w:val="48"/>
          <w:szCs w:val="48"/>
          <w:highlight w:val="none"/>
        </w:rPr>
      </w:pPr>
    </w:p>
    <w:p w14:paraId="0625E0B4">
      <w:pPr>
        <w:rPr>
          <w:rFonts w:eastAsia="黑体"/>
          <w:color w:val="auto"/>
          <w:sz w:val="20"/>
          <w:szCs w:val="20"/>
          <w:highlight w:val="none"/>
        </w:rPr>
      </w:pPr>
    </w:p>
    <w:p w14:paraId="66C858DE">
      <w:pPr>
        <w:rPr>
          <w:rFonts w:eastAsia="黑体"/>
          <w:color w:val="auto"/>
          <w:sz w:val="20"/>
          <w:szCs w:val="20"/>
          <w:highlight w:val="none"/>
        </w:rPr>
      </w:pPr>
    </w:p>
    <w:p w14:paraId="0875AEEB">
      <w:pPr>
        <w:rPr>
          <w:rFonts w:eastAsia="黑体"/>
          <w:color w:val="auto"/>
          <w:sz w:val="20"/>
          <w:szCs w:val="20"/>
          <w:highlight w:val="none"/>
        </w:rPr>
      </w:pPr>
    </w:p>
    <w:p w14:paraId="6025816E">
      <w:pPr>
        <w:rPr>
          <w:rFonts w:eastAsia="黑体"/>
          <w:color w:val="auto"/>
          <w:sz w:val="20"/>
          <w:szCs w:val="20"/>
          <w:highlight w:val="none"/>
        </w:rPr>
      </w:pPr>
    </w:p>
    <w:p w14:paraId="37BA88C8">
      <w:pPr>
        <w:jc w:val="center"/>
        <w:rPr>
          <w:rFonts w:eastAsia="黑体"/>
          <w:color w:val="auto"/>
          <w:sz w:val="28"/>
          <w:szCs w:val="28"/>
          <w:highlight w:val="none"/>
        </w:rPr>
      </w:pPr>
      <w:r>
        <w:rPr>
          <w:rFonts w:hint="eastAsia" w:eastAsia="黑体"/>
          <w:color w:val="auto"/>
          <w:sz w:val="52"/>
          <w:szCs w:val="52"/>
          <w:highlight w:val="none"/>
        </w:rPr>
        <w:t>商务文件</w:t>
      </w:r>
    </w:p>
    <w:p w14:paraId="63EBF41A">
      <w:pPr>
        <w:rPr>
          <w:rFonts w:eastAsia="黑体"/>
          <w:color w:val="auto"/>
          <w:sz w:val="28"/>
          <w:szCs w:val="28"/>
          <w:highlight w:val="none"/>
        </w:rPr>
      </w:pPr>
    </w:p>
    <w:p w14:paraId="0B0A0E10">
      <w:pPr>
        <w:rPr>
          <w:rFonts w:eastAsia="黑体"/>
          <w:color w:val="auto"/>
          <w:sz w:val="28"/>
          <w:szCs w:val="28"/>
          <w:highlight w:val="none"/>
        </w:rPr>
      </w:pPr>
    </w:p>
    <w:p w14:paraId="3CB56CA8">
      <w:pPr>
        <w:rPr>
          <w:rFonts w:eastAsia="黑体"/>
          <w:color w:val="auto"/>
          <w:sz w:val="28"/>
          <w:szCs w:val="28"/>
          <w:highlight w:val="none"/>
        </w:rPr>
      </w:pPr>
    </w:p>
    <w:p w14:paraId="11337A46">
      <w:pPr>
        <w:rPr>
          <w:rFonts w:eastAsia="黑体"/>
          <w:color w:val="auto"/>
          <w:sz w:val="28"/>
          <w:szCs w:val="28"/>
          <w:highlight w:val="none"/>
        </w:rPr>
      </w:pPr>
    </w:p>
    <w:p w14:paraId="65E5C901">
      <w:pPr>
        <w:spacing w:line="720" w:lineRule="auto"/>
        <w:rPr>
          <w:rFonts w:eastAsia="黑体"/>
          <w:color w:val="auto"/>
          <w:sz w:val="28"/>
          <w:szCs w:val="28"/>
          <w:highlight w:val="none"/>
        </w:rPr>
      </w:pPr>
    </w:p>
    <w:p w14:paraId="412D82A1">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00BA8E1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21E556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5C277D7C">
      <w:pPr>
        <w:widowControl/>
        <w:jc w:val="left"/>
        <w:rPr>
          <w:b/>
          <w:color w:val="auto"/>
          <w:sz w:val="24"/>
          <w:highlight w:val="none"/>
        </w:rPr>
      </w:pPr>
      <w:r>
        <w:rPr>
          <w:b/>
          <w:color w:val="auto"/>
          <w:sz w:val="24"/>
          <w:highlight w:val="none"/>
        </w:rPr>
        <w:br w:type="page"/>
      </w:r>
    </w:p>
    <w:p w14:paraId="11BBD3DE">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246B3C04">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1F524567">
      <w:pPr>
        <w:jc w:val="center"/>
        <w:rPr>
          <w:rFonts w:ascii="宋体"/>
          <w:b/>
          <w:color w:val="auto"/>
          <w:sz w:val="32"/>
          <w:szCs w:val="32"/>
          <w:highlight w:val="none"/>
        </w:rPr>
      </w:pPr>
    </w:p>
    <w:p w14:paraId="58EF5A3D">
      <w:pPr>
        <w:jc w:val="center"/>
        <w:rPr>
          <w:rFonts w:ascii="宋体"/>
          <w:b/>
          <w:color w:val="auto"/>
          <w:sz w:val="32"/>
          <w:szCs w:val="32"/>
          <w:highlight w:val="none"/>
        </w:rPr>
      </w:pPr>
    </w:p>
    <w:p w14:paraId="60374CC6">
      <w:pPr>
        <w:jc w:val="center"/>
        <w:rPr>
          <w:rFonts w:ascii="宋体"/>
          <w:b/>
          <w:color w:val="auto"/>
          <w:sz w:val="32"/>
          <w:szCs w:val="32"/>
          <w:highlight w:val="none"/>
        </w:rPr>
      </w:pPr>
    </w:p>
    <w:p w14:paraId="4A6BCF71">
      <w:pPr>
        <w:jc w:val="center"/>
        <w:rPr>
          <w:rFonts w:ascii="宋体"/>
          <w:b/>
          <w:color w:val="auto"/>
          <w:sz w:val="32"/>
          <w:szCs w:val="32"/>
          <w:highlight w:val="none"/>
        </w:rPr>
      </w:pPr>
    </w:p>
    <w:p w14:paraId="3291DE0A">
      <w:pPr>
        <w:jc w:val="center"/>
        <w:rPr>
          <w:b/>
          <w:color w:val="auto"/>
          <w:sz w:val="44"/>
          <w:szCs w:val="44"/>
          <w:highlight w:val="none"/>
        </w:rPr>
      </w:pPr>
      <w:r>
        <w:rPr>
          <w:rFonts w:hint="eastAsia" w:ascii="宋体" w:hAnsi="宋体"/>
          <w:b/>
          <w:color w:val="auto"/>
          <w:sz w:val="44"/>
          <w:szCs w:val="44"/>
          <w:highlight w:val="none"/>
        </w:rPr>
        <w:t>项目名称</w:t>
      </w:r>
    </w:p>
    <w:p w14:paraId="31783176">
      <w:pPr>
        <w:jc w:val="center"/>
        <w:rPr>
          <w:b/>
          <w:color w:val="auto"/>
          <w:sz w:val="48"/>
          <w:szCs w:val="48"/>
          <w:highlight w:val="none"/>
        </w:rPr>
      </w:pPr>
    </w:p>
    <w:p w14:paraId="598D3C95">
      <w:pPr>
        <w:rPr>
          <w:rFonts w:eastAsia="黑体"/>
          <w:color w:val="auto"/>
          <w:sz w:val="20"/>
          <w:szCs w:val="20"/>
          <w:highlight w:val="none"/>
        </w:rPr>
      </w:pPr>
    </w:p>
    <w:p w14:paraId="4B864AF0">
      <w:pPr>
        <w:rPr>
          <w:rFonts w:eastAsia="黑体"/>
          <w:color w:val="auto"/>
          <w:sz w:val="20"/>
          <w:szCs w:val="20"/>
          <w:highlight w:val="none"/>
        </w:rPr>
      </w:pPr>
    </w:p>
    <w:p w14:paraId="225CB6E2">
      <w:pPr>
        <w:rPr>
          <w:rFonts w:eastAsia="黑体"/>
          <w:color w:val="auto"/>
          <w:sz w:val="20"/>
          <w:szCs w:val="20"/>
          <w:highlight w:val="none"/>
        </w:rPr>
      </w:pPr>
    </w:p>
    <w:p w14:paraId="07C00877">
      <w:pPr>
        <w:rPr>
          <w:rFonts w:eastAsia="黑体"/>
          <w:color w:val="auto"/>
          <w:sz w:val="20"/>
          <w:szCs w:val="20"/>
          <w:highlight w:val="none"/>
        </w:rPr>
      </w:pPr>
    </w:p>
    <w:p w14:paraId="0A4E5136">
      <w:pPr>
        <w:jc w:val="center"/>
        <w:rPr>
          <w:rFonts w:eastAsia="黑体"/>
          <w:color w:val="auto"/>
          <w:sz w:val="52"/>
          <w:szCs w:val="52"/>
          <w:highlight w:val="none"/>
        </w:rPr>
      </w:pPr>
      <w:r>
        <w:rPr>
          <w:rFonts w:hint="eastAsia" w:eastAsia="黑体"/>
          <w:color w:val="auto"/>
          <w:sz w:val="52"/>
          <w:szCs w:val="52"/>
          <w:highlight w:val="none"/>
        </w:rPr>
        <w:t>技术文件</w:t>
      </w:r>
    </w:p>
    <w:p w14:paraId="6D7C4CA2">
      <w:pPr>
        <w:autoSpaceDE w:val="0"/>
        <w:autoSpaceDN w:val="0"/>
        <w:adjustRightInd w:val="0"/>
        <w:spacing w:line="480" w:lineRule="auto"/>
        <w:rPr>
          <w:rFonts w:eastAsia="黑体"/>
          <w:color w:val="auto"/>
          <w:sz w:val="28"/>
          <w:szCs w:val="28"/>
          <w:highlight w:val="none"/>
        </w:rPr>
      </w:pPr>
    </w:p>
    <w:p w14:paraId="676CC6D8">
      <w:pPr>
        <w:spacing w:line="480" w:lineRule="auto"/>
        <w:rPr>
          <w:color w:val="auto"/>
          <w:highlight w:val="none"/>
        </w:rPr>
      </w:pPr>
    </w:p>
    <w:p w14:paraId="4EC5F0A8">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587768D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465AC611">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C55F74B">
      <w:pPr>
        <w:pStyle w:val="11"/>
        <w:rPr>
          <w:rFonts w:hint="default"/>
          <w:color w:val="auto"/>
          <w:highlight w:val="none"/>
        </w:rPr>
      </w:pPr>
    </w:p>
    <w:p w14:paraId="12167F71">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05021D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FC83B50">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25DF9F85">
      <w:pPr>
        <w:pStyle w:val="3"/>
        <w:widowControl/>
        <w:spacing w:before="0" w:after="0" w:line="360" w:lineRule="auto"/>
        <w:jc w:val="center"/>
        <w:rPr>
          <w:rFonts w:ascii="黑体" w:hAnsi="宋体" w:cs="黑体"/>
          <w:b/>
          <w:color w:val="auto"/>
          <w:kern w:val="44"/>
          <w:sz w:val="44"/>
          <w:szCs w:val="44"/>
          <w:highlight w:val="none"/>
        </w:rPr>
      </w:pPr>
    </w:p>
    <w:p w14:paraId="01E83D49">
      <w:pPr>
        <w:pStyle w:val="3"/>
        <w:widowControl/>
        <w:spacing w:before="0" w:after="0" w:line="360" w:lineRule="auto"/>
        <w:jc w:val="center"/>
        <w:rPr>
          <w:rFonts w:ascii="黑体" w:hAnsi="宋体" w:cs="黑体"/>
          <w:b/>
          <w:color w:val="auto"/>
          <w:kern w:val="44"/>
          <w:sz w:val="44"/>
          <w:szCs w:val="44"/>
          <w:highlight w:val="none"/>
        </w:rPr>
      </w:pPr>
    </w:p>
    <w:p w14:paraId="247D0602">
      <w:pPr>
        <w:pStyle w:val="3"/>
        <w:widowControl/>
        <w:spacing w:before="0" w:after="0" w:line="360" w:lineRule="auto"/>
        <w:jc w:val="center"/>
        <w:rPr>
          <w:rFonts w:ascii="黑体" w:hAnsi="宋体" w:cs="黑体"/>
          <w:b/>
          <w:color w:val="auto"/>
          <w:kern w:val="44"/>
          <w:sz w:val="44"/>
          <w:szCs w:val="44"/>
          <w:highlight w:val="none"/>
        </w:rPr>
      </w:pPr>
    </w:p>
    <w:p w14:paraId="24BB20D0">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02AABEF8">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38622C9C">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0D136F88">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53FA927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07439B5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15FB980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6673EB9D">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534B101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26AD20C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72BE1B2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0D95BB4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14:paraId="182C60D4">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23B9EF3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7C2D30F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03DFBC7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1F1893C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2316574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3A64F3BA">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5BFCFA3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14:paraId="2A2105D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27D9D10F">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27ED0C83">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5FAB1570">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09B23B4D">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21813E4F">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7AE917BA">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47580BC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4D0EAE6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79E0BB65">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3ED3CDF8">
      <w:pPr>
        <w:pStyle w:val="11"/>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14:paraId="58A84EAC">
      <w:pPr>
        <w:pStyle w:val="11"/>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0E00F3B9">
      <w:pPr>
        <w:pStyle w:val="11"/>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17109B10">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59B48D23">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3DE69BA0">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4300593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20017077">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24B3B81C">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180CD4F3">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lang w:eastAsia="zh-CN"/>
        </w:rPr>
        <w:t>综合评审法</w:t>
      </w:r>
      <w:r>
        <w:rPr>
          <w:rFonts w:hint="eastAsia" w:ascii="仿宋" w:hAnsi="仿宋" w:eastAsia="仿宋" w:cs="仿宋"/>
          <w:b/>
          <w:color w:val="auto"/>
          <w:sz w:val="28"/>
          <w:szCs w:val="28"/>
          <w:highlight w:val="none"/>
          <w:u w:val="single"/>
        </w:rPr>
        <w:t>评标</w:t>
      </w:r>
    </w:p>
    <w:p w14:paraId="125DD32D">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6433DE09">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0573D711">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0FFBDB71">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32FCDA19">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4E3367B4">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7F8BB9DC">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771087D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14:paraId="0AE432E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35814C1A">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2F61A26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5504B80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3BA6DAD8">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14:paraId="110AC82B">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14:paraId="1BFA7155">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04B758DE">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7D3FC8B1">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30546508">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0A17C2C6">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5132AB2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186CB257">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3A3F14B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3B3E3DB5">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4457ADF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1E91165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64918DF8">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1DC6E50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189197B5">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4B11CD18">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68E5FF5F">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14:paraId="6D369EB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6640532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14:paraId="60888D1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14:paraId="0F18062C">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7390A3B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47C617C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285D58F7">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68B6C0FF">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312A4F0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2E45EB37">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6F122C3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14:paraId="738428C4">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323428F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14:paraId="1665574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14:paraId="25A9B544">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7FF301A3">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14:paraId="2729E234">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14:paraId="0C2AC6D6">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201976B9">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188B203C">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6986005A">
      <w:pPr>
        <w:pStyle w:val="28"/>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14:paraId="2A553BB1">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217E8F68">
      <w:pPr>
        <w:pStyle w:val="28"/>
        <w:widowControl/>
        <w:ind w:firstLine="562"/>
        <w:rPr>
          <w:rFonts w:hint="eastAsia" w:ascii="仿宋" w:hAnsi="仿宋" w:eastAsia="仿宋" w:cs="仿宋"/>
          <w:b/>
          <w:color w:val="auto"/>
          <w:sz w:val="28"/>
          <w:szCs w:val="28"/>
          <w:highlight w:val="none"/>
          <w:u w:val="single"/>
          <w:lang w:eastAsia="zh-CN"/>
        </w:rPr>
      </w:pPr>
      <w:r>
        <w:rPr>
          <w:rFonts w:ascii="仿宋" w:hAnsi="仿宋" w:eastAsia="仿宋" w:cs="仿宋"/>
          <w:b/>
          <w:color w:val="auto"/>
          <w:sz w:val="28"/>
          <w:szCs w:val="28"/>
          <w:highlight w:val="none"/>
          <w:u w:val="single"/>
        </w:rPr>
        <w:t xml:space="preserve">附件4 </w:t>
      </w:r>
      <w:r>
        <w:rPr>
          <w:rFonts w:hint="eastAsia" w:ascii="仿宋" w:hAnsi="仿宋" w:eastAsia="仿宋" w:cs="仿宋"/>
          <w:b/>
          <w:color w:val="auto"/>
          <w:sz w:val="28"/>
          <w:szCs w:val="28"/>
          <w:highlight w:val="none"/>
          <w:u w:val="single"/>
          <w:lang w:eastAsia="zh-CN"/>
        </w:rPr>
        <w:t>品牌表</w:t>
      </w:r>
      <w:r>
        <w:rPr>
          <w:rFonts w:ascii="仿宋" w:hAnsi="仿宋" w:eastAsia="仿宋" w:cs="仿宋"/>
          <w:b/>
          <w:color w:val="auto"/>
          <w:sz w:val="28"/>
          <w:szCs w:val="28"/>
          <w:highlight w:val="none"/>
          <w:u w:val="single"/>
        </w:rPr>
        <w:t>（另附）</w:t>
      </w:r>
    </w:p>
    <w:p w14:paraId="1B8CA0DA">
      <w:pPr>
        <w:pStyle w:val="28"/>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5 工程技术要求</w:t>
      </w:r>
      <w:r>
        <w:rPr>
          <w:rFonts w:ascii="仿宋" w:hAnsi="仿宋" w:eastAsia="仿宋" w:cs="仿宋"/>
          <w:b/>
          <w:color w:val="auto"/>
          <w:sz w:val="28"/>
          <w:szCs w:val="28"/>
          <w:highlight w:val="none"/>
          <w:u w:val="single"/>
        </w:rPr>
        <w:t>（另附）</w:t>
      </w:r>
    </w:p>
    <w:p w14:paraId="558F1BDF">
      <w:pPr>
        <w:pStyle w:val="28"/>
        <w:widowControl/>
        <w:ind w:firstLine="562"/>
        <w:rPr>
          <w:rFonts w:hint="default" w:ascii="仿宋" w:hAnsi="仿宋" w:eastAsia="仿宋" w:cs="仿宋"/>
          <w:b/>
          <w:color w:val="auto"/>
          <w:sz w:val="28"/>
          <w:szCs w:val="28"/>
          <w:highlight w:val="none"/>
          <w:u w:val="single"/>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 xml:space="preserve">5 </w:t>
      </w:r>
      <w:r>
        <w:rPr>
          <w:rFonts w:ascii="仿宋" w:hAnsi="仿宋" w:eastAsia="仿宋" w:cs="仿宋"/>
          <w:b/>
          <w:color w:val="auto"/>
          <w:sz w:val="28"/>
          <w:szCs w:val="28"/>
          <w:highlight w:val="none"/>
          <w:u w:val="single"/>
        </w:rPr>
        <w:t>图纸（另附）</w:t>
      </w:r>
    </w:p>
    <w:p w14:paraId="571285AD">
      <w:pPr>
        <w:pStyle w:val="2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6</w:t>
      </w:r>
      <w:r>
        <w:rPr>
          <w:rFonts w:ascii="仿宋" w:hAnsi="仿宋" w:eastAsia="仿宋" w:cs="仿宋"/>
          <w:b/>
          <w:color w:val="auto"/>
          <w:sz w:val="28"/>
          <w:szCs w:val="28"/>
          <w:highlight w:val="none"/>
          <w:u w:val="single"/>
        </w:rPr>
        <w:t xml:space="preserve"> 工程量清单（另附）</w:t>
      </w:r>
    </w:p>
    <w:p w14:paraId="6B4B13A8">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72FA1217">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9"/>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05D504B1">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A02D83">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47473830">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3275E8C1">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3BE68DF2">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40560DB3">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67827AA9">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274F957C">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30EAFEE9">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AB22B15">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0775DD0C">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3F27692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29950B9">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023039E">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859109D">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8C608A">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365DA449">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23306B8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7D7009D">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508C017">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6E42B7AF">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4BF50E0">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04306F37">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3C6E5095">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68FA73B">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50B33DF">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7E909D71">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959FAF4">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18F1606F">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0117138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D675E03">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C4ACA09">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EC4BEA7">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6286B8C">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6598E0F1">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15EDFBBF">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02E934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1999AF2">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0DFB93CF">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1FD4943E">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510EB637">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241A5DA8">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5DB27C06">
      <w:pPr>
        <w:snapToGrid w:val="0"/>
        <w:ind w:left="74"/>
        <w:rPr>
          <w:rFonts w:ascii="仿宋" w:hAnsi="仿宋" w:eastAsia="仿宋" w:cs="Courier New"/>
          <w:color w:val="auto"/>
          <w:sz w:val="28"/>
          <w:szCs w:val="28"/>
          <w:highlight w:val="none"/>
        </w:rPr>
      </w:pPr>
    </w:p>
    <w:p w14:paraId="473D9F2B">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009BAAA2">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20"/>
        <w:tblpPr w:leftFromText="180" w:rightFromText="180" w:vertAnchor="text" w:horzAnchor="page" w:tblpX="1560" w:tblpY="291"/>
        <w:tblOverlap w:val="never"/>
        <w:tblW w:w="13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530"/>
        <w:gridCol w:w="723"/>
        <w:gridCol w:w="9373"/>
        <w:gridCol w:w="357"/>
      </w:tblGrid>
      <w:tr w14:paraId="2029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39" w:type="dxa"/>
            <w:vAlign w:val="center"/>
          </w:tcPr>
          <w:p w14:paraId="1EED50C3">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评分项目</w:t>
            </w:r>
          </w:p>
        </w:tc>
        <w:tc>
          <w:tcPr>
            <w:tcW w:w="1530" w:type="dxa"/>
            <w:vAlign w:val="center"/>
          </w:tcPr>
          <w:p w14:paraId="47E1D69A">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评分内容</w:t>
            </w:r>
          </w:p>
        </w:tc>
        <w:tc>
          <w:tcPr>
            <w:tcW w:w="723" w:type="dxa"/>
            <w:vAlign w:val="center"/>
          </w:tcPr>
          <w:p w14:paraId="54D11962">
            <w:pPr>
              <w:spacing w:line="360" w:lineRule="exact"/>
              <w:jc w:val="center"/>
              <w:rPr>
                <w:rFonts w:ascii="宋体" w:hAnsi="宋体"/>
                <w:b/>
                <w:color w:val="auto"/>
                <w:sz w:val="28"/>
                <w:szCs w:val="28"/>
                <w:highlight w:val="none"/>
                <w:vertAlign w:val="baseline"/>
              </w:rPr>
            </w:pPr>
            <w:r>
              <w:rPr>
                <w:rFonts w:hint="eastAsia"/>
                <w:color w:val="auto"/>
                <w:szCs w:val="21"/>
                <w:highlight w:val="none"/>
              </w:rPr>
              <w:t>分值</w:t>
            </w:r>
          </w:p>
        </w:tc>
        <w:tc>
          <w:tcPr>
            <w:tcW w:w="9373" w:type="dxa"/>
            <w:vAlign w:val="center"/>
          </w:tcPr>
          <w:p w14:paraId="0C5A3148">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评审标准</w:t>
            </w:r>
          </w:p>
        </w:tc>
        <w:tc>
          <w:tcPr>
            <w:tcW w:w="357" w:type="dxa"/>
            <w:vAlign w:val="center"/>
          </w:tcPr>
          <w:p w14:paraId="1CCBDAC0">
            <w:pPr>
              <w:spacing w:line="360" w:lineRule="exact"/>
              <w:jc w:val="center"/>
              <w:rPr>
                <w:rFonts w:hint="eastAsia" w:eastAsia="宋体"/>
                <w:color w:val="auto"/>
                <w:szCs w:val="21"/>
                <w:highlight w:val="none"/>
                <w:lang w:val="en-US" w:eastAsia="zh-CN"/>
              </w:rPr>
            </w:pPr>
            <w:r>
              <w:rPr>
                <w:rFonts w:hint="eastAsia"/>
                <w:color w:val="auto"/>
                <w:szCs w:val="21"/>
                <w:highlight w:val="none"/>
                <w:lang w:val="en-US" w:eastAsia="zh-CN"/>
              </w:rPr>
              <w:t>得分</w:t>
            </w:r>
          </w:p>
        </w:tc>
      </w:tr>
      <w:tr w14:paraId="5986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1539" w:type="dxa"/>
            <w:vMerge w:val="restart"/>
            <w:vAlign w:val="center"/>
          </w:tcPr>
          <w:p w14:paraId="5CB0D57E">
            <w:pPr>
              <w:spacing w:line="360" w:lineRule="exact"/>
              <w:jc w:val="center"/>
              <w:rPr>
                <w:rFonts w:hint="eastAsia" w:ascii="宋体" w:hAnsi="宋体" w:cs="宋体"/>
                <w:b w:val="0"/>
                <w:color w:val="auto"/>
                <w:sz w:val="21"/>
                <w:szCs w:val="21"/>
                <w:highlight w:val="none"/>
                <w:vertAlign w:val="baseline"/>
                <w:lang w:eastAsia="zh-CN"/>
              </w:rPr>
            </w:pPr>
            <w:r>
              <w:rPr>
                <w:rFonts w:hint="eastAsia" w:ascii="宋体" w:hAnsi="宋体" w:cs="宋体"/>
                <w:b w:val="0"/>
                <w:color w:val="auto"/>
                <w:sz w:val="21"/>
                <w:szCs w:val="21"/>
                <w:highlight w:val="none"/>
                <w:vertAlign w:val="baseline"/>
                <w:lang w:eastAsia="zh-CN"/>
              </w:rPr>
              <w:t>商务部分</w:t>
            </w:r>
          </w:p>
          <w:p w14:paraId="4BCC0087">
            <w:pPr>
              <w:spacing w:line="360" w:lineRule="exact"/>
              <w:jc w:val="center"/>
              <w:rPr>
                <w:rFonts w:hint="eastAsia" w:ascii="Calibri" w:hAnsi="Calibri"/>
                <w:b w:val="0"/>
                <w:color w:val="auto"/>
                <w:sz w:val="21"/>
                <w:szCs w:val="21"/>
                <w:highlight w:val="none"/>
                <w:vertAlign w:val="baseline"/>
              </w:rPr>
            </w:pPr>
            <w:r>
              <w:rPr>
                <w:rFonts w:hint="eastAsia" w:ascii="宋体" w:hAnsi="宋体" w:cs="宋体"/>
                <w:b w:val="0"/>
                <w:color w:val="auto"/>
                <w:sz w:val="21"/>
                <w:szCs w:val="21"/>
                <w:highlight w:val="none"/>
                <w:vertAlign w:val="baseline"/>
              </w:rPr>
              <w:t>（</w:t>
            </w:r>
            <w:r>
              <w:rPr>
                <w:rFonts w:hint="eastAsia" w:ascii="宋体" w:hAnsi="宋体" w:cs="宋体"/>
                <w:b w:val="0"/>
                <w:color w:val="auto"/>
                <w:sz w:val="21"/>
                <w:szCs w:val="21"/>
                <w:highlight w:val="none"/>
                <w:vertAlign w:val="baseline"/>
                <w:lang w:val="en-US" w:eastAsia="zh-CN"/>
              </w:rPr>
              <w:t>50</w:t>
            </w:r>
            <w:r>
              <w:rPr>
                <w:rFonts w:hint="eastAsia" w:ascii="宋体" w:hAnsi="宋体" w:cs="宋体"/>
                <w:b w:val="0"/>
                <w:color w:val="auto"/>
                <w:sz w:val="21"/>
                <w:szCs w:val="21"/>
                <w:highlight w:val="none"/>
                <w:vertAlign w:val="baseline"/>
              </w:rPr>
              <w:t>分）</w:t>
            </w:r>
          </w:p>
        </w:tc>
        <w:tc>
          <w:tcPr>
            <w:tcW w:w="1530" w:type="dxa"/>
            <w:vAlign w:val="center"/>
          </w:tcPr>
          <w:p w14:paraId="20AFF560">
            <w:pPr>
              <w:spacing w:line="360" w:lineRule="exact"/>
              <w:jc w:val="center"/>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企业业绩</w:t>
            </w:r>
          </w:p>
        </w:tc>
        <w:tc>
          <w:tcPr>
            <w:tcW w:w="723" w:type="dxa"/>
            <w:vAlign w:val="center"/>
          </w:tcPr>
          <w:p w14:paraId="5F98D2E6">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eastAsia="宋体" w:cs="宋体"/>
                <w:b w:val="0"/>
                <w:color w:val="auto"/>
                <w:sz w:val="21"/>
                <w:szCs w:val="21"/>
                <w:highlight w:val="none"/>
                <w:vertAlign w:val="baseline"/>
                <w:lang w:val="en-US" w:eastAsia="zh-CN"/>
              </w:rPr>
              <w:t>20</w:t>
            </w:r>
          </w:p>
        </w:tc>
        <w:tc>
          <w:tcPr>
            <w:tcW w:w="9373" w:type="dxa"/>
            <w:vAlign w:val="center"/>
          </w:tcPr>
          <w:p w14:paraId="1380FA0C">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w:t>
            </w:r>
            <w:r>
              <w:rPr>
                <w:rFonts w:hint="eastAsia" w:ascii="宋体" w:hAnsi="宋体" w:cs="宋体"/>
                <w:color w:val="auto"/>
                <w:sz w:val="21"/>
                <w:szCs w:val="21"/>
                <w:highlight w:val="none"/>
                <w:u w:val="none"/>
                <w:lang w:val="en-US" w:eastAsia="zh-CN"/>
              </w:rPr>
              <w:t>21</w:t>
            </w:r>
            <w:r>
              <w:rPr>
                <w:rFonts w:hint="eastAsia" w:ascii="宋体" w:hAnsi="宋体" w:eastAsia="宋体" w:cs="宋体"/>
                <w:color w:val="auto"/>
                <w:sz w:val="21"/>
                <w:szCs w:val="21"/>
                <w:highlight w:val="none"/>
                <w:u w:val="none"/>
                <w:lang w:val="en-US" w:eastAsia="zh-CN"/>
              </w:rPr>
              <w:t>年1月1日至今完成过质量合格的10kV电力工程，且中标金额大于或等于</w:t>
            </w:r>
            <w:r>
              <w:rPr>
                <w:rFonts w:hint="eastAsia" w:ascii="宋体" w:hAnsi="宋体" w:cs="宋体"/>
                <w:color w:val="auto"/>
                <w:sz w:val="21"/>
                <w:szCs w:val="21"/>
                <w:highlight w:val="none"/>
                <w:u w:val="none"/>
                <w:lang w:val="en-US" w:eastAsia="zh-CN"/>
              </w:rPr>
              <w:t>30万</w:t>
            </w:r>
            <w:r>
              <w:rPr>
                <w:rFonts w:hint="eastAsia" w:ascii="宋体" w:hAnsi="宋体" w:eastAsia="宋体" w:cs="宋体"/>
                <w:color w:val="auto"/>
                <w:sz w:val="21"/>
                <w:szCs w:val="21"/>
                <w:highlight w:val="none"/>
                <w:u w:val="none"/>
                <w:lang w:val="en-US" w:eastAsia="zh-CN"/>
              </w:rPr>
              <w:t>元的一项得</w:t>
            </w:r>
            <w:r>
              <w:rPr>
                <w:rFonts w:hint="eastAsia" w:ascii="宋体" w:hAnsi="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val="en-US" w:eastAsia="zh-CN"/>
              </w:rPr>
              <w:t>分，</w:t>
            </w:r>
            <w:r>
              <w:rPr>
                <w:rFonts w:hint="eastAsia" w:ascii="宋体" w:hAnsi="宋体" w:cs="宋体"/>
                <w:color w:val="auto"/>
                <w:sz w:val="21"/>
                <w:szCs w:val="21"/>
                <w:highlight w:val="none"/>
                <w:u w:val="none"/>
                <w:lang w:val="en-US" w:eastAsia="zh-CN"/>
              </w:rPr>
              <w:t>其他不得分，</w:t>
            </w:r>
            <w:r>
              <w:rPr>
                <w:rFonts w:hint="eastAsia" w:ascii="宋体" w:hAnsi="宋体" w:eastAsia="宋体" w:cs="宋体"/>
                <w:color w:val="auto"/>
                <w:sz w:val="21"/>
                <w:szCs w:val="21"/>
                <w:highlight w:val="none"/>
                <w:u w:val="none"/>
                <w:lang w:val="en-US" w:eastAsia="zh-CN"/>
              </w:rPr>
              <w:t>最多得20分。</w:t>
            </w:r>
          </w:p>
          <w:p w14:paraId="3D1EE7C9">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注：①需同时提供中标通知书或免招标的相关证明、施工合同、竣工验收报告或竣工验收证明</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至少包括建设单位、设计单位、监理单位及施工单位盖章</w:t>
            </w:r>
            <w:r>
              <w:rPr>
                <w:rFonts w:hint="eastAsia" w:ascii="宋体" w:hAnsi="宋体" w:eastAsia="宋体" w:cs="宋体"/>
                <w:b/>
                <w:bCs w:val="0"/>
                <w:color w:val="auto"/>
                <w:sz w:val="21"/>
                <w:szCs w:val="21"/>
                <w:highlight w:val="none"/>
              </w:rPr>
              <w:t>）</w:t>
            </w:r>
            <w:r>
              <w:rPr>
                <w:rFonts w:hint="eastAsia" w:ascii="宋体" w:hAnsi="宋体" w:eastAsia="宋体" w:cs="宋体"/>
                <w:color w:val="auto"/>
                <w:sz w:val="21"/>
                <w:szCs w:val="21"/>
                <w:highlight w:val="none"/>
                <w:u w:val="none"/>
                <w:lang w:val="en-US" w:eastAsia="zh-CN"/>
              </w:rPr>
              <w:t>。如以上资料不能证明业绩规模的技术指标（指电压等级、金额等）的，须另提供可证明业绩技术指标的其他资料；完成时间以竣工验收时间为准（有效业绩认定时限：竣工报告的时间在20</w:t>
            </w:r>
            <w:r>
              <w:rPr>
                <w:rFonts w:hint="eastAsia" w:ascii="宋体" w:hAnsi="宋体" w:cs="宋体"/>
                <w:color w:val="auto"/>
                <w:sz w:val="21"/>
                <w:szCs w:val="21"/>
                <w:highlight w:val="none"/>
                <w:u w:val="none"/>
                <w:lang w:val="en-US" w:eastAsia="zh-CN"/>
              </w:rPr>
              <w:t>21</w:t>
            </w:r>
            <w:r>
              <w:rPr>
                <w:rFonts w:hint="eastAsia" w:ascii="宋体" w:hAnsi="宋体" w:eastAsia="宋体" w:cs="宋体"/>
                <w:color w:val="auto"/>
                <w:sz w:val="21"/>
                <w:szCs w:val="21"/>
                <w:highlight w:val="none"/>
                <w:u w:val="none"/>
                <w:lang w:val="en-US" w:eastAsia="zh-CN"/>
              </w:rPr>
              <w:t>年1月1日至今）。</w:t>
            </w:r>
          </w:p>
          <w:p w14:paraId="14A5AE08">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②业绩金额按以下方式认定</w:t>
            </w:r>
          </w:p>
          <w:p w14:paraId="2AB5B5A5">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施工总承包项目：金额以中标通知书为准，中标通知书上没有金额或免招标的，以施工合同（不含补充合同）为准；</w:t>
            </w:r>
          </w:p>
          <w:p w14:paraId="6E123818">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施工专业承包项目：单独发包的专业工程的业绩金额以中标通知书为准，中标通知书上没有金额或免招标的，以施工合同（不含补充合同）为准；</w:t>
            </w:r>
          </w:p>
          <w:p w14:paraId="2316BB86">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如中标通知书未能体现对应的专业工程金额，则以施工合同载明的对应的专业工程金额为准，如中标通知书与施工合同均不能单独体现对应的专业工程金额，则以建设单位提供的证明资料中载明的对应专业金额为准。</w:t>
            </w:r>
          </w:p>
          <w:p w14:paraId="1EFE9542">
            <w:pPr>
              <w:pStyle w:val="46"/>
              <w:wordWrap w:val="0"/>
              <w:topLinePunct/>
              <w:autoSpaceDE w:val="0"/>
              <w:autoSpaceDN w:val="0"/>
              <w:adjustRightInd w:val="0"/>
              <w:rPr>
                <w:rFonts w:hint="eastAsia" w:ascii="宋体" w:hAnsi="宋体" w:cs="宋体"/>
                <w:b w:val="0"/>
                <w:color w:val="auto"/>
                <w:kern w:val="0"/>
                <w:sz w:val="21"/>
                <w:szCs w:val="21"/>
                <w:highlight w:val="none"/>
                <w:vertAlign w:val="baseline"/>
              </w:rPr>
            </w:pPr>
            <w:r>
              <w:rPr>
                <w:rFonts w:hint="eastAsia" w:ascii="宋体" w:hAnsi="宋体" w:eastAsia="宋体" w:cs="宋体"/>
                <w:color w:val="auto"/>
                <w:sz w:val="21"/>
                <w:szCs w:val="21"/>
                <w:highlight w:val="none"/>
                <w:u w:val="none"/>
                <w:lang w:val="en-US" w:eastAsia="zh-CN"/>
              </w:rPr>
              <w:t>③投标单位提供的施工合同文件证明材料。（可提供合同关键页，但应至少包括合同封面、合同指标金额规模页、合同盖章页）。</w:t>
            </w:r>
          </w:p>
        </w:tc>
        <w:tc>
          <w:tcPr>
            <w:tcW w:w="357" w:type="dxa"/>
            <w:vAlign w:val="center"/>
          </w:tcPr>
          <w:p w14:paraId="47494C34">
            <w:pPr>
              <w:pStyle w:val="46"/>
              <w:wordWrap w:val="0"/>
              <w:topLinePunct/>
              <w:autoSpaceDE w:val="0"/>
              <w:autoSpaceDN w:val="0"/>
              <w:adjustRightInd w:val="0"/>
              <w:rPr>
                <w:rFonts w:hint="eastAsia" w:ascii="宋体" w:hAnsi="宋体" w:eastAsia="宋体" w:cs="宋体"/>
                <w:b w:val="0"/>
                <w:bCs w:val="0"/>
                <w:color w:val="auto"/>
                <w:kern w:val="0"/>
                <w:szCs w:val="21"/>
                <w:highlight w:val="none"/>
              </w:rPr>
            </w:pPr>
          </w:p>
        </w:tc>
      </w:tr>
      <w:tr w14:paraId="0B59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539" w:type="dxa"/>
            <w:vMerge w:val="continue"/>
            <w:vAlign w:val="center"/>
          </w:tcPr>
          <w:p w14:paraId="3AF86B38">
            <w:pPr>
              <w:spacing w:line="360" w:lineRule="exact"/>
              <w:jc w:val="center"/>
              <w:rPr>
                <w:rFonts w:hint="eastAsia" w:ascii="Calibri" w:hAnsi="Calibri"/>
                <w:b w:val="0"/>
                <w:color w:val="auto"/>
                <w:sz w:val="21"/>
                <w:szCs w:val="21"/>
                <w:highlight w:val="none"/>
                <w:vertAlign w:val="baseline"/>
              </w:rPr>
            </w:pPr>
          </w:p>
        </w:tc>
        <w:tc>
          <w:tcPr>
            <w:tcW w:w="1530" w:type="dxa"/>
            <w:vAlign w:val="center"/>
          </w:tcPr>
          <w:p w14:paraId="252B46D6">
            <w:pPr>
              <w:spacing w:line="360" w:lineRule="exact"/>
              <w:jc w:val="center"/>
              <w:rPr>
                <w:rFonts w:hint="eastAsia" w:ascii="Calibri" w:hAnsi="Calibri"/>
                <w:b w:val="0"/>
                <w:color w:val="auto"/>
                <w:sz w:val="21"/>
                <w:szCs w:val="21"/>
                <w:highlight w:val="none"/>
                <w:vertAlign w:val="baseline"/>
              </w:rPr>
            </w:pPr>
            <w:r>
              <w:rPr>
                <w:rFonts w:hint="eastAsia" w:hAnsi="宋体" w:cs="宋体"/>
                <w:color w:val="auto"/>
                <w:sz w:val="21"/>
                <w:szCs w:val="21"/>
                <w:highlight w:val="none"/>
                <w:lang w:val="en-US" w:eastAsia="zh-CN"/>
              </w:rPr>
              <w:t>管理团队</w:t>
            </w:r>
          </w:p>
        </w:tc>
        <w:tc>
          <w:tcPr>
            <w:tcW w:w="723" w:type="dxa"/>
            <w:vAlign w:val="center"/>
          </w:tcPr>
          <w:p w14:paraId="5AFE4E95">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 w:val="21"/>
                <w:szCs w:val="21"/>
                <w:highlight w:val="none"/>
                <w:lang w:val="en-US" w:eastAsia="zh-CN"/>
              </w:rPr>
              <w:t>10</w:t>
            </w:r>
          </w:p>
        </w:tc>
        <w:tc>
          <w:tcPr>
            <w:tcW w:w="9373" w:type="dxa"/>
            <w:vAlign w:val="center"/>
          </w:tcPr>
          <w:p w14:paraId="3BE00102">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1、技术负责人为机电专业一级注册建造师得1分，为电力类专业高级工程师的得1分，本项最高得2分；</w:t>
            </w:r>
          </w:p>
          <w:p w14:paraId="5594682B">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3、造价负责人为安装专业一级注册造价工程师的得1分，为电力类专业高级工程师的得1分，本项最高得2分；</w:t>
            </w:r>
          </w:p>
          <w:p w14:paraId="7D0A179D">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4、安全负责人具备注册安全工程师的得2分。</w:t>
            </w:r>
          </w:p>
          <w:p w14:paraId="2C05F274">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5、项目管理机构中除项目负责人、技术负责人和造价负责人外，每增加一名电力类专业高级工程师的加</w:t>
            </w:r>
            <w:r>
              <w:rPr>
                <w:rFonts w:hint="eastAsia" w:ascii="宋体" w:hAnsi="宋体" w:cs="Times New Roman"/>
                <w:caps/>
                <w:color w:val="auto"/>
                <w:kern w:val="2"/>
                <w:sz w:val="21"/>
                <w:szCs w:val="21"/>
                <w:highlight w:val="none"/>
                <w:lang w:val="en-US" w:eastAsia="zh-CN" w:bidi="ar-SA"/>
              </w:rPr>
              <w:t>2</w:t>
            </w:r>
            <w:r>
              <w:rPr>
                <w:rFonts w:hint="eastAsia" w:ascii="宋体" w:hAnsi="宋体" w:eastAsia="宋体" w:cs="Times New Roman"/>
                <w:caps/>
                <w:color w:val="auto"/>
                <w:kern w:val="2"/>
                <w:sz w:val="21"/>
                <w:szCs w:val="21"/>
                <w:highlight w:val="none"/>
                <w:lang w:val="en-US" w:eastAsia="zh-CN" w:bidi="ar-SA"/>
              </w:rPr>
              <w:t>分。最高得</w:t>
            </w:r>
            <w:r>
              <w:rPr>
                <w:rFonts w:hint="eastAsia" w:ascii="宋体" w:hAnsi="宋体" w:cs="Times New Roman"/>
                <w:caps/>
                <w:color w:val="auto"/>
                <w:kern w:val="2"/>
                <w:sz w:val="21"/>
                <w:szCs w:val="21"/>
                <w:highlight w:val="none"/>
                <w:lang w:val="en-US" w:eastAsia="zh-CN" w:bidi="ar-SA"/>
              </w:rPr>
              <w:t>4</w:t>
            </w:r>
            <w:r>
              <w:rPr>
                <w:rFonts w:hint="eastAsia" w:ascii="宋体" w:hAnsi="宋体" w:eastAsia="宋体" w:cs="Times New Roman"/>
                <w:caps/>
                <w:color w:val="auto"/>
                <w:kern w:val="2"/>
                <w:sz w:val="21"/>
                <w:szCs w:val="21"/>
                <w:highlight w:val="none"/>
                <w:lang w:val="en-US" w:eastAsia="zh-CN" w:bidi="ar-SA"/>
              </w:rPr>
              <w:t>分。</w:t>
            </w:r>
          </w:p>
          <w:p w14:paraId="738EA81E">
            <w:pPr>
              <w:widowControl/>
              <w:snapToGrid w:val="0"/>
              <w:ind w:left="180" w:hanging="210" w:hangingChars="100"/>
              <w:textAlignment w:val="center"/>
              <w:rPr>
                <w:rFonts w:hint="eastAsia" w:ascii="Calibri" w:hAnsi="Calibri" w:eastAsia="宋体" w:cs="Times New Roman"/>
                <w:b w:val="0"/>
                <w:color w:val="auto"/>
                <w:sz w:val="21"/>
                <w:szCs w:val="21"/>
                <w:highlight w:val="none"/>
                <w:vertAlign w:val="baseline"/>
                <w:lang w:eastAsia="zh-CN"/>
              </w:rPr>
            </w:pPr>
            <w:r>
              <w:rPr>
                <w:rFonts w:hint="eastAsia" w:ascii="宋体" w:hAnsi="宋体" w:eastAsia="宋体" w:cs="Times New Roman"/>
                <w:caps/>
                <w:color w:val="auto"/>
                <w:kern w:val="2"/>
                <w:sz w:val="21"/>
                <w:szCs w:val="21"/>
                <w:highlight w:val="none"/>
                <w:lang w:val="en-US" w:eastAsia="zh-CN" w:bidi="ar-SA"/>
              </w:rPr>
              <w:t>注：提供有效的注册证书、职称证书。据住房城乡建设部、交通运输部、水利部、人力资源和社会保障部关于印发《造价工程师职业资格制度规定》《造价工程师职业资格考试实施办法》的通知（建人〔2018〕67号）第三十二条规定，根据原人事部、原建设部发布的《造价工程师执业资格制度暂行规定》（人发〔1996〕77号）取得的造价工程师注册执业证书与一级造价工程师注册执业证书效用等同。另需提供投标截止日前一个月（2025年</w:t>
            </w:r>
            <w:r>
              <w:rPr>
                <w:rFonts w:hint="eastAsia" w:ascii="宋体" w:hAnsi="宋体" w:cs="Times New Roman"/>
                <w:caps/>
                <w:color w:val="auto"/>
                <w:kern w:val="2"/>
                <w:sz w:val="21"/>
                <w:szCs w:val="21"/>
                <w:highlight w:val="none"/>
                <w:lang w:val="en-US" w:eastAsia="zh-CN" w:bidi="ar-SA"/>
              </w:rPr>
              <w:t>5</w:t>
            </w:r>
            <w:r>
              <w:rPr>
                <w:rFonts w:hint="eastAsia" w:ascii="宋体" w:hAnsi="宋体" w:eastAsia="宋体" w:cs="Times New Roman"/>
                <w:caps/>
                <w:color w:val="auto"/>
                <w:kern w:val="2"/>
                <w:sz w:val="21"/>
                <w:szCs w:val="21"/>
                <w:highlight w:val="none"/>
                <w:lang w:val="en-US" w:eastAsia="zh-CN" w:bidi="ar-SA"/>
              </w:rPr>
              <w:t>月）有效的社保证明。</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357" w:type="dxa"/>
            <w:vAlign w:val="center"/>
          </w:tcPr>
          <w:p w14:paraId="1359408C">
            <w:pPr>
              <w:pStyle w:val="46"/>
              <w:wordWrap w:val="0"/>
              <w:topLinePunct/>
              <w:autoSpaceDE w:val="0"/>
              <w:autoSpaceDN w:val="0"/>
              <w:adjustRightInd w:val="0"/>
              <w:spacing w:line="360" w:lineRule="exact"/>
              <w:jc w:val="left"/>
              <w:rPr>
                <w:rFonts w:hint="eastAsia" w:ascii="宋体" w:hAnsi="宋体" w:cs="宋体"/>
                <w:color w:val="auto"/>
                <w:kern w:val="0"/>
                <w:szCs w:val="21"/>
                <w:highlight w:val="none"/>
              </w:rPr>
            </w:pPr>
          </w:p>
        </w:tc>
      </w:tr>
      <w:tr w14:paraId="6685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539" w:type="dxa"/>
            <w:vMerge w:val="continue"/>
            <w:vAlign w:val="center"/>
          </w:tcPr>
          <w:p w14:paraId="2BDEB651">
            <w:pPr>
              <w:spacing w:line="360" w:lineRule="exact"/>
              <w:jc w:val="center"/>
              <w:rPr>
                <w:rFonts w:hint="eastAsia" w:ascii="Calibri" w:hAnsi="Calibri"/>
                <w:b w:val="0"/>
                <w:color w:val="auto"/>
                <w:sz w:val="21"/>
                <w:szCs w:val="21"/>
                <w:highlight w:val="none"/>
                <w:vertAlign w:val="baseline"/>
              </w:rPr>
            </w:pPr>
          </w:p>
        </w:tc>
        <w:tc>
          <w:tcPr>
            <w:tcW w:w="1530" w:type="dxa"/>
            <w:vAlign w:val="center"/>
          </w:tcPr>
          <w:p w14:paraId="17AF57FE">
            <w:pPr>
              <w:spacing w:line="360" w:lineRule="exact"/>
              <w:jc w:val="center"/>
              <w:rPr>
                <w:rFonts w:hint="eastAsia" w:ascii="Calibri" w:hAnsi="Calibri"/>
                <w:b w:val="0"/>
                <w:color w:val="auto"/>
                <w:sz w:val="21"/>
                <w:szCs w:val="21"/>
                <w:highlight w:val="none"/>
                <w:vertAlign w:val="baseline"/>
              </w:rPr>
            </w:pPr>
            <w:r>
              <w:rPr>
                <w:rFonts w:hint="eastAsia" w:ascii="宋体" w:hAnsi="宋体" w:eastAsia="宋体" w:cs="宋体"/>
                <w:color w:val="auto"/>
                <w:sz w:val="21"/>
                <w:szCs w:val="21"/>
                <w:highlight w:val="none"/>
                <w:lang w:val="en-US" w:eastAsia="zh-CN"/>
              </w:rPr>
              <w:t>第三方评价</w:t>
            </w:r>
          </w:p>
        </w:tc>
        <w:tc>
          <w:tcPr>
            <w:tcW w:w="723" w:type="dxa"/>
            <w:vAlign w:val="center"/>
          </w:tcPr>
          <w:p w14:paraId="5ADD22C2">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Cs w:val="21"/>
                <w:highlight w:val="none"/>
                <w:lang w:val="en-US" w:eastAsia="zh-CN"/>
              </w:rPr>
              <w:t>10</w:t>
            </w:r>
          </w:p>
        </w:tc>
        <w:tc>
          <w:tcPr>
            <w:tcW w:w="9373" w:type="dxa"/>
            <w:vAlign w:val="center"/>
          </w:tcPr>
          <w:p w14:paraId="4D83EF90">
            <w:pPr>
              <w:spacing w:line="360" w:lineRule="exact"/>
              <w:jc w:val="left"/>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投标人至今（含最近评审年份）被评为纳税信用A级纳税人称号的：</w:t>
            </w:r>
          </w:p>
          <w:p w14:paraId="6BDDE00B">
            <w:pPr>
              <w:spacing w:line="360" w:lineRule="exact"/>
              <w:jc w:val="left"/>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1.连续</w:t>
            </w:r>
            <w:r>
              <w:rPr>
                <w:rFonts w:hint="eastAsia" w:ascii="Calibri" w:hAnsi="Calibri"/>
                <w:b w:val="0"/>
                <w:color w:val="auto"/>
                <w:sz w:val="21"/>
                <w:szCs w:val="21"/>
                <w:highlight w:val="none"/>
                <w:vertAlign w:val="baseline"/>
                <w:lang w:val="en-US" w:eastAsia="zh-CN"/>
              </w:rPr>
              <w:t>10</w:t>
            </w:r>
            <w:r>
              <w:rPr>
                <w:rFonts w:hint="eastAsia" w:ascii="Calibri" w:hAnsi="Calibri"/>
                <w:b w:val="0"/>
                <w:color w:val="auto"/>
                <w:sz w:val="21"/>
                <w:szCs w:val="21"/>
                <w:highlight w:val="none"/>
                <w:vertAlign w:val="baseline"/>
              </w:rPr>
              <w:t>年被评为纳税信用A级纳税人称号的得</w:t>
            </w:r>
            <w:r>
              <w:rPr>
                <w:rFonts w:hint="eastAsia" w:ascii="Calibri" w:hAnsi="Calibri"/>
                <w:b w:val="0"/>
                <w:color w:val="auto"/>
                <w:sz w:val="21"/>
                <w:szCs w:val="21"/>
                <w:highlight w:val="none"/>
                <w:vertAlign w:val="baseline"/>
                <w:lang w:val="en-US" w:eastAsia="zh-CN"/>
              </w:rPr>
              <w:t>10</w:t>
            </w:r>
            <w:r>
              <w:rPr>
                <w:rFonts w:hint="eastAsia" w:ascii="Calibri" w:hAnsi="Calibri"/>
                <w:b w:val="0"/>
                <w:color w:val="auto"/>
                <w:sz w:val="21"/>
                <w:szCs w:val="21"/>
                <w:highlight w:val="none"/>
                <w:vertAlign w:val="baseline"/>
              </w:rPr>
              <w:t>分，连续</w:t>
            </w:r>
            <w:r>
              <w:rPr>
                <w:rFonts w:hint="eastAsia" w:ascii="Calibri" w:hAnsi="Calibri"/>
                <w:b w:val="0"/>
                <w:color w:val="auto"/>
                <w:sz w:val="21"/>
                <w:szCs w:val="21"/>
                <w:highlight w:val="none"/>
                <w:vertAlign w:val="baseline"/>
                <w:lang w:val="en-US" w:eastAsia="zh-CN"/>
              </w:rPr>
              <w:t>8</w:t>
            </w:r>
            <w:r>
              <w:rPr>
                <w:rFonts w:hint="eastAsia" w:ascii="Calibri" w:hAnsi="Calibri"/>
                <w:b w:val="0"/>
                <w:color w:val="auto"/>
                <w:sz w:val="21"/>
                <w:szCs w:val="21"/>
                <w:highlight w:val="none"/>
                <w:vertAlign w:val="baseline"/>
              </w:rPr>
              <w:t>至</w:t>
            </w:r>
            <w:r>
              <w:rPr>
                <w:rFonts w:hint="eastAsia" w:ascii="Calibri" w:hAnsi="Calibri"/>
                <w:b w:val="0"/>
                <w:color w:val="auto"/>
                <w:sz w:val="21"/>
                <w:szCs w:val="21"/>
                <w:highlight w:val="none"/>
                <w:vertAlign w:val="baseline"/>
                <w:lang w:val="en-US" w:eastAsia="zh-CN"/>
              </w:rPr>
              <w:t>9</w:t>
            </w:r>
            <w:r>
              <w:rPr>
                <w:rFonts w:hint="eastAsia" w:ascii="Calibri" w:hAnsi="Calibri"/>
                <w:b w:val="0"/>
                <w:color w:val="auto"/>
                <w:sz w:val="21"/>
                <w:szCs w:val="21"/>
                <w:highlight w:val="none"/>
                <w:vertAlign w:val="baseline"/>
              </w:rPr>
              <w:t>年的得</w:t>
            </w:r>
            <w:r>
              <w:rPr>
                <w:rFonts w:hint="eastAsia" w:ascii="Calibri" w:hAnsi="Calibri"/>
                <w:b w:val="0"/>
                <w:color w:val="auto"/>
                <w:sz w:val="21"/>
                <w:szCs w:val="21"/>
                <w:highlight w:val="none"/>
                <w:vertAlign w:val="baseline"/>
                <w:lang w:val="en-US" w:eastAsia="zh-CN"/>
              </w:rPr>
              <w:t>5</w:t>
            </w:r>
            <w:r>
              <w:rPr>
                <w:rFonts w:hint="eastAsia" w:ascii="Calibri" w:hAnsi="Calibri"/>
                <w:b w:val="0"/>
                <w:color w:val="auto"/>
                <w:sz w:val="21"/>
                <w:szCs w:val="21"/>
                <w:highlight w:val="none"/>
                <w:vertAlign w:val="baseline"/>
              </w:rPr>
              <w:t>分，连续</w:t>
            </w:r>
            <w:r>
              <w:rPr>
                <w:rFonts w:hint="eastAsia" w:ascii="Calibri" w:hAnsi="Calibri"/>
                <w:b w:val="0"/>
                <w:color w:val="auto"/>
                <w:sz w:val="21"/>
                <w:szCs w:val="21"/>
                <w:highlight w:val="none"/>
                <w:vertAlign w:val="baseline"/>
                <w:lang w:val="en-US" w:eastAsia="zh-CN"/>
              </w:rPr>
              <w:t>6</w:t>
            </w:r>
            <w:r>
              <w:rPr>
                <w:rFonts w:hint="eastAsia" w:ascii="Calibri" w:hAnsi="Calibri"/>
                <w:b w:val="0"/>
                <w:color w:val="auto"/>
                <w:sz w:val="21"/>
                <w:szCs w:val="21"/>
                <w:highlight w:val="none"/>
                <w:vertAlign w:val="baseline"/>
              </w:rPr>
              <w:t>至</w:t>
            </w:r>
            <w:r>
              <w:rPr>
                <w:rFonts w:hint="eastAsia" w:ascii="Calibri" w:hAnsi="Calibri"/>
                <w:b w:val="0"/>
                <w:color w:val="auto"/>
                <w:sz w:val="21"/>
                <w:szCs w:val="21"/>
                <w:highlight w:val="none"/>
                <w:vertAlign w:val="baseline"/>
                <w:lang w:val="en-US" w:eastAsia="zh-CN"/>
              </w:rPr>
              <w:t>7</w:t>
            </w:r>
            <w:r>
              <w:rPr>
                <w:rFonts w:hint="eastAsia" w:ascii="Calibri" w:hAnsi="Calibri"/>
                <w:b w:val="0"/>
                <w:color w:val="auto"/>
                <w:sz w:val="21"/>
                <w:szCs w:val="21"/>
                <w:highlight w:val="none"/>
                <w:vertAlign w:val="baseline"/>
              </w:rPr>
              <w:t>年得</w:t>
            </w:r>
            <w:r>
              <w:rPr>
                <w:rFonts w:hint="eastAsia" w:ascii="Calibri" w:hAnsi="Calibri"/>
                <w:b w:val="0"/>
                <w:color w:val="auto"/>
                <w:sz w:val="21"/>
                <w:szCs w:val="21"/>
                <w:highlight w:val="none"/>
                <w:vertAlign w:val="baseline"/>
                <w:lang w:val="en-US" w:eastAsia="zh-CN"/>
              </w:rPr>
              <w:t>1</w:t>
            </w:r>
            <w:r>
              <w:rPr>
                <w:rFonts w:hint="eastAsia" w:ascii="Calibri" w:hAnsi="Calibri"/>
                <w:b w:val="0"/>
                <w:color w:val="auto"/>
                <w:sz w:val="21"/>
                <w:szCs w:val="21"/>
                <w:highlight w:val="none"/>
                <w:vertAlign w:val="baseline"/>
              </w:rPr>
              <w:t>分，连续</w:t>
            </w:r>
            <w:r>
              <w:rPr>
                <w:rFonts w:hint="eastAsia" w:ascii="Calibri" w:hAnsi="Calibri"/>
                <w:b w:val="0"/>
                <w:color w:val="auto"/>
                <w:sz w:val="21"/>
                <w:szCs w:val="21"/>
                <w:highlight w:val="none"/>
                <w:vertAlign w:val="baseline"/>
                <w:lang w:val="en-US" w:eastAsia="zh-CN"/>
              </w:rPr>
              <w:t>5</w:t>
            </w:r>
            <w:r>
              <w:rPr>
                <w:rFonts w:hint="eastAsia" w:ascii="Calibri" w:hAnsi="Calibri"/>
                <w:b w:val="0"/>
                <w:color w:val="auto"/>
                <w:sz w:val="21"/>
                <w:szCs w:val="21"/>
                <w:highlight w:val="none"/>
                <w:vertAlign w:val="baseline"/>
              </w:rPr>
              <w:t>年及以下得</w:t>
            </w:r>
            <w:r>
              <w:rPr>
                <w:rFonts w:hint="eastAsia" w:ascii="Calibri" w:hAnsi="Calibri"/>
                <w:b w:val="0"/>
                <w:color w:val="auto"/>
                <w:sz w:val="21"/>
                <w:szCs w:val="21"/>
                <w:highlight w:val="none"/>
                <w:vertAlign w:val="baseline"/>
                <w:lang w:val="en-US" w:eastAsia="zh-CN"/>
              </w:rPr>
              <w:t>0.5</w:t>
            </w:r>
            <w:r>
              <w:rPr>
                <w:rFonts w:hint="eastAsia" w:ascii="Calibri" w:hAnsi="Calibri"/>
                <w:b w:val="0"/>
                <w:color w:val="auto"/>
                <w:sz w:val="21"/>
                <w:szCs w:val="21"/>
                <w:highlight w:val="none"/>
                <w:vertAlign w:val="baseline"/>
              </w:rPr>
              <w:t>分，无的得0分。</w:t>
            </w:r>
          </w:p>
          <w:p w14:paraId="3AB607A7">
            <w:pPr>
              <w:spacing w:line="360" w:lineRule="exact"/>
              <w:jc w:val="left"/>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其他情况不得分。</w:t>
            </w:r>
          </w:p>
          <w:p w14:paraId="6EB5DBD1">
            <w:pPr>
              <w:spacing w:line="360" w:lineRule="exact"/>
              <w:jc w:val="left"/>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注：“纳税信用A级纳税人”称号须同时提供证书复印件和省级或以上税务局网站纳税信用信息查询结果网页截图。“纳税信用A级纳税人”称号仅计算投标人自身（不包括子公司、分公司及分支机构），须含最新评审年度（202</w:t>
            </w:r>
            <w:r>
              <w:rPr>
                <w:rFonts w:hint="eastAsia" w:ascii="Calibri" w:hAnsi="Calibri"/>
                <w:b w:val="0"/>
                <w:color w:val="auto"/>
                <w:sz w:val="21"/>
                <w:szCs w:val="21"/>
                <w:highlight w:val="none"/>
                <w:vertAlign w:val="baseline"/>
                <w:lang w:val="en-US" w:eastAsia="zh-CN"/>
              </w:rPr>
              <w:t>4</w:t>
            </w:r>
            <w:r>
              <w:rPr>
                <w:rFonts w:hint="eastAsia" w:ascii="Calibri" w:hAnsi="Calibri"/>
                <w:b w:val="0"/>
                <w:color w:val="auto"/>
                <w:sz w:val="21"/>
                <w:szCs w:val="21"/>
                <w:highlight w:val="none"/>
                <w:vertAlign w:val="baseline"/>
              </w:rPr>
              <w:t>年度）。不符合上述条件或未提供上述资料的不得分。</w:t>
            </w:r>
          </w:p>
        </w:tc>
        <w:tc>
          <w:tcPr>
            <w:tcW w:w="357" w:type="dxa"/>
            <w:vAlign w:val="center"/>
          </w:tcPr>
          <w:p w14:paraId="0FA5AFA4">
            <w:pPr>
              <w:spacing w:line="360" w:lineRule="exact"/>
              <w:jc w:val="left"/>
              <w:rPr>
                <w:rFonts w:ascii="宋体" w:hAnsi="宋体" w:cs="宋体"/>
                <w:color w:val="auto"/>
                <w:highlight w:val="none"/>
              </w:rPr>
            </w:pPr>
          </w:p>
        </w:tc>
      </w:tr>
      <w:tr w14:paraId="2155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39" w:type="dxa"/>
            <w:vMerge w:val="continue"/>
            <w:vAlign w:val="center"/>
          </w:tcPr>
          <w:p w14:paraId="68053320">
            <w:pPr>
              <w:spacing w:line="360" w:lineRule="exact"/>
              <w:jc w:val="center"/>
              <w:rPr>
                <w:rFonts w:hint="eastAsia" w:ascii="Calibri" w:hAnsi="Calibri"/>
                <w:b w:val="0"/>
                <w:color w:val="auto"/>
                <w:sz w:val="21"/>
                <w:szCs w:val="21"/>
                <w:highlight w:val="none"/>
                <w:vertAlign w:val="baseline"/>
              </w:rPr>
            </w:pPr>
          </w:p>
        </w:tc>
        <w:tc>
          <w:tcPr>
            <w:tcW w:w="1530" w:type="dxa"/>
            <w:vAlign w:val="center"/>
          </w:tcPr>
          <w:p w14:paraId="4170C518">
            <w:pPr>
              <w:spacing w:line="360" w:lineRule="exact"/>
              <w:jc w:val="center"/>
              <w:rPr>
                <w:rFonts w:hint="eastAsia" w:ascii="Calibri" w:hAnsi="Calibri"/>
                <w:b w:val="0"/>
                <w:color w:val="auto"/>
                <w:sz w:val="21"/>
                <w:szCs w:val="21"/>
                <w:highlight w:val="none"/>
                <w:vertAlign w:val="baseline"/>
              </w:rPr>
            </w:pPr>
            <w:r>
              <w:rPr>
                <w:rFonts w:hint="eastAsia" w:ascii="宋体" w:hAnsi="宋体" w:eastAsia="宋体" w:cs="宋体"/>
                <w:color w:val="auto"/>
                <w:sz w:val="21"/>
                <w:szCs w:val="21"/>
                <w:highlight w:val="none"/>
                <w:u w:val="none"/>
                <w:lang w:val="en-US" w:eastAsia="zh-CN"/>
              </w:rPr>
              <w:t>施工技术人员投入情况</w:t>
            </w:r>
          </w:p>
        </w:tc>
        <w:tc>
          <w:tcPr>
            <w:tcW w:w="723" w:type="dxa"/>
            <w:vAlign w:val="center"/>
          </w:tcPr>
          <w:p w14:paraId="20EFFDF6">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10</w:t>
            </w:r>
          </w:p>
        </w:tc>
        <w:tc>
          <w:tcPr>
            <w:tcW w:w="9373" w:type="dxa"/>
            <w:vAlign w:val="center"/>
          </w:tcPr>
          <w:p w14:paraId="012234FF">
            <w:pPr>
              <w:spacing w:line="240" w:lineRule="auto"/>
              <w:jc w:val="left"/>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拟投入施工技术人员需持有电力工程相关的特种作业操作证（包括高压电工作业，低压电工作业，电力电缆作业，高处安装、维护、拆除作业，登高架设作业，电气试验作业，继电保护作业，熔化焊接与热切割），以上人员齐全（每个特种作业操作证至少各</w:t>
            </w:r>
            <w:r>
              <w:rPr>
                <w:rFonts w:hint="eastAsia" w:ascii="Calibri" w:hAnsi="Calibri"/>
                <w:b w:val="0"/>
                <w:color w:val="auto"/>
                <w:sz w:val="21"/>
                <w:szCs w:val="21"/>
                <w:highlight w:val="none"/>
                <w:vertAlign w:val="baseline"/>
                <w:lang w:val="en-US" w:eastAsia="zh-CN"/>
              </w:rPr>
              <w:t>三</w:t>
            </w:r>
            <w:r>
              <w:rPr>
                <w:rFonts w:hint="eastAsia" w:ascii="Calibri" w:hAnsi="Calibri"/>
                <w:b w:val="0"/>
                <w:color w:val="auto"/>
                <w:sz w:val="21"/>
                <w:szCs w:val="21"/>
                <w:highlight w:val="none"/>
                <w:vertAlign w:val="baseline"/>
              </w:rPr>
              <w:t>名的得</w:t>
            </w:r>
            <w:r>
              <w:rPr>
                <w:rFonts w:hint="eastAsia" w:ascii="Calibri" w:hAnsi="Calibri"/>
                <w:b w:val="0"/>
                <w:color w:val="auto"/>
                <w:sz w:val="21"/>
                <w:szCs w:val="21"/>
                <w:highlight w:val="none"/>
                <w:vertAlign w:val="baseline"/>
                <w:lang w:val="en-US" w:eastAsia="zh-CN"/>
              </w:rPr>
              <w:t>4</w:t>
            </w:r>
            <w:r>
              <w:rPr>
                <w:rFonts w:hint="eastAsia" w:ascii="Calibri" w:hAnsi="Calibri"/>
                <w:b w:val="0"/>
                <w:color w:val="auto"/>
                <w:sz w:val="21"/>
                <w:szCs w:val="21"/>
                <w:highlight w:val="none"/>
                <w:vertAlign w:val="baseline"/>
              </w:rPr>
              <w:t>分）基础上每增加一名高压电工作业或电力电缆作业特种作业人员加1分。</w:t>
            </w:r>
            <w:r>
              <w:rPr>
                <w:rFonts w:hAnsi="宋体" w:cs="宋体"/>
                <w:color w:val="auto"/>
                <w:highlight w:val="none"/>
              </w:rPr>
              <w:t>没有提供或不符合要求的不得分</w:t>
            </w:r>
            <w:r>
              <w:rPr>
                <w:rFonts w:hint="eastAsia" w:hAnsi="宋体" w:cs="宋体"/>
                <w:color w:val="auto"/>
                <w:highlight w:val="none"/>
                <w:lang w:eastAsia="zh-CN"/>
              </w:rPr>
              <w:t>，</w:t>
            </w:r>
            <w:r>
              <w:rPr>
                <w:rFonts w:hint="eastAsia" w:ascii="Calibri" w:hAnsi="Calibri"/>
                <w:b w:val="0"/>
                <w:color w:val="auto"/>
                <w:sz w:val="21"/>
                <w:szCs w:val="21"/>
                <w:highlight w:val="none"/>
                <w:vertAlign w:val="baseline"/>
              </w:rPr>
              <w:t>本项最高得</w:t>
            </w:r>
            <w:r>
              <w:rPr>
                <w:rFonts w:hint="eastAsia" w:ascii="Calibri" w:hAnsi="Calibri"/>
                <w:b w:val="0"/>
                <w:color w:val="auto"/>
                <w:sz w:val="21"/>
                <w:szCs w:val="21"/>
                <w:highlight w:val="none"/>
                <w:vertAlign w:val="baseline"/>
                <w:lang w:val="en-US" w:eastAsia="zh-CN"/>
              </w:rPr>
              <w:t>10</w:t>
            </w:r>
            <w:r>
              <w:rPr>
                <w:rFonts w:hint="eastAsia" w:ascii="Calibri" w:hAnsi="Calibri"/>
                <w:b w:val="0"/>
                <w:color w:val="auto"/>
                <w:sz w:val="21"/>
                <w:szCs w:val="21"/>
                <w:highlight w:val="none"/>
                <w:vertAlign w:val="baseline"/>
              </w:rPr>
              <w:t>分。</w:t>
            </w:r>
          </w:p>
          <w:p w14:paraId="7458E52D">
            <w:pPr>
              <w:spacing w:line="240" w:lineRule="auto"/>
              <w:jc w:val="left"/>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注：人员均不得兼任，同一人只计算一次。需同时提供①特种作业操作证；②投标截止时间前近一个月（202</w:t>
            </w:r>
            <w:r>
              <w:rPr>
                <w:rFonts w:hint="eastAsia" w:ascii="Calibri" w:hAnsi="Calibri"/>
                <w:b w:val="0"/>
                <w:color w:val="auto"/>
                <w:sz w:val="21"/>
                <w:szCs w:val="21"/>
                <w:highlight w:val="none"/>
                <w:vertAlign w:val="baseline"/>
                <w:lang w:val="en-US" w:eastAsia="zh-CN"/>
              </w:rPr>
              <w:t>5</w:t>
            </w:r>
            <w:r>
              <w:rPr>
                <w:rFonts w:hint="eastAsia" w:ascii="Calibri" w:hAnsi="Calibri"/>
                <w:b w:val="0"/>
                <w:color w:val="auto"/>
                <w:sz w:val="21"/>
                <w:szCs w:val="21"/>
                <w:highlight w:val="none"/>
                <w:vertAlign w:val="baseline"/>
              </w:rPr>
              <w:t>年</w:t>
            </w:r>
            <w:r>
              <w:rPr>
                <w:rFonts w:hint="eastAsia" w:ascii="Calibri" w:hAnsi="Calibri"/>
                <w:b w:val="0"/>
                <w:color w:val="auto"/>
                <w:sz w:val="21"/>
                <w:szCs w:val="21"/>
                <w:highlight w:val="none"/>
                <w:vertAlign w:val="baseline"/>
                <w:lang w:val="en-US" w:eastAsia="zh-CN"/>
              </w:rPr>
              <w:t>5</w:t>
            </w:r>
            <w:r>
              <w:rPr>
                <w:rFonts w:hint="eastAsia" w:ascii="Calibri" w:hAnsi="Calibri"/>
                <w:b w:val="0"/>
                <w:color w:val="auto"/>
                <w:sz w:val="21"/>
                <w:szCs w:val="21"/>
                <w:highlight w:val="none"/>
                <w:vertAlign w:val="baseline"/>
              </w:rPr>
              <w:t>月）有效社保证明</w:t>
            </w:r>
            <w:r>
              <w:rPr>
                <w:rFonts w:hint="eastAsia" w:ascii="Calibri" w:hAnsi="Calibri"/>
                <w:b w:val="0"/>
                <w:color w:val="auto"/>
                <w:sz w:val="21"/>
                <w:szCs w:val="21"/>
                <w:highlight w:val="none"/>
                <w:vertAlign w:val="baseline"/>
                <w:lang w:eastAsia="zh-CN"/>
              </w:rPr>
              <w:t>，</w:t>
            </w:r>
            <w:r>
              <w:rPr>
                <w:rFonts w:hint="eastAsia" w:ascii="宋体" w:hAnsi="宋体" w:eastAsia="宋体" w:cs="宋体"/>
                <w:b w:val="0"/>
                <w:bCs w:val="0"/>
                <w:color w:val="auto"/>
                <w:kern w:val="2"/>
                <w:sz w:val="21"/>
                <w:szCs w:val="21"/>
                <w:highlight w:val="none"/>
                <w:lang w:eastAsia="zh-CN"/>
              </w:rPr>
              <w:t>以上所有文件加盖公章。</w:t>
            </w:r>
            <w:r>
              <w:rPr>
                <w:rFonts w:hint="eastAsia" w:ascii="Calibri" w:hAnsi="Calibri"/>
                <w:b w:val="0"/>
                <w:color w:val="auto"/>
                <w:sz w:val="21"/>
                <w:szCs w:val="21"/>
                <w:highlight w:val="none"/>
                <w:vertAlign w:val="baseline"/>
              </w:rPr>
              <w:t>不满足上述要求的不得分。</w:t>
            </w:r>
          </w:p>
        </w:tc>
        <w:tc>
          <w:tcPr>
            <w:tcW w:w="357" w:type="dxa"/>
            <w:vAlign w:val="center"/>
          </w:tcPr>
          <w:p w14:paraId="789FD06F">
            <w:pPr>
              <w:spacing w:line="240" w:lineRule="auto"/>
              <w:jc w:val="left"/>
              <w:rPr>
                <w:rFonts w:hint="eastAsia" w:ascii="宋体" w:hAnsi="宋体" w:cs="宋体"/>
                <w:color w:val="auto"/>
                <w:szCs w:val="21"/>
                <w:highlight w:val="none"/>
                <w:lang w:eastAsia="zh-CN"/>
              </w:rPr>
            </w:pPr>
          </w:p>
        </w:tc>
      </w:tr>
      <w:tr w14:paraId="6B4C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39" w:type="dxa"/>
            <w:vMerge w:val="restart"/>
            <w:vAlign w:val="center"/>
          </w:tcPr>
          <w:p w14:paraId="370295F7">
            <w:pPr>
              <w:spacing w:line="360" w:lineRule="exact"/>
              <w:jc w:val="center"/>
              <w:rPr>
                <w:rFonts w:hint="eastAsia"/>
                <w:color w:val="auto"/>
                <w:highlight w:val="none"/>
                <w:lang w:eastAsia="zh-CN"/>
              </w:rPr>
            </w:pPr>
            <w:r>
              <w:rPr>
                <w:rFonts w:hint="eastAsia"/>
                <w:color w:val="auto"/>
                <w:highlight w:val="none"/>
                <w:lang w:eastAsia="zh-CN"/>
              </w:rPr>
              <w:t>技术部分</w:t>
            </w:r>
          </w:p>
          <w:p w14:paraId="42C68F0F">
            <w:pPr>
              <w:spacing w:line="36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50</w:t>
            </w:r>
            <w:r>
              <w:rPr>
                <w:rFonts w:hint="eastAsia"/>
                <w:color w:val="auto"/>
                <w:highlight w:val="none"/>
              </w:rPr>
              <w:t>分）</w:t>
            </w:r>
          </w:p>
          <w:p w14:paraId="466DAAD0">
            <w:pPr>
              <w:pStyle w:val="25"/>
              <w:rPr>
                <w:rFonts w:hint="eastAsia"/>
                <w:color w:val="auto"/>
                <w:highlight w:val="none"/>
              </w:rPr>
            </w:pPr>
          </w:p>
        </w:tc>
        <w:tc>
          <w:tcPr>
            <w:tcW w:w="1530" w:type="dxa"/>
            <w:vAlign w:val="center"/>
          </w:tcPr>
          <w:p w14:paraId="7B3F5BA0">
            <w:pPr>
              <w:autoSpaceDE w:val="0"/>
              <w:autoSpaceDN w:val="0"/>
              <w:adjustRightInd w:val="0"/>
              <w:snapToGrid w:val="0"/>
              <w:rPr>
                <w:rFonts w:hint="eastAsia" w:ascii="Calibri" w:hAnsi="Calibri" w:eastAsia="宋体" w:cs="Times New Roman"/>
                <w:b w:val="0"/>
                <w:color w:val="auto"/>
                <w:sz w:val="21"/>
                <w:szCs w:val="21"/>
                <w:highlight w:val="none"/>
                <w:vertAlign w:val="baseline"/>
                <w:lang w:eastAsia="zh-CN"/>
              </w:rPr>
            </w:pPr>
            <w:r>
              <w:rPr>
                <w:rFonts w:hint="eastAsia" w:ascii="宋体" w:hAnsi="宋体" w:eastAsia="宋体" w:cs="宋体"/>
                <w:color w:val="auto"/>
                <w:spacing w:val="-5"/>
                <w:szCs w:val="21"/>
                <w:highlight w:val="none"/>
              </w:rPr>
              <w:t>项目实施方案</w:t>
            </w:r>
          </w:p>
        </w:tc>
        <w:tc>
          <w:tcPr>
            <w:tcW w:w="723" w:type="dxa"/>
            <w:vAlign w:val="center"/>
          </w:tcPr>
          <w:p w14:paraId="582196F6">
            <w:pPr>
              <w:autoSpaceDE w:val="0"/>
              <w:autoSpaceDN w:val="0"/>
              <w:adjustRightInd w:val="0"/>
              <w:snapToGrid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373" w:type="dxa"/>
            <w:vAlign w:val="center"/>
          </w:tcPr>
          <w:p w14:paraId="394372F2">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投入本项目机械设备情况：</w:t>
            </w:r>
          </w:p>
          <w:p w14:paraId="31942752">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14:paraId="0A5A3090">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14:paraId="4D27553C">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14:paraId="5C00CB57">
            <w:pPr>
              <w:autoSpaceDE w:val="0"/>
              <w:autoSpaceDN w:val="0"/>
              <w:adjustRightInd w:val="0"/>
              <w:snapToGrid w:val="0"/>
              <w:rPr>
                <w:rFonts w:hint="eastAsia"/>
                <w:color w:val="auto"/>
                <w:highlight w:val="none"/>
                <w:lang w:eastAsia="zh-CN"/>
              </w:rPr>
            </w:pPr>
            <w:r>
              <w:rPr>
                <w:rFonts w:hint="eastAsia" w:ascii="宋体" w:hAnsi="宋体" w:eastAsia="宋体" w:cs="宋体"/>
                <w:color w:val="auto"/>
                <w:szCs w:val="21"/>
                <w:highlight w:val="none"/>
              </w:rPr>
              <w:t>不提供方案不得分。</w:t>
            </w:r>
          </w:p>
        </w:tc>
        <w:tc>
          <w:tcPr>
            <w:tcW w:w="357" w:type="dxa"/>
            <w:vAlign w:val="center"/>
          </w:tcPr>
          <w:p w14:paraId="3E05FCA4">
            <w:pPr>
              <w:spacing w:line="360" w:lineRule="exact"/>
              <w:jc w:val="left"/>
              <w:rPr>
                <w:rFonts w:hint="eastAsia" w:ascii="宋体" w:hAnsi="宋体" w:cs="宋体"/>
                <w:color w:val="auto"/>
                <w:highlight w:val="none"/>
              </w:rPr>
            </w:pPr>
          </w:p>
        </w:tc>
      </w:tr>
      <w:tr w14:paraId="0780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39" w:type="dxa"/>
            <w:vMerge w:val="continue"/>
            <w:vAlign w:val="center"/>
          </w:tcPr>
          <w:p w14:paraId="31A2B447">
            <w:pPr>
              <w:spacing w:line="360" w:lineRule="exact"/>
              <w:jc w:val="left"/>
              <w:rPr>
                <w:rFonts w:hint="eastAsia" w:ascii="宋体" w:hAnsi="宋体" w:cs="宋体"/>
                <w:b w:val="0"/>
                <w:color w:val="auto"/>
                <w:sz w:val="21"/>
                <w:szCs w:val="21"/>
                <w:highlight w:val="none"/>
                <w:vertAlign w:val="baseline"/>
              </w:rPr>
            </w:pPr>
          </w:p>
        </w:tc>
        <w:tc>
          <w:tcPr>
            <w:tcW w:w="1530" w:type="dxa"/>
            <w:vAlign w:val="center"/>
          </w:tcPr>
          <w:p w14:paraId="187D9D03">
            <w:pPr>
              <w:autoSpaceDE w:val="0"/>
              <w:autoSpaceDN w:val="0"/>
              <w:adjustRightInd w:val="0"/>
              <w:snapToGrid w:val="0"/>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b w:val="0"/>
                <w:color w:val="auto"/>
                <w:sz w:val="21"/>
                <w:szCs w:val="21"/>
                <w:highlight w:val="none"/>
                <w:vertAlign w:val="baseline"/>
                <w:lang w:eastAsia="zh-CN"/>
              </w:rPr>
              <w:t>工期计划</w:t>
            </w:r>
          </w:p>
        </w:tc>
        <w:tc>
          <w:tcPr>
            <w:tcW w:w="723" w:type="dxa"/>
            <w:vAlign w:val="center"/>
          </w:tcPr>
          <w:p w14:paraId="7670C1DF">
            <w:pPr>
              <w:autoSpaceDE w:val="0"/>
              <w:autoSpaceDN w:val="0"/>
              <w:adjustRightInd w:val="0"/>
              <w:snapToGrid w:val="0"/>
              <w:rPr>
                <w:rFonts w:hint="default"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lang w:val="en-US" w:eastAsia="zh-CN"/>
              </w:rPr>
              <w:t>10</w:t>
            </w:r>
          </w:p>
        </w:tc>
        <w:tc>
          <w:tcPr>
            <w:tcW w:w="9373" w:type="dxa"/>
            <w:vAlign w:val="center"/>
          </w:tcPr>
          <w:p w14:paraId="4AB012E9">
            <w:pPr>
              <w:autoSpaceDE w:val="0"/>
              <w:autoSpaceDN w:val="0"/>
              <w:adjustRightInd w:val="0"/>
              <w:snapToGrid w:val="0"/>
              <w:rPr>
                <w:color w:val="auto"/>
                <w:highlight w:val="none"/>
              </w:rPr>
            </w:pPr>
            <w:r>
              <w:rPr>
                <w:rFonts w:hint="eastAsia"/>
                <w:color w:val="auto"/>
                <w:highlight w:val="none"/>
              </w:rPr>
              <w:t>1、优：从项目的前期准备、实施、验收、进度控制等方面考虑，工期及施工进度安排科学合理，有横道图和网络图，施工设备及材料安排等详细充分</w:t>
            </w:r>
            <w:r>
              <w:rPr>
                <w:rFonts w:hint="eastAsia"/>
                <w:color w:val="auto"/>
                <w:highlight w:val="none"/>
                <w:lang w:val="en-US" w:eastAsia="zh-CN"/>
              </w:rPr>
              <w:t>,</w:t>
            </w:r>
            <w:r>
              <w:rPr>
                <w:rFonts w:hint="eastAsia"/>
                <w:color w:val="auto"/>
                <w:highlight w:val="none"/>
              </w:rPr>
              <w:t>得</w:t>
            </w:r>
            <w:r>
              <w:rPr>
                <w:rFonts w:hint="eastAsia"/>
                <w:color w:val="auto"/>
                <w:highlight w:val="none"/>
                <w:lang w:val="en-US" w:eastAsia="zh-CN"/>
              </w:rPr>
              <w:t>8-10</w:t>
            </w:r>
            <w:r>
              <w:rPr>
                <w:rFonts w:hint="eastAsia"/>
                <w:color w:val="auto"/>
                <w:highlight w:val="none"/>
              </w:rPr>
              <w:t xml:space="preserve">分； </w:t>
            </w:r>
          </w:p>
          <w:p w14:paraId="5C8AFDFA">
            <w:pPr>
              <w:autoSpaceDE w:val="0"/>
              <w:autoSpaceDN w:val="0"/>
              <w:adjustRightInd w:val="0"/>
              <w:snapToGrid w:val="0"/>
              <w:rPr>
                <w:color w:val="auto"/>
                <w:highlight w:val="none"/>
              </w:rPr>
            </w:pPr>
            <w:r>
              <w:rPr>
                <w:rFonts w:hint="eastAsia"/>
                <w:color w:val="auto"/>
                <w:highlight w:val="none"/>
              </w:rPr>
              <w:t>2、中：从项目的前期准备、实施、验收、进度控制等方面考虑，工期及施工进度安排合理，有横道图和网络图，施工设备及材料安排等合理，得</w:t>
            </w:r>
            <w:r>
              <w:rPr>
                <w:rFonts w:hint="eastAsia"/>
                <w:color w:val="auto"/>
                <w:highlight w:val="none"/>
                <w:lang w:val="en-US" w:eastAsia="zh-CN"/>
              </w:rPr>
              <w:t>6-7</w:t>
            </w:r>
            <w:r>
              <w:rPr>
                <w:rFonts w:hint="eastAsia"/>
                <w:color w:val="auto"/>
                <w:highlight w:val="none"/>
              </w:rPr>
              <w:t xml:space="preserve">分； </w:t>
            </w:r>
          </w:p>
          <w:p w14:paraId="44002A4E">
            <w:pPr>
              <w:autoSpaceDE w:val="0"/>
              <w:autoSpaceDN w:val="0"/>
              <w:adjustRightInd w:val="0"/>
              <w:snapToGrid w:val="0"/>
              <w:rPr>
                <w:rFonts w:hint="eastAsia"/>
                <w:color w:val="auto"/>
                <w:highlight w:val="none"/>
              </w:rPr>
            </w:pPr>
            <w:r>
              <w:rPr>
                <w:rFonts w:hint="eastAsia"/>
                <w:color w:val="auto"/>
                <w:highlight w:val="none"/>
              </w:rPr>
              <w:t>3、差：没有从项目的前期准备、实施、验收、进度控制等方面考虑，工期及施工进度安排基本合理，横道图和网络图不齐全，施工设备及材料的安排简单，得0-</w:t>
            </w:r>
            <w:r>
              <w:rPr>
                <w:rFonts w:hint="eastAsia"/>
                <w:color w:val="auto"/>
                <w:highlight w:val="none"/>
                <w:lang w:val="en-US" w:eastAsia="zh-CN"/>
              </w:rPr>
              <w:t>5</w:t>
            </w:r>
            <w:r>
              <w:rPr>
                <w:rFonts w:hint="eastAsia"/>
                <w:color w:val="auto"/>
                <w:highlight w:val="none"/>
              </w:rPr>
              <w:t xml:space="preserve">分。 </w:t>
            </w:r>
          </w:p>
          <w:p w14:paraId="30182BD0">
            <w:pPr>
              <w:pStyle w:val="2"/>
              <w:rPr>
                <w:rFonts w:hint="eastAsia"/>
                <w:color w:val="auto"/>
                <w:highlight w:val="none"/>
              </w:rPr>
            </w:pPr>
            <w:r>
              <w:rPr>
                <w:rFonts w:hint="eastAsia" w:ascii="宋体" w:hAnsi="宋体" w:eastAsia="宋体" w:cs="宋体"/>
                <w:color w:val="auto"/>
                <w:szCs w:val="21"/>
                <w:highlight w:val="none"/>
              </w:rPr>
              <w:t>不提供方案不得分。</w:t>
            </w:r>
          </w:p>
        </w:tc>
        <w:tc>
          <w:tcPr>
            <w:tcW w:w="357" w:type="dxa"/>
            <w:vAlign w:val="center"/>
          </w:tcPr>
          <w:p w14:paraId="2DFBE8C6">
            <w:pPr>
              <w:spacing w:line="240" w:lineRule="auto"/>
              <w:jc w:val="left"/>
              <w:rPr>
                <w:rFonts w:hint="default" w:ascii="宋体" w:hAnsi="宋体" w:cs="宋体"/>
                <w:color w:val="auto"/>
                <w:szCs w:val="21"/>
                <w:highlight w:val="none"/>
              </w:rPr>
            </w:pPr>
          </w:p>
        </w:tc>
      </w:tr>
      <w:tr w14:paraId="4CE4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539" w:type="dxa"/>
            <w:vMerge w:val="continue"/>
            <w:vAlign w:val="center"/>
          </w:tcPr>
          <w:p w14:paraId="1F3357C3">
            <w:pPr>
              <w:spacing w:line="240" w:lineRule="auto"/>
              <w:jc w:val="left"/>
              <w:rPr>
                <w:rFonts w:hint="eastAsia" w:ascii="宋体" w:hAnsi="宋体" w:cs="宋体"/>
                <w:b w:val="0"/>
                <w:color w:val="auto"/>
                <w:sz w:val="21"/>
                <w:szCs w:val="21"/>
                <w:highlight w:val="none"/>
                <w:vertAlign w:val="baseline"/>
              </w:rPr>
            </w:pPr>
          </w:p>
        </w:tc>
        <w:tc>
          <w:tcPr>
            <w:tcW w:w="1530" w:type="dxa"/>
            <w:vAlign w:val="center"/>
          </w:tcPr>
          <w:p w14:paraId="36670239">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14:paraId="01A19933">
            <w:pPr>
              <w:autoSpaceDE w:val="0"/>
              <w:autoSpaceDN w:val="0"/>
              <w:adjustRightInd w:val="0"/>
              <w:snapToGrid w:val="0"/>
              <w:rPr>
                <w:rFonts w:hint="eastAsia" w:ascii="宋体" w:hAnsi="宋体" w:cs="宋体"/>
                <w:color w:val="auto"/>
                <w:szCs w:val="21"/>
                <w:highlight w:val="none"/>
              </w:rPr>
            </w:pPr>
          </w:p>
        </w:tc>
        <w:tc>
          <w:tcPr>
            <w:tcW w:w="723" w:type="dxa"/>
            <w:vAlign w:val="center"/>
          </w:tcPr>
          <w:p w14:paraId="62BDD882">
            <w:pPr>
              <w:autoSpaceDE w:val="0"/>
              <w:autoSpaceDN w:val="0"/>
              <w:adjustRightInd w:val="0"/>
              <w:snapToGrid w:val="0"/>
              <w:rPr>
                <w:rFonts w:hint="default" w:ascii="宋体" w:hAnsi="宋体" w:eastAsia="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9373" w:type="dxa"/>
            <w:vAlign w:val="center"/>
          </w:tcPr>
          <w:p w14:paraId="0D7EEBDD">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14:paraId="6D063935">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 </w:t>
            </w:r>
          </w:p>
          <w:p w14:paraId="1EF06E3A">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287E3899">
            <w:pPr>
              <w:autoSpaceDE w:val="0"/>
              <w:autoSpaceDN w:val="0"/>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rPr>
              <w:t>无提供方案则不得分。</w:t>
            </w:r>
          </w:p>
        </w:tc>
        <w:tc>
          <w:tcPr>
            <w:tcW w:w="357" w:type="dxa"/>
            <w:vAlign w:val="center"/>
          </w:tcPr>
          <w:p w14:paraId="34D0920C">
            <w:pPr>
              <w:spacing w:line="240" w:lineRule="auto"/>
              <w:jc w:val="left"/>
              <w:rPr>
                <w:rFonts w:hint="eastAsia" w:ascii="宋体" w:hAnsi="宋体" w:eastAsia="宋体" w:cs="宋体"/>
                <w:color w:val="auto"/>
                <w:kern w:val="2"/>
                <w:szCs w:val="21"/>
                <w:highlight w:val="none"/>
              </w:rPr>
            </w:pPr>
          </w:p>
        </w:tc>
      </w:tr>
      <w:tr w14:paraId="5E22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39" w:type="dxa"/>
            <w:vMerge w:val="continue"/>
            <w:vAlign w:val="center"/>
          </w:tcPr>
          <w:p w14:paraId="0EEA7315">
            <w:pPr>
              <w:spacing w:line="240" w:lineRule="auto"/>
              <w:jc w:val="left"/>
              <w:rPr>
                <w:rFonts w:hint="eastAsia" w:ascii="宋体" w:hAnsi="宋体" w:cs="宋体"/>
                <w:b w:val="0"/>
                <w:color w:val="auto"/>
                <w:sz w:val="21"/>
                <w:szCs w:val="21"/>
                <w:highlight w:val="none"/>
                <w:vertAlign w:val="baseline"/>
              </w:rPr>
            </w:pPr>
          </w:p>
        </w:tc>
        <w:tc>
          <w:tcPr>
            <w:tcW w:w="1530" w:type="dxa"/>
            <w:vAlign w:val="center"/>
          </w:tcPr>
          <w:p w14:paraId="5DAC1467">
            <w:pPr>
              <w:autoSpaceDE w:val="0"/>
              <w:autoSpaceDN w:val="0"/>
              <w:adjustRightInd w:val="0"/>
              <w:snapToGrid w:val="0"/>
              <w:rPr>
                <w:rFonts w:hint="default" w:eastAsia="宋体"/>
                <w:color w:val="auto"/>
                <w:szCs w:val="21"/>
                <w:highlight w:val="none"/>
                <w:lang w:val="en-US" w:eastAsia="zh-CN"/>
              </w:rPr>
            </w:pPr>
            <w:r>
              <w:rPr>
                <w:rFonts w:hint="eastAsia" w:ascii="宋体" w:hAnsi="宋体" w:eastAsia="宋体" w:cs="宋体"/>
                <w:color w:val="auto"/>
                <w:spacing w:val="-5"/>
                <w:szCs w:val="21"/>
                <w:highlight w:val="none"/>
              </w:rPr>
              <w:t>对项目的理解程度、重点难点分析情况</w:t>
            </w:r>
          </w:p>
        </w:tc>
        <w:tc>
          <w:tcPr>
            <w:tcW w:w="723" w:type="dxa"/>
            <w:vAlign w:val="center"/>
          </w:tcPr>
          <w:p w14:paraId="40B8AF32">
            <w:pPr>
              <w:autoSpaceDE w:val="0"/>
              <w:autoSpaceDN w:val="0"/>
              <w:adjustRightInd w:val="0"/>
              <w:snapToGrid w:val="0"/>
              <w:rPr>
                <w:rFonts w:hint="eastAsia" w:ascii="宋体" w:hAnsi="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373" w:type="dxa"/>
            <w:vAlign w:val="center"/>
          </w:tcPr>
          <w:p w14:paraId="3FCCDE77">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14:paraId="19152B4A">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038155D3">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2443C7CF">
            <w:pPr>
              <w:autoSpaceDE w:val="0"/>
              <w:autoSpaceDN w:val="0"/>
              <w:adjustRightInd w:val="0"/>
              <w:snapToGrid w:val="0"/>
              <w:rPr>
                <w:rFonts w:hint="default" w:ascii="宋体" w:hAnsi="宋体" w:eastAsia="宋体" w:cs="宋体"/>
                <w:color w:val="auto"/>
                <w:kern w:val="2"/>
                <w:szCs w:val="21"/>
                <w:highlight w:val="none"/>
                <w:lang w:val="en-US" w:eastAsia="zh-CN"/>
              </w:rPr>
            </w:pPr>
            <w:r>
              <w:rPr>
                <w:rFonts w:hint="eastAsia" w:ascii="宋体" w:hAnsi="宋体" w:eastAsia="宋体" w:cs="宋体"/>
                <w:color w:val="auto"/>
                <w:spacing w:val="-5"/>
                <w:szCs w:val="21"/>
                <w:highlight w:val="none"/>
              </w:rPr>
              <w:t>无提供方案则不得分。</w:t>
            </w:r>
          </w:p>
        </w:tc>
        <w:tc>
          <w:tcPr>
            <w:tcW w:w="357" w:type="dxa"/>
            <w:vAlign w:val="center"/>
          </w:tcPr>
          <w:p w14:paraId="61A4EBAC">
            <w:pPr>
              <w:spacing w:line="240" w:lineRule="auto"/>
              <w:jc w:val="left"/>
              <w:rPr>
                <w:rFonts w:hint="eastAsia" w:ascii="宋体" w:hAnsi="宋体" w:eastAsia="宋体" w:cs="宋体"/>
                <w:color w:val="auto"/>
                <w:kern w:val="2"/>
                <w:szCs w:val="21"/>
                <w:highlight w:val="none"/>
              </w:rPr>
            </w:pPr>
          </w:p>
        </w:tc>
      </w:tr>
      <w:tr w14:paraId="4993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39" w:type="dxa"/>
            <w:vMerge w:val="continue"/>
            <w:vAlign w:val="center"/>
          </w:tcPr>
          <w:p w14:paraId="02594D34">
            <w:pPr>
              <w:spacing w:line="240" w:lineRule="auto"/>
              <w:jc w:val="left"/>
              <w:rPr>
                <w:rFonts w:hint="eastAsia" w:ascii="宋体" w:hAnsi="宋体" w:cs="宋体"/>
                <w:b w:val="0"/>
                <w:color w:val="auto"/>
                <w:sz w:val="21"/>
                <w:szCs w:val="21"/>
                <w:highlight w:val="none"/>
                <w:vertAlign w:val="baseline"/>
              </w:rPr>
            </w:pPr>
          </w:p>
        </w:tc>
        <w:tc>
          <w:tcPr>
            <w:tcW w:w="1530" w:type="dxa"/>
            <w:vAlign w:val="center"/>
          </w:tcPr>
          <w:p w14:paraId="2D5DF970">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14:paraId="6346D682">
            <w:pPr>
              <w:autoSpaceDE w:val="0"/>
              <w:autoSpaceDN w:val="0"/>
              <w:adjustRightInd w:val="0"/>
              <w:snapToGrid w:val="0"/>
              <w:rPr>
                <w:rFonts w:hint="eastAsia"/>
                <w:color w:val="auto"/>
                <w:szCs w:val="21"/>
                <w:highlight w:val="none"/>
                <w:lang w:val="en-US" w:eastAsia="zh-CN"/>
              </w:rPr>
            </w:pPr>
          </w:p>
        </w:tc>
        <w:tc>
          <w:tcPr>
            <w:tcW w:w="723" w:type="dxa"/>
            <w:vAlign w:val="center"/>
          </w:tcPr>
          <w:p w14:paraId="0F26CC9A">
            <w:pPr>
              <w:autoSpaceDE w:val="0"/>
              <w:autoSpaceDN w:val="0"/>
              <w:adjustRightInd w:val="0"/>
              <w:snapToGrid w:val="0"/>
              <w:rPr>
                <w:rFonts w:hint="eastAsia" w:ascii="宋体" w:hAnsi="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373" w:type="dxa"/>
            <w:vAlign w:val="center"/>
          </w:tcPr>
          <w:p w14:paraId="22801D9C">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14:paraId="293C189E">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20AC121C">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56055E2E">
            <w:pPr>
              <w:autoSpaceDE w:val="0"/>
              <w:autoSpaceDN w:val="0"/>
              <w:adjustRightInd w:val="0"/>
              <w:snapToGrid w:val="0"/>
              <w:rPr>
                <w:rFonts w:hint="eastAsia"/>
                <w:color w:val="auto"/>
                <w:highlight w:val="none"/>
                <w:lang w:val="en-US" w:eastAsia="zh-CN"/>
              </w:rPr>
            </w:pPr>
            <w:r>
              <w:rPr>
                <w:rFonts w:hint="eastAsia" w:ascii="宋体" w:hAnsi="宋体" w:eastAsia="宋体" w:cs="宋体"/>
                <w:color w:val="auto"/>
                <w:spacing w:val="-5"/>
                <w:szCs w:val="21"/>
                <w:highlight w:val="none"/>
              </w:rPr>
              <w:t xml:space="preserve">无提供方案则不得分。 </w:t>
            </w:r>
          </w:p>
        </w:tc>
        <w:tc>
          <w:tcPr>
            <w:tcW w:w="357" w:type="dxa"/>
            <w:vAlign w:val="center"/>
          </w:tcPr>
          <w:p w14:paraId="2D835440">
            <w:pPr>
              <w:spacing w:line="240" w:lineRule="auto"/>
              <w:jc w:val="left"/>
              <w:rPr>
                <w:rFonts w:hint="eastAsia" w:ascii="宋体" w:hAnsi="宋体" w:eastAsia="宋体" w:cs="宋体"/>
                <w:color w:val="auto"/>
                <w:kern w:val="2"/>
                <w:szCs w:val="21"/>
                <w:highlight w:val="none"/>
              </w:rPr>
            </w:pPr>
          </w:p>
        </w:tc>
      </w:tr>
      <w:tr w14:paraId="3C04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069" w:type="dxa"/>
            <w:gridSpan w:val="2"/>
            <w:vAlign w:val="center"/>
          </w:tcPr>
          <w:p w14:paraId="1137525E">
            <w:pPr>
              <w:jc w:val="center"/>
              <w:rPr>
                <w:rFonts w:hint="eastAsia"/>
                <w:color w:val="auto"/>
                <w:szCs w:val="21"/>
                <w:highlight w:val="none"/>
                <w:lang w:val="en-US" w:eastAsia="zh-CN"/>
              </w:rPr>
            </w:pPr>
            <w:r>
              <w:rPr>
                <w:rFonts w:hint="eastAsia" w:ascii="宋体" w:hAnsi="宋体" w:eastAsia="宋体" w:cs="宋体"/>
                <w:color w:val="auto"/>
                <w:szCs w:val="21"/>
                <w:highlight w:val="none"/>
              </w:rPr>
              <w:t>合计</w:t>
            </w:r>
          </w:p>
        </w:tc>
        <w:tc>
          <w:tcPr>
            <w:tcW w:w="723" w:type="dxa"/>
            <w:vAlign w:val="center"/>
          </w:tcPr>
          <w:p w14:paraId="79B9B927">
            <w:pPr>
              <w:spacing w:line="220" w:lineRule="exact"/>
              <w:ind w:left="-2" w:leftChars="-1"/>
              <w:jc w:val="center"/>
              <w:rPr>
                <w:rFonts w:hint="eastAsia"/>
                <w:color w:val="auto"/>
                <w:szCs w:val="21"/>
                <w:highlight w:val="none"/>
                <w:lang w:val="en-US" w:eastAsia="zh-CN"/>
              </w:rPr>
            </w:pPr>
            <w:r>
              <w:rPr>
                <w:rFonts w:hint="eastAsia" w:ascii="宋体" w:hAnsi="宋体" w:eastAsia="宋体" w:cs="宋体"/>
                <w:color w:val="auto"/>
                <w:szCs w:val="21"/>
                <w:highlight w:val="none"/>
              </w:rPr>
              <w:t>100</w:t>
            </w:r>
          </w:p>
        </w:tc>
        <w:tc>
          <w:tcPr>
            <w:tcW w:w="9373" w:type="dxa"/>
            <w:vAlign w:val="center"/>
          </w:tcPr>
          <w:p w14:paraId="699CBB20">
            <w:pPr>
              <w:spacing w:line="220" w:lineRule="exact"/>
              <w:ind w:left="-2" w:leftChars="-1"/>
              <w:rPr>
                <w:rFonts w:hint="eastAsia" w:ascii="宋体" w:hAnsi="宋体" w:cs="宋体"/>
                <w:color w:val="auto"/>
                <w:kern w:val="2"/>
                <w:szCs w:val="21"/>
                <w:highlight w:val="none"/>
                <w:lang w:val="en-US" w:eastAsia="zh-CN"/>
              </w:rPr>
            </w:pPr>
          </w:p>
        </w:tc>
        <w:tc>
          <w:tcPr>
            <w:tcW w:w="357" w:type="dxa"/>
            <w:vAlign w:val="center"/>
          </w:tcPr>
          <w:p w14:paraId="4913C3AC">
            <w:pPr>
              <w:spacing w:line="240" w:lineRule="auto"/>
              <w:jc w:val="left"/>
              <w:rPr>
                <w:rFonts w:hint="eastAsia" w:ascii="宋体" w:hAnsi="宋体" w:eastAsia="宋体" w:cs="宋体"/>
                <w:color w:val="auto"/>
                <w:kern w:val="2"/>
                <w:szCs w:val="21"/>
                <w:highlight w:val="none"/>
              </w:rPr>
            </w:pPr>
          </w:p>
        </w:tc>
      </w:tr>
    </w:tbl>
    <w:p w14:paraId="144EBC1C">
      <w:pPr>
        <w:snapToGrid/>
        <w:spacing w:line="320" w:lineRule="exact"/>
        <w:ind w:firstLine="420" w:firstLineChars="200"/>
        <w:jc w:val="left"/>
        <w:rPr>
          <w:rFonts w:hint="eastAsia" w:ascii="宋体" w:hAnsi="宋体" w:cs="宋体"/>
          <w:color w:val="auto"/>
          <w:szCs w:val="21"/>
          <w:highlight w:val="none"/>
        </w:rPr>
      </w:pPr>
    </w:p>
    <w:p w14:paraId="11587295">
      <w:pPr>
        <w:snapToGrid/>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2A575E59">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14:paraId="2CC58605">
      <w:pPr>
        <w:pStyle w:val="27"/>
        <w:jc w:val="center"/>
        <w:rPr>
          <w:rFonts w:hint="default"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经济部分评分表</w:t>
      </w:r>
    </w:p>
    <w:tbl>
      <w:tblPr>
        <w:tblStyle w:val="19"/>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14:paraId="7111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C39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44F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14:paraId="7425DF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14:paraId="0E5630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14:paraId="563AF6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6BD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231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14:paraId="76C8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156E8">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4D513">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14:paraId="6AFAE357">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298FE814">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14:paraId="7ABF5117">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38A5E">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8EF3A">
            <w:pPr>
              <w:jc w:val="center"/>
              <w:rPr>
                <w:rFonts w:hint="eastAsia" w:ascii="宋体" w:hAnsi="宋体" w:eastAsia="宋体" w:cs="宋体"/>
                <w:i w:val="0"/>
                <w:iCs w:val="0"/>
                <w:color w:val="auto"/>
                <w:sz w:val="24"/>
                <w:szCs w:val="24"/>
                <w:highlight w:val="none"/>
                <w:u w:val="none"/>
              </w:rPr>
            </w:pPr>
          </w:p>
        </w:tc>
      </w:tr>
      <w:tr w14:paraId="34412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00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DD59">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B9BA">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59425">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C935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经过符合性审查，经济标报价部分以入围投标单位有效报价的算术平均值作为基准价。</w:t>
            </w:r>
          </w:p>
          <w:p w14:paraId="552972E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14:paraId="5286776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14:paraId="46059A2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14:paraId="54D1E2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7AC24">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F94C">
            <w:pPr>
              <w:jc w:val="center"/>
              <w:rPr>
                <w:rFonts w:hint="eastAsia" w:ascii="宋体" w:hAnsi="宋体" w:eastAsia="宋体" w:cs="宋体"/>
                <w:i w:val="0"/>
                <w:iCs w:val="0"/>
                <w:color w:val="auto"/>
                <w:sz w:val="24"/>
                <w:szCs w:val="24"/>
                <w:highlight w:val="none"/>
                <w:u w:val="none"/>
              </w:rPr>
            </w:pPr>
          </w:p>
        </w:tc>
      </w:tr>
      <w:tr w14:paraId="2F7F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F9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481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C531">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2B978">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502E3">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D2FD5">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789B">
            <w:pPr>
              <w:jc w:val="center"/>
              <w:rPr>
                <w:rFonts w:hint="eastAsia" w:ascii="宋体" w:hAnsi="宋体" w:eastAsia="宋体" w:cs="宋体"/>
                <w:i w:val="0"/>
                <w:iCs w:val="0"/>
                <w:color w:val="auto"/>
                <w:sz w:val="24"/>
                <w:szCs w:val="24"/>
                <w:highlight w:val="none"/>
                <w:u w:val="none"/>
              </w:rPr>
            </w:pPr>
          </w:p>
        </w:tc>
      </w:tr>
      <w:tr w14:paraId="45CDD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C0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A22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5EA8">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9F00E">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9065F">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C978D">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B777">
            <w:pPr>
              <w:jc w:val="center"/>
              <w:rPr>
                <w:rFonts w:hint="eastAsia" w:ascii="宋体" w:hAnsi="宋体" w:eastAsia="宋体" w:cs="宋体"/>
                <w:i w:val="0"/>
                <w:iCs w:val="0"/>
                <w:color w:val="auto"/>
                <w:sz w:val="24"/>
                <w:szCs w:val="24"/>
                <w:highlight w:val="none"/>
                <w:u w:val="none"/>
              </w:rPr>
            </w:pPr>
          </w:p>
        </w:tc>
      </w:tr>
      <w:tr w14:paraId="54311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58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25FC">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8ACB">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728CD">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CF1BC">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269D2">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8365">
            <w:pPr>
              <w:jc w:val="center"/>
              <w:rPr>
                <w:rFonts w:hint="eastAsia" w:ascii="宋体" w:hAnsi="宋体" w:eastAsia="宋体" w:cs="宋体"/>
                <w:i w:val="0"/>
                <w:iCs w:val="0"/>
                <w:color w:val="auto"/>
                <w:sz w:val="24"/>
                <w:szCs w:val="24"/>
                <w:highlight w:val="none"/>
                <w:u w:val="none"/>
              </w:rPr>
            </w:pPr>
          </w:p>
        </w:tc>
      </w:tr>
      <w:tr w14:paraId="5D329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28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329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59AE">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BD11A">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43309">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97AE0">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9AFE">
            <w:pPr>
              <w:jc w:val="center"/>
              <w:rPr>
                <w:rFonts w:hint="eastAsia" w:ascii="宋体" w:hAnsi="宋体" w:eastAsia="宋体" w:cs="宋体"/>
                <w:i w:val="0"/>
                <w:iCs w:val="0"/>
                <w:color w:val="auto"/>
                <w:sz w:val="24"/>
                <w:szCs w:val="24"/>
                <w:highlight w:val="none"/>
                <w:u w:val="none"/>
              </w:rPr>
            </w:pPr>
          </w:p>
        </w:tc>
      </w:tr>
      <w:tr w14:paraId="59F38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97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7306">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65E3">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7EC67">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E68D6">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64C93">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9AC2">
            <w:pPr>
              <w:jc w:val="center"/>
              <w:rPr>
                <w:rFonts w:hint="eastAsia" w:ascii="宋体" w:hAnsi="宋体" w:eastAsia="宋体" w:cs="宋体"/>
                <w:i w:val="0"/>
                <w:iCs w:val="0"/>
                <w:color w:val="auto"/>
                <w:sz w:val="24"/>
                <w:szCs w:val="24"/>
                <w:highlight w:val="none"/>
                <w:u w:val="none"/>
              </w:rPr>
            </w:pPr>
          </w:p>
        </w:tc>
      </w:tr>
    </w:tbl>
    <w:p w14:paraId="16D2828D">
      <w:pPr>
        <w:pStyle w:val="11"/>
        <w:rPr>
          <w:rFonts w:hint="eastAsia"/>
          <w:color w:val="auto"/>
          <w:highlight w:val="none"/>
        </w:rPr>
        <w:sectPr>
          <w:pgSz w:w="15840" w:h="12240" w:orient="landscape"/>
          <w:pgMar w:top="1797" w:right="1440" w:bottom="1797" w:left="1440" w:header="720" w:footer="720" w:gutter="0"/>
          <w:cols w:space="425" w:num="1"/>
          <w:docGrid w:linePitch="312" w:charSpace="0"/>
        </w:sectPr>
      </w:pPr>
    </w:p>
    <w:p w14:paraId="084FBCEC">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5A50C995">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2AC55281">
      <w:pPr>
        <w:pStyle w:val="41"/>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广州南沙经发建筑有限公司</w:t>
      </w:r>
      <w:r>
        <w:rPr>
          <w:rFonts w:hint="eastAsia" w:ascii="宋体" w:hAnsi="宋体" w:eastAsia="宋体"/>
          <w:color w:val="auto"/>
          <w:sz w:val="24"/>
          <w:szCs w:val="24"/>
          <w:highlight w:val="none"/>
          <w:u w:val="single"/>
        </w:rPr>
        <w:t xml:space="preserve"> </w:t>
      </w:r>
    </w:p>
    <w:p w14:paraId="1E118219">
      <w:pPr>
        <w:pStyle w:val="41"/>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金岭北路地块开发项目临电工程施工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14:paraId="129C6696">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2F6FCAB4">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630B349C">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6066774C">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5B406A1D">
      <w:pPr>
        <w:pStyle w:val="41"/>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07DBE091">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5B9AC0E1">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7E2DCF3F">
      <w:pPr>
        <w:pStyle w:val="42"/>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6AE560DC">
      <w:pPr>
        <w:pStyle w:val="41"/>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778328A">
      <w:pPr>
        <w:pStyle w:val="41"/>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6FD2439E">
      <w:pPr>
        <w:rPr>
          <w:rFonts w:hint="default"/>
          <w:color w:val="auto"/>
          <w:highlight w:val="none"/>
        </w:rPr>
      </w:pPr>
      <w:r>
        <w:rPr>
          <w:rFonts w:hint="default"/>
          <w:color w:val="auto"/>
          <w:highlight w:val="none"/>
        </w:rPr>
        <w:br w:type="page"/>
      </w:r>
    </w:p>
    <w:p w14:paraId="3D77426E">
      <w:pPr>
        <w:rPr>
          <w:rFonts w:hint="default" w:eastAsiaTheme="minor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4、品牌表（另附）</w:t>
      </w:r>
    </w:p>
    <w:p w14:paraId="710E5B7A">
      <w:pPr>
        <w:rPr>
          <w:rFonts w:hint="default" w:eastAsiaTheme="minorEastAsia"/>
          <w:color w:val="auto"/>
          <w:highlight w:val="none"/>
          <w:lang w:val="en-US" w:eastAsia="zh-CN"/>
        </w:rPr>
      </w:pPr>
      <w:r>
        <w:rPr>
          <w:rFonts w:hint="default" w:eastAsiaTheme="minorEastAsia"/>
          <w:color w:val="auto"/>
          <w:highlight w:val="none"/>
          <w:lang w:val="en-US" w:eastAsia="zh-CN"/>
        </w:rPr>
        <w:br w:type="page"/>
      </w:r>
    </w:p>
    <w:p w14:paraId="3F6B64C2">
      <w:pPr>
        <w:pStyle w:val="47"/>
        <w:ind w:left="0" w:firstLine="0" w:firstLineChars="0"/>
        <w:rPr>
          <w:rFonts w:hint="eastAsia" w:ascii="宋体" w:hAnsi="宋体" w:eastAsia="宋体" w:cs="仿宋_GB2312"/>
          <w:color w:val="auto"/>
          <w:kern w:val="2"/>
          <w:sz w:val="30"/>
          <w:szCs w:val="30"/>
          <w:highlight w:val="none"/>
          <w:lang w:eastAsia="zh-CN"/>
        </w:rPr>
      </w:pPr>
      <w:r>
        <w:rPr>
          <w:rFonts w:hint="eastAsia" w:ascii="宋体" w:hAnsi="宋体" w:eastAsia="宋体" w:cs="仿宋_GB2312"/>
          <w:color w:val="auto"/>
          <w:kern w:val="2"/>
          <w:sz w:val="30"/>
          <w:szCs w:val="30"/>
          <w:highlight w:val="none"/>
          <w:lang w:eastAsia="zh-CN"/>
        </w:rPr>
        <w:t>附件</w:t>
      </w:r>
      <w:r>
        <w:rPr>
          <w:rFonts w:hint="eastAsia" w:ascii="宋体" w:hAnsi="宋体" w:eastAsia="宋体" w:cs="仿宋_GB2312"/>
          <w:color w:val="auto"/>
          <w:kern w:val="2"/>
          <w:sz w:val="30"/>
          <w:szCs w:val="30"/>
          <w:highlight w:val="none"/>
          <w:lang w:val="en-US" w:eastAsia="zh-CN"/>
        </w:rPr>
        <w:t>5</w:t>
      </w:r>
      <w:r>
        <w:rPr>
          <w:rFonts w:hint="eastAsia" w:ascii="宋体" w:hAnsi="宋体" w:eastAsia="宋体" w:cs="仿宋_GB2312"/>
          <w:color w:val="auto"/>
          <w:kern w:val="2"/>
          <w:sz w:val="30"/>
          <w:szCs w:val="30"/>
          <w:highlight w:val="none"/>
          <w:lang w:eastAsia="zh-CN"/>
        </w:rPr>
        <w:t>：</w:t>
      </w:r>
    </w:p>
    <w:p w14:paraId="7AA0AB44">
      <w:pPr>
        <w:pStyle w:val="47"/>
        <w:ind w:left="0" w:firstLine="442" w:firstLineChars="100"/>
        <w:jc w:val="center"/>
        <w:rPr>
          <w:rFonts w:hint="eastAsia" w:ascii="宋体" w:hAnsi="宋体" w:eastAsia="宋体" w:cs="宋体"/>
          <w:b/>
          <w:bCs w:val="0"/>
          <w:color w:val="auto"/>
          <w:kern w:val="0"/>
          <w:sz w:val="44"/>
          <w:szCs w:val="44"/>
          <w:highlight w:val="none"/>
          <w:lang w:eastAsia="zh-CN"/>
        </w:rPr>
      </w:pPr>
      <w:r>
        <w:rPr>
          <w:rFonts w:hint="eastAsia" w:ascii="宋体" w:hAnsi="宋体" w:eastAsia="宋体" w:cs="宋体"/>
          <w:b/>
          <w:bCs w:val="0"/>
          <w:color w:val="auto"/>
          <w:kern w:val="0"/>
          <w:sz w:val="44"/>
          <w:szCs w:val="44"/>
          <w:highlight w:val="none"/>
          <w:lang w:eastAsia="zh-CN"/>
        </w:rPr>
        <w:t>技术要求（另附）</w:t>
      </w:r>
    </w:p>
    <w:p w14:paraId="5FD778A0">
      <w:pPr>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CFB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00FAF">
                          <w:pPr>
                            <w:pStyle w:val="1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2DC00FAF">
                    <w:pPr>
                      <w:pStyle w:val="1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6CF3A">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AB3EC8">
                          <w:pPr>
                            <w:pStyle w:val="1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2AB3EC8">
                    <w:pPr>
                      <w:pStyle w:val="1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7"/>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D852099"/>
    <w:multiLevelType w:val="multilevel"/>
    <w:tmpl w:val="4D852099"/>
    <w:lvl w:ilvl="0" w:tentative="0">
      <w:start w:val="1"/>
      <w:numFmt w:val="decimal"/>
      <w:lvlText w:val="%1."/>
      <w:lvlJc w:val="left"/>
      <w:pPr>
        <w:ind w:left="425" w:hanging="425"/>
      </w:pPr>
      <w:rPr>
        <w:rFonts w:hint="eastAsia"/>
        <w:b/>
      </w:rPr>
    </w:lvl>
    <w:lvl w:ilvl="1" w:tentative="0">
      <w:start w:val="1"/>
      <w:numFmt w:val="decimal"/>
      <w:lvlText w:val="%1.%2."/>
      <w:lvlJc w:val="left"/>
      <w:pPr>
        <w:ind w:left="567" w:hanging="567"/>
      </w:pPr>
    </w:lvl>
    <w:lvl w:ilvl="2" w:tentative="0">
      <w:start w:val="1"/>
      <w:numFmt w:val="decimal"/>
      <w:pStyle w:val="6"/>
      <w:lvlText w:val="%1.%2.%3."/>
      <w:lvlJc w:val="left"/>
      <w:pPr>
        <w:ind w:left="709" w:hanging="709"/>
      </w:pPr>
    </w:lvl>
    <w:lvl w:ilvl="3" w:tentative="0">
      <w:start w:val="1"/>
      <w:numFmt w:val="decimal"/>
      <w:lvlText w:val="%1.%2.%3.%4."/>
      <w:lvlJc w:val="left"/>
      <w:pPr>
        <w:ind w:left="1702"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ZWMxOGE0YmY2YWY1YmZjZDA3ZjQwNjk2YzI0ZDE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6F3B"/>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8339B"/>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3ED69A2"/>
    <w:rsid w:val="04177352"/>
    <w:rsid w:val="04364A4F"/>
    <w:rsid w:val="04376975"/>
    <w:rsid w:val="04435BE0"/>
    <w:rsid w:val="044C08C6"/>
    <w:rsid w:val="04982B21"/>
    <w:rsid w:val="04E40895"/>
    <w:rsid w:val="051B7598"/>
    <w:rsid w:val="052E78DA"/>
    <w:rsid w:val="059A4101"/>
    <w:rsid w:val="067736D9"/>
    <w:rsid w:val="073972E4"/>
    <w:rsid w:val="079A3CDA"/>
    <w:rsid w:val="07AD77EA"/>
    <w:rsid w:val="07F66A4C"/>
    <w:rsid w:val="08393BA7"/>
    <w:rsid w:val="083B43B1"/>
    <w:rsid w:val="08757A2C"/>
    <w:rsid w:val="08A9464F"/>
    <w:rsid w:val="08D505E6"/>
    <w:rsid w:val="08E03A6C"/>
    <w:rsid w:val="09062DA7"/>
    <w:rsid w:val="091F7224"/>
    <w:rsid w:val="09577D3C"/>
    <w:rsid w:val="0967478B"/>
    <w:rsid w:val="09A667E8"/>
    <w:rsid w:val="0A31358E"/>
    <w:rsid w:val="0A391C3C"/>
    <w:rsid w:val="0A621C44"/>
    <w:rsid w:val="0B372B92"/>
    <w:rsid w:val="0B534F80"/>
    <w:rsid w:val="0B546680"/>
    <w:rsid w:val="0BFF40FB"/>
    <w:rsid w:val="0C315FAA"/>
    <w:rsid w:val="0C855B7E"/>
    <w:rsid w:val="0C87037B"/>
    <w:rsid w:val="0CF74903"/>
    <w:rsid w:val="0E1A5AD0"/>
    <w:rsid w:val="0E1B10A8"/>
    <w:rsid w:val="0E80564C"/>
    <w:rsid w:val="0E87496A"/>
    <w:rsid w:val="0E8C2C83"/>
    <w:rsid w:val="0EA03B8A"/>
    <w:rsid w:val="0EAC0C18"/>
    <w:rsid w:val="0EB25F9A"/>
    <w:rsid w:val="0EB83A78"/>
    <w:rsid w:val="0ED8481A"/>
    <w:rsid w:val="0F263AB3"/>
    <w:rsid w:val="0F8D0176"/>
    <w:rsid w:val="0FD73768"/>
    <w:rsid w:val="10A4638E"/>
    <w:rsid w:val="10AB649B"/>
    <w:rsid w:val="10AC4C3F"/>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5C40BB9"/>
    <w:rsid w:val="16007AF5"/>
    <w:rsid w:val="16E55626"/>
    <w:rsid w:val="173D0A89"/>
    <w:rsid w:val="17463991"/>
    <w:rsid w:val="179E3273"/>
    <w:rsid w:val="17E64D32"/>
    <w:rsid w:val="17E977C8"/>
    <w:rsid w:val="182C4B8E"/>
    <w:rsid w:val="1873680D"/>
    <w:rsid w:val="18E67433"/>
    <w:rsid w:val="18F12637"/>
    <w:rsid w:val="19095239"/>
    <w:rsid w:val="19A846E9"/>
    <w:rsid w:val="19BE3F0C"/>
    <w:rsid w:val="19C37774"/>
    <w:rsid w:val="1A0155B4"/>
    <w:rsid w:val="1A5A3C35"/>
    <w:rsid w:val="1A6525DA"/>
    <w:rsid w:val="1AB46DAB"/>
    <w:rsid w:val="1B6C2995"/>
    <w:rsid w:val="1BB630ED"/>
    <w:rsid w:val="1BC44893"/>
    <w:rsid w:val="1BE136FF"/>
    <w:rsid w:val="1C05708F"/>
    <w:rsid w:val="1C307374"/>
    <w:rsid w:val="1C9203A6"/>
    <w:rsid w:val="1D6E44CC"/>
    <w:rsid w:val="1D7F1C04"/>
    <w:rsid w:val="1E032835"/>
    <w:rsid w:val="1E562810"/>
    <w:rsid w:val="1E707ECB"/>
    <w:rsid w:val="1EB63404"/>
    <w:rsid w:val="1EBD45C4"/>
    <w:rsid w:val="1F1C5732"/>
    <w:rsid w:val="1F234F3D"/>
    <w:rsid w:val="1F584BD1"/>
    <w:rsid w:val="1F7A6193"/>
    <w:rsid w:val="200E0A62"/>
    <w:rsid w:val="205D447F"/>
    <w:rsid w:val="206E043A"/>
    <w:rsid w:val="20AD4C4C"/>
    <w:rsid w:val="20E35285"/>
    <w:rsid w:val="20F27029"/>
    <w:rsid w:val="21424D60"/>
    <w:rsid w:val="215321ED"/>
    <w:rsid w:val="215D5254"/>
    <w:rsid w:val="224A02E7"/>
    <w:rsid w:val="227411DF"/>
    <w:rsid w:val="22934188"/>
    <w:rsid w:val="22BB36DF"/>
    <w:rsid w:val="23EE6B47"/>
    <w:rsid w:val="24856237"/>
    <w:rsid w:val="24DD793C"/>
    <w:rsid w:val="25053D8A"/>
    <w:rsid w:val="25687B33"/>
    <w:rsid w:val="25791876"/>
    <w:rsid w:val="26236584"/>
    <w:rsid w:val="26826F29"/>
    <w:rsid w:val="26B94C66"/>
    <w:rsid w:val="26BC1284"/>
    <w:rsid w:val="26EC20B9"/>
    <w:rsid w:val="26EC46E5"/>
    <w:rsid w:val="26FF6942"/>
    <w:rsid w:val="272101A5"/>
    <w:rsid w:val="272B74FA"/>
    <w:rsid w:val="2751149E"/>
    <w:rsid w:val="2837076A"/>
    <w:rsid w:val="2865301D"/>
    <w:rsid w:val="28C86C87"/>
    <w:rsid w:val="29051210"/>
    <w:rsid w:val="29175127"/>
    <w:rsid w:val="296119D7"/>
    <w:rsid w:val="2A2D3DE1"/>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A615C5"/>
    <w:rsid w:val="2EC40C57"/>
    <w:rsid w:val="2EE433BF"/>
    <w:rsid w:val="2EED69CE"/>
    <w:rsid w:val="2F740E9D"/>
    <w:rsid w:val="2F777046"/>
    <w:rsid w:val="2F9B6BBA"/>
    <w:rsid w:val="2FE96F27"/>
    <w:rsid w:val="2FEA73B1"/>
    <w:rsid w:val="30136E93"/>
    <w:rsid w:val="30334755"/>
    <w:rsid w:val="3050302C"/>
    <w:rsid w:val="30986BD2"/>
    <w:rsid w:val="309D4424"/>
    <w:rsid w:val="30EC6390"/>
    <w:rsid w:val="311233CC"/>
    <w:rsid w:val="3152520E"/>
    <w:rsid w:val="31B57180"/>
    <w:rsid w:val="326630DC"/>
    <w:rsid w:val="32B06690"/>
    <w:rsid w:val="33062754"/>
    <w:rsid w:val="33113670"/>
    <w:rsid w:val="3392223A"/>
    <w:rsid w:val="3411535B"/>
    <w:rsid w:val="34935BA4"/>
    <w:rsid w:val="34A264CA"/>
    <w:rsid w:val="34EA24D1"/>
    <w:rsid w:val="34FA131A"/>
    <w:rsid w:val="351F18AB"/>
    <w:rsid w:val="357C736A"/>
    <w:rsid w:val="35830B03"/>
    <w:rsid w:val="360432C3"/>
    <w:rsid w:val="360F448A"/>
    <w:rsid w:val="3700775A"/>
    <w:rsid w:val="37A26BD4"/>
    <w:rsid w:val="37A33759"/>
    <w:rsid w:val="37AE7FE3"/>
    <w:rsid w:val="37B20151"/>
    <w:rsid w:val="37F52A06"/>
    <w:rsid w:val="383813C8"/>
    <w:rsid w:val="38417D8A"/>
    <w:rsid w:val="38EE7F12"/>
    <w:rsid w:val="390B4D39"/>
    <w:rsid w:val="39131727"/>
    <w:rsid w:val="392A6A70"/>
    <w:rsid w:val="395D16DF"/>
    <w:rsid w:val="39731517"/>
    <w:rsid w:val="3982123F"/>
    <w:rsid w:val="39F52602"/>
    <w:rsid w:val="39FC703A"/>
    <w:rsid w:val="3A1F234D"/>
    <w:rsid w:val="3AAA60BB"/>
    <w:rsid w:val="3AB74334"/>
    <w:rsid w:val="3AC802EF"/>
    <w:rsid w:val="3B183024"/>
    <w:rsid w:val="3B514788"/>
    <w:rsid w:val="3B6D4312"/>
    <w:rsid w:val="3BB718A6"/>
    <w:rsid w:val="3BBA1D8E"/>
    <w:rsid w:val="3BC04127"/>
    <w:rsid w:val="3C88543E"/>
    <w:rsid w:val="3CA436FC"/>
    <w:rsid w:val="3CB7521C"/>
    <w:rsid w:val="3CBC20D5"/>
    <w:rsid w:val="3CE76215"/>
    <w:rsid w:val="3CF92F31"/>
    <w:rsid w:val="3CFF0303"/>
    <w:rsid w:val="3D242CB8"/>
    <w:rsid w:val="3D7619F9"/>
    <w:rsid w:val="3D957982"/>
    <w:rsid w:val="3D96007A"/>
    <w:rsid w:val="3D965718"/>
    <w:rsid w:val="3DCF3F9C"/>
    <w:rsid w:val="3DF62488"/>
    <w:rsid w:val="3DF7194C"/>
    <w:rsid w:val="3E7559A1"/>
    <w:rsid w:val="3E817133"/>
    <w:rsid w:val="3ECE4B63"/>
    <w:rsid w:val="3EDC25BB"/>
    <w:rsid w:val="3EF30213"/>
    <w:rsid w:val="3F4915A0"/>
    <w:rsid w:val="3F5F332B"/>
    <w:rsid w:val="3F641BC2"/>
    <w:rsid w:val="3F8502F8"/>
    <w:rsid w:val="3FBE56FE"/>
    <w:rsid w:val="3FD704B2"/>
    <w:rsid w:val="402B37FA"/>
    <w:rsid w:val="40362DEE"/>
    <w:rsid w:val="403B7AF1"/>
    <w:rsid w:val="405854B3"/>
    <w:rsid w:val="408D1DBF"/>
    <w:rsid w:val="409313F9"/>
    <w:rsid w:val="40B7508E"/>
    <w:rsid w:val="40CA2819"/>
    <w:rsid w:val="41A25D3E"/>
    <w:rsid w:val="41EC3A6C"/>
    <w:rsid w:val="42A2655E"/>
    <w:rsid w:val="43120161"/>
    <w:rsid w:val="43420D2F"/>
    <w:rsid w:val="436C5E0D"/>
    <w:rsid w:val="437259B2"/>
    <w:rsid w:val="43952229"/>
    <w:rsid w:val="43F36E83"/>
    <w:rsid w:val="44631084"/>
    <w:rsid w:val="446A549B"/>
    <w:rsid w:val="44755126"/>
    <w:rsid w:val="44800368"/>
    <w:rsid w:val="44E26451"/>
    <w:rsid w:val="44E4666D"/>
    <w:rsid w:val="44E811C0"/>
    <w:rsid w:val="457C68A6"/>
    <w:rsid w:val="45E74C1B"/>
    <w:rsid w:val="46871AD6"/>
    <w:rsid w:val="46E12E64"/>
    <w:rsid w:val="47025D0E"/>
    <w:rsid w:val="47354B90"/>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761B16"/>
    <w:rsid w:val="4AED722D"/>
    <w:rsid w:val="4B3D40BA"/>
    <w:rsid w:val="4BC136D0"/>
    <w:rsid w:val="4BF328A0"/>
    <w:rsid w:val="4C255A6B"/>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A35200"/>
    <w:rsid w:val="52C2143B"/>
    <w:rsid w:val="530611A9"/>
    <w:rsid w:val="530E35F9"/>
    <w:rsid w:val="531A11E6"/>
    <w:rsid w:val="53427976"/>
    <w:rsid w:val="53A07C03"/>
    <w:rsid w:val="53A63423"/>
    <w:rsid w:val="53B638D1"/>
    <w:rsid w:val="54386D63"/>
    <w:rsid w:val="54A36172"/>
    <w:rsid w:val="54BC0EE8"/>
    <w:rsid w:val="54DC110F"/>
    <w:rsid w:val="55592415"/>
    <w:rsid w:val="55D122F6"/>
    <w:rsid w:val="55D41C4B"/>
    <w:rsid w:val="56391F84"/>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B92347"/>
    <w:rsid w:val="5BC65072"/>
    <w:rsid w:val="5BCE61FA"/>
    <w:rsid w:val="5C7852D7"/>
    <w:rsid w:val="5C9B134E"/>
    <w:rsid w:val="5CF77B24"/>
    <w:rsid w:val="5D5E6B65"/>
    <w:rsid w:val="5D633297"/>
    <w:rsid w:val="5D8B36D2"/>
    <w:rsid w:val="5DAA1580"/>
    <w:rsid w:val="5DF14932"/>
    <w:rsid w:val="5DFF04E8"/>
    <w:rsid w:val="5E1A6FB5"/>
    <w:rsid w:val="5E7A3CE2"/>
    <w:rsid w:val="5E960581"/>
    <w:rsid w:val="5F355496"/>
    <w:rsid w:val="5F8349F8"/>
    <w:rsid w:val="5F865CD7"/>
    <w:rsid w:val="5F925D77"/>
    <w:rsid w:val="5FDC4484"/>
    <w:rsid w:val="600534B6"/>
    <w:rsid w:val="60BA0556"/>
    <w:rsid w:val="60C45C52"/>
    <w:rsid w:val="60F61E20"/>
    <w:rsid w:val="618B1EF3"/>
    <w:rsid w:val="61A7533B"/>
    <w:rsid w:val="61FC4B9F"/>
    <w:rsid w:val="621244D5"/>
    <w:rsid w:val="629E17B2"/>
    <w:rsid w:val="62A56FE4"/>
    <w:rsid w:val="62B2296D"/>
    <w:rsid w:val="62B247EF"/>
    <w:rsid w:val="632433D0"/>
    <w:rsid w:val="635E4552"/>
    <w:rsid w:val="636147EE"/>
    <w:rsid w:val="63DB6B9E"/>
    <w:rsid w:val="642D7291"/>
    <w:rsid w:val="65455B62"/>
    <w:rsid w:val="65652A5B"/>
    <w:rsid w:val="65B441A4"/>
    <w:rsid w:val="65C03100"/>
    <w:rsid w:val="65D8147F"/>
    <w:rsid w:val="66373494"/>
    <w:rsid w:val="663E17E3"/>
    <w:rsid w:val="66591B82"/>
    <w:rsid w:val="66593A91"/>
    <w:rsid w:val="66744448"/>
    <w:rsid w:val="675B4115"/>
    <w:rsid w:val="67D46774"/>
    <w:rsid w:val="68091DC3"/>
    <w:rsid w:val="68550B65"/>
    <w:rsid w:val="68572B2F"/>
    <w:rsid w:val="6898637C"/>
    <w:rsid w:val="68AD09A1"/>
    <w:rsid w:val="68B16D7B"/>
    <w:rsid w:val="68BA7003"/>
    <w:rsid w:val="68C531A9"/>
    <w:rsid w:val="6917406C"/>
    <w:rsid w:val="691C25EA"/>
    <w:rsid w:val="698555C7"/>
    <w:rsid w:val="6A9229AB"/>
    <w:rsid w:val="6B0456A9"/>
    <w:rsid w:val="6B601D2D"/>
    <w:rsid w:val="6BF6265F"/>
    <w:rsid w:val="6C281E78"/>
    <w:rsid w:val="6C307E68"/>
    <w:rsid w:val="6C3A341E"/>
    <w:rsid w:val="6C920572"/>
    <w:rsid w:val="6CF212B5"/>
    <w:rsid w:val="6D6261FE"/>
    <w:rsid w:val="6DB227E4"/>
    <w:rsid w:val="6DBE1759"/>
    <w:rsid w:val="6DC31ECB"/>
    <w:rsid w:val="6E307289"/>
    <w:rsid w:val="6E656845"/>
    <w:rsid w:val="6F174DC6"/>
    <w:rsid w:val="6F2A4AF9"/>
    <w:rsid w:val="6F2B6AC3"/>
    <w:rsid w:val="6F471F5D"/>
    <w:rsid w:val="6F563B40"/>
    <w:rsid w:val="6F891280"/>
    <w:rsid w:val="6F8E74DB"/>
    <w:rsid w:val="6F977CB5"/>
    <w:rsid w:val="70727FF1"/>
    <w:rsid w:val="70836CF8"/>
    <w:rsid w:val="70CF07C8"/>
    <w:rsid w:val="710F157A"/>
    <w:rsid w:val="71137471"/>
    <w:rsid w:val="71840FD7"/>
    <w:rsid w:val="718C3480"/>
    <w:rsid w:val="71CC7A42"/>
    <w:rsid w:val="71D2512F"/>
    <w:rsid w:val="721D56A4"/>
    <w:rsid w:val="7261248D"/>
    <w:rsid w:val="72837847"/>
    <w:rsid w:val="72987FCC"/>
    <w:rsid w:val="72BF7C4E"/>
    <w:rsid w:val="72D52FCE"/>
    <w:rsid w:val="72E43211"/>
    <w:rsid w:val="72F3401B"/>
    <w:rsid w:val="731416B4"/>
    <w:rsid w:val="736C262E"/>
    <w:rsid w:val="73712518"/>
    <w:rsid w:val="73873F96"/>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6E028F"/>
    <w:rsid w:val="79B066BE"/>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21370D"/>
    <w:rsid w:val="7D3E11F9"/>
    <w:rsid w:val="7D6E2861"/>
    <w:rsid w:val="7DDF7DDD"/>
    <w:rsid w:val="7E300909"/>
    <w:rsid w:val="7E3A59BF"/>
    <w:rsid w:val="7EC84C80"/>
    <w:rsid w:val="7EDA52F8"/>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4"/>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basedOn w:val="1"/>
    <w:next w:val="1"/>
    <w:unhideWhenUsed/>
    <w:qFormat/>
    <w:uiPriority w:val="99"/>
    <w:pPr>
      <w:widowControl/>
      <w:numPr>
        <w:ilvl w:val="2"/>
        <w:numId w:val="1"/>
      </w:numPr>
      <w:ind w:firstLine="0" w:firstLineChars="0"/>
      <w:contextualSpacing/>
      <w:jc w:val="left"/>
      <w:outlineLvl w:val="2"/>
    </w:pPr>
    <w:rPr>
      <w:rFonts w:ascii="仿宋_GB2312" w:eastAsia="仿宋_GB2312"/>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 w:type="paragraph" w:styleId="4">
    <w:name w:val="List Paragraph"/>
    <w:basedOn w:val="1"/>
    <w:unhideWhenUsed/>
    <w:qFormat/>
    <w:uiPriority w:val="99"/>
    <w:pPr>
      <w:ind w:firstLine="420" w:firstLineChars="200"/>
    </w:pPr>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next w:val="1"/>
    <w:qFormat/>
    <w:uiPriority w:val="0"/>
    <w:pPr>
      <w:ind w:firstLine="420"/>
    </w:pPr>
    <w:rPr>
      <w:rFonts w:ascii="Times New Roman" w:hAnsi="Times New Roman" w:eastAsia="宋体" w:cs="Times New Roman"/>
      <w:szCs w:val="20"/>
    </w:rPr>
  </w:style>
  <w:style w:type="paragraph" w:styleId="9">
    <w:name w:val="annotation text"/>
    <w:basedOn w:val="1"/>
    <w:semiHidden/>
    <w:unhideWhenUsed/>
    <w:qFormat/>
    <w:uiPriority w:val="0"/>
    <w:pPr>
      <w:jc w:val="left"/>
    </w:pPr>
  </w:style>
  <w:style w:type="paragraph" w:styleId="10">
    <w:name w:val="Body Text Indent"/>
    <w:basedOn w:val="1"/>
    <w:qFormat/>
    <w:uiPriority w:val="0"/>
    <w:pPr>
      <w:spacing w:after="120" w:afterLines="0" w:afterAutospacing="0"/>
      <w:ind w:left="420" w:leftChars="200"/>
    </w:pPr>
  </w:style>
  <w:style w:type="paragraph" w:styleId="11">
    <w:name w:val="Plain Text"/>
    <w:basedOn w:val="1"/>
    <w:next w:val="1"/>
    <w:link w:val="39"/>
    <w:qFormat/>
    <w:uiPriority w:val="0"/>
    <w:rPr>
      <w:rFonts w:hint="eastAsia" w:ascii="宋体" w:hAnsi="Courier New" w:eastAsia="宋体" w:cs="Times New Roman"/>
      <w:szCs w:val="21"/>
    </w:rPr>
  </w:style>
  <w:style w:type="paragraph" w:styleId="12">
    <w:name w:val="Balloon Text"/>
    <w:basedOn w:val="1"/>
    <w:link w:val="37"/>
    <w:qFormat/>
    <w:uiPriority w:val="0"/>
    <w:rPr>
      <w:sz w:val="18"/>
      <w:szCs w:val="18"/>
    </w:rPr>
  </w:style>
  <w:style w:type="paragraph" w:styleId="13">
    <w:name w:val="footer"/>
    <w:basedOn w:val="1"/>
    <w:link w:val="36"/>
    <w:qFormat/>
    <w:uiPriority w:val="0"/>
    <w:pPr>
      <w:tabs>
        <w:tab w:val="center" w:pos="4153"/>
        <w:tab w:val="right" w:pos="8306"/>
      </w:tabs>
      <w:snapToGrid w:val="0"/>
      <w:jc w:val="left"/>
    </w:pPr>
    <w:rPr>
      <w:sz w:val="18"/>
      <w:szCs w:val="18"/>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Body Text First Indent"/>
    <w:basedOn w:val="2"/>
    <w:link w:val="40"/>
    <w:qFormat/>
    <w:uiPriority w:val="0"/>
    <w:pPr>
      <w:spacing w:beforeAutospacing="1" w:after="120"/>
      <w:ind w:firstLine="420"/>
    </w:pPr>
    <w:rPr>
      <w:rFonts w:ascii="Times New Roman" w:hAnsi="Times New Roman" w:eastAsia="宋体" w:cs="Times New Roman"/>
      <w:szCs w:val="21"/>
    </w:rPr>
  </w:style>
  <w:style w:type="paragraph" w:styleId="17">
    <w:name w:val="Body Text First Indent 2"/>
    <w:basedOn w:val="10"/>
    <w:next w:val="18"/>
    <w:qFormat/>
    <w:uiPriority w:val="0"/>
    <w:pPr>
      <w:numPr>
        <w:ilvl w:val="0"/>
        <w:numId w:val="2"/>
      </w:numPr>
      <w:ind w:firstLine="420"/>
    </w:pPr>
  </w:style>
  <w:style w:type="paragraph" w:customStyle="1" w:styleId="18">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FollowedHyperlink"/>
    <w:basedOn w:val="21"/>
    <w:qFormat/>
    <w:uiPriority w:val="0"/>
    <w:rPr>
      <w:color w:val="0000FF"/>
      <w:u w:val="single"/>
    </w:rPr>
  </w:style>
  <w:style w:type="character" w:styleId="24">
    <w:name w:val="Hyperlink"/>
    <w:basedOn w:val="21"/>
    <w:qFormat/>
    <w:uiPriority w:val="0"/>
    <w:rPr>
      <w:color w:val="0000FF"/>
      <w:u w:val="single"/>
    </w:rPr>
  </w:style>
  <w:style w:type="paragraph" w:customStyle="1" w:styleId="25">
    <w:name w:val="样式 小四 行距: 1.5 倍行距"/>
    <w:basedOn w:val="1"/>
    <w:qFormat/>
    <w:uiPriority w:val="0"/>
    <w:pPr>
      <w:ind w:firstLine="480"/>
    </w:pPr>
    <w:rPr>
      <w:rFonts w:cs="宋体"/>
    </w:rPr>
  </w:style>
  <w:style w:type="paragraph" w:customStyle="1" w:styleId="26">
    <w:name w:val="表格文字"/>
    <w:basedOn w:val="1"/>
    <w:qFormat/>
    <w:uiPriority w:val="0"/>
    <w:pPr>
      <w:spacing w:before="25" w:after="25"/>
      <w:jc w:val="left"/>
    </w:pPr>
    <w:rPr>
      <w:bCs/>
      <w:spacing w:val="10"/>
      <w:kern w:val="0"/>
      <w:sz w:val="24"/>
    </w:rPr>
  </w:style>
  <w:style w:type="paragraph" w:customStyle="1" w:styleId="2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30">
    <w:name w:val="列出段落1"/>
    <w:basedOn w:val="1"/>
    <w:qFormat/>
    <w:uiPriority w:val="0"/>
    <w:pPr>
      <w:ind w:firstLine="420" w:firstLineChars="200"/>
    </w:pPr>
    <w:rPr>
      <w:rFonts w:ascii="Calibri" w:hAnsi="Calibri" w:eastAsia="宋体" w:cs="Times New Roman"/>
      <w:szCs w:val="21"/>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2">
    <w:name w:val="10"/>
    <w:basedOn w:val="21"/>
    <w:qFormat/>
    <w:uiPriority w:val="0"/>
    <w:rPr>
      <w:rFonts w:hint="default" w:ascii="Times New Roman" w:hAnsi="Times New Roman" w:cs="Times New Roman"/>
    </w:rPr>
  </w:style>
  <w:style w:type="character" w:customStyle="1" w:styleId="33">
    <w:name w:val="15"/>
    <w:basedOn w:val="21"/>
    <w:qFormat/>
    <w:uiPriority w:val="0"/>
    <w:rPr>
      <w:rFonts w:hint="default" w:ascii="Times New Roman" w:hAnsi="Times New Roman" w:cs="Times New Roman"/>
    </w:rPr>
  </w:style>
  <w:style w:type="character" w:customStyle="1" w:styleId="34">
    <w:name w:val="16"/>
    <w:basedOn w:val="21"/>
    <w:qFormat/>
    <w:uiPriority w:val="0"/>
    <w:rPr>
      <w:rFonts w:hint="default" w:ascii="Times New Roman" w:hAnsi="Times New Roman" w:cs="Times New Roman"/>
      <w:color w:val="0000FF"/>
      <w:u w:val="single"/>
    </w:rPr>
  </w:style>
  <w:style w:type="character" w:customStyle="1" w:styleId="35">
    <w:name w:val="页眉 Char"/>
    <w:basedOn w:val="21"/>
    <w:link w:val="14"/>
    <w:qFormat/>
    <w:uiPriority w:val="0"/>
    <w:rPr>
      <w:rFonts w:asciiTheme="minorHAnsi" w:hAnsiTheme="minorHAnsi" w:eastAsiaTheme="minorEastAsia" w:cstheme="minorBidi"/>
      <w:kern w:val="2"/>
      <w:sz w:val="18"/>
      <w:szCs w:val="18"/>
    </w:rPr>
  </w:style>
  <w:style w:type="character" w:customStyle="1" w:styleId="36">
    <w:name w:val="页脚 Char"/>
    <w:basedOn w:val="21"/>
    <w:link w:val="13"/>
    <w:qFormat/>
    <w:uiPriority w:val="0"/>
    <w:rPr>
      <w:rFonts w:asciiTheme="minorHAnsi" w:hAnsiTheme="minorHAnsi" w:eastAsiaTheme="minorEastAsia" w:cstheme="minorBidi"/>
      <w:kern w:val="2"/>
      <w:sz w:val="18"/>
      <w:szCs w:val="18"/>
    </w:rPr>
  </w:style>
  <w:style w:type="character" w:customStyle="1" w:styleId="37">
    <w:name w:val="批注框文本 Char"/>
    <w:basedOn w:val="21"/>
    <w:link w:val="12"/>
    <w:qFormat/>
    <w:uiPriority w:val="0"/>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character" w:customStyle="1" w:styleId="39">
    <w:name w:val="纯文本 Char"/>
    <w:link w:val="11"/>
    <w:qFormat/>
    <w:uiPriority w:val="0"/>
    <w:rPr>
      <w:rFonts w:ascii="宋体" w:hAnsi="Courier New"/>
      <w:kern w:val="2"/>
      <w:sz w:val="21"/>
      <w:szCs w:val="21"/>
    </w:rPr>
  </w:style>
  <w:style w:type="character" w:customStyle="1" w:styleId="40">
    <w:name w:val="正文首行缩进 Char"/>
    <w:basedOn w:val="21"/>
    <w:link w:val="16"/>
    <w:qFormat/>
    <w:uiPriority w:val="0"/>
    <w:rPr>
      <w:kern w:val="2"/>
      <w:sz w:val="21"/>
      <w:szCs w:val="21"/>
    </w:rPr>
  </w:style>
  <w:style w:type="paragraph" w:customStyle="1" w:styleId="41">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2">
    <w:name w:val="发文落款"/>
    <w:basedOn w:val="41"/>
    <w:qFormat/>
    <w:uiPriority w:val="0"/>
    <w:pPr>
      <w:ind w:left="4094" w:right="607" w:firstLine="0"/>
      <w:jc w:val="center"/>
    </w:pPr>
  </w:style>
  <w:style w:type="character" w:customStyle="1" w:styleId="43">
    <w:name w:val="c Char1"/>
    <w:link w:val="44"/>
    <w:qFormat/>
    <w:uiPriority w:val="0"/>
    <w:rPr>
      <w:rFonts w:eastAsia="仿宋_GB2312" w:cs="宋体"/>
      <w:sz w:val="28"/>
    </w:rPr>
  </w:style>
  <w:style w:type="paragraph" w:customStyle="1" w:styleId="44">
    <w:name w:val="c"/>
    <w:basedOn w:val="1"/>
    <w:link w:val="43"/>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5">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6">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7">
    <w:name w:val="二级正文"/>
    <w:basedOn w:val="1"/>
    <w:qFormat/>
    <w:uiPriority w:val="0"/>
    <w:pPr>
      <w:ind w:left="426" w:firstLine="560"/>
    </w:pPr>
    <w:rPr>
      <w:rFonts w:ascii="仿宋_GB2312" w:eastAsia="仿宋_GB2312"/>
      <w:kern w:val="0"/>
      <w:sz w:val="28"/>
      <w:szCs w:val="28"/>
    </w:rPr>
  </w:style>
  <w:style w:type="paragraph" w:customStyle="1" w:styleId="48">
    <w:name w:val="三级正文"/>
    <w:basedOn w:val="1"/>
    <w:qFormat/>
    <w:uiPriority w:val="0"/>
    <w:pPr>
      <w:ind w:left="630" w:leftChars="300" w:firstLine="560"/>
    </w:pPr>
    <w:rPr>
      <w:rFonts w:ascii="仿宋_GB2312" w:eastAsia="仿宋_GB2312"/>
      <w:kern w:val="0"/>
      <w:sz w:val="28"/>
      <w:szCs w:val="28"/>
    </w:rPr>
  </w:style>
  <w:style w:type="paragraph" w:customStyle="1" w:styleId="49">
    <w:name w:val="三级正文不编号"/>
    <w:basedOn w:val="48"/>
    <w:qFormat/>
    <w:uiPriority w:val="0"/>
    <w:pPr>
      <w:ind w:left="720"/>
    </w:pPr>
  </w:style>
  <w:style w:type="paragraph" w:customStyle="1" w:styleId="50">
    <w:name w:val="四级正文不编号"/>
    <w:basedOn w:val="48"/>
    <w:qFormat/>
    <w:uiPriority w:val="0"/>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9564</Words>
  <Characters>10282</Characters>
  <Lines>138</Lines>
  <Paragraphs>38</Paragraphs>
  <TotalTime>0</TotalTime>
  <ScaleCrop>false</ScaleCrop>
  <LinksUpToDate>false</LinksUpToDate>
  <CharactersWithSpaces>11053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广州南沙经发建筑有限公司[广州南沙经发建筑有限公司]</cp:lastModifiedBy>
  <cp:lastPrinted>2020-07-23T07:52:00Z</cp:lastPrinted>
  <dcterms:modified xsi:type="dcterms:W3CDTF">2025-07-11T02:30:34Z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3D6C6AB72B0F4FA3BC00A3E8CAB0D64B_13</vt:lpwstr>
  </property>
  <property fmtid="{D5CDD505-2E9C-101B-9397-08002B2CF9AE}" pid="4" name="KSOTemplateDocerSaveRecord">
    <vt:lpwstr>eyJoZGlkIjoiNWY1ZjliYzFmMGUxYjBmY2U5ZDZlZjE2ZGI3ZDYxMzUiLCJ1c2VySWQiOiI0MzI4Mjc0MDcifQ==</vt:lpwstr>
  </property>
</Properties>
</file>