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9555B">
      <w:pPr>
        <w:spacing w:line="360" w:lineRule="exact"/>
        <w:rPr>
          <w:rFonts w:ascii="宋体" w:hAnsi="宋体" w:eastAsia="宋体" w:cs="宋体"/>
          <w:color w:val="auto"/>
          <w:szCs w:val="21"/>
          <w:highlight w:val="none"/>
        </w:rPr>
      </w:pPr>
    </w:p>
    <w:p w14:paraId="0776AA7F">
      <w:pPr>
        <w:pStyle w:val="14"/>
        <w:rPr>
          <w:rFonts w:ascii="宋体" w:hAnsi="宋体" w:eastAsia="宋体" w:cs="宋体"/>
          <w:color w:val="auto"/>
          <w:szCs w:val="21"/>
          <w:highlight w:val="none"/>
        </w:rPr>
      </w:pPr>
    </w:p>
    <w:p w14:paraId="6F5A2A90">
      <w:pPr>
        <w:jc w:val="center"/>
        <w:rPr>
          <w:rFonts w:ascii="宋体" w:hAnsi="宋体" w:eastAsia="宋体" w:cs="宋体"/>
          <w:color w:val="auto"/>
          <w:sz w:val="56"/>
          <w:szCs w:val="56"/>
          <w:highlight w:val="none"/>
        </w:rPr>
      </w:pPr>
      <w:r>
        <w:rPr>
          <w:rFonts w:hint="eastAsia" w:ascii="宋体" w:hAnsi="宋体" w:eastAsia="宋体" w:cs="宋体"/>
          <w:b/>
          <w:color w:val="auto"/>
          <w:sz w:val="56"/>
          <w:szCs w:val="56"/>
          <w:highlight w:val="none"/>
          <w:lang w:eastAsia="zh-CN"/>
        </w:rPr>
        <w:t>南沙湾先行启动区国际科创融合发展综合开发项目一黄山鲁生态保护区基础设施提升工程(首期)招标代理</w:t>
      </w:r>
    </w:p>
    <w:p w14:paraId="4E76B6F0">
      <w:pPr>
        <w:jc w:val="center"/>
        <w:rPr>
          <w:rFonts w:hint="eastAsia" w:ascii="楷体" w:hAnsi="楷体" w:eastAsia="楷体" w:cs="楷体"/>
          <w:b/>
          <w:color w:val="auto"/>
          <w:sz w:val="110"/>
          <w:szCs w:val="110"/>
          <w:highlight w:val="none"/>
        </w:rPr>
      </w:pPr>
    </w:p>
    <w:p w14:paraId="034D10EA">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4740994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6DA8C5D">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CFBAE40">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2743012">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92D62C6">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7F8ED70">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8EBCF28">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DA67052">
      <w:pPr>
        <w:jc w:val="center"/>
        <w:rPr>
          <w:rFonts w:hint="eastAsia" w:ascii="宋体" w:hAnsi="宋体" w:eastAsia="宋体" w:cs="宋体"/>
          <w:b/>
          <w:color w:val="auto"/>
          <w:sz w:val="32"/>
          <w:szCs w:val="32"/>
          <w:highlight w:val="none"/>
          <w:lang w:eastAsia="zh-CN"/>
        </w:rPr>
      </w:pPr>
      <w:bookmarkStart w:id="0" w:name="_Toc29976"/>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广州南沙工化投资有限公司（建设单位）</w:t>
      </w:r>
    </w:p>
    <w:p w14:paraId="5EF3872B">
      <w:pPr>
        <w:jc w:val="center"/>
        <w:rPr>
          <w:rFonts w:ascii="宋体" w:hAnsi="宋体" w:eastAsia="宋体" w:cs="宋体"/>
          <w:color w:val="auto"/>
          <w:sz w:val="32"/>
          <w:szCs w:val="32"/>
          <w:highlight w:val="none"/>
        </w:rPr>
      </w:pP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eastAsia="zh-CN"/>
        </w:rPr>
        <w:t>广州南沙建设维护管理有限公司（建设管理单位）</w:t>
      </w:r>
    </w:p>
    <w:p w14:paraId="648AF2A7">
      <w:pPr>
        <w:spacing w:line="520" w:lineRule="exact"/>
        <w:ind w:right="-101" w:rightChars="-48" w:firstLine="2249" w:firstLineChars="7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2025</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14:paraId="62E6DC67">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p>
    <w:p w14:paraId="60E9A320">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3D336847">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3EF1BB1F">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301C0ACE">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6B60E18D">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5</w:t>
          </w:r>
        </w:p>
        <w:p w14:paraId="34520BE1">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6</w:t>
          </w:r>
        </w:p>
        <w:p w14:paraId="73254809">
          <w:pPr>
            <w:pStyle w:val="13"/>
            <w:tabs>
              <w:tab w:val="right" w:leader="dot" w:pos="9419"/>
            </w:tabs>
            <w:rPr>
              <w:rFonts w:hint="default"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27</w:t>
          </w:r>
        </w:p>
        <w:p w14:paraId="3C8A46EB">
          <w:pPr>
            <w:pStyle w:val="13"/>
            <w:tabs>
              <w:tab w:val="right" w:leader="dot" w:pos="9419"/>
            </w:tabs>
            <w:rPr>
              <w:rFonts w:hint="eastAsia" w:asciiTheme="minorEastAsia" w:hAnsiTheme="minorEastAsia" w:eastAsiaTheme="minorEastAsia" w:cstheme="minorEastAsia"/>
              <w:color w:val="auto"/>
              <w:sz w:val="24"/>
              <w:szCs w:val="24"/>
              <w:highlight w:val="none"/>
              <w:lang w:val="en-US" w:eastAsia="zh-CN"/>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lang w:val="en-US" w:eastAsia="zh-CN"/>
            </w:rPr>
            <w:t>4</w:t>
          </w:r>
        </w:p>
        <w:p w14:paraId="06B11082">
          <w:pPr>
            <w:rPr>
              <w:color w:val="auto"/>
              <w:highlight w:val="none"/>
            </w:rPr>
          </w:pPr>
          <w:r>
            <w:rPr>
              <w:rFonts w:hint="eastAsia" w:asciiTheme="minorEastAsia" w:hAnsiTheme="minorEastAsia" w:cstheme="minorEastAsia"/>
              <w:color w:val="auto"/>
              <w:sz w:val="24"/>
              <w:highlight w:val="none"/>
            </w:rPr>
            <w:fldChar w:fldCharType="end"/>
          </w:r>
        </w:p>
      </w:sdtContent>
    </w:sdt>
    <w:p w14:paraId="47E3C314">
      <w:pPr>
        <w:pStyle w:val="14"/>
        <w:widowControl/>
        <w:spacing w:after="0"/>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14:paraId="4052BA42">
      <w:pPr>
        <w:pStyle w:val="3"/>
        <w:widowControl/>
        <w:spacing w:before="0" w:after="0" w:line="360" w:lineRule="auto"/>
        <w:jc w:val="center"/>
        <w:rPr>
          <w:rFonts w:ascii="黑体" w:hAnsi="宋体" w:cs="黑体"/>
          <w:b/>
          <w:color w:val="auto"/>
          <w:kern w:val="44"/>
          <w:sz w:val="44"/>
          <w:szCs w:val="44"/>
          <w:highlight w:val="none"/>
        </w:rPr>
      </w:pPr>
      <w:bookmarkStart w:id="1" w:name="_Toc374128472"/>
      <w:bookmarkStart w:id="2" w:name="_Toc13302"/>
      <w:r>
        <w:rPr>
          <w:rFonts w:hint="eastAsia" w:ascii="黑体" w:hAnsi="宋体" w:cs="黑体"/>
          <w:b/>
          <w:color w:val="auto"/>
          <w:kern w:val="44"/>
          <w:sz w:val="44"/>
          <w:szCs w:val="44"/>
          <w:highlight w:val="none"/>
        </w:rPr>
        <w:t>第1章 投标须知及前附表</w:t>
      </w:r>
      <w:bookmarkEnd w:id="1"/>
      <w:bookmarkEnd w:id="2"/>
    </w:p>
    <w:p w14:paraId="34B19DB9">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14:paraId="42AEF1CC">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256463FD">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6E16704F">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3C4DA721">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6EED56C6">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17AA5A13">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82B2CAA">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F2E495">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0FD06A8">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91FC34F">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南沙湾先行启动区国际科创融合发展综合开发项目一黄山鲁生态保护区基础设施提升工程(首期)招标代理</w:t>
            </w:r>
          </w:p>
        </w:tc>
      </w:tr>
      <w:tr w14:paraId="7F8E1643">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6D8D04E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5689D43A">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EC770C">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B5B225B">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53D1BC1">
            <w:pPr>
              <w:spacing w:line="360" w:lineRule="auto"/>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rPr>
              <w:t>广州市南沙区</w:t>
            </w:r>
          </w:p>
        </w:tc>
      </w:tr>
      <w:tr w14:paraId="1F5D79CA">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40F28FD4">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B4ABFCA">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32F142C">
            <w:pPr>
              <w:pStyle w:val="14"/>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BC3D094">
            <w:pPr>
              <w:widowControl w:val="0"/>
              <w:numPr>
                <w:ilvl w:val="-1"/>
                <w:numId w:val="0"/>
              </w:numPr>
              <w:spacing w:line="360" w:lineRule="auto"/>
              <w:ind w:firstLine="0" w:firstLineChars="0"/>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lang w:val="en-US" w:eastAsia="zh-CN"/>
              </w:rPr>
              <w:t xml:space="preserve">黄山鲁森林公园，位于广东省广州市南沙区。是广州最大的开放式森林公园，森林公园包括周边区域占地约1200多公顷，主峰海拔295米，为广州南部最高峰。集自然观光、科普教育、湿地观赏、文化体验等综合功能为一体的城区型森林公园。 </w:t>
            </w:r>
          </w:p>
        </w:tc>
      </w:tr>
      <w:tr w14:paraId="46A51988">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3DB494D">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50F3FBF">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4DD974E">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39EB99D">
            <w:pPr>
              <w:widowControl w:val="0"/>
              <w:numPr>
                <w:ilvl w:val="0"/>
                <w:numId w:val="0"/>
              </w:numPr>
              <w:spacing w:line="360" w:lineRule="auto"/>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黄山鲁生态保护区基础设施提升工程(首期)</w:t>
            </w:r>
            <w:r>
              <w:rPr>
                <w:rFonts w:hint="eastAsia" w:ascii="宋体" w:hAnsi="宋体" w:eastAsia="宋体" w:cs="宋体"/>
                <w:color w:val="auto"/>
                <w:szCs w:val="21"/>
                <w:highlight w:val="none"/>
                <w:lang w:val="en-US" w:eastAsia="zh-CN"/>
              </w:rPr>
              <w:t>投资额1.5亿元。</w:t>
            </w:r>
          </w:p>
        </w:tc>
      </w:tr>
      <w:tr w14:paraId="00C988F5">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0107D3D">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F3BD600">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F1340CE">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4B747D0">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eastAsia="zh-CN" w:bidi="ar-SA"/>
              </w:rPr>
              <w:t>符合国家及省市区相关招标采购法律法规</w:t>
            </w:r>
          </w:p>
        </w:tc>
      </w:tr>
      <w:tr w14:paraId="4AE062B5">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345D1F0">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545C5AD">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6D2E656">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00AB5E8">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en-GB" w:eastAsia="zh-CN"/>
              </w:rPr>
              <w:t>服务范围及内容：包括但不限于黄山鲁生态保护区基础设施提升工程</w:t>
            </w:r>
            <w:r>
              <w:rPr>
                <w:rFonts w:hint="eastAsia" w:ascii="宋体" w:hAnsi="宋体" w:eastAsia="宋体" w:cs="宋体"/>
                <w:color w:val="auto"/>
                <w:sz w:val="21"/>
                <w:szCs w:val="21"/>
                <w:highlight w:val="none"/>
                <w:lang w:val="en-US" w:eastAsia="zh-CN"/>
              </w:rPr>
              <w:t>需开展的招标</w:t>
            </w:r>
            <w:r>
              <w:rPr>
                <w:rFonts w:hint="eastAsia" w:ascii="宋体" w:hAnsi="宋体" w:eastAsia="宋体" w:cs="宋体"/>
                <w:color w:val="auto"/>
                <w:sz w:val="21"/>
                <w:szCs w:val="21"/>
                <w:highlight w:val="none"/>
                <w:lang w:val="en-GB" w:eastAsia="zh-CN"/>
              </w:rPr>
              <w:t>采购事项：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GB" w:eastAsia="zh-CN"/>
              </w:rPr>
              <w:t>设计竞赛；</w:t>
            </w:r>
            <w:r>
              <w:rPr>
                <w:rFonts w:hint="eastAsia" w:ascii="宋体" w:hAnsi="宋体" w:eastAsia="宋体" w:cs="宋体"/>
                <w:color w:val="auto"/>
                <w:sz w:val="21"/>
                <w:szCs w:val="21"/>
                <w:highlight w:val="none"/>
                <w:lang w:val="en-US" w:eastAsia="zh-CN"/>
              </w:rPr>
              <w:t>2、EPC招标（施工图设计+施工）；3、监理；4、第三方检测。</w:t>
            </w:r>
          </w:p>
          <w:p w14:paraId="37B8E81A">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sz w:val="21"/>
                <w:szCs w:val="21"/>
                <w:highlight w:val="none"/>
                <w:lang w:val="en-GB" w:eastAsia="zh-CN"/>
              </w:rPr>
            </w:pPr>
            <w:r>
              <w:rPr>
                <w:rFonts w:hint="eastAsia" w:ascii="宋体" w:hAnsi="宋体" w:eastAsia="宋体" w:cs="宋体"/>
                <w:color w:val="auto"/>
                <w:sz w:val="21"/>
                <w:szCs w:val="21"/>
                <w:highlight w:val="none"/>
                <w:lang w:val="en-GB" w:eastAsia="zh-CN"/>
              </w:rPr>
              <w:t>招标采购工作具体如下：</w:t>
            </w:r>
          </w:p>
          <w:p w14:paraId="77F649F7">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1.为招标人提供法律法规及政策等相关规定的咨询服务；</w:t>
            </w:r>
          </w:p>
          <w:p w14:paraId="7D4E6E30">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根据工程项目的特点和需要及招标人要求完善用户需求书，以及编制招标采购计划、招标</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eastAsia="zh-CN"/>
              </w:rPr>
              <w:t>公告及招标</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eastAsia="zh-CN"/>
              </w:rPr>
              <w:t>文件，前述有关文件内容符合法律要求及有关规定；</w:t>
            </w:r>
          </w:p>
          <w:p w14:paraId="0B27D285">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3.根据招标人用户需求书制定科学的评标/评审方法、步骤和标准，并应提交招标人进行核查确认；</w:t>
            </w:r>
          </w:p>
          <w:p w14:paraId="769B3793">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4.经招标人审定的招标/采购文件无误后，根据招标人要求，办理广州市公共资源交易中心入场申请登记（如需）,</w:t>
            </w:r>
            <w:r>
              <w:rPr>
                <w:rFonts w:hint="eastAsia" w:ascii="宋体" w:hAnsi="宋体" w:eastAsia="宋体" w:cs="宋体"/>
                <w:color w:val="auto"/>
                <w:sz w:val="21"/>
                <w:szCs w:val="21"/>
                <w:highlight w:val="none"/>
                <w:lang w:val="zh-CN" w:eastAsia="zh-CN"/>
              </w:rPr>
              <w:t>依法依规发布招标计划、招标</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eastAsia="zh-CN"/>
              </w:rPr>
              <w:t>公告及招标</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lang w:val="zh-CN" w:eastAsia="zh-CN"/>
              </w:rPr>
              <w:t>文件等相关招标采购资料</w:t>
            </w:r>
            <w:r>
              <w:rPr>
                <w:rFonts w:hint="eastAsia" w:ascii="宋体" w:hAnsi="宋体" w:eastAsia="宋体" w:cs="宋体"/>
                <w:color w:val="auto"/>
                <w:sz w:val="21"/>
                <w:szCs w:val="21"/>
                <w:highlight w:val="none"/>
                <w:lang w:val="en-US" w:eastAsia="zh-CN"/>
              </w:rPr>
              <w:t>，依法抽取专家组建评标委员会，确定评标地点，依法组织开标、评标定标工作；</w:t>
            </w:r>
          </w:p>
          <w:p w14:paraId="6B9EDD23">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5.在通知招标人并获得招标人同意后，组织评标/评选工作； </w:t>
            </w:r>
          </w:p>
          <w:p w14:paraId="43ED1743">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6.整理评标报告并送招标人及有关部门；</w:t>
            </w:r>
          </w:p>
          <w:p w14:paraId="4743E8D7">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7.依法发布招标、更正、延期、中标等内容的公告信息；</w:t>
            </w:r>
          </w:p>
          <w:p w14:paraId="239D6654">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8.根据项目需要组织项目投标人进行现场踏勘；</w:t>
            </w:r>
          </w:p>
          <w:p w14:paraId="5045A621">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9.根据项目需要组织相关答疑会；</w:t>
            </w:r>
          </w:p>
          <w:p w14:paraId="02489FE2">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10.依法答复投标人有关法律法规及招标程序方面询问和异议（异议答复的内容不得涉及招标人商业秘密）；</w:t>
            </w:r>
          </w:p>
          <w:p w14:paraId="7A55D55C">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11.依法办理本合同项目招标过程中的有关文件报送备案；</w:t>
            </w:r>
          </w:p>
          <w:p w14:paraId="49CE250D">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12.出具并协助发出中标/成交通知书；</w:t>
            </w:r>
          </w:p>
          <w:p w14:paraId="2604D88D">
            <w:pPr>
              <w:keepNext w:val="0"/>
              <w:keepLines w:val="0"/>
              <w:pageBreakBefore w:val="0"/>
              <w:widowControl/>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13.按招标人要求，编制、整理招标全过程书面资料及电子文件，装订成册移交给招标人。</w:t>
            </w:r>
          </w:p>
          <w:p w14:paraId="681AB47A">
            <w:pPr>
              <w:widowControl/>
              <w:numPr>
                <w:ilvl w:val="-1"/>
                <w:numId w:val="0"/>
              </w:numPr>
              <w:snapToGrid w:val="0"/>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14.法律法规规定及招标人要求的其他事项。</w:t>
            </w:r>
          </w:p>
        </w:tc>
      </w:tr>
      <w:tr w14:paraId="1440AD69">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5AD237B">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C5C628D">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969FECB">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B4D8A63">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根据招标采购法律法规并结合招标人时间安排，完成招标采购工作</w:t>
            </w:r>
          </w:p>
        </w:tc>
      </w:tr>
      <w:tr w14:paraId="59C17AF2">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C369116">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6F02C5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99DB89A">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6C185B2">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14:paraId="4D53763B">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8DD372F">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4DA8A7F">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E6F60E0">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w:t>
            </w:r>
            <w:r>
              <w:rPr>
                <w:rFonts w:hint="eastAsia" w:ascii="宋体" w:hAnsi="宋体" w:eastAsia="宋体" w:cs="宋体"/>
                <w:color w:val="auto"/>
                <w:highlight w:val="none"/>
                <w:lang w:val="en-US" w:eastAsia="zh-CN"/>
              </w:rPr>
              <w:t>格</w:t>
            </w:r>
            <w:r>
              <w:rPr>
                <w:rFonts w:hint="eastAsia" w:ascii="宋体" w:hAnsi="宋体" w:eastAsia="宋体" w:cs="宋体"/>
                <w:color w:val="auto"/>
                <w:highlight w:val="none"/>
              </w:rPr>
              <w:t>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B4432A9">
            <w:pPr>
              <w:keepNext w:val="0"/>
              <w:keepLines w:val="0"/>
              <w:pageBreakBefore w:val="0"/>
              <w:widowControl/>
              <w:numPr>
                <w:ilvl w:val="-1"/>
                <w:numId w:val="0"/>
              </w:numPr>
              <w:kinsoku/>
              <w:wordWrap/>
              <w:overflowPunct/>
              <w:topLinePunct w:val="0"/>
              <w:autoSpaceDE/>
              <w:autoSpaceDN/>
              <w:bidi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具有独立法人资格，持有工商行政管理部门核发的有效法人营业执照或各级登记管理机关颁发的事业单位法人证</w:t>
            </w:r>
            <w:r>
              <w:rPr>
                <w:rFonts w:hint="eastAsia" w:ascii="宋体" w:hAnsi="宋体" w:eastAsia="宋体" w:cs="宋体"/>
                <w:color w:val="auto"/>
                <w:sz w:val="21"/>
                <w:szCs w:val="21"/>
                <w:highlight w:val="none"/>
                <w:lang w:val="en-US" w:eastAsia="zh-CN"/>
              </w:rPr>
              <w:t>书</w:t>
            </w:r>
            <w:r>
              <w:rPr>
                <w:rFonts w:hint="eastAsia" w:ascii="宋体" w:hAnsi="宋体" w:eastAsia="宋体" w:cs="宋体"/>
                <w:color w:val="auto"/>
                <w:sz w:val="21"/>
                <w:szCs w:val="21"/>
                <w:highlight w:val="none"/>
                <w:lang w:eastAsia="zh-CN"/>
              </w:rPr>
              <w:t>，按国家法律经营</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提供相关</w:t>
            </w:r>
            <w:r>
              <w:rPr>
                <w:rFonts w:hint="eastAsia" w:ascii="宋体" w:hAnsi="宋体" w:eastAsia="宋体" w:cs="宋体"/>
                <w:color w:val="auto"/>
                <w:sz w:val="21"/>
                <w:szCs w:val="21"/>
                <w:highlight w:val="none"/>
              </w:rPr>
              <w:t>复印件</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加盖公章。</w:t>
            </w:r>
          </w:p>
          <w:p w14:paraId="2E31FBDA">
            <w:pPr>
              <w:keepNext w:val="0"/>
              <w:keepLines w:val="0"/>
              <w:pageBreakBefore w:val="0"/>
              <w:widowControl/>
              <w:kinsoku/>
              <w:wordWrap/>
              <w:overflowPunct/>
              <w:topLinePunct w:val="0"/>
              <w:autoSpaceDE/>
              <w:autoSpaceDN/>
              <w:bidi w:val="0"/>
              <w:snapToGrid/>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2、须在市级住建行业信用管理平台建立企业诚信档案。提供网上查询结果打印页面并加盖公章。</w:t>
            </w:r>
          </w:p>
          <w:p w14:paraId="6567D02B">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投标人已按照</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附件的内容签署盖章的投标申请人声明</w:t>
            </w:r>
            <w:r>
              <w:rPr>
                <w:rFonts w:hint="eastAsia" w:ascii="宋体" w:hAnsi="宋体" w:eastAsia="宋体" w:cs="宋体"/>
                <w:color w:val="auto"/>
                <w:sz w:val="21"/>
                <w:szCs w:val="21"/>
                <w:highlight w:val="none"/>
                <w:lang w:eastAsia="zh-CN"/>
              </w:rPr>
              <w:t>。</w:t>
            </w:r>
          </w:p>
          <w:p w14:paraId="409160A9">
            <w:pPr>
              <w:widowControl/>
              <w:numPr>
                <w:ilvl w:val="-1"/>
                <w:numId w:val="0"/>
              </w:num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关于联合体投标：本次招标不接受联合体投标。</w:t>
            </w:r>
          </w:p>
        </w:tc>
      </w:tr>
      <w:tr w14:paraId="1DA1B304">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36FC3A4">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lang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3733905">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48A7324">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88826B2">
            <w:pPr>
              <w:pStyle w:val="9"/>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14:paraId="463A729A">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124FFEA">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8F343D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213E5CD">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4981518">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w:t>
            </w:r>
          </w:p>
        </w:tc>
      </w:tr>
      <w:tr w14:paraId="13FF0816">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7EE74D6">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C0D61E6">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8BF048D">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89C9B70">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14:paraId="479340C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28DDA76">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D91560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567E0A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DB0D25E">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14:paraId="0F971060">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D98BD77">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71810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757A9B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0AC120D">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14:paraId="052673E6">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0793B8D">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bookmarkStart w:id="40" w:name="_GoBack"/>
            <w:r>
              <w:rPr>
                <w:rFonts w:hint="eastAsia" w:ascii="宋体" w:hAnsi="宋体" w:eastAsia="宋体" w:cs="宋体"/>
                <w:color w:val="auto"/>
                <w:highlight w:val="none"/>
              </w:rPr>
              <w:t>1</w:t>
            </w:r>
            <w:r>
              <w:rPr>
                <w:rFonts w:hint="eastAsia" w:ascii="宋体" w:hAnsi="宋体" w:eastAsia="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BFEC6F4">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FF0F982">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9B6BC30">
            <w:pPr>
              <w:spacing w:beforeLines="0" w:afterLines="0" w:line="360" w:lineRule="auto"/>
              <w:ind w:firstLine="48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本</w:t>
            </w:r>
            <w:r>
              <w:rPr>
                <w:rFonts w:hint="eastAsia" w:ascii="宋体" w:hAnsi="宋体" w:eastAsia="宋体" w:cs="宋体"/>
                <w:color w:val="auto"/>
                <w:sz w:val="21"/>
                <w:szCs w:val="21"/>
                <w:highlight w:val="none"/>
                <w:lang w:val="en-US" w:eastAsia="zh-CN"/>
              </w:rPr>
              <w:t>项目总</w:t>
            </w:r>
            <w:r>
              <w:rPr>
                <w:rFonts w:hint="eastAsia" w:ascii="宋体" w:hAnsi="宋体" w:eastAsia="宋体" w:cs="宋体"/>
                <w:color w:val="auto"/>
                <w:sz w:val="21"/>
                <w:szCs w:val="21"/>
                <w:highlight w:val="none"/>
                <w:lang w:eastAsia="zh-CN"/>
              </w:rPr>
              <w:t>招标代理费用的</w:t>
            </w:r>
            <w:r>
              <w:rPr>
                <w:rFonts w:hint="eastAsia" w:ascii="宋体" w:hAnsi="宋体" w:eastAsia="宋体" w:cs="宋体"/>
                <w:color w:val="auto"/>
                <w:sz w:val="21"/>
                <w:szCs w:val="21"/>
                <w:highlight w:val="none"/>
              </w:rPr>
              <w:t>招标控</w:t>
            </w:r>
            <w:r>
              <w:rPr>
                <w:rFonts w:hint="eastAsia" w:ascii="宋体" w:hAnsi="宋体" w:eastAsia="宋体" w:cs="宋体"/>
                <w:color w:val="auto"/>
                <w:sz w:val="21"/>
                <w:szCs w:val="21"/>
                <w:highlight w:val="none"/>
                <w:lang w:eastAsia="zh-CN"/>
              </w:rPr>
              <w:t>制价为</w:t>
            </w:r>
            <w:r>
              <w:rPr>
                <w:rFonts w:hint="eastAsia" w:ascii="宋体" w:hAnsi="宋体" w:eastAsia="宋体" w:cs="宋体"/>
                <w:color w:val="auto"/>
                <w:sz w:val="21"/>
                <w:szCs w:val="21"/>
                <w:highlight w:val="none"/>
                <w:lang w:val="en-US" w:eastAsia="zh-CN"/>
              </w:rPr>
              <w:t>¥655,683.84</w:t>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lang w:val="en-US" w:eastAsia="zh-CN"/>
              </w:rPr>
              <w:t>。</w:t>
            </w:r>
          </w:p>
          <w:p w14:paraId="1C68B1B8">
            <w:pPr>
              <w:spacing w:beforeLines="0" w:afterLines="0" w:line="360" w:lineRule="auto"/>
              <w:ind w:firstLine="48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投标单位自行报价，投标报价不能超过招标控制</w:t>
            </w:r>
            <w:r>
              <w:rPr>
                <w:rFonts w:hint="eastAsia" w:ascii="宋体" w:hAnsi="宋体" w:eastAsia="宋体" w:cs="宋体"/>
                <w:color w:val="auto"/>
                <w:kern w:val="2"/>
                <w:sz w:val="21"/>
                <w:szCs w:val="21"/>
                <w:highlight w:val="none"/>
                <w:lang w:val="en-US" w:eastAsia="zh-CN" w:bidi="ar-SA"/>
              </w:rPr>
              <w:t>价及各分项限价，否则按废标处理。其中：1、分项限价表中1-4项竞赛组织费用为</w:t>
            </w:r>
            <w:r>
              <w:rPr>
                <w:rFonts w:hint="eastAsia" w:ascii="宋体" w:hAnsi="宋体" w:eastAsia="宋体" w:cs="宋体"/>
                <w:b w:val="0"/>
                <w:bCs w:val="0"/>
                <w:i w:val="0"/>
                <w:iCs w:val="0"/>
                <w:color w:val="auto"/>
                <w:kern w:val="2"/>
                <w:sz w:val="21"/>
                <w:szCs w:val="21"/>
                <w:highlight w:val="none"/>
                <w:u w:val="none"/>
                <w:lang w:val="en-US" w:eastAsia="zh-CN" w:bidi="ar-SA"/>
              </w:rPr>
              <w:t>招标代理单位代收代付，不参与报价下浮率计算；</w:t>
            </w:r>
            <w:r>
              <w:rPr>
                <w:rFonts w:hint="eastAsia" w:ascii="宋体" w:hAnsi="宋体" w:eastAsia="宋体" w:cs="宋体"/>
                <w:color w:val="auto"/>
                <w:kern w:val="2"/>
                <w:sz w:val="21"/>
                <w:szCs w:val="21"/>
                <w:highlight w:val="none"/>
                <w:lang w:val="en-US" w:eastAsia="zh-CN" w:bidi="ar-SA"/>
              </w:rPr>
              <w:t>2、设计竞赛代理费用A为单次固定费用，投标人应报出固定费用金额；3、投标包人应报出代理费用B、C、D的费用金额</w:t>
            </w:r>
            <w:r>
              <w:rPr>
                <w:rFonts w:hint="eastAsia" w:ascii="宋体" w:hAnsi="宋体" w:eastAsia="宋体" w:cs="宋体"/>
                <w:color w:val="auto"/>
                <w:kern w:val="2"/>
                <w:sz w:val="21"/>
                <w:szCs w:val="21"/>
                <w:highlight w:val="none"/>
                <w:u w:val="none"/>
                <w:lang w:val="en-US" w:eastAsia="zh-CN" w:bidi="ar-SA"/>
              </w:rPr>
              <w:t>及投标下浮率，投标下浮率=1-（投标报价/招标代理收费基准价格）×100%，代理费用B、C、D的投标下浮率应为同一数值。</w:t>
            </w:r>
          </w:p>
        </w:tc>
      </w:tr>
      <w:bookmarkEnd w:id="40"/>
      <w:tr w14:paraId="6611AECB">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DA6BBF4">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022E380">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8C0252B">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42119AF">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14:paraId="45501183">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245F1A2">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7A17B6F">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C96E41C">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949DCE6">
            <w:pPr>
              <w:numPr>
                <w:ilvl w:val="-1"/>
                <w:numId w:val="0"/>
              </w:numPr>
              <w:adjustRightInd w:val="0"/>
              <w:snapToGrid w:val="0"/>
              <w:spacing w:line="360" w:lineRule="auto"/>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14:paraId="33A3C27A">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2891F74">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E29964A">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2EE5E1B">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C86896">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14:paraId="70C87F2A">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CC87033">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E23A6F9">
            <w:pPr>
              <w:pStyle w:val="14"/>
              <w:widowControl/>
              <w:spacing w:after="0"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C4E0A7C">
            <w:pPr>
              <w:pStyle w:val="14"/>
              <w:widowControl/>
              <w:spacing w:before="100" w:beforeAutospacing="0" w:after="0" w:line="360" w:lineRule="auto"/>
              <w:ind w:left="-19" w:leftChars="-9" w:right="-17" w:rightChars="-8"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w:t>
            </w:r>
          </w:p>
          <w:p w14:paraId="5E8D8F67">
            <w:pPr>
              <w:pStyle w:val="14"/>
              <w:widowControl/>
              <w:spacing w:before="100" w:beforeAutospacing="0" w:after="0" w:line="360" w:lineRule="auto"/>
              <w:ind w:left="-19" w:leftChars="-9" w:right="-17" w:rightChars="-8"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提交地点及</w:t>
            </w:r>
          </w:p>
          <w:p w14:paraId="4DF2655C">
            <w:pPr>
              <w:pStyle w:val="14"/>
              <w:widowControl/>
              <w:spacing w:before="100" w:beforeAutospacing="0" w:after="0" w:line="360" w:lineRule="auto"/>
              <w:ind w:left="-19" w:leftChars="-9" w:right="-17" w:rightChars="-8"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B27957D">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14:paraId="07764A09">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提交地点：广州市南沙区环市大道中富汇街3号楼5楼会议室</w:t>
            </w:r>
          </w:p>
          <w:p w14:paraId="725A7DC1">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lang w:eastAsia="zh-CN"/>
              </w:rPr>
              <w:t>2025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7月24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至2025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7月24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14:paraId="3B584EA7">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16963B63">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7EE2C07">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EA1CD14">
            <w:pPr>
              <w:pStyle w:val="14"/>
              <w:widowControl/>
              <w:spacing w:after="0"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54DF7D8">
            <w:pPr>
              <w:pStyle w:val="14"/>
              <w:widowControl/>
              <w:spacing w:after="0" w:line="36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03F798C">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2025</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lang w:val="en-US" w:eastAsia="zh-CN"/>
              </w:rPr>
              <w:t>7月24</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14:paraId="20E87360">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地点：广州市南沙区环市大道中富汇街3号楼5楼会议室</w:t>
            </w:r>
          </w:p>
          <w:p w14:paraId="3412A4D0">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14:paraId="32096F0E">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E0D9616">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FC16D61">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68D65D8">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54CB632">
            <w:pPr>
              <w:spacing w:line="360" w:lineRule="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lang w:eastAsia="zh-CN"/>
              </w:rPr>
              <w:t>综合评审法</w:t>
            </w:r>
          </w:p>
        </w:tc>
      </w:tr>
    </w:tbl>
    <w:p w14:paraId="6A938CB9">
      <w:pPr>
        <w:spacing w:line="240" w:lineRule="auto"/>
        <w:jc w:val="left"/>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61325D37">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5D553D83">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14:paraId="18B3F25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6F08C9A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65DE422C">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b w:val="0"/>
          <w:color w:val="auto"/>
          <w:sz w:val="24"/>
          <w:szCs w:val="24"/>
          <w:highlight w:val="none"/>
          <w:u w:val="single"/>
          <w:lang w:eastAsia="zh-CN"/>
        </w:rPr>
        <w:t>广州南沙工化投资有限公司</w:t>
      </w:r>
      <w:r>
        <w:rPr>
          <w:rFonts w:hint="eastAsia" w:ascii="宋体" w:hAnsi="宋体" w:eastAsia="宋体" w:cs="宋体"/>
          <w:color w:val="auto"/>
          <w:sz w:val="24"/>
          <w:highlight w:val="none"/>
          <w:u w:val="single"/>
        </w:rPr>
        <w:t>。</w:t>
      </w:r>
    </w:p>
    <w:p w14:paraId="67FEB939">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广州南沙建设维护管理有限公司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5DEB6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4230BD0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4ED8F5E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5F2B5AA1">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32D15F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2BC5938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69DB8335">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1A9184C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14:paraId="0BD708C4">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06BE5C7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500C2D2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w:t>
      </w:r>
    </w:p>
    <w:p w14:paraId="00442AA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w:t>
      </w:r>
    </w:p>
    <w:p w14:paraId="5A672C52">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w:t>
      </w:r>
    </w:p>
    <w:p w14:paraId="0F22B0E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w:t>
      </w:r>
    </w:p>
    <w:p w14:paraId="2957297F">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w:t>
      </w:r>
    </w:p>
    <w:p w14:paraId="666C8314">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38840CA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w:t>
      </w:r>
    </w:p>
    <w:p w14:paraId="1A4EF0B5">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w:t>
      </w:r>
    </w:p>
    <w:p w14:paraId="63FA1927">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w:t>
      </w:r>
    </w:p>
    <w:p w14:paraId="680E26A9">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7AEE7BE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w:t>
      </w:r>
    </w:p>
    <w:p w14:paraId="1EA09506">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738D70B6">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w:t>
      </w:r>
    </w:p>
    <w:p w14:paraId="0825FC0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5696B9F5">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2107A4E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1F8DB5D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0CB3C6D7">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55861A9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617099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01C3E39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14:paraId="0398D8CB">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5288DB52">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6126757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（1）投标须知及前附表</w:t>
      </w:r>
    </w:p>
    <w:p w14:paraId="6662B70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（2）项目需求书</w:t>
      </w:r>
    </w:p>
    <w:p w14:paraId="244D8E4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（3）投标文件格式</w:t>
      </w:r>
    </w:p>
    <w:p w14:paraId="029FE6E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（4）服务合同</w:t>
      </w:r>
    </w:p>
    <w:p w14:paraId="42CDF28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（5）评标办法</w:t>
      </w:r>
    </w:p>
    <w:p w14:paraId="0DD02D5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（6）附件</w:t>
      </w:r>
    </w:p>
    <w:p w14:paraId="2680F00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4F154B51">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63CD2D8E">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54F6EF29">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8.1投标人若对招标文件中有疑问，可以书面形式提交或传真给招标人或招标代理人，提交或传真地点见投标须知前附表要求。招标人或招标代理人将于投标须知前附表指定的地点和时间对疑问进行答复。</w:t>
      </w:r>
    </w:p>
    <w:p w14:paraId="6B1ED1F8">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1801013D">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53F25A1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3690AF49">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6E1737E6">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3C8049FF">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191AB5C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401118A0">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22027AF1">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14:paraId="0F2B8071">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40B7A86B">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749CC70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45B05AB6">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5001DD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462A39E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14:paraId="448A6C9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698F0E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2B48B79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szCs w:val="24"/>
          <w:highlight w:val="none"/>
          <w:lang w:eastAsia="zh-CN"/>
        </w:rPr>
        <w:t>事业单位法人证</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r>
        <w:rPr>
          <w:rFonts w:hint="eastAsia" w:ascii="宋体" w:hAnsi="宋体" w:eastAsia="宋体" w:cs="宋体"/>
          <w:color w:val="auto"/>
          <w:kern w:val="2"/>
          <w:sz w:val="24"/>
          <w:szCs w:val="24"/>
          <w:highlight w:val="none"/>
          <w:lang w:val="en-US" w:eastAsia="zh-CN" w:bidi="ar-SA"/>
        </w:rPr>
        <w:t>市级住建行业信用管理平台</w:t>
      </w:r>
      <w:r>
        <w:rPr>
          <w:rFonts w:hint="eastAsia" w:ascii="宋体" w:hAnsi="宋体" w:eastAsia="宋体" w:cs="宋体"/>
          <w:color w:val="auto"/>
          <w:sz w:val="24"/>
          <w:szCs w:val="24"/>
          <w:highlight w:val="none"/>
        </w:rPr>
        <w:t>企业诚信档案</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highlight w:val="none"/>
        </w:rPr>
        <w:t>。</w:t>
      </w:r>
    </w:p>
    <w:p w14:paraId="7EFDF33B">
      <w:pPr>
        <w:spacing w:line="360" w:lineRule="auto"/>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11.6项目负责人职称证复印件。</w:t>
      </w:r>
    </w:p>
    <w:p w14:paraId="1A67A99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14:paraId="50CDFA3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14:paraId="3D8CC17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14:paraId="070D6323">
      <w:pPr>
        <w:spacing w:line="360" w:lineRule="auto"/>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11.1</w:t>
      </w:r>
      <w:r>
        <w:rPr>
          <w:rFonts w:hint="eastAsia" w:ascii="宋体" w:hAnsi="宋体" w:eastAsia="宋体" w:cs="宋体"/>
          <w:strike/>
          <w:color w:val="auto"/>
          <w:sz w:val="24"/>
          <w:highlight w:val="none"/>
          <w:lang w:val="en-US" w:eastAsia="zh-CN"/>
        </w:rPr>
        <w:t>0</w:t>
      </w:r>
      <w:r>
        <w:rPr>
          <w:rFonts w:hint="eastAsia" w:ascii="宋体" w:hAnsi="宋体" w:eastAsia="宋体" w:cs="宋体"/>
          <w:strike/>
          <w:color w:val="auto"/>
          <w:sz w:val="24"/>
          <w:highlight w:val="none"/>
        </w:rPr>
        <w:t>项目负责人相关经验及业绩（按招标文件第3章格式填写）</w:t>
      </w:r>
      <w:r>
        <w:rPr>
          <w:rFonts w:hint="eastAsia" w:ascii="宋体" w:hAnsi="宋体" w:eastAsia="宋体" w:cs="宋体"/>
          <w:strike/>
          <w:color w:val="auto"/>
          <w:sz w:val="24"/>
          <w:highlight w:val="none"/>
          <w:lang w:eastAsia="zh-CN"/>
        </w:rPr>
        <w:t>。</w:t>
      </w:r>
    </w:p>
    <w:p w14:paraId="2D59D65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p>
    <w:p w14:paraId="7908D09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14:paraId="6238BD48">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w:t>
      </w:r>
      <w:r>
        <w:rPr>
          <w:rFonts w:hint="eastAsia" w:hAnsi="宋体" w:cs="宋体"/>
          <w:color w:val="auto"/>
          <w:sz w:val="24"/>
          <w:highlight w:val="none"/>
          <w:lang w:eastAsia="zh-CN"/>
        </w:rPr>
        <w:t>带公司印章，</w:t>
      </w:r>
      <w:r>
        <w:rPr>
          <w:rFonts w:hAnsi="宋体" w:cs="宋体"/>
          <w:color w:val="auto"/>
          <w:sz w:val="24"/>
          <w:highlight w:val="none"/>
        </w:rPr>
        <w:t>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14:paraId="0A70AE75">
      <w:pPr>
        <w:pStyle w:val="9"/>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14:paraId="7D5C09F6">
      <w:pPr>
        <w:pStyle w:val="9"/>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11.15投标人认为需要提供的其他文件。</w:t>
      </w:r>
    </w:p>
    <w:p w14:paraId="70B9EC68">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3A75E32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334072EE">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79E83409">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本次投标报价采用投标须知前附表所规定的方式。</w:t>
      </w:r>
    </w:p>
    <w:p w14:paraId="732D250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7A4902B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14:paraId="11323C3C">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0270F81F">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60A76687">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5C48D49C">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投标有效期见投标须知前附表所规定的期限，在此期限内，凡符合本招标文件要求的投标文件均保持有效。</w:t>
      </w:r>
    </w:p>
    <w:p w14:paraId="26991ECA">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376B5156">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6A91683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222855E8">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30E3C79B">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投标人应按投标须知前附表规定的份数提交投标文件。</w:t>
      </w:r>
    </w:p>
    <w:p w14:paraId="20C1FCD6">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2E0EB5BE">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0B2DE992">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5DFAE117">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2ED08EB1">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4E41E938">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14:paraId="50EA5E14">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193CFAB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r>
        <w:rPr>
          <w:rFonts w:hint="eastAsia" w:ascii="宋体" w:hAnsi="宋体" w:eastAsia="宋体" w:cs="宋体"/>
          <w:color w:val="auto"/>
          <w:sz w:val="24"/>
          <w:highlight w:val="none"/>
          <w:lang w:eastAsia="zh-CN"/>
        </w:rPr>
        <w:t>；</w:t>
      </w:r>
      <w:r>
        <w:rPr>
          <w:rFonts w:hAnsi="宋体" w:cs="宋体"/>
          <w:color w:val="auto"/>
          <w:sz w:val="24"/>
          <w:highlight w:val="none"/>
        </w:rPr>
        <w:t>投标文件电子版</w:t>
      </w:r>
      <w:r>
        <w:rPr>
          <w:rFonts w:hint="eastAsia" w:hAnsi="宋体" w:cs="宋体"/>
          <w:color w:val="auto"/>
          <w:sz w:val="24"/>
          <w:highlight w:val="none"/>
          <w:lang w:eastAsia="zh-CN"/>
        </w:rPr>
        <w:t>与</w:t>
      </w:r>
      <w:r>
        <w:rPr>
          <w:rFonts w:hint="eastAsia" w:hAnsi="宋体" w:cs="宋体"/>
          <w:color w:val="auto"/>
          <w:sz w:val="24"/>
          <w:highlight w:val="none"/>
          <w:lang w:val="en-US" w:eastAsia="zh-CN"/>
        </w:rPr>
        <w:t>商务标一起包封</w:t>
      </w:r>
      <w:r>
        <w:rPr>
          <w:rFonts w:hint="eastAsia" w:ascii="宋体" w:hAnsi="宋体" w:eastAsia="宋体" w:cs="宋体"/>
          <w:color w:val="auto"/>
          <w:sz w:val="24"/>
          <w:highlight w:val="none"/>
        </w:rPr>
        <w:t>。</w:t>
      </w:r>
    </w:p>
    <w:p w14:paraId="1B4B98A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0FB2EA43">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735A21E0">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12680C3C">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14:paraId="4016854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前不得开封（填入前附表所述日期及时间）</w:t>
      </w:r>
    </w:p>
    <w:p w14:paraId="1BBDAA94">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1F59A83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51572705">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201A7AD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投标人应按投标须知前附表所规定的地点，于截止时间前提交投标文件，并办理好送达签认手续。</w:t>
      </w:r>
    </w:p>
    <w:p w14:paraId="1DA6EBA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70AA1372">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30018A5F">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20.1投标人应按前附表所述的地点、日期和时间将投标文件提交给招标人。</w:t>
      </w:r>
    </w:p>
    <w:p w14:paraId="01949F0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1BF2515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19A2710A">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2EC9113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1948D047">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087A349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51CCEB0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5C368C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2A07F0F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49117930">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14:paraId="0B1FB8DF">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71EC06A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招标人按投标须知前附表所规定的时间和地点公开开标，并邀请所有投标人参加。请各投标人的法定代表人或其有效授权委托代理人届时务必带本人身份证出席开标会，否则作弃权处理。</w:t>
      </w:r>
    </w:p>
    <w:p w14:paraId="780526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27A9932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0C0FD60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5C7DE4D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6F03E60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1675EE8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14:paraId="18E2D19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3400DDDF">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65D203E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57FE58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7505BC55">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14:paraId="16733265">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14:paraId="414FA3D9">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25455A5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1DDDBBE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14:paraId="37CA901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14:paraId="73F11892">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4DEC32E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14:paraId="1C7EE16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14:paraId="777D0670">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6B88DD9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14:paraId="4614989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14:paraId="2FDEB07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14:paraId="7A87B613">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14:paraId="3BD1EF7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14:paraId="09DB107D">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10FF695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0EF97A3E">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4222DF9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14:paraId="3A12526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6F2B59DF">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4C9236C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3DC0852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4241F4BB">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5516F78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31EB8EF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14:paraId="79079E6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51E6D02D">
      <w:pPr>
        <w:pStyle w:val="14"/>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14:paraId="790E1379">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3" w:name="_Toc1632"/>
      <w:bookmarkStart w:id="4" w:name="_Toc27492"/>
    </w:p>
    <w:p w14:paraId="32FC8217">
      <w:pPr>
        <w:pStyle w:val="3"/>
        <w:widowControl/>
        <w:spacing w:before="0" w:after="0" w:line="360" w:lineRule="auto"/>
        <w:jc w:val="center"/>
        <w:rPr>
          <w:rFonts w:ascii="黑体" w:hAnsi="宋体" w:cs="黑体"/>
          <w:b/>
          <w:color w:val="auto"/>
          <w:kern w:val="44"/>
          <w:sz w:val="44"/>
          <w:szCs w:val="44"/>
          <w:highlight w:val="none"/>
        </w:rPr>
      </w:pPr>
    </w:p>
    <w:p w14:paraId="4B8D8540">
      <w:pPr>
        <w:pStyle w:val="3"/>
        <w:widowControl/>
        <w:spacing w:before="0" w:after="0" w:line="360" w:lineRule="auto"/>
        <w:jc w:val="center"/>
        <w:rPr>
          <w:rFonts w:ascii="黑体" w:hAnsi="宋体" w:cs="黑体"/>
          <w:b/>
          <w:color w:val="auto"/>
          <w:kern w:val="44"/>
          <w:sz w:val="44"/>
          <w:szCs w:val="44"/>
          <w:highlight w:val="none"/>
        </w:rPr>
      </w:pPr>
    </w:p>
    <w:p w14:paraId="167123E3">
      <w:pPr>
        <w:pStyle w:val="3"/>
        <w:widowControl/>
        <w:spacing w:before="0" w:after="0" w:line="360" w:lineRule="auto"/>
        <w:jc w:val="center"/>
        <w:rPr>
          <w:rFonts w:ascii="黑体" w:hAnsi="宋体" w:cs="黑体"/>
          <w:b/>
          <w:color w:val="auto"/>
          <w:kern w:val="44"/>
          <w:sz w:val="44"/>
          <w:szCs w:val="44"/>
          <w:highlight w:val="none"/>
        </w:rPr>
      </w:pPr>
    </w:p>
    <w:p w14:paraId="08012A3C">
      <w:pPr>
        <w:pStyle w:val="3"/>
        <w:widowControl/>
        <w:spacing w:before="0" w:after="0" w:line="360" w:lineRule="auto"/>
        <w:jc w:val="center"/>
        <w:rPr>
          <w:rFonts w:ascii="黑体" w:hAnsi="宋体" w:cs="黑体"/>
          <w:b/>
          <w:color w:val="auto"/>
          <w:kern w:val="44"/>
          <w:sz w:val="44"/>
          <w:szCs w:val="44"/>
          <w:highlight w:val="none"/>
        </w:rPr>
      </w:pPr>
    </w:p>
    <w:p w14:paraId="26855FE6">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51D5B255">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3"/>
    </w:p>
    <w:p w14:paraId="08106815">
      <w:pPr>
        <w:rPr>
          <w:rFonts w:ascii="宋体" w:hAnsi="宋体" w:eastAsia="宋体" w:cs="宋体"/>
          <w:b/>
          <w:color w:val="auto"/>
          <w:sz w:val="30"/>
          <w:szCs w:val="30"/>
          <w:highlight w:val="none"/>
        </w:rPr>
      </w:pPr>
    </w:p>
    <w:p w14:paraId="77C8E785">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textAlignment w:val="auto"/>
        <w:rPr>
          <w:rFonts w:hint="eastAsia" w:ascii="仿宋_GB2312" w:hAnsi="仿宋_GB2312" w:eastAsia="仿宋_GB2312" w:cs="仿宋_GB2312"/>
          <w:color w:val="auto"/>
          <w:sz w:val="32"/>
          <w:szCs w:val="32"/>
          <w:highlight w:val="none"/>
          <w:lang w:val="en-GB" w:eastAsia="zh-CN"/>
        </w:rPr>
      </w:pPr>
      <w:r>
        <w:rPr>
          <w:rFonts w:hint="eastAsia" w:ascii="仿宋_GB2312" w:hAnsi="仿宋_GB2312" w:eastAsia="仿宋_GB2312" w:cs="仿宋_GB2312"/>
          <w:b/>
          <w:color w:val="auto"/>
          <w:kern w:val="0"/>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lang w:val="en-GB" w:eastAsia="zh-CN"/>
        </w:rPr>
        <w:t>本次招标代理服务内容为：</w:t>
      </w:r>
      <w:r>
        <w:rPr>
          <w:rFonts w:hint="eastAsia" w:ascii="仿宋_GB2312" w:hAnsi="仿宋_GB2312" w:eastAsia="仿宋_GB2312" w:cs="仿宋_GB2312"/>
          <w:color w:val="auto"/>
          <w:sz w:val="32"/>
          <w:szCs w:val="32"/>
          <w:highlight w:val="none"/>
          <w:lang w:val="en-GB" w:eastAsia="zh-CN"/>
        </w:rPr>
        <w:t>包括但不限于黄山鲁生态保护区基础设施提升工程需开展的招标采购事项：1、设计竞赛；</w:t>
      </w:r>
      <w:r>
        <w:rPr>
          <w:rFonts w:hint="eastAsia" w:ascii="仿宋_GB2312" w:hAnsi="仿宋_GB2312" w:eastAsia="仿宋_GB2312" w:cs="仿宋_GB2312"/>
          <w:color w:val="auto"/>
          <w:sz w:val="32"/>
          <w:szCs w:val="32"/>
          <w:highlight w:val="none"/>
          <w:lang w:val="en-US" w:eastAsia="zh-CN"/>
        </w:rPr>
        <w:t>2、EPC招标（施工图设计+施工）</w:t>
      </w:r>
      <w:r>
        <w:rPr>
          <w:rFonts w:hint="eastAsia" w:ascii="仿宋_GB2312" w:hAnsi="仿宋_GB2312" w:eastAsia="仿宋_GB2312" w:cs="仿宋_GB2312"/>
          <w:color w:val="auto"/>
          <w:sz w:val="32"/>
          <w:szCs w:val="32"/>
          <w:highlight w:val="none"/>
          <w:lang w:val="en-GB" w:eastAsia="zh-CN"/>
        </w:rPr>
        <w:t>；3</w:t>
      </w:r>
      <w:r>
        <w:rPr>
          <w:rFonts w:hint="eastAsia" w:ascii="仿宋_GB2312" w:hAnsi="仿宋_GB2312" w:eastAsia="仿宋_GB2312" w:cs="仿宋_GB2312"/>
          <w:color w:val="auto"/>
          <w:sz w:val="32"/>
          <w:szCs w:val="32"/>
          <w:highlight w:val="none"/>
          <w:lang w:val="en-US" w:eastAsia="zh-CN"/>
        </w:rPr>
        <w:t>、监理；4、第三方检测。</w:t>
      </w:r>
    </w:p>
    <w:p w14:paraId="7896D363">
      <w:pPr>
        <w:keepNext w:val="0"/>
        <w:keepLines w:val="0"/>
        <w:pageBreakBefore w:val="0"/>
        <w:widowControl/>
        <w:kinsoku/>
        <w:wordWrap/>
        <w:overflowPunct/>
        <w:topLinePunct w:val="0"/>
        <w:autoSpaceDE/>
        <w:autoSpaceDN/>
        <w:bidi w:val="0"/>
        <w:snapToGrid w:val="0"/>
        <w:spacing w:line="360" w:lineRule="auto"/>
        <w:ind w:firstLine="640" w:firstLineChars="200"/>
        <w:jc w:val="left"/>
        <w:textAlignment w:val="auto"/>
        <w:rPr>
          <w:rFonts w:hint="eastAsia" w:ascii="仿宋_GB2312" w:hAnsi="仿宋_GB2312" w:eastAsia="仿宋_GB2312" w:cs="仿宋_GB2312"/>
          <w:color w:val="auto"/>
          <w:sz w:val="32"/>
          <w:szCs w:val="32"/>
          <w:highlight w:val="none"/>
          <w:lang w:val="en-GB" w:eastAsia="zh-CN"/>
        </w:rPr>
      </w:pPr>
      <w:r>
        <w:rPr>
          <w:rFonts w:hint="eastAsia" w:ascii="仿宋_GB2312" w:hAnsi="仿宋_GB2312" w:eastAsia="仿宋_GB2312" w:cs="仿宋_GB2312"/>
          <w:color w:val="auto"/>
          <w:sz w:val="32"/>
          <w:szCs w:val="32"/>
          <w:highlight w:val="none"/>
          <w:lang w:val="en-GB" w:eastAsia="zh-CN"/>
        </w:rPr>
        <w:t>招标采购工作具体如下：</w:t>
      </w:r>
    </w:p>
    <w:p w14:paraId="7ADF9E5C">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1.为招标人提供法律法规及政策等相关规定的咨询服务；</w:t>
      </w:r>
    </w:p>
    <w:p w14:paraId="79A4F124">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zh-CN" w:eastAsia="zh-CN"/>
        </w:rPr>
        <w:t>根据工程项目的特点和需要及招标人要求完善用户需求书，以及编制招标采购计划、招标</w:t>
      </w:r>
      <w:r>
        <w:rPr>
          <w:rFonts w:hint="eastAsia" w:ascii="仿宋_GB2312" w:hAnsi="仿宋_GB2312" w:eastAsia="仿宋_GB2312" w:cs="仿宋_GB2312"/>
          <w:color w:val="auto"/>
          <w:sz w:val="32"/>
          <w:szCs w:val="32"/>
          <w:highlight w:val="none"/>
          <w:lang w:val="en-US" w:eastAsia="zh-CN"/>
        </w:rPr>
        <w:t>/采购</w:t>
      </w:r>
      <w:r>
        <w:rPr>
          <w:rFonts w:hint="eastAsia" w:ascii="仿宋_GB2312" w:hAnsi="仿宋_GB2312" w:eastAsia="仿宋_GB2312" w:cs="仿宋_GB2312"/>
          <w:color w:val="auto"/>
          <w:sz w:val="32"/>
          <w:szCs w:val="32"/>
          <w:highlight w:val="none"/>
          <w:lang w:val="zh-CN" w:eastAsia="zh-CN"/>
        </w:rPr>
        <w:t>公告及招标</w:t>
      </w:r>
      <w:r>
        <w:rPr>
          <w:rFonts w:hint="eastAsia" w:ascii="仿宋_GB2312" w:hAnsi="仿宋_GB2312" w:eastAsia="仿宋_GB2312" w:cs="仿宋_GB2312"/>
          <w:color w:val="auto"/>
          <w:sz w:val="32"/>
          <w:szCs w:val="32"/>
          <w:highlight w:val="none"/>
          <w:lang w:val="en-US" w:eastAsia="zh-CN"/>
        </w:rPr>
        <w:t>/采购</w:t>
      </w:r>
      <w:r>
        <w:rPr>
          <w:rFonts w:hint="eastAsia" w:ascii="仿宋_GB2312" w:hAnsi="仿宋_GB2312" w:eastAsia="仿宋_GB2312" w:cs="仿宋_GB2312"/>
          <w:color w:val="auto"/>
          <w:sz w:val="32"/>
          <w:szCs w:val="32"/>
          <w:highlight w:val="none"/>
          <w:lang w:val="zh-CN" w:eastAsia="zh-CN"/>
        </w:rPr>
        <w:t>文件，前述有关文件内容符合法律要求及有关规定；</w:t>
      </w:r>
    </w:p>
    <w:p w14:paraId="35D63F71">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3.根据招标人用户需求书制定科学的评标/评审方法、步骤和标准，并应提交招标人进行核查确认；</w:t>
      </w:r>
    </w:p>
    <w:p w14:paraId="44647648">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4.经招标人审定的招标/采购文件无误后，根据招标人要求，办理广州市公共资源交易中心入场申请登记（如需）,</w:t>
      </w:r>
      <w:r>
        <w:rPr>
          <w:rFonts w:hint="eastAsia" w:ascii="仿宋_GB2312" w:hAnsi="仿宋_GB2312" w:eastAsia="仿宋_GB2312" w:cs="仿宋_GB2312"/>
          <w:color w:val="auto"/>
          <w:sz w:val="32"/>
          <w:szCs w:val="32"/>
          <w:highlight w:val="none"/>
          <w:lang w:val="zh-CN" w:eastAsia="zh-CN"/>
        </w:rPr>
        <w:t>依法依规发布招标计划、招标</w:t>
      </w:r>
      <w:r>
        <w:rPr>
          <w:rFonts w:hint="eastAsia" w:ascii="仿宋_GB2312" w:hAnsi="仿宋_GB2312" w:eastAsia="仿宋_GB2312" w:cs="仿宋_GB2312"/>
          <w:color w:val="auto"/>
          <w:sz w:val="32"/>
          <w:szCs w:val="32"/>
          <w:highlight w:val="none"/>
          <w:lang w:val="en-US" w:eastAsia="zh-CN"/>
        </w:rPr>
        <w:t>/采购</w:t>
      </w:r>
      <w:r>
        <w:rPr>
          <w:rFonts w:hint="eastAsia" w:ascii="仿宋_GB2312" w:hAnsi="仿宋_GB2312" w:eastAsia="仿宋_GB2312" w:cs="仿宋_GB2312"/>
          <w:color w:val="auto"/>
          <w:sz w:val="32"/>
          <w:szCs w:val="32"/>
          <w:highlight w:val="none"/>
          <w:lang w:val="zh-CN" w:eastAsia="zh-CN"/>
        </w:rPr>
        <w:t>公告及招标</w:t>
      </w:r>
      <w:r>
        <w:rPr>
          <w:rFonts w:hint="eastAsia" w:ascii="仿宋_GB2312" w:hAnsi="仿宋_GB2312" w:eastAsia="仿宋_GB2312" w:cs="仿宋_GB2312"/>
          <w:color w:val="auto"/>
          <w:sz w:val="32"/>
          <w:szCs w:val="32"/>
          <w:highlight w:val="none"/>
          <w:lang w:val="en-US" w:eastAsia="zh-CN"/>
        </w:rPr>
        <w:t>/采购</w:t>
      </w:r>
      <w:r>
        <w:rPr>
          <w:rFonts w:hint="eastAsia" w:ascii="仿宋_GB2312" w:hAnsi="仿宋_GB2312" w:eastAsia="仿宋_GB2312" w:cs="仿宋_GB2312"/>
          <w:color w:val="auto"/>
          <w:sz w:val="32"/>
          <w:szCs w:val="32"/>
          <w:highlight w:val="none"/>
          <w:lang w:val="zh-CN" w:eastAsia="zh-CN"/>
        </w:rPr>
        <w:t>文件等相关招标采购资料</w:t>
      </w:r>
      <w:r>
        <w:rPr>
          <w:rFonts w:hint="eastAsia" w:ascii="仿宋_GB2312" w:hAnsi="仿宋_GB2312" w:eastAsia="仿宋_GB2312" w:cs="仿宋_GB2312"/>
          <w:color w:val="auto"/>
          <w:sz w:val="32"/>
          <w:szCs w:val="32"/>
          <w:highlight w:val="none"/>
          <w:lang w:val="en-US" w:eastAsia="zh-CN"/>
        </w:rPr>
        <w:t>，依法抽取专家组建评标委员会，确定评标地点，依法组织开标、评标定标工作；</w:t>
      </w:r>
    </w:p>
    <w:p w14:paraId="53662997">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5.在通知招标人并获得招标人同意后，组织评标/评选工作； </w:t>
      </w:r>
    </w:p>
    <w:p w14:paraId="2EDF3FBF">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6.整理评标报告并送招标人及有关部门；</w:t>
      </w:r>
    </w:p>
    <w:p w14:paraId="35D839B0">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7.依法发布招标、更正、延期、中标等内容的公告信息；</w:t>
      </w:r>
    </w:p>
    <w:p w14:paraId="5E436645">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8.根据项目需要组织项目投标人进行现场踏勘；</w:t>
      </w:r>
    </w:p>
    <w:p w14:paraId="75E9D985">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9.根据项目需要组织相关答疑会；</w:t>
      </w:r>
    </w:p>
    <w:p w14:paraId="7DABCFB3">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10.依法答复投标人有关法律法规及招标程序方面询问和异议（异议答复的内容不得涉及招标人商业秘密）；</w:t>
      </w:r>
    </w:p>
    <w:p w14:paraId="5981B3A8">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11.依法办理本合同项目招标过程中的有关文件报送备案；</w:t>
      </w:r>
    </w:p>
    <w:p w14:paraId="7EE1E556">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12.出具并协助发出中标/成交通知书；</w:t>
      </w:r>
    </w:p>
    <w:p w14:paraId="7B948387">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13.按招标人要求，编制、整理招标全过程书面资料及电子文件，装订成册移交给招标人。</w:t>
      </w:r>
    </w:p>
    <w:p w14:paraId="4462DF72">
      <w:pPr>
        <w:keepNext w:val="0"/>
        <w:keepLines w:val="0"/>
        <w:pageBreakBefore w:val="0"/>
        <w:widowControl/>
        <w:kinsoku/>
        <w:wordWrap/>
        <w:overflowPunct/>
        <w:topLinePunct w:val="0"/>
        <w:autoSpaceDE/>
        <w:autoSpaceDN/>
        <w:bidi w:val="0"/>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14.法律法规规定及招标人要求的其他事项。</w:t>
      </w:r>
    </w:p>
    <w:p w14:paraId="710305B0">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24F987F7">
      <w:pPr>
        <w:rPr>
          <w:color w:val="auto"/>
          <w:highlight w:val="none"/>
        </w:rPr>
      </w:pPr>
    </w:p>
    <w:p w14:paraId="36860C48">
      <w:pPr>
        <w:pStyle w:val="3"/>
        <w:widowControl/>
        <w:spacing w:before="0" w:after="0" w:line="360" w:lineRule="auto"/>
        <w:jc w:val="center"/>
        <w:rPr>
          <w:rFonts w:ascii="黑体" w:hAnsi="宋体" w:cs="黑体"/>
          <w:b/>
          <w:color w:val="auto"/>
          <w:kern w:val="44"/>
          <w:sz w:val="44"/>
          <w:szCs w:val="44"/>
          <w:highlight w:val="none"/>
        </w:rPr>
      </w:pPr>
    </w:p>
    <w:p w14:paraId="11CB936B">
      <w:pPr>
        <w:pStyle w:val="3"/>
        <w:widowControl/>
        <w:spacing w:before="0" w:after="0" w:line="360" w:lineRule="auto"/>
        <w:jc w:val="center"/>
        <w:rPr>
          <w:rFonts w:ascii="黑体" w:hAnsi="宋体" w:cs="黑体"/>
          <w:b/>
          <w:color w:val="auto"/>
          <w:kern w:val="44"/>
          <w:sz w:val="44"/>
          <w:szCs w:val="44"/>
          <w:highlight w:val="none"/>
        </w:rPr>
      </w:pPr>
    </w:p>
    <w:p w14:paraId="3ECAB87F">
      <w:pPr>
        <w:pStyle w:val="3"/>
        <w:widowControl/>
        <w:spacing w:before="0" w:after="0" w:line="360" w:lineRule="auto"/>
        <w:jc w:val="center"/>
        <w:rPr>
          <w:rFonts w:ascii="黑体" w:hAnsi="宋体" w:cs="黑体"/>
          <w:b/>
          <w:color w:val="auto"/>
          <w:kern w:val="44"/>
          <w:sz w:val="44"/>
          <w:szCs w:val="44"/>
          <w:highlight w:val="none"/>
        </w:rPr>
      </w:pPr>
    </w:p>
    <w:p w14:paraId="44CF73C8">
      <w:pPr>
        <w:pStyle w:val="3"/>
        <w:widowControl/>
        <w:spacing w:before="0" w:after="0" w:line="360" w:lineRule="auto"/>
        <w:jc w:val="center"/>
        <w:rPr>
          <w:rFonts w:ascii="黑体" w:hAnsi="宋体" w:cs="黑体"/>
          <w:b/>
          <w:color w:val="auto"/>
          <w:kern w:val="44"/>
          <w:sz w:val="44"/>
          <w:szCs w:val="44"/>
          <w:highlight w:val="none"/>
        </w:rPr>
      </w:pPr>
    </w:p>
    <w:p w14:paraId="79DCE162">
      <w:pPr>
        <w:pStyle w:val="3"/>
        <w:widowControl/>
        <w:spacing w:before="0" w:after="0" w:line="360" w:lineRule="auto"/>
        <w:jc w:val="center"/>
        <w:rPr>
          <w:rFonts w:ascii="黑体" w:hAnsi="宋体" w:cs="黑体"/>
          <w:b/>
          <w:color w:val="auto"/>
          <w:kern w:val="44"/>
          <w:sz w:val="44"/>
          <w:szCs w:val="44"/>
          <w:highlight w:val="none"/>
        </w:rPr>
      </w:pPr>
    </w:p>
    <w:p w14:paraId="6C458C7D">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4"/>
    </w:p>
    <w:p w14:paraId="1B358CAC">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11E265D3">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5159B75F">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30DE7C2E">
      <w:pPr>
        <w:rPr>
          <w:rFonts w:ascii="宋体" w:hAnsi="宋体" w:eastAsia="宋体" w:cs="宋体"/>
          <w:color w:val="auto"/>
          <w:sz w:val="24"/>
          <w:highlight w:val="none"/>
        </w:rPr>
      </w:pPr>
    </w:p>
    <w:p w14:paraId="1BC90396">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广州南沙建设维护管理有限公司</w:t>
      </w:r>
      <w:r>
        <w:rPr>
          <w:rFonts w:hint="eastAsia" w:ascii="宋体" w:hAnsi="宋体" w:eastAsia="宋体" w:cs="Times New Roman"/>
          <w:color w:val="auto"/>
          <w:spacing w:val="20"/>
          <w:sz w:val="24"/>
          <w:highlight w:val="none"/>
          <w:u w:val="single"/>
        </w:rPr>
        <w:t>：</w:t>
      </w:r>
    </w:p>
    <w:p w14:paraId="00B56BE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南沙湾先行启动区国际科创融合发展综合开发项目一黄山鲁生态保护区基础设施提升工程(首期)招标代理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2C58984B">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南沙湾先行启动区国际科创融合发展综合开发项目一黄山鲁生态保护区基础设施提升工程(首期)招标代理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3D12FD9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2575FAB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7CCD89F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5DE45D5D">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32A82A04">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2DC7CB8C">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55BBCE3B">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24A17F81">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AD86E30">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2142E9BB">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FE4400B">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35D3F14A">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36D0B870">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3AA4B8B3">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7E4636A3">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78D3900B">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广州南沙建设维护管理有限公司</w:t>
      </w:r>
    </w:p>
    <w:p w14:paraId="41FF7BCB">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7A83C8F">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0D38199D">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2392953A">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14:paraId="2118CCC2">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7262052F">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C3C6286">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40092A8">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CAEB57A">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3AC4CF0A">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1D0D8B02">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1879680C">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27952C34">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583B1B39">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25FCA3D">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509510C">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0655452">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33695C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99C6C06">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079629A">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5" w:name="_Toc223342668"/>
      <w:bookmarkEnd w:id="5"/>
      <w:bookmarkStart w:id="6" w:name="_Toc216145749"/>
      <w:bookmarkEnd w:id="6"/>
      <w:r>
        <w:rPr>
          <w:rFonts w:hint="eastAsia" w:ascii="宋体" w:hAnsi="宋体" w:eastAsia="宋体" w:cs="黑体"/>
          <w:color w:val="auto"/>
          <w:sz w:val="28"/>
          <w:szCs w:val="28"/>
          <w:highlight w:val="none"/>
        </w:rPr>
        <w:t>格式三：</w:t>
      </w:r>
    </w:p>
    <w:p w14:paraId="53053D24">
      <w:pPr>
        <w:pStyle w:val="25"/>
        <w:widowControl/>
        <w:ind w:firstLine="0" w:firstLineChars="0"/>
        <w:jc w:val="center"/>
        <w:outlineLvl w:val="2"/>
        <w:rPr>
          <w:color w:val="auto"/>
          <w:kern w:val="44"/>
          <w:highlight w:val="none"/>
        </w:rPr>
      </w:pPr>
      <w:bookmarkStart w:id="7" w:name="_Toc172416501"/>
      <w:bookmarkEnd w:id="7"/>
      <w:r>
        <w:rPr>
          <w:rFonts w:hint="eastAsia" w:ascii="宋体" w:hAnsi="宋体" w:cs="宋体"/>
          <w:b/>
          <w:color w:val="auto"/>
          <w:sz w:val="30"/>
          <w:szCs w:val="30"/>
          <w:highlight w:val="none"/>
        </w:rPr>
        <w:t>法定代表人证明书</w:t>
      </w:r>
    </w:p>
    <w:p w14:paraId="61DD5063">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297FB2AF">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2A6A8A5C">
      <w:pPr>
        <w:pStyle w:val="25"/>
        <w:widowControl/>
        <w:ind w:firstLine="618"/>
        <w:rPr>
          <w:b/>
          <w:color w:val="auto"/>
          <w:sz w:val="30"/>
          <w:szCs w:val="30"/>
          <w:highlight w:val="none"/>
        </w:rPr>
      </w:pPr>
      <w:r>
        <w:rPr>
          <w:b/>
          <w:color w:val="auto"/>
          <w:sz w:val="30"/>
          <w:szCs w:val="30"/>
          <w:highlight w:val="none"/>
        </w:rPr>
        <w:t xml:space="preserve"> </w:t>
      </w:r>
    </w:p>
    <w:p w14:paraId="1662F23F">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759E4AEA">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66F2A8FC">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72937749">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8" w:name="_Toc216145759"/>
      <w:bookmarkEnd w:id="8"/>
      <w:bookmarkStart w:id="9" w:name="_Toc223342677"/>
    </w:p>
    <w:p w14:paraId="1B5DCCCF">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61CA04D0">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9"/>
      <w:r>
        <w:rPr>
          <w:rFonts w:hint="eastAsia" w:ascii="宋体" w:hAnsi="宋体" w:eastAsia="宋体" w:cs="宋体"/>
          <w:color w:val="auto"/>
          <w:sz w:val="28"/>
          <w:szCs w:val="28"/>
          <w:highlight w:val="none"/>
        </w:rPr>
        <w:t xml:space="preserve"> </w:t>
      </w:r>
    </w:p>
    <w:p w14:paraId="0145E8BD">
      <w:pPr>
        <w:pStyle w:val="25"/>
        <w:widowControl/>
        <w:ind w:firstLine="0" w:firstLineChars="0"/>
        <w:jc w:val="center"/>
        <w:rPr>
          <w:b/>
          <w:color w:val="auto"/>
          <w:sz w:val="28"/>
          <w:szCs w:val="28"/>
          <w:highlight w:val="none"/>
        </w:rPr>
      </w:pPr>
      <w:r>
        <w:rPr>
          <w:b/>
          <w:color w:val="auto"/>
          <w:sz w:val="28"/>
          <w:szCs w:val="28"/>
          <w:highlight w:val="none"/>
        </w:rPr>
        <w:t xml:space="preserve"> </w:t>
      </w:r>
    </w:p>
    <w:p w14:paraId="25AE212E">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3164EC6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61EB203">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广州南沙建设维护管理有限公司</w:t>
      </w:r>
    </w:p>
    <w:p w14:paraId="3D26000D">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南沙湾先行启动区国际科创融合发展综合开发项目一黄山鲁生态保护区基础设施提升工程(首期)招标代理</w:t>
      </w:r>
    </w:p>
    <w:p w14:paraId="3F0D65C9">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8663C42">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14:paraId="23418F2D">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5ACACD6D">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11EF953D">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93E0EA4">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5883AC8A">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729766F1">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68D462EA">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3FC09F9">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0" w:name="_Toc415728297"/>
      <w:bookmarkEnd w:id="10"/>
      <w:bookmarkStart w:id="11" w:name="_Toc459403394"/>
      <w:bookmarkEnd w:id="11"/>
      <w:bookmarkStart w:id="12" w:name="_Toc415833503"/>
      <w:bookmarkEnd w:id="12"/>
      <w:bookmarkStart w:id="13" w:name="_Toc196130110"/>
      <w:bookmarkEnd w:id="13"/>
      <w:bookmarkStart w:id="14" w:name="_Toc326909213"/>
      <w:bookmarkEnd w:id="14"/>
      <w:bookmarkStart w:id="15" w:name="_Toc196036941"/>
      <w:bookmarkEnd w:id="15"/>
      <w:bookmarkStart w:id="16" w:name="_Toc196130013"/>
      <w:bookmarkEnd w:id="16"/>
      <w:bookmarkStart w:id="17" w:name="_Toc196037097"/>
      <w:bookmarkEnd w:id="17"/>
      <w:bookmarkStart w:id="18" w:name="_Toc197235848"/>
      <w:bookmarkEnd w:id="18"/>
      <w:bookmarkStart w:id="19" w:name="_Toc199647675"/>
      <w:bookmarkEnd w:id="19"/>
      <w:bookmarkStart w:id="20" w:name="_Toc41822703"/>
      <w:bookmarkEnd w:id="20"/>
      <w:bookmarkStart w:id="21" w:name="_Toc462911098"/>
      <w:r>
        <w:rPr>
          <w:rFonts w:hint="eastAsia" w:ascii="宋体" w:hAnsi="宋体" w:eastAsia="宋体" w:cs="黑体"/>
          <w:b/>
          <w:color w:val="auto"/>
          <w:spacing w:val="4"/>
          <w:kern w:val="0"/>
          <w:sz w:val="28"/>
          <w:szCs w:val="28"/>
          <w:highlight w:val="none"/>
        </w:rPr>
        <w:t>格式五</w:t>
      </w:r>
      <w:bookmarkEnd w:id="21"/>
      <w:r>
        <w:rPr>
          <w:rFonts w:hint="eastAsia" w:ascii="宋体" w:hAnsi="宋体" w:eastAsia="宋体" w:cs="宋体"/>
          <w:color w:val="auto"/>
          <w:sz w:val="28"/>
          <w:szCs w:val="28"/>
          <w:highlight w:val="none"/>
        </w:rPr>
        <w:t>：</w:t>
      </w:r>
    </w:p>
    <w:p w14:paraId="693551AB">
      <w:pPr>
        <w:spacing w:line="360" w:lineRule="auto"/>
        <w:jc w:val="center"/>
        <w:outlineLvl w:val="2"/>
        <w:rPr>
          <w:rFonts w:ascii="仿宋" w:hAnsi="仿宋" w:eastAsia="仿宋" w:cs="仿宋"/>
          <w:b/>
          <w:bCs/>
          <w:color w:val="auto"/>
          <w:sz w:val="36"/>
          <w:szCs w:val="36"/>
          <w:highlight w:val="none"/>
        </w:rPr>
      </w:pPr>
      <w:bookmarkStart w:id="22" w:name="_Toc41822704"/>
      <w:bookmarkEnd w:id="22"/>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00D2C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687B6C1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19226446">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6933443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18E0DC28">
            <w:pPr>
              <w:spacing w:line="360" w:lineRule="auto"/>
              <w:jc w:val="center"/>
              <w:rPr>
                <w:rFonts w:ascii="仿宋" w:hAnsi="仿宋" w:eastAsia="仿宋" w:cs="仿宋"/>
                <w:color w:val="auto"/>
                <w:sz w:val="24"/>
                <w:highlight w:val="none"/>
              </w:rPr>
            </w:pPr>
          </w:p>
        </w:tc>
      </w:tr>
      <w:tr w14:paraId="4940A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3DA072A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222BD2FC">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12F9F15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687250BC">
            <w:pPr>
              <w:spacing w:line="360" w:lineRule="auto"/>
              <w:jc w:val="center"/>
              <w:rPr>
                <w:rFonts w:ascii="仿宋" w:hAnsi="仿宋" w:eastAsia="仿宋" w:cs="仿宋"/>
                <w:color w:val="auto"/>
                <w:sz w:val="24"/>
                <w:highlight w:val="none"/>
              </w:rPr>
            </w:pPr>
          </w:p>
        </w:tc>
      </w:tr>
      <w:tr w14:paraId="25716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142803E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1EC35E35">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4FCF58F">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24BB32A5">
            <w:pPr>
              <w:spacing w:line="360" w:lineRule="auto"/>
              <w:jc w:val="center"/>
              <w:rPr>
                <w:rFonts w:ascii="仿宋" w:hAnsi="仿宋" w:eastAsia="仿宋" w:cs="仿宋"/>
                <w:color w:val="auto"/>
                <w:sz w:val="24"/>
                <w:highlight w:val="none"/>
              </w:rPr>
            </w:pPr>
          </w:p>
        </w:tc>
      </w:tr>
      <w:tr w14:paraId="6CD85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74F591A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45072598">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306198E4">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020536FB">
            <w:pPr>
              <w:spacing w:line="360" w:lineRule="auto"/>
              <w:jc w:val="center"/>
              <w:rPr>
                <w:rFonts w:ascii="仿宋" w:hAnsi="仿宋" w:eastAsia="仿宋" w:cs="仿宋"/>
                <w:color w:val="auto"/>
                <w:sz w:val="24"/>
                <w:highlight w:val="none"/>
              </w:rPr>
            </w:pPr>
          </w:p>
        </w:tc>
      </w:tr>
      <w:tr w14:paraId="3EF66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015D4B2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25F0A88C">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48CBB81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0F30C97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1C0B3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595389F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340A3A93">
            <w:pPr>
              <w:spacing w:line="360" w:lineRule="auto"/>
              <w:jc w:val="center"/>
              <w:rPr>
                <w:rFonts w:ascii="仿宋" w:hAnsi="仿宋" w:eastAsia="仿宋" w:cs="仿宋"/>
                <w:color w:val="auto"/>
                <w:sz w:val="24"/>
                <w:highlight w:val="none"/>
              </w:rPr>
            </w:pPr>
          </w:p>
        </w:tc>
      </w:tr>
      <w:tr w14:paraId="41EAC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6A2D0BD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4A6E4382">
            <w:pPr>
              <w:spacing w:line="360" w:lineRule="auto"/>
              <w:jc w:val="center"/>
              <w:rPr>
                <w:rFonts w:ascii="仿宋" w:hAnsi="仿宋" w:eastAsia="仿宋" w:cs="仿宋"/>
                <w:color w:val="auto"/>
                <w:sz w:val="24"/>
                <w:highlight w:val="none"/>
              </w:rPr>
            </w:pPr>
          </w:p>
        </w:tc>
      </w:tr>
      <w:tr w14:paraId="57A3D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0775BF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0FB88CE2">
            <w:pPr>
              <w:spacing w:line="360" w:lineRule="auto"/>
              <w:jc w:val="center"/>
              <w:rPr>
                <w:rFonts w:ascii="仿宋" w:hAnsi="仿宋" w:eastAsia="仿宋" w:cs="仿宋"/>
                <w:color w:val="auto"/>
                <w:sz w:val="24"/>
                <w:highlight w:val="none"/>
              </w:rPr>
            </w:pPr>
          </w:p>
        </w:tc>
      </w:tr>
      <w:tr w14:paraId="64D89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5857A201">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EF43E5E">
            <w:pPr>
              <w:spacing w:line="360" w:lineRule="auto"/>
              <w:jc w:val="center"/>
              <w:rPr>
                <w:rFonts w:ascii="仿宋" w:hAnsi="仿宋" w:eastAsia="仿宋" w:cs="仿宋"/>
                <w:color w:val="auto"/>
                <w:sz w:val="24"/>
                <w:highlight w:val="none"/>
              </w:rPr>
            </w:pPr>
          </w:p>
        </w:tc>
      </w:tr>
      <w:tr w14:paraId="3684E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17212480">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D0010F9">
            <w:pPr>
              <w:spacing w:line="360" w:lineRule="auto"/>
              <w:jc w:val="center"/>
              <w:rPr>
                <w:rFonts w:ascii="仿宋" w:hAnsi="仿宋" w:eastAsia="仿宋" w:cs="仿宋"/>
                <w:color w:val="auto"/>
                <w:sz w:val="24"/>
                <w:highlight w:val="none"/>
              </w:rPr>
            </w:pPr>
          </w:p>
        </w:tc>
      </w:tr>
      <w:tr w14:paraId="3EC10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7C1D3E8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4C49C67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14770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024E494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42D40705">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5131FF5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4DD6BB51">
            <w:pPr>
              <w:spacing w:line="360" w:lineRule="auto"/>
              <w:jc w:val="center"/>
              <w:rPr>
                <w:rFonts w:ascii="仿宋" w:hAnsi="仿宋" w:eastAsia="仿宋" w:cs="仿宋"/>
                <w:color w:val="auto"/>
                <w:sz w:val="24"/>
                <w:highlight w:val="none"/>
              </w:rPr>
            </w:pPr>
          </w:p>
        </w:tc>
      </w:tr>
      <w:tr w14:paraId="44C6E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228008E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5BFC73EB">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7366362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23560974">
            <w:pPr>
              <w:spacing w:line="360" w:lineRule="auto"/>
              <w:jc w:val="center"/>
              <w:rPr>
                <w:rFonts w:ascii="仿宋" w:hAnsi="仿宋" w:eastAsia="仿宋" w:cs="仿宋"/>
                <w:color w:val="auto"/>
                <w:sz w:val="24"/>
                <w:highlight w:val="none"/>
              </w:rPr>
            </w:pPr>
          </w:p>
        </w:tc>
      </w:tr>
      <w:tr w14:paraId="5FB313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677A39A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08F4E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17BD700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6FEC7069">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91BFAD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413688CE">
            <w:pPr>
              <w:spacing w:line="360" w:lineRule="auto"/>
              <w:jc w:val="center"/>
              <w:rPr>
                <w:rFonts w:ascii="仿宋" w:hAnsi="仿宋" w:eastAsia="仿宋" w:cs="仿宋"/>
                <w:color w:val="auto"/>
                <w:sz w:val="24"/>
                <w:highlight w:val="none"/>
              </w:rPr>
            </w:pPr>
          </w:p>
        </w:tc>
      </w:tr>
      <w:tr w14:paraId="4ABD6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3607908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0B312E96">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2B702FF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0AD73A0E">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3FCCEE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6080802C">
            <w:pPr>
              <w:spacing w:line="360" w:lineRule="auto"/>
              <w:jc w:val="center"/>
              <w:rPr>
                <w:rFonts w:ascii="仿宋" w:hAnsi="仿宋" w:eastAsia="仿宋" w:cs="仿宋"/>
                <w:color w:val="auto"/>
                <w:sz w:val="24"/>
                <w:highlight w:val="none"/>
              </w:rPr>
            </w:pPr>
          </w:p>
        </w:tc>
      </w:tr>
      <w:tr w14:paraId="6C1AA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60F1393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7E61C971">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26268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602B495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25205712">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6DC51BFE">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3BB37155">
      <w:pPr>
        <w:outlineLvl w:val="1"/>
        <w:rPr>
          <w:rFonts w:ascii="宋体" w:hAnsi="宋体" w:eastAsia="宋体" w:cs="黑体"/>
          <w:b/>
          <w:color w:val="auto"/>
          <w:spacing w:val="4"/>
          <w:kern w:val="0"/>
          <w:sz w:val="28"/>
          <w:szCs w:val="28"/>
          <w:highlight w:val="none"/>
        </w:rPr>
      </w:pPr>
      <w:bookmarkStart w:id="23" w:name="_Toc199647676"/>
      <w:bookmarkEnd w:id="23"/>
      <w:bookmarkStart w:id="24" w:name="_Toc196130111"/>
      <w:bookmarkEnd w:id="24"/>
      <w:bookmarkStart w:id="25" w:name="_Toc197235849"/>
      <w:bookmarkEnd w:id="25"/>
      <w:bookmarkStart w:id="26" w:name="_Toc459403395"/>
      <w:bookmarkEnd w:id="26"/>
      <w:bookmarkStart w:id="27" w:name="_Toc415833504"/>
      <w:bookmarkEnd w:id="27"/>
      <w:bookmarkStart w:id="28" w:name="_Toc196130014"/>
      <w:bookmarkEnd w:id="28"/>
      <w:bookmarkStart w:id="29" w:name="_Toc326909214"/>
      <w:bookmarkEnd w:id="29"/>
      <w:bookmarkStart w:id="30" w:name="_Toc196036942"/>
      <w:bookmarkEnd w:id="30"/>
      <w:bookmarkStart w:id="31" w:name="_Toc196037098"/>
      <w:bookmarkEnd w:id="31"/>
      <w:bookmarkStart w:id="32" w:name="_Toc415728298"/>
      <w:bookmarkEnd w:id="32"/>
      <w:bookmarkStart w:id="33" w:name="_Toc462911099"/>
    </w:p>
    <w:bookmarkEnd w:id="33"/>
    <w:p w14:paraId="27551F4F">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4C25A8C4">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14:paraId="000779ED">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CADC374">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6D4B3ED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09FC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E741059">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F8FDEB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4EF23AC">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6FB5E4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847E53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F030C3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5B75F2C">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212AF65A">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5DA2E60">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1570CE2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6FB46B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3E575D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39E20A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7E7C24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36C85D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C5BC7A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FD58B60">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FF9AAE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D1D3D1D">
            <w:pPr>
              <w:snapToGrid w:val="0"/>
              <w:spacing w:line="360" w:lineRule="auto"/>
              <w:jc w:val="center"/>
              <w:rPr>
                <w:rFonts w:ascii="仿宋" w:hAnsi="仿宋" w:eastAsia="仿宋" w:cs="仿宋"/>
                <w:color w:val="auto"/>
                <w:sz w:val="24"/>
                <w:highlight w:val="none"/>
              </w:rPr>
            </w:pPr>
          </w:p>
        </w:tc>
      </w:tr>
      <w:tr w14:paraId="634C2E4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6ADE53">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46C332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272E77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2FE894A">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7A11EA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FF0000B">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C0D50B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8E9B2A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F6C8F6D">
            <w:pPr>
              <w:snapToGrid w:val="0"/>
              <w:spacing w:line="360" w:lineRule="auto"/>
              <w:jc w:val="center"/>
              <w:rPr>
                <w:rFonts w:ascii="仿宋" w:hAnsi="仿宋" w:eastAsia="仿宋" w:cs="仿宋"/>
                <w:color w:val="auto"/>
                <w:sz w:val="24"/>
                <w:highlight w:val="none"/>
              </w:rPr>
            </w:pPr>
          </w:p>
        </w:tc>
      </w:tr>
      <w:tr w14:paraId="2CAB6C0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CFF174">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43EA8E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869C14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DA839F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411C16C">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90C6B75">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B2F307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5146B57">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8C22F4B">
            <w:pPr>
              <w:snapToGrid w:val="0"/>
              <w:spacing w:line="360" w:lineRule="auto"/>
              <w:jc w:val="center"/>
              <w:rPr>
                <w:rFonts w:ascii="仿宋" w:hAnsi="仿宋" w:eastAsia="仿宋" w:cs="仿宋"/>
                <w:color w:val="auto"/>
                <w:sz w:val="24"/>
                <w:highlight w:val="none"/>
              </w:rPr>
            </w:pPr>
          </w:p>
        </w:tc>
      </w:tr>
      <w:tr w14:paraId="327E13C6">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0E16A6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73125F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4293A0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B993135">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7FBF42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A9644DE">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4476C4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4815FA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9C8007C">
            <w:pPr>
              <w:snapToGrid w:val="0"/>
              <w:spacing w:line="360" w:lineRule="auto"/>
              <w:jc w:val="center"/>
              <w:rPr>
                <w:rFonts w:ascii="仿宋" w:hAnsi="仿宋" w:eastAsia="仿宋" w:cs="仿宋"/>
                <w:color w:val="auto"/>
                <w:sz w:val="24"/>
                <w:highlight w:val="none"/>
              </w:rPr>
            </w:pPr>
          </w:p>
        </w:tc>
      </w:tr>
      <w:tr w14:paraId="6980171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2879CA7">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C63911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EA06E9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A168FC3">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783D80B">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C83AC4D">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7BC382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E58F50B">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8B6481C">
            <w:pPr>
              <w:snapToGrid w:val="0"/>
              <w:spacing w:line="360" w:lineRule="auto"/>
              <w:jc w:val="center"/>
              <w:rPr>
                <w:rFonts w:ascii="仿宋" w:hAnsi="仿宋" w:eastAsia="仿宋" w:cs="仿宋"/>
                <w:color w:val="auto"/>
                <w:sz w:val="24"/>
                <w:highlight w:val="none"/>
              </w:rPr>
            </w:pPr>
          </w:p>
        </w:tc>
      </w:tr>
      <w:tr w14:paraId="454760B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F6A38E">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F133AC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8EE5E8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E9F9723">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1421E93">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5E34A8E">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8A5B33B">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CD0DEC6">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D87EA45">
            <w:pPr>
              <w:snapToGrid w:val="0"/>
              <w:spacing w:line="360" w:lineRule="auto"/>
              <w:jc w:val="center"/>
              <w:rPr>
                <w:rFonts w:ascii="仿宋" w:hAnsi="仿宋" w:eastAsia="仿宋" w:cs="仿宋"/>
                <w:color w:val="auto"/>
                <w:sz w:val="24"/>
                <w:highlight w:val="none"/>
              </w:rPr>
            </w:pPr>
          </w:p>
        </w:tc>
      </w:tr>
      <w:tr w14:paraId="4320ACA6">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4A4AF6">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DEAF5D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321843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623CCE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7421E88">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6A2637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FD97AC7">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6668CF0">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5D734EE">
            <w:pPr>
              <w:snapToGrid w:val="0"/>
              <w:spacing w:line="360" w:lineRule="auto"/>
              <w:jc w:val="center"/>
              <w:rPr>
                <w:rFonts w:ascii="仿宋" w:hAnsi="仿宋" w:eastAsia="仿宋" w:cs="仿宋"/>
                <w:color w:val="auto"/>
                <w:sz w:val="24"/>
                <w:highlight w:val="none"/>
              </w:rPr>
            </w:pPr>
          </w:p>
        </w:tc>
      </w:tr>
      <w:tr w14:paraId="1870F4F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298A4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F95DB5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CC290F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EBA9EB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7008A2C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C0DDB5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1EA35B5">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C46F85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2CE2986">
            <w:pPr>
              <w:snapToGrid w:val="0"/>
              <w:spacing w:line="360" w:lineRule="auto"/>
              <w:jc w:val="center"/>
              <w:rPr>
                <w:rFonts w:ascii="仿宋" w:hAnsi="仿宋" w:eastAsia="仿宋" w:cs="仿宋"/>
                <w:color w:val="auto"/>
                <w:sz w:val="24"/>
                <w:highlight w:val="none"/>
              </w:rPr>
            </w:pPr>
          </w:p>
        </w:tc>
      </w:tr>
      <w:tr w14:paraId="6C1362E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24B2F21E">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60DA930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12EEA54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54B5B2E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36A82D0E">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1C35E31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6BC9A80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5DEF191E">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498F1614">
            <w:pPr>
              <w:snapToGrid w:val="0"/>
              <w:spacing w:line="360" w:lineRule="auto"/>
              <w:jc w:val="center"/>
              <w:rPr>
                <w:rFonts w:ascii="仿宋" w:hAnsi="仿宋" w:eastAsia="仿宋" w:cs="仿宋"/>
                <w:color w:val="auto"/>
                <w:sz w:val="24"/>
                <w:highlight w:val="none"/>
              </w:rPr>
            </w:pPr>
          </w:p>
        </w:tc>
      </w:tr>
    </w:tbl>
    <w:p w14:paraId="44568416">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04554C50">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14:paraId="3F4A1A02">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98B04F7">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716A004F">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73C099B">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195CABD">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DE88EAF">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14:paraId="25CA3C12">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444237FB">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74F3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82FE05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1295C0D8">
            <w:pPr>
              <w:spacing w:line="460" w:lineRule="exact"/>
              <w:jc w:val="left"/>
              <w:rPr>
                <w:rFonts w:ascii="宋体" w:hAnsi="宋体" w:eastAsia="宋体" w:cs="宋体"/>
                <w:color w:val="auto"/>
                <w:szCs w:val="21"/>
                <w:highlight w:val="none"/>
              </w:rPr>
            </w:pPr>
          </w:p>
        </w:tc>
        <w:tc>
          <w:tcPr>
            <w:tcW w:w="927" w:type="dxa"/>
            <w:vAlign w:val="center"/>
          </w:tcPr>
          <w:p w14:paraId="7655EB3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752C1CA5">
            <w:pPr>
              <w:spacing w:line="460" w:lineRule="exact"/>
              <w:jc w:val="left"/>
              <w:rPr>
                <w:rFonts w:ascii="宋体" w:hAnsi="宋体" w:eastAsia="宋体" w:cs="宋体"/>
                <w:color w:val="auto"/>
                <w:szCs w:val="21"/>
                <w:highlight w:val="none"/>
              </w:rPr>
            </w:pPr>
          </w:p>
        </w:tc>
        <w:tc>
          <w:tcPr>
            <w:tcW w:w="2130" w:type="dxa"/>
            <w:gridSpan w:val="3"/>
            <w:vAlign w:val="center"/>
          </w:tcPr>
          <w:p w14:paraId="0EF8DAC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18475F27">
            <w:pPr>
              <w:spacing w:line="460" w:lineRule="exact"/>
              <w:jc w:val="left"/>
              <w:rPr>
                <w:rFonts w:ascii="宋体" w:hAnsi="宋体" w:eastAsia="宋体" w:cs="宋体"/>
                <w:color w:val="auto"/>
                <w:szCs w:val="21"/>
                <w:highlight w:val="none"/>
              </w:rPr>
            </w:pPr>
          </w:p>
        </w:tc>
      </w:tr>
      <w:tr w14:paraId="6F7F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D3043C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7E052F26">
            <w:pPr>
              <w:spacing w:line="460" w:lineRule="exact"/>
              <w:jc w:val="left"/>
              <w:rPr>
                <w:rFonts w:ascii="宋体" w:hAnsi="宋体" w:eastAsia="宋体" w:cs="宋体"/>
                <w:color w:val="auto"/>
                <w:szCs w:val="21"/>
                <w:highlight w:val="none"/>
              </w:rPr>
            </w:pPr>
          </w:p>
        </w:tc>
        <w:tc>
          <w:tcPr>
            <w:tcW w:w="927" w:type="dxa"/>
            <w:vAlign w:val="center"/>
          </w:tcPr>
          <w:p w14:paraId="57AEA30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488328BF">
            <w:pPr>
              <w:spacing w:line="460" w:lineRule="exact"/>
              <w:jc w:val="left"/>
              <w:rPr>
                <w:rFonts w:ascii="宋体" w:hAnsi="宋体" w:eastAsia="宋体" w:cs="宋体"/>
                <w:color w:val="auto"/>
                <w:szCs w:val="21"/>
                <w:highlight w:val="none"/>
              </w:rPr>
            </w:pPr>
          </w:p>
        </w:tc>
        <w:tc>
          <w:tcPr>
            <w:tcW w:w="2130" w:type="dxa"/>
            <w:gridSpan w:val="3"/>
            <w:vAlign w:val="center"/>
          </w:tcPr>
          <w:p w14:paraId="358A622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67C44593">
            <w:pPr>
              <w:spacing w:line="460" w:lineRule="exact"/>
              <w:jc w:val="left"/>
              <w:rPr>
                <w:rFonts w:ascii="宋体" w:hAnsi="宋体" w:eastAsia="宋体" w:cs="宋体"/>
                <w:color w:val="auto"/>
                <w:szCs w:val="21"/>
                <w:highlight w:val="none"/>
              </w:rPr>
            </w:pPr>
          </w:p>
        </w:tc>
      </w:tr>
      <w:tr w14:paraId="1E0F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51CACF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21919F6E">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6008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18361F0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6E39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2748A9C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04DAA3C3">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5B135CD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787621C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19E1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BEB25A1">
            <w:pPr>
              <w:spacing w:line="460" w:lineRule="exact"/>
              <w:jc w:val="left"/>
              <w:rPr>
                <w:rFonts w:ascii="宋体" w:hAnsi="宋体" w:eastAsia="宋体" w:cs="宋体"/>
                <w:color w:val="auto"/>
                <w:szCs w:val="21"/>
                <w:highlight w:val="none"/>
              </w:rPr>
            </w:pPr>
          </w:p>
        </w:tc>
        <w:tc>
          <w:tcPr>
            <w:tcW w:w="3420" w:type="dxa"/>
            <w:gridSpan w:val="4"/>
          </w:tcPr>
          <w:p w14:paraId="2812E2E1">
            <w:pPr>
              <w:spacing w:line="460" w:lineRule="exact"/>
              <w:jc w:val="left"/>
              <w:rPr>
                <w:rFonts w:ascii="宋体" w:hAnsi="宋体" w:eastAsia="宋体" w:cs="宋体"/>
                <w:color w:val="auto"/>
                <w:szCs w:val="21"/>
                <w:highlight w:val="none"/>
              </w:rPr>
            </w:pPr>
          </w:p>
        </w:tc>
        <w:tc>
          <w:tcPr>
            <w:tcW w:w="1261" w:type="dxa"/>
          </w:tcPr>
          <w:p w14:paraId="3C339CF2">
            <w:pPr>
              <w:spacing w:line="460" w:lineRule="exact"/>
              <w:jc w:val="left"/>
              <w:rPr>
                <w:rFonts w:ascii="宋体" w:hAnsi="宋体" w:eastAsia="宋体" w:cs="宋体"/>
                <w:color w:val="auto"/>
                <w:szCs w:val="21"/>
                <w:highlight w:val="none"/>
              </w:rPr>
            </w:pPr>
          </w:p>
        </w:tc>
        <w:tc>
          <w:tcPr>
            <w:tcW w:w="2296" w:type="dxa"/>
            <w:gridSpan w:val="2"/>
          </w:tcPr>
          <w:p w14:paraId="557AF91D">
            <w:pPr>
              <w:spacing w:line="460" w:lineRule="exact"/>
              <w:jc w:val="left"/>
              <w:rPr>
                <w:rFonts w:ascii="宋体" w:hAnsi="宋体" w:eastAsia="宋体" w:cs="宋体"/>
                <w:color w:val="auto"/>
                <w:szCs w:val="21"/>
                <w:highlight w:val="none"/>
              </w:rPr>
            </w:pPr>
          </w:p>
        </w:tc>
      </w:tr>
      <w:tr w14:paraId="29F7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96290B8">
            <w:pPr>
              <w:spacing w:line="460" w:lineRule="exact"/>
              <w:jc w:val="left"/>
              <w:rPr>
                <w:rFonts w:ascii="宋体" w:hAnsi="宋体" w:eastAsia="宋体" w:cs="宋体"/>
                <w:color w:val="auto"/>
                <w:szCs w:val="21"/>
                <w:highlight w:val="none"/>
              </w:rPr>
            </w:pPr>
          </w:p>
        </w:tc>
        <w:tc>
          <w:tcPr>
            <w:tcW w:w="3420" w:type="dxa"/>
            <w:gridSpan w:val="4"/>
          </w:tcPr>
          <w:p w14:paraId="08A189CA">
            <w:pPr>
              <w:spacing w:line="460" w:lineRule="exact"/>
              <w:jc w:val="left"/>
              <w:rPr>
                <w:rFonts w:ascii="宋体" w:hAnsi="宋体" w:eastAsia="宋体" w:cs="宋体"/>
                <w:color w:val="auto"/>
                <w:szCs w:val="21"/>
                <w:highlight w:val="none"/>
              </w:rPr>
            </w:pPr>
          </w:p>
        </w:tc>
        <w:tc>
          <w:tcPr>
            <w:tcW w:w="1261" w:type="dxa"/>
          </w:tcPr>
          <w:p w14:paraId="5FEFB168">
            <w:pPr>
              <w:spacing w:line="460" w:lineRule="exact"/>
              <w:jc w:val="left"/>
              <w:rPr>
                <w:rFonts w:ascii="宋体" w:hAnsi="宋体" w:eastAsia="宋体" w:cs="宋体"/>
                <w:color w:val="auto"/>
                <w:szCs w:val="21"/>
                <w:highlight w:val="none"/>
              </w:rPr>
            </w:pPr>
          </w:p>
        </w:tc>
        <w:tc>
          <w:tcPr>
            <w:tcW w:w="2296" w:type="dxa"/>
            <w:gridSpan w:val="2"/>
          </w:tcPr>
          <w:p w14:paraId="746962DB">
            <w:pPr>
              <w:spacing w:line="460" w:lineRule="exact"/>
              <w:jc w:val="left"/>
              <w:rPr>
                <w:rFonts w:ascii="宋体" w:hAnsi="宋体" w:eastAsia="宋体" w:cs="宋体"/>
                <w:color w:val="auto"/>
                <w:szCs w:val="21"/>
                <w:highlight w:val="none"/>
              </w:rPr>
            </w:pPr>
          </w:p>
        </w:tc>
      </w:tr>
      <w:tr w14:paraId="5210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97405C8">
            <w:pPr>
              <w:spacing w:line="460" w:lineRule="exact"/>
              <w:jc w:val="left"/>
              <w:rPr>
                <w:rFonts w:ascii="宋体" w:hAnsi="宋体" w:eastAsia="宋体" w:cs="宋体"/>
                <w:color w:val="auto"/>
                <w:szCs w:val="21"/>
                <w:highlight w:val="none"/>
              </w:rPr>
            </w:pPr>
          </w:p>
        </w:tc>
        <w:tc>
          <w:tcPr>
            <w:tcW w:w="3420" w:type="dxa"/>
            <w:gridSpan w:val="4"/>
          </w:tcPr>
          <w:p w14:paraId="21C1A8E5">
            <w:pPr>
              <w:spacing w:line="460" w:lineRule="exact"/>
              <w:jc w:val="left"/>
              <w:rPr>
                <w:rFonts w:ascii="宋体" w:hAnsi="宋体" w:eastAsia="宋体" w:cs="宋体"/>
                <w:color w:val="auto"/>
                <w:szCs w:val="21"/>
                <w:highlight w:val="none"/>
              </w:rPr>
            </w:pPr>
          </w:p>
        </w:tc>
        <w:tc>
          <w:tcPr>
            <w:tcW w:w="1261" w:type="dxa"/>
          </w:tcPr>
          <w:p w14:paraId="5F739601">
            <w:pPr>
              <w:spacing w:line="460" w:lineRule="exact"/>
              <w:jc w:val="left"/>
              <w:rPr>
                <w:rFonts w:ascii="宋体" w:hAnsi="宋体" w:eastAsia="宋体" w:cs="宋体"/>
                <w:color w:val="auto"/>
                <w:szCs w:val="21"/>
                <w:highlight w:val="none"/>
              </w:rPr>
            </w:pPr>
          </w:p>
        </w:tc>
        <w:tc>
          <w:tcPr>
            <w:tcW w:w="2296" w:type="dxa"/>
            <w:gridSpan w:val="2"/>
          </w:tcPr>
          <w:p w14:paraId="4E53BF47">
            <w:pPr>
              <w:spacing w:line="460" w:lineRule="exact"/>
              <w:jc w:val="left"/>
              <w:rPr>
                <w:rFonts w:ascii="宋体" w:hAnsi="宋体" w:eastAsia="宋体" w:cs="宋体"/>
                <w:color w:val="auto"/>
                <w:szCs w:val="21"/>
                <w:highlight w:val="none"/>
              </w:rPr>
            </w:pPr>
          </w:p>
        </w:tc>
      </w:tr>
      <w:tr w14:paraId="1954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15A1BA09">
            <w:pPr>
              <w:spacing w:line="460" w:lineRule="exact"/>
              <w:jc w:val="left"/>
              <w:rPr>
                <w:rFonts w:ascii="宋体" w:hAnsi="宋体" w:eastAsia="宋体" w:cs="宋体"/>
                <w:color w:val="auto"/>
                <w:szCs w:val="21"/>
                <w:highlight w:val="none"/>
              </w:rPr>
            </w:pPr>
          </w:p>
        </w:tc>
        <w:tc>
          <w:tcPr>
            <w:tcW w:w="3420" w:type="dxa"/>
            <w:gridSpan w:val="4"/>
            <w:vAlign w:val="center"/>
          </w:tcPr>
          <w:p w14:paraId="39B43276">
            <w:pPr>
              <w:spacing w:line="460" w:lineRule="exact"/>
              <w:jc w:val="left"/>
              <w:rPr>
                <w:rFonts w:ascii="宋体" w:hAnsi="宋体" w:eastAsia="宋体" w:cs="宋体"/>
                <w:color w:val="auto"/>
                <w:szCs w:val="21"/>
                <w:highlight w:val="none"/>
              </w:rPr>
            </w:pPr>
          </w:p>
        </w:tc>
        <w:tc>
          <w:tcPr>
            <w:tcW w:w="1261" w:type="dxa"/>
            <w:vAlign w:val="center"/>
          </w:tcPr>
          <w:p w14:paraId="3FAD1384">
            <w:pPr>
              <w:spacing w:line="460" w:lineRule="exact"/>
              <w:jc w:val="left"/>
              <w:rPr>
                <w:rFonts w:ascii="宋体" w:hAnsi="宋体" w:eastAsia="宋体" w:cs="宋体"/>
                <w:color w:val="auto"/>
                <w:szCs w:val="21"/>
                <w:highlight w:val="none"/>
              </w:rPr>
            </w:pPr>
          </w:p>
        </w:tc>
        <w:tc>
          <w:tcPr>
            <w:tcW w:w="2296" w:type="dxa"/>
            <w:gridSpan w:val="2"/>
            <w:vAlign w:val="center"/>
          </w:tcPr>
          <w:p w14:paraId="061054CA">
            <w:pPr>
              <w:spacing w:line="460" w:lineRule="exact"/>
              <w:jc w:val="left"/>
              <w:rPr>
                <w:rFonts w:ascii="宋体" w:hAnsi="宋体" w:eastAsia="宋体" w:cs="宋体"/>
                <w:color w:val="auto"/>
                <w:szCs w:val="21"/>
                <w:highlight w:val="none"/>
              </w:rPr>
            </w:pPr>
          </w:p>
        </w:tc>
      </w:tr>
    </w:tbl>
    <w:p w14:paraId="3DC77ABE">
      <w:pPr>
        <w:rPr>
          <w:rFonts w:ascii="仿宋" w:hAnsi="仿宋" w:eastAsia="仿宋" w:cs="仿宋"/>
          <w:color w:val="auto"/>
          <w:szCs w:val="21"/>
          <w:highlight w:val="none"/>
        </w:rPr>
      </w:pPr>
    </w:p>
    <w:p w14:paraId="3C390EDB">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354D2BA6">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14:paraId="644BC77C">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7B8ACED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2E3B368">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A7C78C1">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6B5C6A0A">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F364C51">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0B5F74">
      <w:pPr>
        <w:pStyle w:val="25"/>
        <w:widowControl/>
        <w:ind w:firstLine="0" w:firstLineChars="0"/>
        <w:rPr>
          <w:color w:val="auto"/>
          <w:spacing w:val="18"/>
          <w:highlight w:val="none"/>
        </w:rPr>
      </w:pPr>
      <w:r>
        <w:rPr>
          <w:color w:val="auto"/>
          <w:spacing w:val="18"/>
          <w:highlight w:val="none"/>
        </w:rPr>
        <w:t xml:space="preserve"> </w:t>
      </w:r>
    </w:p>
    <w:p w14:paraId="18957AF0">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B588DE0">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8703D76">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14:paraId="72E56029">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14:paraId="732DFF49">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14:paraId="2EAAF438">
      <w:pPr>
        <w:wordWrap w:val="0"/>
        <w:autoSpaceDE w:val="0"/>
        <w:autoSpaceDN w:val="0"/>
        <w:adjustRightInd w:val="0"/>
        <w:spacing w:line="360" w:lineRule="auto"/>
        <w:jc w:val="right"/>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5266" w:type="pct"/>
        <w:tblInd w:w="-1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1"/>
        <w:gridCol w:w="313"/>
        <w:gridCol w:w="832"/>
        <w:gridCol w:w="2123"/>
        <w:gridCol w:w="1871"/>
        <w:gridCol w:w="3738"/>
      </w:tblGrid>
      <w:tr w14:paraId="5C054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7" w:hRule="atLeast"/>
        </w:trPr>
        <w:tc>
          <w:tcPr>
            <w:tcW w:w="62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B014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阶段</w:t>
            </w:r>
          </w:p>
        </w:tc>
        <w:tc>
          <w:tcPr>
            <w:tcW w:w="1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2C02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2A7EF">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color w:val="auto"/>
                <w:kern w:val="0"/>
                <w:sz w:val="18"/>
                <w:szCs w:val="18"/>
                <w:highlight w:val="none"/>
                <w:u w:val="none"/>
                <w:lang w:val="en-US" w:eastAsia="zh-CN" w:bidi="ar"/>
              </w:rPr>
              <w:t>费用项</w:t>
            </w:r>
          </w:p>
        </w:tc>
        <w:tc>
          <w:tcPr>
            <w:tcW w:w="1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D86CD">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color w:val="auto"/>
                <w:kern w:val="0"/>
                <w:sz w:val="18"/>
                <w:szCs w:val="18"/>
                <w:highlight w:val="none"/>
                <w:u w:val="none"/>
                <w:lang w:val="en-US" w:eastAsia="zh-CN" w:bidi="ar"/>
              </w:rPr>
              <w:t>费用内容</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4A60D">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投标报价</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D1EE1">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备注</w:t>
            </w:r>
          </w:p>
        </w:tc>
      </w:tr>
      <w:tr w14:paraId="6D857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vMerge w:val="restart"/>
            <w:tcBorders>
              <w:top w:val="single" w:color="000000" w:sz="4" w:space="0"/>
              <w:left w:val="single" w:color="000000" w:sz="4" w:space="0"/>
              <w:right w:val="single" w:color="000000" w:sz="4" w:space="0"/>
            </w:tcBorders>
            <w:shd w:val="clear" w:color="auto" w:fill="auto"/>
            <w:noWrap w:val="0"/>
            <w:vAlign w:val="center"/>
          </w:tcPr>
          <w:p w14:paraId="22D97F45">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设计竞赛</w:t>
            </w:r>
          </w:p>
        </w:tc>
        <w:tc>
          <w:tcPr>
            <w:tcW w:w="1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F6060">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w:t>
            </w:r>
          </w:p>
        </w:tc>
        <w:tc>
          <w:tcPr>
            <w:tcW w:w="409" w:type="pct"/>
            <w:vMerge w:val="restart"/>
            <w:tcBorders>
              <w:top w:val="single" w:color="000000" w:sz="4" w:space="0"/>
              <w:left w:val="single" w:color="000000" w:sz="4" w:space="0"/>
              <w:right w:val="single" w:color="000000" w:sz="4" w:space="0"/>
            </w:tcBorders>
            <w:shd w:val="clear" w:color="auto" w:fill="auto"/>
            <w:noWrap w:val="0"/>
            <w:vAlign w:val="center"/>
          </w:tcPr>
          <w:p w14:paraId="3FBEB6C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竞赛组织费用</w:t>
            </w:r>
          </w:p>
        </w:tc>
        <w:tc>
          <w:tcPr>
            <w:tcW w:w="1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366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宣传预算部分</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1DC9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66000.00</w:t>
            </w:r>
          </w:p>
        </w:tc>
        <w:tc>
          <w:tcPr>
            <w:tcW w:w="1841" w:type="pct"/>
            <w:vMerge w:val="restart"/>
            <w:tcBorders>
              <w:top w:val="single" w:color="000000" w:sz="4" w:space="0"/>
              <w:left w:val="single" w:color="000000" w:sz="4" w:space="0"/>
              <w:right w:val="single" w:color="000000" w:sz="4" w:space="0"/>
            </w:tcBorders>
            <w:shd w:val="clear" w:color="auto" w:fill="auto"/>
            <w:noWrap w:val="0"/>
            <w:vAlign w:val="center"/>
          </w:tcPr>
          <w:p w14:paraId="137E95D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以实际发生费用为准</w:t>
            </w:r>
          </w:p>
        </w:tc>
      </w:tr>
      <w:tr w14:paraId="6158C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vMerge w:val="continue"/>
            <w:tcBorders>
              <w:left w:val="single" w:color="000000" w:sz="4" w:space="0"/>
              <w:right w:val="single" w:color="000000" w:sz="4" w:space="0"/>
            </w:tcBorders>
            <w:shd w:val="clear" w:color="auto" w:fill="auto"/>
            <w:noWrap w:val="0"/>
            <w:vAlign w:val="center"/>
          </w:tcPr>
          <w:p w14:paraId="413BD5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52B1D">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2</w:t>
            </w:r>
          </w:p>
        </w:tc>
        <w:tc>
          <w:tcPr>
            <w:tcW w:w="409" w:type="pct"/>
            <w:vMerge w:val="continue"/>
            <w:tcBorders>
              <w:left w:val="single" w:color="000000" w:sz="4" w:space="0"/>
              <w:right w:val="single" w:color="000000" w:sz="4" w:space="0"/>
            </w:tcBorders>
            <w:shd w:val="clear" w:color="auto" w:fill="auto"/>
            <w:noWrap w:val="0"/>
            <w:vAlign w:val="center"/>
          </w:tcPr>
          <w:p w14:paraId="5F65240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BFE7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遴选专家费用、相关食宿交通及税金</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9411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50000.00</w:t>
            </w:r>
          </w:p>
        </w:tc>
        <w:tc>
          <w:tcPr>
            <w:tcW w:w="1841" w:type="pct"/>
            <w:vMerge w:val="continue"/>
            <w:tcBorders>
              <w:left w:val="single" w:color="000000" w:sz="4" w:space="0"/>
              <w:right w:val="single" w:color="000000" w:sz="4" w:space="0"/>
            </w:tcBorders>
            <w:shd w:val="clear" w:color="auto" w:fill="auto"/>
            <w:noWrap w:val="0"/>
            <w:vAlign w:val="center"/>
          </w:tcPr>
          <w:p w14:paraId="5ABA307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r>
      <w:tr w14:paraId="6B1E4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vMerge w:val="continue"/>
            <w:tcBorders>
              <w:left w:val="single" w:color="000000" w:sz="4" w:space="0"/>
              <w:right w:val="single" w:color="000000" w:sz="4" w:space="0"/>
            </w:tcBorders>
            <w:shd w:val="clear" w:color="auto" w:fill="auto"/>
            <w:noWrap w:val="0"/>
            <w:vAlign w:val="center"/>
          </w:tcPr>
          <w:p w14:paraId="263D6EB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6D2BA">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3</w:t>
            </w:r>
          </w:p>
        </w:tc>
        <w:tc>
          <w:tcPr>
            <w:tcW w:w="409" w:type="pct"/>
            <w:vMerge w:val="continue"/>
            <w:tcBorders>
              <w:left w:val="single" w:color="000000" w:sz="4" w:space="0"/>
              <w:right w:val="single" w:color="000000" w:sz="4" w:space="0"/>
            </w:tcBorders>
            <w:shd w:val="clear" w:color="auto" w:fill="auto"/>
            <w:noWrap w:val="0"/>
            <w:vAlign w:val="center"/>
          </w:tcPr>
          <w:p w14:paraId="418339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4843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方案评审专家费（大师）、大型会议餐饮安排及税金</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8E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120000.00</w:t>
            </w:r>
          </w:p>
        </w:tc>
        <w:tc>
          <w:tcPr>
            <w:tcW w:w="1841" w:type="pct"/>
            <w:vMerge w:val="continue"/>
            <w:tcBorders>
              <w:left w:val="single" w:color="000000" w:sz="4" w:space="0"/>
              <w:right w:val="single" w:color="000000" w:sz="4" w:space="0"/>
            </w:tcBorders>
            <w:shd w:val="clear" w:color="auto" w:fill="auto"/>
            <w:noWrap w:val="0"/>
            <w:vAlign w:val="center"/>
          </w:tcPr>
          <w:p w14:paraId="5BC4498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r>
      <w:tr w14:paraId="1AC01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vMerge w:val="continue"/>
            <w:tcBorders>
              <w:left w:val="single" w:color="000000" w:sz="4" w:space="0"/>
              <w:right w:val="single" w:color="000000" w:sz="4" w:space="0"/>
            </w:tcBorders>
            <w:shd w:val="clear" w:color="auto" w:fill="auto"/>
            <w:noWrap w:val="0"/>
            <w:vAlign w:val="center"/>
          </w:tcPr>
          <w:p w14:paraId="5008ECC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19F04">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4</w:t>
            </w:r>
          </w:p>
        </w:tc>
        <w:tc>
          <w:tcPr>
            <w:tcW w:w="409" w:type="pct"/>
            <w:vMerge w:val="continue"/>
            <w:tcBorders>
              <w:left w:val="single" w:color="000000" w:sz="4" w:space="0"/>
              <w:bottom w:val="single" w:color="000000" w:sz="4" w:space="0"/>
              <w:right w:val="single" w:color="000000" w:sz="4" w:space="0"/>
            </w:tcBorders>
            <w:shd w:val="clear" w:color="auto" w:fill="auto"/>
            <w:noWrap w:val="0"/>
            <w:vAlign w:val="center"/>
          </w:tcPr>
          <w:p w14:paraId="5CAD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c>
          <w:tcPr>
            <w:tcW w:w="1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EB0C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踏勘组织及交通费</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88D9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14000.00</w:t>
            </w:r>
          </w:p>
        </w:tc>
        <w:tc>
          <w:tcPr>
            <w:tcW w:w="1841" w:type="pct"/>
            <w:vMerge w:val="continue"/>
            <w:tcBorders>
              <w:left w:val="single" w:color="000000" w:sz="4" w:space="0"/>
              <w:bottom w:val="single" w:color="000000" w:sz="4" w:space="0"/>
              <w:right w:val="single" w:color="000000" w:sz="4" w:space="0"/>
            </w:tcBorders>
            <w:shd w:val="clear" w:color="auto" w:fill="auto"/>
            <w:noWrap w:val="0"/>
            <w:vAlign w:val="center"/>
          </w:tcPr>
          <w:p w14:paraId="33B217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p>
        </w:tc>
      </w:tr>
      <w:tr w14:paraId="0C8BA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vMerge w:val="continue"/>
            <w:tcBorders>
              <w:left w:val="single" w:color="000000" w:sz="4" w:space="0"/>
              <w:bottom w:val="single" w:color="000000" w:sz="4" w:space="0"/>
              <w:right w:val="single" w:color="000000" w:sz="4" w:space="0"/>
            </w:tcBorders>
            <w:shd w:val="clear" w:color="auto" w:fill="auto"/>
            <w:noWrap w:val="0"/>
            <w:vAlign w:val="center"/>
          </w:tcPr>
          <w:p w14:paraId="58F3431E">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p>
        </w:tc>
        <w:tc>
          <w:tcPr>
            <w:tcW w:w="1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3D57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7AF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代理费用A</w:t>
            </w:r>
          </w:p>
        </w:tc>
        <w:tc>
          <w:tcPr>
            <w:tcW w:w="104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0DD8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设计竞赛组织代理费用</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36C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          元</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7548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单次固定费用</w:t>
            </w:r>
          </w:p>
        </w:tc>
      </w:tr>
      <w:tr w14:paraId="01081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tcBorders>
              <w:top w:val="single" w:color="000000" w:sz="4" w:space="0"/>
              <w:left w:val="single" w:color="000000" w:sz="4" w:space="0"/>
              <w:bottom w:val="single" w:color="000000" w:sz="4" w:space="0"/>
              <w:right w:val="single" w:color="000000" w:sz="4" w:space="0"/>
            </w:tcBorders>
            <w:noWrap w:val="0"/>
            <w:vAlign w:val="center"/>
          </w:tcPr>
          <w:p w14:paraId="20AF771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监理</w:t>
            </w:r>
          </w:p>
        </w:tc>
        <w:tc>
          <w:tcPr>
            <w:tcW w:w="154" w:type="pct"/>
            <w:tcBorders>
              <w:top w:val="single" w:color="000000" w:sz="4" w:space="0"/>
              <w:left w:val="single" w:color="000000" w:sz="4" w:space="0"/>
              <w:bottom w:val="single" w:color="000000" w:sz="4" w:space="0"/>
              <w:right w:val="single" w:color="000000" w:sz="4" w:space="0"/>
            </w:tcBorders>
            <w:noWrap w:val="0"/>
            <w:vAlign w:val="center"/>
          </w:tcPr>
          <w:p w14:paraId="27A2A4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6</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2CA8B3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代理费用B</w:t>
            </w:r>
          </w:p>
        </w:tc>
        <w:tc>
          <w:tcPr>
            <w:tcW w:w="1046" w:type="pct"/>
            <w:tcBorders>
              <w:top w:val="single" w:color="000000" w:sz="4" w:space="0"/>
              <w:left w:val="single" w:color="000000" w:sz="4" w:space="0"/>
              <w:bottom w:val="single" w:color="000000" w:sz="4" w:space="0"/>
              <w:right w:val="single" w:color="000000" w:sz="4" w:space="0"/>
            </w:tcBorders>
            <w:noWrap w:val="0"/>
            <w:vAlign w:val="center"/>
          </w:tcPr>
          <w:p w14:paraId="1454EA9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以监理费预算暂定253.56万元为基数</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7F5CF80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single"/>
                <w:lang w:val="en-US" w:eastAsia="zh-CN" w:bidi="ar"/>
              </w:rPr>
              <w:t xml:space="preserve">          </w:t>
            </w:r>
            <w:r>
              <w:rPr>
                <w:rFonts w:hint="eastAsia" w:ascii="宋体" w:hAnsi="宋体" w:eastAsia="宋体" w:cs="宋体"/>
                <w:b w:val="0"/>
                <w:bCs w:val="0"/>
                <w:i w:val="0"/>
                <w:iCs w:val="0"/>
                <w:color w:val="auto"/>
                <w:kern w:val="0"/>
                <w:sz w:val="18"/>
                <w:szCs w:val="18"/>
                <w:highlight w:val="none"/>
                <w:u w:val="none"/>
                <w:lang w:val="en-US" w:eastAsia="zh-CN" w:bidi="ar"/>
              </w:rPr>
              <w:t>%</w:t>
            </w:r>
          </w:p>
          <w:p w14:paraId="275125D0">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single"/>
                <w:lang w:val="en-US" w:eastAsia="zh-CN" w:bidi="ar"/>
              </w:rPr>
              <w:t xml:space="preserve">          </w:t>
            </w:r>
            <w:r>
              <w:rPr>
                <w:rFonts w:hint="eastAsia" w:ascii="宋体" w:hAnsi="宋体" w:eastAsia="宋体" w:cs="宋体"/>
                <w:b w:val="0"/>
                <w:bCs w:val="0"/>
                <w:i w:val="0"/>
                <w:iCs w:val="0"/>
                <w:color w:val="auto"/>
                <w:kern w:val="0"/>
                <w:sz w:val="18"/>
                <w:szCs w:val="18"/>
                <w:highlight w:val="none"/>
                <w:u w:val="none"/>
                <w:lang w:val="en-US" w:eastAsia="zh-CN" w:bidi="ar"/>
              </w:rPr>
              <w:t>元</w:t>
            </w:r>
          </w:p>
        </w:tc>
        <w:tc>
          <w:tcPr>
            <w:tcW w:w="1841" w:type="pct"/>
            <w:tcBorders>
              <w:top w:val="single" w:color="000000" w:sz="4" w:space="0"/>
              <w:left w:val="single" w:color="000000" w:sz="4" w:space="0"/>
              <w:bottom w:val="single" w:color="000000" w:sz="4" w:space="0"/>
              <w:right w:val="single" w:color="000000" w:sz="4" w:space="0"/>
            </w:tcBorders>
            <w:noWrap w:val="0"/>
            <w:vAlign w:val="center"/>
          </w:tcPr>
          <w:p w14:paraId="7AA3952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按中标金额计取</w:t>
            </w:r>
          </w:p>
        </w:tc>
      </w:tr>
      <w:tr w14:paraId="7009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tcBorders>
              <w:top w:val="single" w:color="000000" w:sz="4" w:space="0"/>
              <w:left w:val="single" w:color="000000" w:sz="4" w:space="0"/>
              <w:bottom w:val="single" w:color="000000" w:sz="4" w:space="0"/>
              <w:right w:val="single" w:color="000000" w:sz="4" w:space="0"/>
            </w:tcBorders>
            <w:noWrap w:val="0"/>
            <w:vAlign w:val="center"/>
          </w:tcPr>
          <w:p w14:paraId="3AECD2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第三方检测</w:t>
            </w:r>
          </w:p>
        </w:tc>
        <w:tc>
          <w:tcPr>
            <w:tcW w:w="154" w:type="pct"/>
            <w:tcBorders>
              <w:top w:val="single" w:color="000000" w:sz="4" w:space="0"/>
              <w:left w:val="single" w:color="000000" w:sz="4" w:space="0"/>
              <w:bottom w:val="single" w:color="000000" w:sz="4" w:space="0"/>
              <w:right w:val="single" w:color="000000" w:sz="4" w:space="0"/>
            </w:tcBorders>
            <w:noWrap w:val="0"/>
            <w:vAlign w:val="center"/>
          </w:tcPr>
          <w:p w14:paraId="775C2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7</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F045F2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代理费用C</w:t>
            </w:r>
          </w:p>
        </w:tc>
        <w:tc>
          <w:tcPr>
            <w:tcW w:w="1046" w:type="pct"/>
            <w:tcBorders>
              <w:top w:val="single" w:color="000000" w:sz="4" w:space="0"/>
              <w:left w:val="single" w:color="000000" w:sz="4" w:space="0"/>
              <w:bottom w:val="single" w:color="000000" w:sz="4" w:space="0"/>
              <w:right w:val="single" w:color="000000" w:sz="4" w:space="0"/>
            </w:tcBorders>
            <w:noWrap w:val="0"/>
            <w:vAlign w:val="center"/>
          </w:tcPr>
          <w:p w14:paraId="312308B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以检测费预算暂定120万元为基数</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1E8E49C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single"/>
                <w:lang w:val="en-US" w:eastAsia="zh-CN" w:bidi="ar"/>
              </w:rPr>
              <w:t xml:space="preserve">          </w:t>
            </w:r>
            <w:r>
              <w:rPr>
                <w:rFonts w:hint="eastAsia" w:ascii="宋体" w:hAnsi="宋体" w:eastAsia="宋体" w:cs="宋体"/>
                <w:b w:val="0"/>
                <w:bCs w:val="0"/>
                <w:i w:val="0"/>
                <w:iCs w:val="0"/>
                <w:color w:val="auto"/>
                <w:kern w:val="0"/>
                <w:sz w:val="18"/>
                <w:szCs w:val="18"/>
                <w:highlight w:val="none"/>
                <w:u w:val="none"/>
                <w:lang w:val="en-US" w:eastAsia="zh-CN" w:bidi="ar"/>
              </w:rPr>
              <w:t>%</w:t>
            </w:r>
          </w:p>
          <w:p w14:paraId="53423807">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single"/>
                <w:lang w:val="en-US" w:eastAsia="zh-CN" w:bidi="ar"/>
              </w:rPr>
              <w:t xml:space="preserve">          </w:t>
            </w:r>
            <w:r>
              <w:rPr>
                <w:rFonts w:hint="eastAsia" w:ascii="宋体" w:hAnsi="宋体" w:eastAsia="宋体" w:cs="宋体"/>
                <w:b w:val="0"/>
                <w:bCs w:val="0"/>
                <w:i w:val="0"/>
                <w:iCs w:val="0"/>
                <w:color w:val="auto"/>
                <w:kern w:val="0"/>
                <w:sz w:val="18"/>
                <w:szCs w:val="18"/>
                <w:highlight w:val="none"/>
                <w:u w:val="none"/>
                <w:lang w:val="en-US" w:eastAsia="zh-CN" w:bidi="ar"/>
              </w:rPr>
              <w:t>元</w:t>
            </w:r>
          </w:p>
        </w:tc>
        <w:tc>
          <w:tcPr>
            <w:tcW w:w="1841" w:type="pct"/>
            <w:tcBorders>
              <w:top w:val="single" w:color="000000" w:sz="4" w:space="0"/>
              <w:left w:val="single" w:color="000000" w:sz="4" w:space="0"/>
              <w:bottom w:val="single" w:color="000000" w:sz="4" w:space="0"/>
              <w:right w:val="single" w:color="000000" w:sz="4" w:space="0"/>
            </w:tcBorders>
            <w:noWrap w:val="0"/>
            <w:vAlign w:val="center"/>
          </w:tcPr>
          <w:p w14:paraId="098B5F5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按中标金额计取</w:t>
            </w:r>
          </w:p>
        </w:tc>
      </w:tr>
      <w:tr w14:paraId="5D18B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trPr>
        <w:tc>
          <w:tcPr>
            <w:tcW w:w="626" w:type="pct"/>
            <w:tcBorders>
              <w:top w:val="single" w:color="000000" w:sz="4" w:space="0"/>
              <w:left w:val="single" w:color="000000" w:sz="4" w:space="0"/>
              <w:bottom w:val="single" w:color="000000" w:sz="4" w:space="0"/>
              <w:right w:val="single" w:color="000000" w:sz="4" w:space="0"/>
            </w:tcBorders>
            <w:noWrap w:val="0"/>
            <w:vAlign w:val="center"/>
          </w:tcPr>
          <w:p w14:paraId="3BD6CBC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EPC招标</w:t>
            </w:r>
          </w:p>
          <w:p w14:paraId="7D41F3B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（施工图设计+施工）</w:t>
            </w:r>
          </w:p>
        </w:tc>
        <w:tc>
          <w:tcPr>
            <w:tcW w:w="154" w:type="pct"/>
            <w:tcBorders>
              <w:top w:val="single" w:color="000000" w:sz="4" w:space="0"/>
              <w:left w:val="single" w:color="000000" w:sz="4" w:space="0"/>
              <w:bottom w:val="single" w:color="000000" w:sz="4" w:space="0"/>
              <w:right w:val="single" w:color="000000" w:sz="4" w:space="0"/>
            </w:tcBorders>
            <w:noWrap w:val="0"/>
            <w:vAlign w:val="center"/>
          </w:tcPr>
          <w:p w14:paraId="731FE6A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8</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29D89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代理费用D</w:t>
            </w:r>
          </w:p>
        </w:tc>
        <w:tc>
          <w:tcPr>
            <w:tcW w:w="1046" w:type="pct"/>
            <w:tcBorders>
              <w:top w:val="single" w:color="000000" w:sz="4" w:space="0"/>
              <w:left w:val="single" w:color="000000" w:sz="4" w:space="0"/>
              <w:bottom w:val="single" w:color="000000" w:sz="4" w:space="0"/>
              <w:right w:val="single" w:color="000000" w:sz="4" w:space="0"/>
            </w:tcBorders>
            <w:noWrap w:val="0"/>
            <w:vAlign w:val="center"/>
          </w:tcPr>
          <w:p w14:paraId="5E34E906">
            <w:pPr>
              <w:keepNext w:val="0"/>
              <w:keepLines w:val="0"/>
              <w:widowControl/>
              <w:suppressLineNumbers w:val="0"/>
              <w:spacing w:line="240" w:lineRule="auto"/>
              <w:jc w:val="left"/>
              <w:textAlignment w:val="auto"/>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本项目暂定建安费为1.2亿元，施工图设计费暂定为196.5万元。</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14:paraId="63067B4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single"/>
                <w:lang w:val="en-US" w:eastAsia="zh-CN" w:bidi="ar"/>
              </w:rPr>
              <w:t xml:space="preserve">          </w:t>
            </w:r>
            <w:r>
              <w:rPr>
                <w:rFonts w:hint="eastAsia" w:ascii="宋体" w:hAnsi="宋体" w:eastAsia="宋体" w:cs="宋体"/>
                <w:b w:val="0"/>
                <w:bCs w:val="0"/>
                <w:i w:val="0"/>
                <w:iCs w:val="0"/>
                <w:color w:val="auto"/>
                <w:kern w:val="0"/>
                <w:sz w:val="18"/>
                <w:szCs w:val="18"/>
                <w:highlight w:val="none"/>
                <w:u w:val="none"/>
                <w:lang w:val="en-US" w:eastAsia="zh-CN" w:bidi="ar"/>
              </w:rPr>
              <w:t>%</w:t>
            </w:r>
          </w:p>
          <w:p w14:paraId="1E0E7AD0">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sz w:val="18"/>
                <w:szCs w:val="18"/>
                <w:highlight w:val="none"/>
                <w:u w:val="none"/>
                <w:lang w:val="en-US"/>
              </w:rPr>
            </w:pPr>
            <w:r>
              <w:rPr>
                <w:rFonts w:hint="eastAsia" w:ascii="宋体" w:hAnsi="宋体" w:eastAsia="宋体" w:cs="宋体"/>
                <w:b w:val="0"/>
                <w:bCs w:val="0"/>
                <w:i w:val="0"/>
                <w:iCs w:val="0"/>
                <w:color w:val="auto"/>
                <w:kern w:val="0"/>
                <w:sz w:val="18"/>
                <w:szCs w:val="18"/>
                <w:highlight w:val="none"/>
                <w:u w:val="single"/>
                <w:lang w:val="en-US" w:eastAsia="zh-CN" w:bidi="ar"/>
              </w:rPr>
              <w:t xml:space="preserve">          </w:t>
            </w:r>
            <w:r>
              <w:rPr>
                <w:rFonts w:hint="eastAsia" w:ascii="宋体" w:hAnsi="宋体" w:eastAsia="宋体" w:cs="宋体"/>
                <w:b w:val="0"/>
                <w:bCs w:val="0"/>
                <w:i w:val="0"/>
                <w:iCs w:val="0"/>
                <w:color w:val="auto"/>
                <w:kern w:val="0"/>
                <w:sz w:val="18"/>
                <w:szCs w:val="18"/>
                <w:highlight w:val="none"/>
                <w:u w:val="none"/>
                <w:lang w:val="en-US" w:eastAsia="zh-CN" w:bidi="ar"/>
              </w:rPr>
              <w:t>元</w:t>
            </w:r>
          </w:p>
        </w:tc>
        <w:tc>
          <w:tcPr>
            <w:tcW w:w="1841" w:type="pct"/>
            <w:tcBorders>
              <w:top w:val="single" w:color="000000" w:sz="4" w:space="0"/>
              <w:left w:val="single" w:color="000000" w:sz="4" w:space="0"/>
              <w:bottom w:val="single" w:color="000000" w:sz="4" w:space="0"/>
              <w:right w:val="single" w:color="000000" w:sz="4" w:space="0"/>
            </w:tcBorders>
            <w:noWrap w:val="0"/>
            <w:vAlign w:val="center"/>
          </w:tcPr>
          <w:p w14:paraId="1F943D72">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建安费（工程类）和施工图设计费（服务类）按不同类型中标金额计取。</w:t>
            </w:r>
          </w:p>
        </w:tc>
      </w:tr>
      <w:tr w14:paraId="1A5C9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2236" w:type="pct"/>
            <w:gridSpan w:val="4"/>
            <w:tcBorders>
              <w:top w:val="single" w:color="000000" w:sz="4" w:space="0"/>
              <w:left w:val="single" w:color="000000" w:sz="4" w:space="0"/>
              <w:bottom w:val="single" w:color="000000" w:sz="4" w:space="0"/>
              <w:right w:val="single" w:color="000000" w:sz="4" w:space="0"/>
            </w:tcBorders>
            <w:noWrap w:val="0"/>
            <w:vAlign w:val="center"/>
          </w:tcPr>
          <w:p w14:paraId="0356872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lang w:val="en-US" w:eastAsia="zh-CN"/>
              </w:rPr>
            </w:pPr>
            <w:r>
              <w:rPr>
                <w:rFonts w:hint="eastAsia" w:ascii="宋体" w:hAnsi="宋体" w:eastAsia="宋体" w:cs="宋体"/>
                <w:b w:val="0"/>
                <w:bCs w:val="0"/>
                <w:i w:val="0"/>
                <w:iCs w:val="0"/>
                <w:color w:val="auto"/>
                <w:sz w:val="18"/>
                <w:szCs w:val="18"/>
                <w:highlight w:val="none"/>
                <w:u w:val="none"/>
                <w:lang w:val="en-US" w:eastAsia="zh-CN"/>
              </w:rPr>
              <w:t>注：</w:t>
            </w:r>
          </w:p>
        </w:tc>
        <w:tc>
          <w:tcPr>
            <w:tcW w:w="2763" w:type="pct"/>
            <w:gridSpan w:val="2"/>
            <w:tcBorders>
              <w:top w:val="single" w:color="000000" w:sz="4" w:space="0"/>
              <w:left w:val="single" w:color="000000" w:sz="4" w:space="0"/>
              <w:bottom w:val="single" w:color="000000" w:sz="4" w:space="0"/>
              <w:right w:val="single" w:color="000000" w:sz="4" w:space="0"/>
            </w:tcBorders>
            <w:noWrap w:val="0"/>
            <w:vAlign w:val="center"/>
          </w:tcPr>
          <w:p w14:paraId="196721D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除</w:t>
            </w:r>
            <w:r>
              <w:rPr>
                <w:rStyle w:val="40"/>
                <w:color w:val="auto"/>
                <w:sz w:val="18"/>
                <w:szCs w:val="18"/>
                <w:highlight w:val="none"/>
                <w:lang w:val="en-US" w:eastAsia="zh-CN" w:bidi="ar"/>
              </w:rPr>
              <w:t>代理费用</w:t>
            </w:r>
            <w:r>
              <w:rPr>
                <w:rStyle w:val="40"/>
                <w:b w:val="0"/>
                <w:bCs w:val="0"/>
                <w:color w:val="auto"/>
                <w:sz w:val="18"/>
                <w:szCs w:val="18"/>
                <w:highlight w:val="none"/>
                <w:lang w:val="en-US" w:eastAsia="zh-CN" w:bidi="ar"/>
              </w:rPr>
              <w:t>外其他</w:t>
            </w:r>
            <w:r>
              <w:rPr>
                <w:rStyle w:val="40"/>
                <w:rFonts w:hint="eastAsia"/>
                <w:b w:val="0"/>
                <w:bCs w:val="0"/>
                <w:color w:val="auto"/>
                <w:sz w:val="18"/>
                <w:szCs w:val="18"/>
                <w:highlight w:val="none"/>
                <w:lang w:val="en-US" w:eastAsia="zh-CN" w:bidi="ar"/>
              </w:rPr>
              <w:t>费用</w:t>
            </w:r>
            <w:r>
              <w:rPr>
                <w:rStyle w:val="40"/>
                <w:b w:val="0"/>
                <w:bCs w:val="0"/>
                <w:color w:val="auto"/>
                <w:sz w:val="18"/>
                <w:szCs w:val="18"/>
                <w:highlight w:val="none"/>
                <w:lang w:val="en-US" w:eastAsia="zh-CN" w:bidi="ar"/>
              </w:rPr>
              <w:t>均为组织单位代收代付</w:t>
            </w:r>
          </w:p>
        </w:tc>
      </w:tr>
      <w:tr w14:paraId="6170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7" w:hRule="atLeast"/>
        </w:trPr>
        <w:tc>
          <w:tcPr>
            <w:tcW w:w="3158"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E9AB">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single"/>
                <w:lang w:val="en-US" w:eastAsia="zh-CN" w:bidi="ar"/>
              </w:rPr>
            </w:pPr>
            <w:r>
              <w:rPr>
                <w:rFonts w:hint="eastAsia" w:ascii="宋体" w:hAnsi="宋体" w:eastAsia="宋体" w:cs="宋体"/>
                <w:b/>
                <w:bCs/>
                <w:i w:val="0"/>
                <w:iCs w:val="0"/>
                <w:color w:val="auto"/>
                <w:kern w:val="0"/>
                <w:sz w:val="21"/>
                <w:szCs w:val="21"/>
                <w:highlight w:val="none"/>
                <w:u w:val="single"/>
                <w:lang w:val="en-US" w:eastAsia="zh-CN" w:bidi="ar"/>
              </w:rPr>
              <w:t>合计</w:t>
            </w:r>
          </w:p>
        </w:tc>
        <w:tc>
          <w:tcPr>
            <w:tcW w:w="18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DF86">
            <w:pPr>
              <w:widowControl/>
              <w:ind w:firstLine="0" w:firstLineChars="0"/>
              <w:jc w:val="both"/>
              <w:textAlignment w:val="center"/>
              <w:rPr>
                <w:rFonts w:hint="default" w:ascii="宋体" w:hAnsi="宋体" w:eastAsia="宋体" w:cs="宋体"/>
                <w:b/>
                <w:bCs/>
                <w:i w:val="0"/>
                <w:iCs w:val="0"/>
                <w:color w:val="auto"/>
                <w:sz w:val="21"/>
                <w:szCs w:val="21"/>
                <w:highlight w:val="none"/>
                <w:u w:val="single"/>
                <w:lang w:val="en-US" w:eastAsia="zh-CN"/>
              </w:rPr>
            </w:pPr>
            <w:r>
              <w:rPr>
                <w:rFonts w:hint="eastAsia" w:ascii="宋体" w:hAnsi="宋体" w:eastAsia="宋体" w:cs="宋体"/>
                <w:b/>
                <w:bCs/>
                <w:i w:val="0"/>
                <w:iCs w:val="0"/>
                <w:color w:val="auto"/>
                <w:kern w:val="0"/>
                <w:sz w:val="21"/>
                <w:szCs w:val="21"/>
                <w:highlight w:val="none"/>
                <w:u w:val="none"/>
                <w:lang w:val="en-US" w:eastAsia="zh-CN" w:bidi="ar"/>
              </w:rPr>
              <w:t xml:space="preserve">        </w:t>
            </w:r>
            <w:r>
              <w:rPr>
                <w:rFonts w:hint="eastAsia" w:ascii="宋体" w:hAnsi="宋体" w:eastAsia="宋体" w:cs="宋体"/>
                <w:b/>
                <w:bCs/>
                <w:i w:val="0"/>
                <w:iCs w:val="0"/>
                <w:color w:val="auto"/>
                <w:kern w:val="0"/>
                <w:sz w:val="21"/>
                <w:szCs w:val="21"/>
                <w:highlight w:val="none"/>
                <w:u w:val="single"/>
                <w:lang w:val="en-US" w:eastAsia="zh-CN" w:bidi="ar"/>
              </w:rPr>
              <w:t xml:space="preserve">                </w:t>
            </w:r>
            <w:r>
              <w:rPr>
                <w:rFonts w:hint="eastAsia" w:ascii="宋体" w:hAnsi="宋体" w:eastAsia="宋体" w:cs="宋体"/>
                <w:b/>
                <w:bCs/>
                <w:i w:val="0"/>
                <w:iCs w:val="0"/>
                <w:color w:val="auto"/>
                <w:kern w:val="0"/>
                <w:sz w:val="21"/>
                <w:szCs w:val="21"/>
                <w:highlight w:val="none"/>
                <w:u w:val="none"/>
                <w:lang w:val="en-US" w:eastAsia="zh-CN" w:bidi="ar"/>
              </w:rPr>
              <w:t>元</w:t>
            </w:r>
          </w:p>
        </w:tc>
      </w:tr>
      <w:tr w14:paraId="7874B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3" w:hRule="atLeast"/>
        </w:trPr>
        <w:tc>
          <w:tcPr>
            <w:tcW w:w="3158" w:type="pct"/>
            <w:gridSpan w:val="5"/>
            <w:tcBorders>
              <w:top w:val="single" w:color="000000" w:sz="4" w:space="0"/>
              <w:left w:val="nil"/>
              <w:bottom w:val="nil"/>
              <w:right w:val="nil"/>
            </w:tcBorders>
            <w:shd w:val="clear" w:color="auto" w:fill="auto"/>
            <w:noWrap/>
            <w:vAlign w:val="center"/>
          </w:tcPr>
          <w:p w14:paraId="482B4545">
            <w:pPr>
              <w:autoSpaceDE w:val="0"/>
              <w:autoSpaceDN w:val="0"/>
              <w:adjustRightInd w:val="0"/>
              <w:snapToGri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07497E33">
            <w:pPr>
              <w:keepNext w:val="0"/>
              <w:keepLines w:val="0"/>
              <w:widowControl/>
              <w:suppressLineNumbers w:val="0"/>
              <w:jc w:val="righ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Cs/>
                <w:color w:val="auto"/>
                <w:szCs w:val="21"/>
                <w:highlight w:val="none"/>
                <w:lang w:val="zh-CN"/>
              </w:rPr>
              <w:t>（签名或盖章）</w:t>
            </w:r>
          </w:p>
        </w:tc>
        <w:tc>
          <w:tcPr>
            <w:tcW w:w="1841" w:type="pct"/>
            <w:tcBorders>
              <w:top w:val="single" w:color="000000" w:sz="4" w:space="0"/>
              <w:left w:val="nil"/>
              <w:bottom w:val="nil"/>
              <w:right w:val="nil"/>
            </w:tcBorders>
            <w:shd w:val="clear" w:color="auto" w:fill="auto"/>
            <w:noWrap/>
            <w:vAlign w:val="center"/>
          </w:tcPr>
          <w:p w14:paraId="35C62B16">
            <w:pPr>
              <w:jc w:val="center"/>
              <w:rPr>
                <w:rFonts w:hint="eastAsia" w:ascii="宋体" w:hAnsi="宋体" w:eastAsia="宋体" w:cs="宋体"/>
                <w:b w:val="0"/>
                <w:bCs w:val="0"/>
                <w:i w:val="0"/>
                <w:iCs w:val="0"/>
                <w:color w:val="auto"/>
                <w:sz w:val="21"/>
                <w:szCs w:val="21"/>
                <w:highlight w:val="none"/>
                <w:u w:val="none"/>
                <w:lang w:val="en-US" w:eastAsia="zh-CN"/>
              </w:rPr>
            </w:pPr>
          </w:p>
        </w:tc>
      </w:tr>
      <w:tr w14:paraId="678A0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7" w:hRule="atLeast"/>
        </w:trPr>
        <w:tc>
          <w:tcPr>
            <w:tcW w:w="3158" w:type="pct"/>
            <w:gridSpan w:val="5"/>
            <w:tcBorders>
              <w:top w:val="nil"/>
              <w:left w:val="nil"/>
              <w:bottom w:val="nil"/>
              <w:right w:val="nil"/>
            </w:tcBorders>
            <w:shd w:val="clear" w:color="auto" w:fill="auto"/>
            <w:noWrap/>
            <w:vAlign w:val="center"/>
          </w:tcPr>
          <w:p w14:paraId="3F365973">
            <w:pPr>
              <w:autoSpaceDE w:val="0"/>
              <w:autoSpaceDN w:val="0"/>
              <w:adjustRightInd w:val="0"/>
              <w:snapToGri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6EFA7073">
            <w:pPr>
              <w:keepNext w:val="0"/>
              <w:keepLines w:val="0"/>
              <w:widowControl/>
              <w:suppressLineNumbers w:val="0"/>
              <w:jc w:val="righ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Cs/>
                <w:color w:val="auto"/>
                <w:szCs w:val="21"/>
                <w:highlight w:val="none"/>
                <w:lang w:val="zh-CN"/>
              </w:rPr>
              <w:t>（签名或盖章）</w:t>
            </w:r>
          </w:p>
        </w:tc>
        <w:tc>
          <w:tcPr>
            <w:tcW w:w="1841" w:type="pct"/>
            <w:tcBorders>
              <w:top w:val="nil"/>
              <w:left w:val="nil"/>
              <w:bottom w:val="nil"/>
              <w:right w:val="nil"/>
            </w:tcBorders>
            <w:shd w:val="clear" w:color="auto" w:fill="auto"/>
            <w:noWrap/>
            <w:vAlign w:val="center"/>
          </w:tcPr>
          <w:p w14:paraId="6555BB64">
            <w:pPr>
              <w:jc w:val="center"/>
              <w:rPr>
                <w:rFonts w:hint="eastAsia" w:ascii="宋体" w:hAnsi="宋体" w:eastAsia="宋体" w:cs="宋体"/>
                <w:b w:val="0"/>
                <w:bCs w:val="0"/>
                <w:i w:val="0"/>
                <w:iCs w:val="0"/>
                <w:color w:val="auto"/>
                <w:sz w:val="21"/>
                <w:szCs w:val="21"/>
                <w:highlight w:val="none"/>
                <w:u w:val="none"/>
                <w:lang w:val="en-US" w:eastAsia="zh-CN"/>
              </w:rPr>
            </w:pPr>
          </w:p>
        </w:tc>
      </w:tr>
      <w:tr w14:paraId="638B1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3158" w:type="pct"/>
            <w:gridSpan w:val="5"/>
            <w:tcBorders>
              <w:top w:val="nil"/>
              <w:left w:val="nil"/>
              <w:bottom w:val="nil"/>
              <w:right w:val="nil"/>
            </w:tcBorders>
            <w:shd w:val="clear" w:color="auto" w:fill="auto"/>
            <w:noWrap/>
            <w:vAlign w:val="center"/>
          </w:tcPr>
          <w:p w14:paraId="4907550A">
            <w:pPr>
              <w:autoSpaceDE w:val="0"/>
              <w:autoSpaceDN w:val="0"/>
              <w:adjustRightInd w:val="0"/>
              <w:snapToGri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493DD50E">
            <w:pPr>
              <w:keepNext w:val="0"/>
              <w:keepLines w:val="0"/>
              <w:widowControl/>
              <w:suppressLineNumbers w:val="0"/>
              <w:jc w:val="righ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Cs/>
                <w:color w:val="auto"/>
                <w:szCs w:val="21"/>
                <w:highlight w:val="none"/>
                <w:lang w:val="zh-CN"/>
              </w:rPr>
              <w:t>（企业公章）</w:t>
            </w:r>
          </w:p>
        </w:tc>
        <w:tc>
          <w:tcPr>
            <w:tcW w:w="1841" w:type="pct"/>
            <w:tcBorders>
              <w:top w:val="nil"/>
              <w:left w:val="nil"/>
              <w:bottom w:val="nil"/>
              <w:right w:val="nil"/>
            </w:tcBorders>
            <w:shd w:val="clear" w:color="auto" w:fill="auto"/>
            <w:noWrap/>
            <w:vAlign w:val="center"/>
          </w:tcPr>
          <w:p w14:paraId="716EB3F8">
            <w:pPr>
              <w:jc w:val="center"/>
              <w:rPr>
                <w:rFonts w:hint="eastAsia" w:ascii="宋体" w:hAnsi="宋体" w:eastAsia="宋体" w:cs="宋体"/>
                <w:b w:val="0"/>
                <w:bCs w:val="0"/>
                <w:i w:val="0"/>
                <w:iCs w:val="0"/>
                <w:color w:val="auto"/>
                <w:sz w:val="21"/>
                <w:szCs w:val="21"/>
                <w:highlight w:val="none"/>
                <w:u w:val="none"/>
                <w:lang w:val="en-US" w:eastAsia="zh-CN"/>
              </w:rPr>
            </w:pPr>
          </w:p>
        </w:tc>
      </w:tr>
    </w:tbl>
    <w:p w14:paraId="429C4F05">
      <w:pPr>
        <w:pStyle w:val="9"/>
        <w:spacing w:line="360" w:lineRule="auto"/>
        <w:ind w:firstLine="210" w:firstLineChars="100"/>
        <w:rPr>
          <w:rFonts w:hAnsi="宋体" w:cs="宋体"/>
          <w:bCs/>
          <w:color w:val="auto"/>
          <w:highlight w:val="none"/>
        </w:rPr>
      </w:pPr>
    </w:p>
    <w:p w14:paraId="04FB5386">
      <w:pPr>
        <w:pStyle w:val="9"/>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Ansi="宋体" w:cs="宋体"/>
          <w:bCs/>
          <w:color w:val="auto"/>
          <w:highlight w:val="none"/>
        </w:rPr>
        <w:t>注：</w:t>
      </w:r>
      <w:r>
        <w:rPr>
          <w:rFonts w:hint="eastAsia" w:hAnsi="宋体" w:cs="宋体"/>
          <w:bCs/>
          <w:color w:val="auto"/>
          <w:highlight w:val="none"/>
          <w:lang w:eastAsia="zh-CN"/>
        </w:rPr>
        <w:t>（</w:t>
      </w:r>
      <w:r>
        <w:rPr>
          <w:rFonts w:hint="eastAsia" w:ascii="宋体" w:hAnsi="宋体" w:eastAsia="宋体" w:cs="宋体"/>
          <w:bCs/>
          <w:color w:val="auto"/>
          <w:highlight w:val="none"/>
          <w:lang w:val="en-US" w:eastAsia="zh-CN"/>
        </w:rPr>
        <w:t>1</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投标单位自行报价，投标总报价及分项报价不能超过对应的招标控制价及限价，否则按废标处理。</w:t>
      </w:r>
    </w:p>
    <w:p w14:paraId="7DD8ABBF">
      <w:pPr>
        <w:pStyle w:val="9"/>
        <w:spacing w:line="360" w:lineRule="auto"/>
        <w:ind w:firstLine="210" w:firstLineChars="100"/>
        <w:rPr>
          <w:rFonts w:hAnsi="宋体" w:cs="宋体"/>
          <w:bCs/>
          <w:color w:val="auto"/>
          <w:highlight w:val="none"/>
        </w:rPr>
      </w:pPr>
      <w:r>
        <w:rPr>
          <w:rFonts w:hAnsi="宋体" w:cs="宋体"/>
          <w:bCs/>
          <w:color w:val="auto"/>
          <w:highlight w:val="none"/>
        </w:rPr>
        <w:t>（</w:t>
      </w:r>
      <w:r>
        <w:rPr>
          <w:rFonts w:hint="eastAsia" w:hAnsi="宋体" w:cs="宋体"/>
          <w:bCs/>
          <w:color w:val="auto"/>
          <w:highlight w:val="none"/>
          <w:lang w:val="en-US" w:eastAsia="zh-CN"/>
        </w:rPr>
        <w:t>2</w:t>
      </w:r>
      <w:r>
        <w:rPr>
          <w:rFonts w:hAnsi="宋体" w:cs="宋体"/>
          <w:bCs/>
          <w:color w:val="auto"/>
          <w:highlight w:val="none"/>
        </w:rPr>
        <w:t>）投标报价的大写金额和小写金额不一致的，以大写金额为准，投标报价精确到小数点后两位。</w:t>
      </w:r>
    </w:p>
    <w:p w14:paraId="43D15E39">
      <w:pPr>
        <w:pStyle w:val="9"/>
        <w:spacing w:beforeLines="0" w:afterLines="0" w:line="360" w:lineRule="auto"/>
        <w:ind w:firstLine="210" w:firstLineChars="100"/>
        <w:rPr>
          <w:rFonts w:hint="eastAsia" w:ascii="宋体" w:hAnsi="宋体" w:eastAsia="宋体" w:cs="宋体"/>
          <w:bCs/>
          <w:color w:val="auto"/>
          <w:kern w:val="2"/>
          <w:sz w:val="21"/>
          <w:szCs w:val="21"/>
          <w:highlight w:val="none"/>
          <w:lang w:val="en-US" w:eastAsia="zh-CN" w:bidi="ar-SA"/>
        </w:rPr>
      </w:pPr>
    </w:p>
    <w:p w14:paraId="49F052C4">
      <w:pPr>
        <w:jc w:val="left"/>
        <w:rPr>
          <w:rFonts w:hint="eastAsia"/>
          <w:b/>
          <w:color w:val="auto"/>
          <w:sz w:val="24"/>
          <w:highlight w:val="none"/>
        </w:rPr>
      </w:pPr>
      <w:r>
        <w:rPr>
          <w:rFonts w:hint="eastAsia"/>
          <w:b/>
          <w:color w:val="auto"/>
          <w:sz w:val="24"/>
          <w:highlight w:val="none"/>
        </w:rPr>
        <w:br w:type="page"/>
      </w:r>
    </w:p>
    <w:p w14:paraId="5BC4A856">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224083B8">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36975299">
      <w:pPr>
        <w:jc w:val="center"/>
        <w:rPr>
          <w:rFonts w:ascii="宋体"/>
          <w:b/>
          <w:color w:val="auto"/>
          <w:sz w:val="32"/>
          <w:szCs w:val="32"/>
          <w:highlight w:val="none"/>
        </w:rPr>
      </w:pPr>
    </w:p>
    <w:p w14:paraId="6ED24BDB">
      <w:pPr>
        <w:jc w:val="center"/>
        <w:rPr>
          <w:rFonts w:ascii="宋体"/>
          <w:b/>
          <w:color w:val="auto"/>
          <w:sz w:val="32"/>
          <w:szCs w:val="32"/>
          <w:highlight w:val="none"/>
        </w:rPr>
      </w:pPr>
    </w:p>
    <w:p w14:paraId="4EAEC55C">
      <w:pPr>
        <w:jc w:val="center"/>
        <w:rPr>
          <w:rFonts w:ascii="宋体"/>
          <w:b/>
          <w:color w:val="auto"/>
          <w:sz w:val="32"/>
          <w:szCs w:val="32"/>
          <w:highlight w:val="none"/>
        </w:rPr>
      </w:pPr>
    </w:p>
    <w:p w14:paraId="763F853E">
      <w:pPr>
        <w:jc w:val="center"/>
        <w:rPr>
          <w:rFonts w:ascii="宋体"/>
          <w:b/>
          <w:color w:val="auto"/>
          <w:sz w:val="32"/>
          <w:szCs w:val="32"/>
          <w:highlight w:val="none"/>
        </w:rPr>
      </w:pPr>
    </w:p>
    <w:p w14:paraId="5C9F478D">
      <w:pPr>
        <w:jc w:val="center"/>
        <w:rPr>
          <w:b/>
          <w:color w:val="auto"/>
          <w:sz w:val="44"/>
          <w:szCs w:val="44"/>
          <w:highlight w:val="none"/>
        </w:rPr>
      </w:pPr>
      <w:r>
        <w:rPr>
          <w:rFonts w:hint="eastAsia" w:ascii="宋体" w:hAnsi="宋体"/>
          <w:b/>
          <w:color w:val="auto"/>
          <w:sz w:val="44"/>
          <w:szCs w:val="44"/>
          <w:highlight w:val="none"/>
        </w:rPr>
        <w:t>项目名称</w:t>
      </w:r>
    </w:p>
    <w:p w14:paraId="5E78C2B3">
      <w:pPr>
        <w:jc w:val="center"/>
        <w:rPr>
          <w:b/>
          <w:color w:val="auto"/>
          <w:sz w:val="48"/>
          <w:szCs w:val="48"/>
          <w:highlight w:val="none"/>
        </w:rPr>
      </w:pPr>
    </w:p>
    <w:p w14:paraId="02B84AF1">
      <w:pPr>
        <w:rPr>
          <w:rFonts w:eastAsia="黑体"/>
          <w:color w:val="auto"/>
          <w:sz w:val="20"/>
          <w:szCs w:val="20"/>
          <w:highlight w:val="none"/>
        </w:rPr>
      </w:pPr>
    </w:p>
    <w:p w14:paraId="6FF5AB5B">
      <w:pPr>
        <w:rPr>
          <w:rFonts w:eastAsia="黑体"/>
          <w:color w:val="auto"/>
          <w:sz w:val="20"/>
          <w:szCs w:val="20"/>
          <w:highlight w:val="none"/>
        </w:rPr>
      </w:pPr>
    </w:p>
    <w:p w14:paraId="455F9247">
      <w:pPr>
        <w:rPr>
          <w:rFonts w:eastAsia="黑体"/>
          <w:color w:val="auto"/>
          <w:sz w:val="20"/>
          <w:szCs w:val="20"/>
          <w:highlight w:val="none"/>
        </w:rPr>
      </w:pPr>
    </w:p>
    <w:p w14:paraId="440E7541">
      <w:pPr>
        <w:rPr>
          <w:rFonts w:eastAsia="黑体"/>
          <w:color w:val="auto"/>
          <w:sz w:val="20"/>
          <w:szCs w:val="20"/>
          <w:highlight w:val="none"/>
        </w:rPr>
      </w:pPr>
    </w:p>
    <w:p w14:paraId="122C0503">
      <w:pPr>
        <w:jc w:val="center"/>
        <w:rPr>
          <w:rFonts w:eastAsia="黑体"/>
          <w:color w:val="auto"/>
          <w:sz w:val="28"/>
          <w:szCs w:val="28"/>
          <w:highlight w:val="none"/>
        </w:rPr>
      </w:pPr>
      <w:r>
        <w:rPr>
          <w:rFonts w:hint="eastAsia" w:eastAsia="黑体"/>
          <w:color w:val="auto"/>
          <w:sz w:val="52"/>
          <w:szCs w:val="52"/>
          <w:highlight w:val="none"/>
        </w:rPr>
        <w:t>商务文件</w:t>
      </w:r>
    </w:p>
    <w:p w14:paraId="5CAB716C">
      <w:pPr>
        <w:rPr>
          <w:rFonts w:eastAsia="黑体"/>
          <w:color w:val="auto"/>
          <w:sz w:val="28"/>
          <w:szCs w:val="28"/>
          <w:highlight w:val="none"/>
        </w:rPr>
      </w:pPr>
    </w:p>
    <w:p w14:paraId="2E0F6441">
      <w:pPr>
        <w:rPr>
          <w:rFonts w:eastAsia="黑体"/>
          <w:color w:val="auto"/>
          <w:sz w:val="28"/>
          <w:szCs w:val="28"/>
          <w:highlight w:val="none"/>
        </w:rPr>
      </w:pPr>
    </w:p>
    <w:p w14:paraId="3D2BA995">
      <w:pPr>
        <w:rPr>
          <w:rFonts w:eastAsia="黑体"/>
          <w:color w:val="auto"/>
          <w:sz w:val="28"/>
          <w:szCs w:val="28"/>
          <w:highlight w:val="none"/>
        </w:rPr>
      </w:pPr>
    </w:p>
    <w:p w14:paraId="16224A0F">
      <w:pPr>
        <w:rPr>
          <w:rFonts w:eastAsia="黑体"/>
          <w:color w:val="auto"/>
          <w:sz w:val="28"/>
          <w:szCs w:val="28"/>
          <w:highlight w:val="none"/>
        </w:rPr>
      </w:pPr>
    </w:p>
    <w:p w14:paraId="2BC908F3">
      <w:pPr>
        <w:spacing w:line="720" w:lineRule="auto"/>
        <w:rPr>
          <w:rFonts w:eastAsia="黑体"/>
          <w:color w:val="auto"/>
          <w:sz w:val="28"/>
          <w:szCs w:val="28"/>
          <w:highlight w:val="none"/>
        </w:rPr>
      </w:pPr>
    </w:p>
    <w:p w14:paraId="20DC0A5E">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6EF1C0A2">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4E752D31">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B3A3064">
      <w:pPr>
        <w:widowControl/>
        <w:jc w:val="left"/>
        <w:rPr>
          <w:b/>
          <w:color w:val="auto"/>
          <w:sz w:val="24"/>
          <w:highlight w:val="none"/>
        </w:rPr>
      </w:pPr>
      <w:r>
        <w:rPr>
          <w:b/>
          <w:color w:val="auto"/>
          <w:sz w:val="24"/>
          <w:highlight w:val="none"/>
        </w:rPr>
        <w:br w:type="page"/>
      </w:r>
    </w:p>
    <w:p w14:paraId="6F70C1EF">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60A7F2DA">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0E492231">
      <w:pPr>
        <w:jc w:val="center"/>
        <w:rPr>
          <w:rFonts w:ascii="宋体"/>
          <w:b/>
          <w:color w:val="auto"/>
          <w:sz w:val="32"/>
          <w:szCs w:val="32"/>
          <w:highlight w:val="none"/>
        </w:rPr>
      </w:pPr>
    </w:p>
    <w:p w14:paraId="5F36070B">
      <w:pPr>
        <w:jc w:val="center"/>
        <w:rPr>
          <w:rFonts w:ascii="宋体"/>
          <w:b/>
          <w:color w:val="auto"/>
          <w:sz w:val="32"/>
          <w:szCs w:val="32"/>
          <w:highlight w:val="none"/>
        </w:rPr>
      </w:pPr>
    </w:p>
    <w:p w14:paraId="6137EB8F">
      <w:pPr>
        <w:jc w:val="center"/>
        <w:rPr>
          <w:rFonts w:ascii="宋体"/>
          <w:b/>
          <w:color w:val="auto"/>
          <w:sz w:val="32"/>
          <w:szCs w:val="32"/>
          <w:highlight w:val="none"/>
        </w:rPr>
      </w:pPr>
    </w:p>
    <w:p w14:paraId="0203BBAF">
      <w:pPr>
        <w:jc w:val="center"/>
        <w:rPr>
          <w:rFonts w:ascii="宋体"/>
          <w:b/>
          <w:color w:val="auto"/>
          <w:sz w:val="32"/>
          <w:szCs w:val="32"/>
          <w:highlight w:val="none"/>
        </w:rPr>
      </w:pPr>
    </w:p>
    <w:p w14:paraId="4CEC6C3A">
      <w:pPr>
        <w:jc w:val="center"/>
        <w:rPr>
          <w:b/>
          <w:color w:val="auto"/>
          <w:sz w:val="44"/>
          <w:szCs w:val="44"/>
          <w:highlight w:val="none"/>
        </w:rPr>
      </w:pPr>
      <w:r>
        <w:rPr>
          <w:rFonts w:hint="eastAsia" w:ascii="宋体" w:hAnsi="宋体"/>
          <w:b/>
          <w:color w:val="auto"/>
          <w:sz w:val="44"/>
          <w:szCs w:val="44"/>
          <w:highlight w:val="none"/>
        </w:rPr>
        <w:t>项目名称</w:t>
      </w:r>
    </w:p>
    <w:p w14:paraId="0B1C2456">
      <w:pPr>
        <w:jc w:val="center"/>
        <w:rPr>
          <w:b/>
          <w:color w:val="auto"/>
          <w:sz w:val="48"/>
          <w:szCs w:val="48"/>
          <w:highlight w:val="none"/>
        </w:rPr>
      </w:pPr>
    </w:p>
    <w:p w14:paraId="1AECB66A">
      <w:pPr>
        <w:rPr>
          <w:rFonts w:eastAsia="黑体"/>
          <w:color w:val="auto"/>
          <w:sz w:val="20"/>
          <w:szCs w:val="20"/>
          <w:highlight w:val="none"/>
        </w:rPr>
      </w:pPr>
    </w:p>
    <w:p w14:paraId="4CDE3601">
      <w:pPr>
        <w:rPr>
          <w:rFonts w:eastAsia="黑体"/>
          <w:color w:val="auto"/>
          <w:sz w:val="20"/>
          <w:szCs w:val="20"/>
          <w:highlight w:val="none"/>
        </w:rPr>
      </w:pPr>
    </w:p>
    <w:p w14:paraId="35953381">
      <w:pPr>
        <w:rPr>
          <w:rFonts w:eastAsia="黑体"/>
          <w:color w:val="auto"/>
          <w:sz w:val="20"/>
          <w:szCs w:val="20"/>
          <w:highlight w:val="none"/>
        </w:rPr>
      </w:pPr>
    </w:p>
    <w:p w14:paraId="51FA7727">
      <w:pPr>
        <w:rPr>
          <w:rFonts w:eastAsia="黑体"/>
          <w:color w:val="auto"/>
          <w:sz w:val="20"/>
          <w:szCs w:val="20"/>
          <w:highlight w:val="none"/>
        </w:rPr>
      </w:pPr>
    </w:p>
    <w:p w14:paraId="623C478C">
      <w:pPr>
        <w:jc w:val="center"/>
        <w:rPr>
          <w:rFonts w:eastAsia="黑体"/>
          <w:color w:val="auto"/>
          <w:sz w:val="52"/>
          <w:szCs w:val="52"/>
          <w:highlight w:val="none"/>
        </w:rPr>
      </w:pPr>
      <w:r>
        <w:rPr>
          <w:rFonts w:hint="eastAsia" w:eastAsia="黑体"/>
          <w:color w:val="auto"/>
          <w:sz w:val="52"/>
          <w:szCs w:val="52"/>
          <w:highlight w:val="none"/>
        </w:rPr>
        <w:t>技术文件</w:t>
      </w:r>
    </w:p>
    <w:p w14:paraId="46391184">
      <w:pPr>
        <w:autoSpaceDE w:val="0"/>
        <w:autoSpaceDN w:val="0"/>
        <w:adjustRightInd w:val="0"/>
        <w:spacing w:line="480" w:lineRule="auto"/>
        <w:rPr>
          <w:rFonts w:eastAsia="黑体"/>
          <w:color w:val="auto"/>
          <w:sz w:val="28"/>
          <w:szCs w:val="28"/>
          <w:highlight w:val="none"/>
        </w:rPr>
      </w:pPr>
    </w:p>
    <w:p w14:paraId="36BA1CBA">
      <w:pPr>
        <w:spacing w:line="480" w:lineRule="auto"/>
        <w:rPr>
          <w:color w:val="auto"/>
          <w:highlight w:val="none"/>
        </w:rPr>
      </w:pPr>
    </w:p>
    <w:p w14:paraId="5664661C">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7827F5A7">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959B4A8">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13E4D97D">
      <w:pPr>
        <w:pStyle w:val="9"/>
        <w:rPr>
          <w:rFonts w:hint="default"/>
          <w:color w:val="auto"/>
          <w:highlight w:val="none"/>
        </w:rPr>
      </w:pPr>
    </w:p>
    <w:p w14:paraId="18CB451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B33D55C">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3AF6FAA">
      <w:pPr>
        <w:pStyle w:val="3"/>
        <w:widowControl/>
        <w:spacing w:before="0" w:after="0" w:line="360" w:lineRule="auto"/>
        <w:jc w:val="center"/>
        <w:rPr>
          <w:rFonts w:ascii="黑体" w:hAnsi="宋体" w:cs="黑体"/>
          <w:b/>
          <w:color w:val="auto"/>
          <w:kern w:val="44"/>
          <w:sz w:val="44"/>
          <w:szCs w:val="44"/>
          <w:highlight w:val="none"/>
        </w:rPr>
      </w:pPr>
      <w:bookmarkStart w:id="34" w:name="_Toc374128477"/>
      <w:bookmarkEnd w:id="34"/>
      <w:bookmarkStart w:id="35" w:name="_Toc30913"/>
    </w:p>
    <w:p w14:paraId="152EB0F4">
      <w:pPr>
        <w:pStyle w:val="3"/>
        <w:widowControl/>
        <w:spacing w:before="0" w:after="0" w:line="360" w:lineRule="auto"/>
        <w:jc w:val="center"/>
        <w:rPr>
          <w:rFonts w:ascii="黑体" w:hAnsi="宋体" w:cs="黑体"/>
          <w:b/>
          <w:color w:val="auto"/>
          <w:kern w:val="44"/>
          <w:sz w:val="44"/>
          <w:szCs w:val="44"/>
          <w:highlight w:val="none"/>
        </w:rPr>
      </w:pPr>
    </w:p>
    <w:p w14:paraId="6AB7928D">
      <w:pPr>
        <w:pStyle w:val="3"/>
        <w:widowControl/>
        <w:spacing w:before="0" w:after="0" w:line="360" w:lineRule="auto"/>
        <w:jc w:val="center"/>
        <w:rPr>
          <w:rFonts w:ascii="黑体" w:hAnsi="宋体" w:cs="黑体"/>
          <w:b/>
          <w:color w:val="auto"/>
          <w:kern w:val="44"/>
          <w:sz w:val="44"/>
          <w:szCs w:val="44"/>
          <w:highlight w:val="none"/>
        </w:rPr>
      </w:pPr>
    </w:p>
    <w:p w14:paraId="21CAB409">
      <w:pPr>
        <w:pStyle w:val="3"/>
        <w:widowControl/>
        <w:spacing w:before="0" w:after="0" w:line="360" w:lineRule="auto"/>
        <w:jc w:val="center"/>
        <w:rPr>
          <w:rFonts w:ascii="黑体" w:hAnsi="宋体" w:cs="黑体"/>
          <w:b/>
          <w:color w:val="auto"/>
          <w:kern w:val="44"/>
          <w:sz w:val="44"/>
          <w:szCs w:val="44"/>
          <w:highlight w:val="none"/>
        </w:rPr>
      </w:pPr>
    </w:p>
    <w:p w14:paraId="2DFEB3D9">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5"/>
    </w:p>
    <w:p w14:paraId="42002F61">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752D3B01">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14:paraId="2C67E03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4F82904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14:paraId="76E2489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2EA782F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27B69FFE">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2698040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7B9CFAA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14:paraId="0BBAD0B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753762EF">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5D29B76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14:paraId="27B3A22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4B4273E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3389FBC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098CDDB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3A44855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458168BB">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1DFE05F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14:paraId="2269DB8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718F7691">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75999A7F">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2375453F">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1E2A06FC">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07742BC3">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79EF40FA">
      <w:pPr>
        <w:numPr>
          <w:ilvl w:val="0"/>
          <w:numId w:val="2"/>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2642EFD1">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3BE49943">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14:paraId="65A6C09E">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19ABD24">
      <w:pPr>
        <w:pStyle w:val="9"/>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14:paraId="63C0F44C">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14:paraId="74E32249">
      <w:pPr>
        <w:pStyle w:val="9"/>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14:paraId="3AC2A6F5">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014C374C">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14:paraId="596EDFFF">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14:paraId="054C299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14:paraId="095ECB25">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14:paraId="5BF70D4A">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14:paraId="34B6D7D0">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lang w:eastAsia="zh-CN"/>
        </w:rPr>
        <w:t>综合评审法</w:t>
      </w:r>
      <w:r>
        <w:rPr>
          <w:rFonts w:hint="eastAsia" w:ascii="仿宋" w:hAnsi="仿宋" w:eastAsia="仿宋" w:cs="仿宋"/>
          <w:b/>
          <w:color w:val="auto"/>
          <w:sz w:val="28"/>
          <w:szCs w:val="28"/>
          <w:highlight w:val="none"/>
          <w:u w:val="single"/>
        </w:rPr>
        <w:t>评标</w:t>
      </w:r>
    </w:p>
    <w:p w14:paraId="2996C410">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5038B5F4">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1482E1CA">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357EDE2E">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077A2740">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547D7E9D">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063B70D8">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14:paraId="7749E910">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14:paraId="61426695">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14:paraId="6340BFC7">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38BA38D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14:paraId="5E4D935A">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37A5D10B">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14:paraId="212F00D3">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14:paraId="01DC9A26">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61E74940">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1451B97A">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08C5A90C">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632E6214">
      <w:pPr>
        <w:pStyle w:val="9"/>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4BB98389">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1939A4A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1742258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4006E9B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62DAC6B7">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14:paraId="55003B7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1B0941A9">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14:paraId="7FC44758">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1EFDD8EE">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1D230EC9">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4AA6394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14:paraId="4B0537B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14:paraId="31C473C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14:paraId="24FF293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14:paraId="43A1744C">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69F5E91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14:paraId="0441D88B">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14:paraId="3855606B">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611FB4BF">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09151415">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0D3E32B3">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3D98218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14:paraId="1FEFC402">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40F5931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14:paraId="329A3971">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14:paraId="3C989D9E">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4B74FF27">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4608C328">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4007C2A8">
      <w:pPr>
        <w:snapToGrid/>
        <w:spacing w:line="240" w:lineRule="auto"/>
        <w:ind w:firstLine="0" w:firstLineChars="0"/>
        <w:jc w:val="left"/>
        <w:rPr>
          <w:rFonts w:hint="eastAsia" w:ascii="黑体" w:hAnsi="宋体" w:cs="黑体"/>
          <w:b/>
          <w:color w:val="auto"/>
          <w:kern w:val="44"/>
          <w:sz w:val="44"/>
          <w:szCs w:val="44"/>
          <w:highlight w:val="none"/>
        </w:rPr>
      </w:pPr>
      <w:bookmarkStart w:id="36" w:name="_Toc26593"/>
      <w:r>
        <w:rPr>
          <w:rFonts w:hint="eastAsia" w:ascii="黑体" w:hAnsi="宋体" w:cs="黑体"/>
          <w:b/>
          <w:color w:val="auto"/>
          <w:kern w:val="44"/>
          <w:sz w:val="44"/>
          <w:szCs w:val="44"/>
          <w:highlight w:val="none"/>
        </w:rPr>
        <w:br w:type="page"/>
      </w:r>
    </w:p>
    <w:p w14:paraId="5D681F5B">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6"/>
    </w:p>
    <w:p w14:paraId="363EC8D8">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110D619E">
      <w:pPr>
        <w:pStyle w:val="22"/>
        <w:widowControl/>
        <w:ind w:firstLine="562"/>
        <w:rPr>
          <w:rFonts w:ascii="仿宋" w:hAnsi="仿宋" w:eastAsia="仿宋" w:cs="仿宋"/>
          <w:b/>
          <w:color w:val="auto"/>
          <w:sz w:val="28"/>
          <w:szCs w:val="28"/>
          <w:highlight w:val="none"/>
          <w:u w:val="single"/>
        </w:rPr>
      </w:pPr>
      <w:bookmarkStart w:id="37" w:name="OLE_LINK3"/>
      <w:bookmarkEnd w:id="37"/>
      <w:r>
        <w:rPr>
          <w:rFonts w:ascii="仿宋" w:hAnsi="仿宋" w:eastAsia="仿宋" w:cs="仿宋"/>
          <w:b/>
          <w:color w:val="auto"/>
          <w:sz w:val="28"/>
          <w:szCs w:val="28"/>
          <w:highlight w:val="none"/>
          <w:u w:val="single"/>
        </w:rPr>
        <w:t>附件2 综合评分表</w:t>
      </w:r>
    </w:p>
    <w:p w14:paraId="658BC79B">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14:paraId="5059E147">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8" w:name="_Toc12170"/>
      <w:r>
        <w:rPr>
          <w:rFonts w:hint="eastAsia" w:ascii="仿宋" w:hAnsi="仿宋" w:eastAsia="仿宋" w:cs="仿宋"/>
          <w:color w:val="auto"/>
          <w:sz w:val="28"/>
          <w:szCs w:val="28"/>
          <w:highlight w:val="none"/>
        </w:rPr>
        <w:t>附件1：符合性审查表</w:t>
      </w:r>
      <w:bookmarkEnd w:id="38"/>
      <w:r>
        <w:rPr>
          <w:rFonts w:hint="eastAsia" w:ascii="仿宋" w:hAnsi="仿宋" w:eastAsia="仿宋" w:cs="仿宋"/>
          <w:color w:val="auto"/>
          <w:sz w:val="28"/>
          <w:szCs w:val="28"/>
          <w:highlight w:val="none"/>
        </w:rPr>
        <w:t xml:space="preserve">  </w:t>
      </w:r>
    </w:p>
    <w:p w14:paraId="0CA39756">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3B5CB420">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0C7FEB8">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4BBE07C2">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75AA0693">
            <w:pPr>
              <w:spacing w:beforeLines="50" w:afterLines="50" w:line="240" w:lineRule="exact"/>
              <w:ind w:left="105" w:leftChars="50" w:right="105" w:rightChars="50"/>
              <w:jc w:val="center"/>
              <w:rPr>
                <w:rFonts w:ascii="仿宋" w:hAnsi="仿宋" w:eastAsia="仿宋" w:cs="仿宋"/>
                <w:b/>
                <w:color w:val="auto"/>
                <w:highlight w:val="none"/>
              </w:rPr>
            </w:pPr>
          </w:p>
          <w:p w14:paraId="51DEEE7B">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5F861344">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2B0AF976">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2D511034">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097B600F">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7062D7B">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2BDFF471">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lang w:eastAsia="zh-CN"/>
              </w:rPr>
              <w:t>投标人提供</w:t>
            </w:r>
            <w:r>
              <w:rPr>
                <w:rFonts w:hint="eastAsia" w:ascii="仿宋" w:hAnsi="仿宋" w:eastAsia="仿宋" w:cs="仿宋"/>
                <w:color w:val="auto"/>
                <w:szCs w:val="21"/>
                <w:highlight w:val="none"/>
              </w:rPr>
              <w:t>有效的法定代表人证明书</w:t>
            </w:r>
            <w:r>
              <w:rPr>
                <w:rFonts w:hint="eastAsia" w:ascii="仿宋" w:hAnsi="仿宋" w:eastAsia="仿宋" w:cs="仿宋"/>
                <w:color w:val="auto"/>
                <w:szCs w:val="21"/>
                <w:highlight w:val="none"/>
                <w:lang w:eastAsia="zh-CN"/>
              </w:rPr>
              <w:t>并加盖公章</w:t>
            </w:r>
            <w:r>
              <w:rPr>
                <w:rFonts w:hint="eastAsia" w:ascii="仿宋" w:hAnsi="仿宋" w:eastAsia="仿宋" w:cs="仿宋"/>
                <w:color w:val="auto"/>
                <w:szCs w:val="21"/>
                <w:highlight w:val="none"/>
              </w:rPr>
              <w:t>，或由委托代理人签字的投标文件中有法定代表人授权书</w:t>
            </w:r>
            <w:r>
              <w:rPr>
                <w:rFonts w:hint="eastAsia" w:ascii="仿宋" w:hAnsi="仿宋" w:eastAsia="仿宋" w:cs="仿宋"/>
                <w:color w:val="auto"/>
                <w:szCs w:val="21"/>
                <w:highlight w:val="none"/>
                <w:lang w:eastAsia="zh-CN"/>
              </w:rPr>
              <w:t>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14:paraId="4E6DE6D9">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248D5E9">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46E30A7">
            <w:pPr>
              <w:spacing w:beforeLines="50" w:afterLines="50" w:line="240" w:lineRule="exact"/>
              <w:ind w:left="105" w:leftChars="50" w:right="105" w:rightChars="50"/>
              <w:jc w:val="center"/>
              <w:rPr>
                <w:rFonts w:ascii="仿宋" w:hAnsi="仿宋" w:eastAsia="仿宋" w:cs="仿宋"/>
                <w:color w:val="auto"/>
                <w:highlight w:val="none"/>
              </w:rPr>
            </w:pPr>
          </w:p>
        </w:tc>
      </w:tr>
      <w:tr w14:paraId="30B90C4C">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3819A8E">
            <w:pPr>
              <w:spacing w:beforeLines="-2147483648" w:afterLines="-2147483648" w:line="240" w:lineRule="auto"/>
              <w:ind w:left="0" w:right="105" w:rightChars="5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5BE75173">
            <w:pPr>
              <w:ind w:right="105" w:rightChars="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 w:val="21"/>
                <w:szCs w:val="21"/>
                <w:highlight w:val="none"/>
                <w:lang w:eastAsia="zh-CN"/>
              </w:rPr>
              <w:t>具有独立法人资格，持有工商行政管理部门核发的有效法人营业执照或各级登记管理机关颁发的事业单位法人证</w:t>
            </w:r>
            <w:r>
              <w:rPr>
                <w:rFonts w:hint="eastAsia" w:ascii="仿宋" w:hAnsi="仿宋" w:eastAsia="仿宋" w:cs="仿宋"/>
                <w:color w:val="auto"/>
                <w:sz w:val="21"/>
                <w:szCs w:val="21"/>
                <w:highlight w:val="none"/>
                <w:lang w:val="en-US" w:eastAsia="zh-CN"/>
              </w:rPr>
              <w:t>书</w:t>
            </w:r>
            <w:r>
              <w:rPr>
                <w:rFonts w:hint="eastAsia" w:ascii="仿宋" w:hAnsi="仿宋" w:eastAsia="仿宋" w:cs="仿宋"/>
                <w:color w:val="auto"/>
                <w:sz w:val="21"/>
                <w:szCs w:val="21"/>
                <w:highlight w:val="none"/>
                <w:lang w:eastAsia="zh-CN"/>
              </w:rPr>
              <w:t>，按国家法律经营</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提供相关</w:t>
            </w:r>
            <w:r>
              <w:rPr>
                <w:rFonts w:hint="eastAsia" w:ascii="仿宋" w:hAnsi="仿宋" w:eastAsia="仿宋" w:cs="仿宋"/>
                <w:color w:val="auto"/>
                <w:sz w:val="21"/>
                <w:szCs w:val="21"/>
                <w:highlight w:val="none"/>
              </w:rPr>
              <w:t>复印件</w:t>
            </w:r>
            <w:r>
              <w:rPr>
                <w:rFonts w:hint="eastAsia" w:ascii="仿宋" w:hAnsi="仿宋" w:eastAsia="仿宋" w:cs="仿宋"/>
                <w:color w:val="auto"/>
                <w:sz w:val="21"/>
                <w:szCs w:val="21"/>
                <w:highlight w:val="none"/>
                <w:lang w:eastAsia="zh-CN"/>
              </w:rPr>
              <w:t>并</w:t>
            </w:r>
            <w:r>
              <w:rPr>
                <w:rFonts w:hint="eastAsia" w:ascii="仿宋" w:hAnsi="仿宋" w:eastAsia="仿宋" w:cs="仿宋"/>
                <w:color w:val="auto"/>
                <w:sz w:val="21"/>
                <w:szCs w:val="21"/>
                <w:highlight w:val="none"/>
              </w:rPr>
              <w:t>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14:paraId="5937D969">
            <w:pPr>
              <w:spacing w:beforeLines="-2147483648" w:afterLines="-2147483648" w:line="240" w:lineRule="auto"/>
              <w:ind w:left="0" w:leftChars="0" w:right="105" w:rightChars="50"/>
              <w:jc w:val="left"/>
              <w:rPr>
                <w:rFonts w:hint="eastAsia" w:ascii="仿宋" w:hAnsi="仿宋" w:eastAsia="仿宋" w:cs="仿宋"/>
                <w:color w:val="auto"/>
                <w:szCs w:val="21"/>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F8B2B6E">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AA2228E">
            <w:pPr>
              <w:spacing w:beforeLines="50" w:afterLines="50" w:line="240" w:lineRule="exact"/>
              <w:ind w:left="105" w:leftChars="50" w:right="105" w:rightChars="50"/>
              <w:jc w:val="center"/>
              <w:rPr>
                <w:rFonts w:ascii="仿宋" w:hAnsi="仿宋" w:eastAsia="仿宋" w:cs="仿宋"/>
                <w:color w:val="auto"/>
                <w:highlight w:val="none"/>
              </w:rPr>
            </w:pPr>
          </w:p>
        </w:tc>
      </w:tr>
      <w:tr w14:paraId="1D442A11">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00B6D82">
            <w:pPr>
              <w:spacing w:beforeLines="-2147483648" w:afterLines="-2147483648" w:line="240" w:lineRule="auto"/>
              <w:ind w:left="0" w:right="105" w:rightChars="5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15E76494">
            <w:pPr>
              <w:ind w:right="105" w:rightChars="5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投标人</w:t>
            </w:r>
            <w:r>
              <w:rPr>
                <w:rFonts w:hint="eastAsia" w:ascii="仿宋" w:hAnsi="仿宋" w:eastAsia="仿宋" w:cs="仿宋"/>
                <w:color w:val="auto"/>
                <w:kern w:val="2"/>
                <w:sz w:val="21"/>
                <w:szCs w:val="21"/>
                <w:highlight w:val="none"/>
                <w:lang w:val="en-US" w:eastAsia="zh-CN" w:bidi="ar-SA"/>
              </w:rPr>
              <w:t>须在市级住建行业信用管理平台建立企业诚信档案。提供网上查询结果打印页面并加盖公章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14:paraId="04B63C25">
            <w:pPr>
              <w:spacing w:beforeLines="-2147483648" w:afterLines="-2147483648" w:line="240" w:lineRule="auto"/>
              <w:ind w:left="0" w:leftChars="0" w:right="105" w:rightChars="50"/>
              <w:jc w:val="left"/>
              <w:rPr>
                <w:rFonts w:hint="eastAsia" w:ascii="仿宋" w:hAnsi="仿宋" w:eastAsia="仿宋" w:cs="仿宋"/>
                <w:color w:val="auto"/>
                <w:szCs w:val="21"/>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38C7899">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5660119">
            <w:pPr>
              <w:spacing w:beforeLines="50" w:afterLines="50" w:line="240" w:lineRule="exact"/>
              <w:ind w:left="105" w:leftChars="50" w:right="105" w:rightChars="50"/>
              <w:jc w:val="center"/>
              <w:rPr>
                <w:rFonts w:ascii="仿宋" w:hAnsi="仿宋" w:eastAsia="仿宋" w:cs="仿宋"/>
                <w:color w:val="auto"/>
                <w:highlight w:val="none"/>
              </w:rPr>
            </w:pPr>
          </w:p>
        </w:tc>
      </w:tr>
      <w:tr w14:paraId="47D46957">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090757F">
            <w:pPr>
              <w:spacing w:beforeLines="-2147483648" w:afterLines="-2147483648" w:line="240" w:lineRule="auto"/>
              <w:ind w:left="0" w:right="105" w:rightChars="50"/>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556A6D61">
            <w:pPr>
              <w:ind w:right="105" w:rightChars="50"/>
              <w:jc w:val="left"/>
              <w:rPr>
                <w:rFonts w:hint="eastAsia" w:ascii="仿宋" w:hAnsi="仿宋" w:eastAsia="仿宋" w:cs="仿宋"/>
                <w:color w:val="auto"/>
                <w:szCs w:val="21"/>
                <w:highlight w:val="none"/>
              </w:rPr>
            </w:pPr>
            <w:r>
              <w:rPr>
                <w:rFonts w:hint="eastAsia" w:ascii="仿宋" w:hAnsi="仿宋" w:eastAsia="仿宋" w:cs="仿宋"/>
                <w:color w:val="auto"/>
                <w:kern w:val="2"/>
                <w:sz w:val="21"/>
                <w:szCs w:val="21"/>
                <w:highlight w:val="none"/>
                <w:lang w:val="en-US" w:eastAsia="zh-CN" w:bidi="ar-SA"/>
              </w:rPr>
              <w:t>投标总报价及分项报价不超过对应的招标控制价及限价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6B62040B">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2BA8B17">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52F7CB7">
            <w:pPr>
              <w:spacing w:beforeLines="50" w:afterLines="50" w:line="240" w:lineRule="exact"/>
              <w:ind w:left="105" w:leftChars="50" w:right="105" w:rightChars="50"/>
              <w:jc w:val="center"/>
              <w:rPr>
                <w:rFonts w:ascii="仿宋" w:hAnsi="仿宋" w:eastAsia="仿宋" w:cs="仿宋"/>
                <w:color w:val="auto"/>
                <w:highlight w:val="none"/>
              </w:rPr>
            </w:pPr>
          </w:p>
        </w:tc>
      </w:tr>
      <w:tr w14:paraId="589D9C81">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2157ECE">
            <w:pPr>
              <w:spacing w:beforeLines="-2147483648" w:afterLines="-2147483648" w:line="240" w:lineRule="auto"/>
              <w:ind w:left="0" w:right="105" w:rightChars="50"/>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14:paraId="37C3A082">
            <w:pPr>
              <w:ind w:right="105" w:rightChars="5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投标人不是联合体参与投标。</w:t>
            </w:r>
          </w:p>
        </w:tc>
        <w:tc>
          <w:tcPr>
            <w:tcW w:w="1559" w:type="dxa"/>
            <w:tcBorders>
              <w:top w:val="single" w:color="auto" w:sz="4" w:space="0"/>
              <w:left w:val="nil"/>
              <w:bottom w:val="single" w:color="auto" w:sz="4" w:space="0"/>
              <w:right w:val="single" w:color="auto" w:sz="4" w:space="0"/>
            </w:tcBorders>
            <w:shd w:val="clear" w:color="auto" w:fill="auto"/>
            <w:vAlign w:val="center"/>
          </w:tcPr>
          <w:p w14:paraId="07CE8FBD">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7D42A30">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2545ED6">
            <w:pPr>
              <w:spacing w:beforeLines="50" w:afterLines="50" w:line="240" w:lineRule="exact"/>
              <w:ind w:left="105" w:leftChars="50" w:right="105" w:rightChars="50"/>
              <w:jc w:val="center"/>
              <w:rPr>
                <w:rFonts w:ascii="仿宋" w:hAnsi="仿宋" w:eastAsia="仿宋" w:cs="仿宋"/>
                <w:color w:val="auto"/>
                <w:highlight w:val="none"/>
              </w:rPr>
            </w:pPr>
          </w:p>
        </w:tc>
      </w:tr>
      <w:tr w14:paraId="1EB70F6B">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FCF809B">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12A77297">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0D948F3B">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988265F">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9CDA584">
            <w:pPr>
              <w:spacing w:beforeLines="50" w:afterLines="50" w:line="240" w:lineRule="exact"/>
              <w:ind w:left="105" w:leftChars="50" w:right="105" w:rightChars="50"/>
              <w:jc w:val="center"/>
              <w:rPr>
                <w:rFonts w:ascii="仿宋" w:hAnsi="仿宋" w:eastAsia="仿宋" w:cs="仿宋"/>
                <w:color w:val="auto"/>
                <w:highlight w:val="none"/>
              </w:rPr>
            </w:pPr>
          </w:p>
        </w:tc>
      </w:tr>
    </w:tbl>
    <w:p w14:paraId="67E5DBCF">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55C9BE2E">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4C961960">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250BC3D4">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7A0072EA">
      <w:pPr>
        <w:snapToGrid w:val="0"/>
        <w:ind w:left="74"/>
        <w:rPr>
          <w:rFonts w:ascii="仿宋" w:hAnsi="仿宋" w:eastAsia="仿宋" w:cs="Courier New"/>
          <w:color w:val="auto"/>
          <w:sz w:val="28"/>
          <w:szCs w:val="28"/>
          <w:highlight w:val="none"/>
        </w:rPr>
      </w:pPr>
    </w:p>
    <w:p w14:paraId="6EB2B88C">
      <w:pPr>
        <w:rPr>
          <w:color w:val="auto"/>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bookmarkStart w:id="39" w:name="_Toc18783"/>
    </w:p>
    <w:bookmarkEnd w:id="39"/>
    <w:p w14:paraId="674116D4">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3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511"/>
      </w:tblGrid>
      <w:tr w14:paraId="1500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14:paraId="6C5A289A">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14:paraId="56FFC29C">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14:paraId="1556A896">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14:paraId="02DB4C68">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14:paraId="75ACEDFC">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511" w:type="dxa"/>
            <w:shd w:val="clear" w:color="auto" w:fill="auto"/>
            <w:vAlign w:val="center"/>
          </w:tcPr>
          <w:p w14:paraId="7CD2CDC0">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14:paraId="5069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14:paraId="7B2C0CC9">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14:paraId="0E20FE92">
            <w:pPr>
              <w:pStyle w:val="5"/>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7</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14:paraId="6FF42E94">
            <w:pPr>
              <w:snapToGrid w:val="0"/>
              <w:ind w:left="-2" w:leftChars="-1"/>
              <w:jc w:val="center"/>
              <w:rPr>
                <w:rFonts w:hint="eastAsia" w:ascii="宋体" w:hAnsi="宋体" w:eastAsia="宋体" w:cs="宋体"/>
                <w:color w:val="auto"/>
                <w:szCs w:val="21"/>
                <w:highlight w:val="none"/>
              </w:rPr>
            </w:pPr>
          </w:p>
          <w:p w14:paraId="52392753">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14:paraId="2A2079BA">
            <w:pPr>
              <w:snapToGrid w:val="0"/>
              <w:ind w:left="-2" w:leftChars="-1"/>
              <w:jc w:val="center"/>
              <w:rPr>
                <w:rFonts w:hint="eastAsia" w:ascii="宋体" w:hAnsi="宋体" w:eastAsia="宋体" w:cs="宋体"/>
                <w:color w:val="auto"/>
                <w:szCs w:val="21"/>
                <w:highlight w:val="none"/>
              </w:rPr>
            </w:pPr>
            <w:r>
              <w:rPr>
                <w:rFonts w:hint="eastAsia"/>
                <w:color w:val="auto"/>
                <w:highlight w:val="none"/>
              </w:rPr>
              <w:t>企业管理体系</w:t>
            </w:r>
          </w:p>
        </w:tc>
        <w:tc>
          <w:tcPr>
            <w:tcW w:w="709" w:type="dxa"/>
            <w:shd w:val="clear" w:color="auto" w:fill="auto"/>
            <w:vAlign w:val="center"/>
          </w:tcPr>
          <w:p w14:paraId="10E86114">
            <w:pPr>
              <w:spacing w:line="240" w:lineRule="auto"/>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9797" w:type="dxa"/>
            <w:shd w:val="clear" w:color="auto" w:fill="auto"/>
            <w:vAlign w:val="center"/>
          </w:tcPr>
          <w:p w14:paraId="090C420E">
            <w:pPr>
              <w:rPr>
                <w:rFonts w:hint="eastAsia" w:eastAsia="宋体"/>
                <w:color w:val="auto"/>
                <w:highlight w:val="none"/>
                <w:lang w:val="en-US" w:eastAsia="zh-CN"/>
              </w:rPr>
            </w:pPr>
            <w:r>
              <w:rPr>
                <w:rFonts w:hint="eastAsia"/>
                <w:color w:val="auto"/>
                <w:highlight w:val="none"/>
                <w:lang w:eastAsia="zh-CN"/>
              </w:rPr>
              <w:t>投标人</w:t>
            </w:r>
            <w:r>
              <w:rPr>
                <w:rFonts w:hint="eastAsia"/>
                <w:color w:val="auto"/>
                <w:highlight w:val="none"/>
              </w:rPr>
              <w:t>同时具有质量管理体系认证证书、环境管理体系认证证书、职业健康安全管理体系认证证书，在有效期内且年审合格，每具有一项得</w:t>
            </w:r>
            <w:r>
              <w:rPr>
                <w:rFonts w:hint="eastAsia"/>
                <w:color w:val="auto"/>
                <w:highlight w:val="none"/>
                <w:lang w:val="en-US" w:eastAsia="zh-CN"/>
              </w:rPr>
              <w:t>2</w:t>
            </w:r>
            <w:r>
              <w:rPr>
                <w:rFonts w:hint="eastAsia"/>
                <w:color w:val="auto"/>
                <w:highlight w:val="none"/>
              </w:rPr>
              <w:t>分；本项最多得</w:t>
            </w:r>
            <w:r>
              <w:rPr>
                <w:rFonts w:hint="eastAsia"/>
                <w:color w:val="auto"/>
                <w:highlight w:val="none"/>
                <w:lang w:val="en-US" w:eastAsia="zh-CN"/>
              </w:rPr>
              <w:t>6</w:t>
            </w:r>
            <w:r>
              <w:rPr>
                <w:rFonts w:hint="eastAsia"/>
                <w:color w:val="auto"/>
                <w:highlight w:val="none"/>
              </w:rPr>
              <w:t>分。</w:t>
            </w:r>
          </w:p>
          <w:p w14:paraId="5E12F4C0">
            <w:pPr>
              <w:rPr>
                <w:rFonts w:hint="eastAsia" w:ascii="宋体" w:hAnsi="宋体" w:eastAsia="宋体" w:cs="宋体"/>
                <w:color w:val="auto"/>
                <w:highlight w:val="none"/>
                <w:lang w:val="en-US" w:eastAsia="zh-CN"/>
              </w:rPr>
            </w:pPr>
            <w:r>
              <w:rPr>
                <w:rFonts w:hint="eastAsia"/>
                <w:color w:val="auto"/>
                <w:highlight w:val="none"/>
              </w:rPr>
              <w:t>提供相关证书清晰复印件并加盖公章，不符合上述条件或未按上述要求提供资料的不得分。</w:t>
            </w:r>
          </w:p>
        </w:tc>
        <w:tc>
          <w:tcPr>
            <w:tcW w:w="511" w:type="dxa"/>
            <w:shd w:val="clear" w:color="auto" w:fill="auto"/>
            <w:vAlign w:val="center"/>
          </w:tcPr>
          <w:p w14:paraId="2EC35685">
            <w:pPr>
              <w:spacing w:line="240" w:lineRule="auto"/>
              <w:ind w:left="-2" w:leftChars="-1"/>
              <w:rPr>
                <w:rFonts w:hint="eastAsia" w:ascii="宋体" w:hAnsi="宋体" w:eastAsia="宋体" w:cs="宋体"/>
                <w:color w:val="auto"/>
                <w:sz w:val="21"/>
                <w:szCs w:val="21"/>
                <w:highlight w:val="none"/>
              </w:rPr>
            </w:pPr>
          </w:p>
        </w:tc>
      </w:tr>
      <w:tr w14:paraId="58FD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continue"/>
            <w:shd w:val="clear" w:color="auto" w:fill="auto"/>
            <w:vAlign w:val="center"/>
          </w:tcPr>
          <w:p w14:paraId="3DA2A247">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14:paraId="557B919E">
            <w:pPr>
              <w:snapToGrid w:val="0"/>
              <w:ind w:left="-2" w:leftChars="-1"/>
              <w:jc w:val="center"/>
              <w:rPr>
                <w:rFonts w:hint="eastAsia" w:ascii="宋体" w:hAnsi="宋体" w:eastAsia="宋体" w:cs="宋体"/>
                <w:i w:val="0"/>
                <w:iCs w:val="0"/>
                <w:color w:val="auto"/>
                <w:kern w:val="0"/>
                <w:sz w:val="21"/>
                <w:szCs w:val="21"/>
                <w:highlight w:val="none"/>
                <w:u w:val="none"/>
                <w:lang w:val="en-US" w:eastAsia="zh-CN" w:bidi="ar"/>
              </w:rPr>
            </w:pPr>
            <w:r>
              <w:rPr>
                <w:rFonts w:hint="eastAsia"/>
                <w:color w:val="auto"/>
                <w:highlight w:val="none"/>
              </w:rPr>
              <w:t>招标代理业绩</w:t>
            </w:r>
          </w:p>
        </w:tc>
        <w:tc>
          <w:tcPr>
            <w:tcW w:w="709" w:type="dxa"/>
            <w:shd w:val="clear" w:color="auto" w:fill="auto"/>
            <w:vAlign w:val="center"/>
          </w:tcPr>
          <w:p w14:paraId="73A08395">
            <w:pPr>
              <w:spacing w:line="240" w:lineRule="auto"/>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25</w:t>
            </w:r>
          </w:p>
        </w:tc>
        <w:tc>
          <w:tcPr>
            <w:tcW w:w="9797" w:type="dxa"/>
            <w:shd w:val="clear" w:color="auto" w:fill="auto"/>
            <w:vAlign w:val="center"/>
          </w:tcPr>
          <w:p w14:paraId="078A1173">
            <w:pPr>
              <w:rPr>
                <w:rFonts w:hint="eastAsia"/>
                <w:color w:val="auto"/>
                <w:highlight w:val="none"/>
              </w:rPr>
            </w:pPr>
            <w:r>
              <w:rPr>
                <w:rFonts w:hint="eastAsia"/>
                <w:color w:val="auto"/>
                <w:highlight w:val="none"/>
              </w:rPr>
              <w:t>①</w:t>
            </w:r>
            <w:r>
              <w:rPr>
                <w:rFonts w:hint="eastAsia"/>
                <w:color w:val="auto"/>
                <w:highlight w:val="none"/>
                <w:lang w:eastAsia="zh-CN"/>
              </w:rPr>
              <w:t>投标人</w:t>
            </w:r>
            <w:r>
              <w:rPr>
                <w:rFonts w:hint="eastAsia"/>
                <w:color w:val="auto"/>
                <w:highlight w:val="none"/>
              </w:rPr>
              <w:t>自202</w:t>
            </w:r>
            <w:r>
              <w:rPr>
                <w:rFonts w:hint="eastAsia"/>
                <w:color w:val="auto"/>
                <w:highlight w:val="none"/>
                <w:lang w:val="en-US" w:eastAsia="zh-CN"/>
              </w:rPr>
              <w:t>3</w:t>
            </w:r>
            <w:r>
              <w:rPr>
                <w:rFonts w:hint="eastAsia"/>
                <w:color w:val="auto"/>
                <w:highlight w:val="none"/>
              </w:rPr>
              <w:t xml:space="preserve"> 年1月1日至今在各地有形建筑市场交易平台独立完成的</w:t>
            </w:r>
            <w:r>
              <w:rPr>
                <w:rFonts w:hint="eastAsia"/>
                <w:color w:val="auto"/>
                <w:highlight w:val="none"/>
                <w:lang w:val="en-US" w:eastAsia="zh-CN"/>
              </w:rPr>
              <w:t>EPC项目或设计施工总承包项目</w:t>
            </w:r>
            <w:r>
              <w:rPr>
                <w:rFonts w:hint="eastAsia"/>
                <w:color w:val="auto"/>
                <w:highlight w:val="none"/>
              </w:rPr>
              <w:t>招标代理：单个标段中标金额≥</w:t>
            </w:r>
            <w:r>
              <w:rPr>
                <w:rFonts w:hint="eastAsia"/>
                <w:color w:val="auto"/>
                <w:highlight w:val="none"/>
                <w:lang w:val="en-US" w:eastAsia="zh-CN"/>
              </w:rPr>
              <w:t>10</w:t>
            </w:r>
            <w:r>
              <w:rPr>
                <w:rFonts w:hint="eastAsia"/>
                <w:color w:val="auto"/>
                <w:highlight w:val="none"/>
              </w:rPr>
              <w:t>000万元，每个得</w:t>
            </w:r>
            <w:r>
              <w:rPr>
                <w:rFonts w:hint="eastAsia"/>
                <w:color w:val="auto"/>
                <w:highlight w:val="none"/>
                <w:lang w:val="en-US" w:eastAsia="zh-CN"/>
              </w:rPr>
              <w:t>3</w:t>
            </w:r>
            <w:r>
              <w:rPr>
                <w:rFonts w:hint="eastAsia"/>
                <w:color w:val="auto"/>
                <w:highlight w:val="none"/>
              </w:rPr>
              <w:t>分</w:t>
            </w:r>
            <w:r>
              <w:rPr>
                <w:rFonts w:hint="eastAsia"/>
                <w:color w:val="auto"/>
                <w:highlight w:val="none"/>
                <w:lang w:eastAsia="zh-CN"/>
              </w:rPr>
              <w:t>，</w:t>
            </w:r>
            <w:r>
              <w:rPr>
                <w:rFonts w:hint="eastAsia"/>
                <w:color w:val="auto"/>
                <w:highlight w:val="none"/>
              </w:rPr>
              <w:t>最高得</w:t>
            </w:r>
            <w:r>
              <w:rPr>
                <w:rFonts w:hint="eastAsia"/>
                <w:color w:val="auto"/>
                <w:highlight w:val="none"/>
                <w:lang w:val="en-US" w:eastAsia="zh-CN"/>
              </w:rPr>
              <w:t>9</w:t>
            </w:r>
            <w:r>
              <w:rPr>
                <w:rFonts w:hint="eastAsia"/>
                <w:color w:val="auto"/>
                <w:highlight w:val="none"/>
              </w:rPr>
              <w:t>分；其余情况不得分。上述招标代理服务项目若未划分标段的，则视为1个标段。</w:t>
            </w:r>
          </w:p>
          <w:p w14:paraId="4388EFDE">
            <w:pPr>
              <w:rPr>
                <w:rFonts w:hint="eastAsia"/>
                <w:color w:val="auto"/>
                <w:highlight w:val="none"/>
              </w:rPr>
            </w:pPr>
            <w:r>
              <w:rPr>
                <w:rFonts w:hint="eastAsia"/>
                <w:color w:val="auto"/>
                <w:highlight w:val="none"/>
              </w:rPr>
              <w:t>②</w:t>
            </w:r>
            <w:r>
              <w:rPr>
                <w:rFonts w:hint="eastAsia"/>
                <w:color w:val="auto"/>
                <w:highlight w:val="none"/>
                <w:lang w:eastAsia="zh-CN"/>
              </w:rPr>
              <w:t>投标人</w:t>
            </w:r>
            <w:r>
              <w:rPr>
                <w:rFonts w:hint="eastAsia"/>
                <w:color w:val="auto"/>
                <w:highlight w:val="none"/>
              </w:rPr>
              <w:t>自202</w:t>
            </w:r>
            <w:r>
              <w:rPr>
                <w:rFonts w:hint="eastAsia"/>
                <w:color w:val="auto"/>
                <w:highlight w:val="none"/>
                <w:lang w:val="en-US" w:eastAsia="zh-CN"/>
              </w:rPr>
              <w:t>3</w:t>
            </w:r>
            <w:r>
              <w:rPr>
                <w:rFonts w:hint="eastAsia"/>
                <w:color w:val="auto"/>
                <w:highlight w:val="none"/>
              </w:rPr>
              <w:t>年1月1日至今</w:t>
            </w:r>
            <w:r>
              <w:rPr>
                <w:rFonts w:hint="eastAsia"/>
                <w:color w:val="auto"/>
                <w:highlight w:val="none"/>
                <w:lang w:val="en-US" w:eastAsia="zh-CN"/>
              </w:rPr>
              <w:t>作为组织单位开展</w:t>
            </w:r>
            <w:r>
              <w:rPr>
                <w:rFonts w:hint="eastAsia"/>
                <w:color w:val="auto"/>
                <w:highlight w:val="none"/>
              </w:rPr>
              <w:t>的</w:t>
            </w:r>
            <w:r>
              <w:rPr>
                <w:rFonts w:hint="eastAsia"/>
                <w:color w:val="auto"/>
                <w:highlight w:val="none"/>
                <w:lang w:val="en-US" w:eastAsia="zh-CN"/>
              </w:rPr>
              <w:t>设计方案竞赛或设计方案征集项目（方案主题不包含室内装修设计类）</w:t>
            </w:r>
            <w:r>
              <w:rPr>
                <w:rFonts w:hint="eastAsia"/>
                <w:color w:val="auto"/>
                <w:highlight w:val="none"/>
              </w:rPr>
              <w:t>，每</w:t>
            </w:r>
            <w:r>
              <w:rPr>
                <w:rFonts w:hint="eastAsia"/>
                <w:color w:val="auto"/>
                <w:highlight w:val="none"/>
                <w:lang w:val="en-US" w:eastAsia="zh-CN"/>
              </w:rPr>
              <w:t>提供1</w:t>
            </w:r>
            <w:r>
              <w:rPr>
                <w:rFonts w:hint="eastAsia"/>
                <w:color w:val="auto"/>
                <w:highlight w:val="none"/>
              </w:rPr>
              <w:t>个得</w:t>
            </w:r>
            <w:r>
              <w:rPr>
                <w:rFonts w:hint="eastAsia"/>
                <w:color w:val="auto"/>
                <w:highlight w:val="none"/>
                <w:lang w:val="en-US" w:eastAsia="zh-CN"/>
              </w:rPr>
              <w:t>8</w:t>
            </w:r>
            <w:r>
              <w:rPr>
                <w:rFonts w:hint="eastAsia"/>
                <w:color w:val="auto"/>
                <w:highlight w:val="none"/>
              </w:rPr>
              <w:t>分，最高得</w:t>
            </w:r>
            <w:r>
              <w:rPr>
                <w:rFonts w:hint="eastAsia"/>
                <w:color w:val="auto"/>
                <w:highlight w:val="none"/>
                <w:lang w:val="en-US" w:eastAsia="zh-CN"/>
              </w:rPr>
              <w:t>16</w:t>
            </w:r>
            <w:r>
              <w:rPr>
                <w:rFonts w:hint="eastAsia"/>
                <w:color w:val="auto"/>
                <w:highlight w:val="none"/>
              </w:rPr>
              <w:t>分；其余情况不得分。</w:t>
            </w:r>
          </w:p>
          <w:p w14:paraId="55EFBFFF">
            <w:pPr>
              <w:rPr>
                <w:rFonts w:hint="eastAsia"/>
                <w:color w:val="auto"/>
                <w:highlight w:val="none"/>
              </w:rPr>
            </w:pPr>
            <w:r>
              <w:rPr>
                <w:rFonts w:hint="eastAsia"/>
                <w:color w:val="auto"/>
                <w:highlight w:val="none"/>
              </w:rPr>
              <w:t>本项最高得分</w:t>
            </w:r>
            <w:r>
              <w:rPr>
                <w:rFonts w:hint="eastAsia"/>
                <w:color w:val="auto"/>
                <w:highlight w:val="none"/>
                <w:lang w:val="en-US" w:eastAsia="zh-CN"/>
              </w:rPr>
              <w:t>25</w:t>
            </w:r>
            <w:r>
              <w:rPr>
                <w:rFonts w:hint="eastAsia"/>
                <w:color w:val="auto"/>
                <w:highlight w:val="none"/>
              </w:rPr>
              <w:t>分。</w:t>
            </w:r>
          </w:p>
          <w:p w14:paraId="7968CC4B">
            <w:pPr>
              <w:rPr>
                <w:rFonts w:hint="eastAsia" w:ascii="宋体" w:hAnsi="宋体" w:eastAsia="宋体" w:cs="宋体"/>
                <w:i w:val="0"/>
                <w:iCs w:val="0"/>
                <w:color w:val="auto"/>
                <w:kern w:val="0"/>
                <w:sz w:val="21"/>
                <w:szCs w:val="21"/>
                <w:highlight w:val="none"/>
                <w:u w:val="none"/>
                <w:lang w:val="en-US" w:eastAsia="zh-CN" w:bidi="ar"/>
              </w:rPr>
            </w:pPr>
            <w:r>
              <w:rPr>
                <w:rFonts w:hint="eastAsia"/>
                <w:color w:val="auto"/>
                <w:highlight w:val="none"/>
                <w:lang w:eastAsia="zh-CN"/>
              </w:rPr>
              <w:t>注：</w:t>
            </w:r>
            <w:r>
              <w:rPr>
                <w:rFonts w:hint="eastAsia"/>
                <w:color w:val="auto"/>
                <w:highlight w:val="none"/>
              </w:rPr>
              <w:t>①业绩证明需提供具有交易平台机构盖章确认发出的中标通知书（复印件加盖公章），中标价及时间以中标通知书显示的为准</w:t>
            </w:r>
            <w:r>
              <w:rPr>
                <w:rFonts w:hint="eastAsia"/>
                <w:color w:val="auto"/>
                <w:highlight w:val="none"/>
                <w:lang w:eastAsia="zh-CN"/>
              </w:rPr>
              <w:t>；</w:t>
            </w:r>
            <w:r>
              <w:rPr>
                <w:rFonts w:hint="eastAsia"/>
                <w:color w:val="auto"/>
                <w:highlight w:val="none"/>
              </w:rPr>
              <w:t>②</w:t>
            </w:r>
            <w:r>
              <w:rPr>
                <w:rFonts w:hint="eastAsia"/>
                <w:color w:val="auto"/>
                <w:highlight w:val="none"/>
                <w:lang w:val="en-US" w:eastAsia="zh-CN"/>
              </w:rPr>
              <w:t>需提供相关设计竞赛的公告截图</w:t>
            </w:r>
            <w:r>
              <w:rPr>
                <w:rFonts w:hint="eastAsia"/>
                <w:color w:val="auto"/>
                <w:highlight w:val="none"/>
              </w:rPr>
              <w:t>。</w:t>
            </w:r>
          </w:p>
        </w:tc>
        <w:tc>
          <w:tcPr>
            <w:tcW w:w="511" w:type="dxa"/>
            <w:shd w:val="clear" w:color="auto" w:fill="auto"/>
            <w:vAlign w:val="center"/>
          </w:tcPr>
          <w:p w14:paraId="57094E51">
            <w:pPr>
              <w:spacing w:line="240" w:lineRule="auto"/>
              <w:ind w:left="-2" w:leftChars="-1"/>
              <w:rPr>
                <w:rFonts w:hint="eastAsia" w:ascii="宋体" w:hAnsi="宋体" w:eastAsia="宋体" w:cs="宋体"/>
                <w:color w:val="auto"/>
                <w:sz w:val="21"/>
                <w:szCs w:val="21"/>
                <w:highlight w:val="none"/>
              </w:rPr>
            </w:pPr>
          </w:p>
        </w:tc>
      </w:tr>
      <w:tr w14:paraId="242E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14:paraId="41F72131">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743179B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color w:val="auto"/>
                <w:highlight w:val="none"/>
              </w:rPr>
              <w:t>招标代理人员架构</w:t>
            </w:r>
          </w:p>
        </w:tc>
        <w:tc>
          <w:tcPr>
            <w:tcW w:w="709" w:type="dxa"/>
            <w:shd w:val="clear" w:color="auto" w:fill="auto"/>
            <w:vAlign w:val="center"/>
          </w:tcPr>
          <w:p w14:paraId="20F01AF1">
            <w:pPr>
              <w:keepNext w:val="0"/>
              <w:keepLines w:val="0"/>
              <w:widowControl/>
              <w:suppressLineNumbers w:val="0"/>
              <w:spacing w:line="240" w:lineRule="auto"/>
              <w:jc w:val="center"/>
              <w:textAlignment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9797" w:type="dxa"/>
            <w:shd w:val="clear" w:color="auto" w:fill="auto"/>
            <w:vAlign w:val="center"/>
          </w:tcPr>
          <w:p w14:paraId="43F21ABF">
            <w:pPr>
              <w:rPr>
                <w:rFonts w:hint="eastAsia"/>
                <w:color w:val="auto"/>
                <w:highlight w:val="none"/>
              </w:rPr>
            </w:pPr>
            <w:r>
              <w:rPr>
                <w:rFonts w:hint="eastAsia"/>
                <w:color w:val="auto"/>
                <w:highlight w:val="none"/>
              </w:rPr>
              <w:t>①项目负责人：1.具有中级（或以上）招采人员专业技术能力评价证书（提供经中国招标投标协会颁发的证书）或招标师证书得</w:t>
            </w:r>
            <w:r>
              <w:rPr>
                <w:rFonts w:hint="eastAsia"/>
                <w:color w:val="auto"/>
                <w:highlight w:val="none"/>
                <w:lang w:val="en-US" w:eastAsia="zh-CN"/>
              </w:rPr>
              <w:t>2</w:t>
            </w:r>
            <w:r>
              <w:rPr>
                <w:rFonts w:hint="eastAsia"/>
                <w:color w:val="auto"/>
                <w:highlight w:val="none"/>
              </w:rPr>
              <w:t>分；具有咨询工程师（投资）证书的得</w:t>
            </w:r>
            <w:r>
              <w:rPr>
                <w:rFonts w:hint="eastAsia"/>
                <w:color w:val="auto"/>
                <w:highlight w:val="none"/>
                <w:lang w:val="en-US" w:eastAsia="zh-CN"/>
              </w:rPr>
              <w:t>4</w:t>
            </w:r>
            <w:r>
              <w:rPr>
                <w:rFonts w:hint="eastAsia"/>
                <w:color w:val="auto"/>
                <w:highlight w:val="none"/>
              </w:rPr>
              <w:t>分；具有高级或以上工程师职称的得</w:t>
            </w:r>
            <w:r>
              <w:rPr>
                <w:rFonts w:hint="eastAsia"/>
                <w:color w:val="auto"/>
                <w:highlight w:val="none"/>
                <w:lang w:val="en-US" w:eastAsia="zh-CN"/>
              </w:rPr>
              <w:t>4</w:t>
            </w:r>
            <w:r>
              <w:rPr>
                <w:rFonts w:hint="eastAsia"/>
                <w:color w:val="auto"/>
                <w:highlight w:val="none"/>
              </w:rPr>
              <w:t>分，中级工程师职称的得</w:t>
            </w:r>
            <w:r>
              <w:rPr>
                <w:rFonts w:hint="eastAsia"/>
                <w:color w:val="auto"/>
                <w:highlight w:val="none"/>
                <w:lang w:val="en-US" w:eastAsia="zh-CN"/>
              </w:rPr>
              <w:t>2</w:t>
            </w:r>
            <w:r>
              <w:rPr>
                <w:rFonts w:hint="eastAsia"/>
                <w:color w:val="auto"/>
                <w:highlight w:val="none"/>
              </w:rPr>
              <w:t>分（提供职称证书）。</w:t>
            </w:r>
          </w:p>
          <w:p w14:paraId="7CD70B3A">
            <w:pPr>
              <w:rPr>
                <w:rFonts w:hint="eastAsia"/>
                <w:color w:val="auto"/>
                <w:highlight w:val="none"/>
              </w:rPr>
            </w:pPr>
            <w:r>
              <w:rPr>
                <w:rFonts w:hint="eastAsia"/>
                <w:color w:val="auto"/>
                <w:highlight w:val="none"/>
              </w:rPr>
              <w:t>最高得</w:t>
            </w:r>
            <w:r>
              <w:rPr>
                <w:rFonts w:hint="eastAsia"/>
                <w:color w:val="auto"/>
                <w:highlight w:val="none"/>
                <w:lang w:val="en-US" w:eastAsia="zh-CN"/>
              </w:rPr>
              <w:t>10</w:t>
            </w:r>
            <w:r>
              <w:rPr>
                <w:rFonts w:hint="eastAsia"/>
                <w:color w:val="auto"/>
                <w:highlight w:val="none"/>
              </w:rPr>
              <w:t>分。</w:t>
            </w:r>
          </w:p>
          <w:p w14:paraId="647F63AB">
            <w:pPr>
              <w:rPr>
                <w:rFonts w:hint="eastAsia"/>
                <w:color w:val="auto"/>
                <w:highlight w:val="none"/>
              </w:rPr>
            </w:pPr>
            <w:r>
              <w:rPr>
                <w:rFonts w:hint="eastAsia"/>
                <w:color w:val="auto"/>
                <w:highlight w:val="none"/>
              </w:rPr>
              <w:t>②配备人员（项目负责人除外）：拟投入的人员中配备具有中级（或以上）招标采购从业人员专业技术能力评价证书或具有一级注册造价工程师注册执业证书，每提供1名得</w:t>
            </w:r>
            <w:r>
              <w:rPr>
                <w:rFonts w:hint="eastAsia"/>
                <w:color w:val="auto"/>
                <w:highlight w:val="none"/>
                <w:lang w:val="en-US" w:eastAsia="zh-CN"/>
              </w:rPr>
              <w:t>2</w:t>
            </w:r>
            <w:r>
              <w:rPr>
                <w:rFonts w:hint="eastAsia"/>
                <w:color w:val="auto"/>
                <w:highlight w:val="none"/>
              </w:rPr>
              <w:t>分，最多得</w:t>
            </w:r>
            <w:r>
              <w:rPr>
                <w:rFonts w:hint="eastAsia"/>
                <w:color w:val="auto"/>
                <w:highlight w:val="none"/>
                <w:lang w:val="en-US" w:eastAsia="zh-CN"/>
              </w:rPr>
              <w:t>6</w:t>
            </w:r>
            <w:r>
              <w:rPr>
                <w:rFonts w:hint="eastAsia"/>
                <w:color w:val="auto"/>
                <w:highlight w:val="none"/>
              </w:rPr>
              <w:t>分。</w:t>
            </w:r>
          </w:p>
          <w:p w14:paraId="3349C56A">
            <w:pPr>
              <w:rPr>
                <w:rFonts w:hint="eastAsia"/>
                <w:color w:val="auto"/>
                <w:highlight w:val="none"/>
              </w:rPr>
            </w:pPr>
            <w:r>
              <w:rPr>
                <w:rFonts w:hint="eastAsia"/>
                <w:color w:val="auto"/>
                <w:highlight w:val="none"/>
              </w:rPr>
              <w:t>本项最高得分</w:t>
            </w:r>
            <w:r>
              <w:rPr>
                <w:rFonts w:hint="eastAsia"/>
                <w:color w:val="auto"/>
                <w:highlight w:val="none"/>
                <w:lang w:val="en-US" w:eastAsia="zh-CN"/>
              </w:rPr>
              <w:t>16</w:t>
            </w:r>
            <w:r>
              <w:rPr>
                <w:rFonts w:hint="eastAsia"/>
                <w:color w:val="auto"/>
                <w:highlight w:val="none"/>
              </w:rPr>
              <w:t>分。</w:t>
            </w:r>
          </w:p>
          <w:p w14:paraId="2246F990">
            <w:pPr>
              <w:rPr>
                <w:rFonts w:hint="eastAsia" w:ascii="宋体" w:hAnsi="宋体" w:eastAsia="宋体" w:cs="宋体"/>
                <w:color w:val="auto"/>
                <w:szCs w:val="21"/>
                <w:highlight w:val="none"/>
                <w:lang w:val="en-US" w:eastAsia="zh-CN"/>
              </w:rPr>
            </w:pPr>
            <w:r>
              <w:rPr>
                <w:rFonts w:hint="eastAsia"/>
                <w:color w:val="auto"/>
                <w:highlight w:val="none"/>
              </w:rPr>
              <w:t>按上述要求提供职称证、资格证等相关证明文件，投入本项目的所有人员须提供</w:t>
            </w:r>
            <w:r>
              <w:rPr>
                <w:rFonts w:hint="eastAsia"/>
                <w:color w:val="auto"/>
                <w:highlight w:val="none"/>
                <w:lang w:eastAsia="zh-CN"/>
              </w:rPr>
              <w:t>招标文件</w:t>
            </w:r>
            <w:r>
              <w:rPr>
                <w:rFonts w:hint="eastAsia"/>
                <w:color w:val="auto"/>
                <w:highlight w:val="none"/>
              </w:rPr>
              <w:t>递交截止时间前2个月其中1个月的社保证明材料。上述材料复印件需加盖公章。</w:t>
            </w:r>
          </w:p>
        </w:tc>
        <w:tc>
          <w:tcPr>
            <w:tcW w:w="511" w:type="dxa"/>
            <w:shd w:val="clear" w:color="auto" w:fill="auto"/>
            <w:vAlign w:val="center"/>
          </w:tcPr>
          <w:p w14:paraId="38F6AEA5">
            <w:pPr>
              <w:spacing w:line="240" w:lineRule="auto"/>
              <w:ind w:left="-2" w:leftChars="-1"/>
              <w:rPr>
                <w:rFonts w:hint="eastAsia" w:ascii="宋体" w:hAnsi="宋体" w:eastAsia="宋体" w:cs="宋体"/>
                <w:color w:val="auto"/>
                <w:sz w:val="21"/>
                <w:szCs w:val="21"/>
                <w:highlight w:val="none"/>
              </w:rPr>
            </w:pPr>
          </w:p>
        </w:tc>
      </w:tr>
      <w:tr w14:paraId="3DE7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14:paraId="53AA528E">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14:paraId="6B71947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color w:val="auto"/>
                <w:highlight w:val="none"/>
              </w:rPr>
              <w:t>招标代理</w:t>
            </w:r>
            <w:r>
              <w:rPr>
                <w:rFonts w:hint="eastAsia"/>
                <w:color w:val="auto"/>
                <w:highlight w:val="none"/>
                <w:lang w:val="en-US" w:eastAsia="zh-CN"/>
              </w:rPr>
              <w:t>企业实力</w:t>
            </w:r>
          </w:p>
        </w:tc>
        <w:tc>
          <w:tcPr>
            <w:tcW w:w="709" w:type="dxa"/>
            <w:shd w:val="clear" w:color="auto" w:fill="auto"/>
            <w:vAlign w:val="center"/>
          </w:tcPr>
          <w:p w14:paraId="06FB6ACC">
            <w:pPr>
              <w:keepNext w:val="0"/>
              <w:keepLines w:val="0"/>
              <w:widowControl/>
              <w:suppressLineNumbers w:val="0"/>
              <w:spacing w:line="240" w:lineRule="auto"/>
              <w:jc w:val="center"/>
              <w:textAlignment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9797" w:type="dxa"/>
            <w:shd w:val="clear" w:color="auto" w:fill="auto"/>
            <w:vAlign w:val="center"/>
          </w:tcPr>
          <w:p w14:paraId="3FCA73E8">
            <w:pPr>
              <w:rPr>
                <w:rFonts w:hint="eastAsia"/>
                <w:color w:val="auto"/>
                <w:highlight w:val="none"/>
              </w:rPr>
            </w:pPr>
            <w:r>
              <w:rPr>
                <w:rFonts w:hint="eastAsia"/>
                <w:color w:val="auto"/>
                <w:highlight w:val="none"/>
              </w:rPr>
              <w:t>①获得省级及以上招标协会副会长单位及以上级别的，得</w:t>
            </w:r>
            <w:r>
              <w:rPr>
                <w:rFonts w:hint="eastAsia"/>
                <w:color w:val="auto"/>
                <w:highlight w:val="none"/>
                <w:lang w:val="en-US" w:eastAsia="zh-CN"/>
              </w:rPr>
              <w:t>5</w:t>
            </w:r>
            <w:r>
              <w:rPr>
                <w:rFonts w:hint="eastAsia"/>
                <w:color w:val="auto"/>
                <w:highlight w:val="none"/>
              </w:rPr>
              <w:t>分，或市级招标协会副会长单位及以上级别的，得</w:t>
            </w:r>
            <w:r>
              <w:rPr>
                <w:rFonts w:hint="eastAsia"/>
                <w:color w:val="auto"/>
                <w:highlight w:val="none"/>
                <w:lang w:val="en-US" w:eastAsia="zh-CN"/>
              </w:rPr>
              <w:t>3</w:t>
            </w:r>
            <w:r>
              <w:rPr>
                <w:rFonts w:hint="eastAsia"/>
                <w:color w:val="auto"/>
                <w:highlight w:val="none"/>
              </w:rPr>
              <w:t xml:space="preserve">分； </w:t>
            </w:r>
          </w:p>
          <w:p w14:paraId="5227050E">
            <w:pPr>
              <w:rPr>
                <w:rFonts w:hint="eastAsia"/>
                <w:color w:val="auto"/>
                <w:highlight w:val="none"/>
              </w:rPr>
            </w:pPr>
            <w:r>
              <w:rPr>
                <w:rFonts w:hint="eastAsia"/>
                <w:color w:val="auto"/>
                <w:highlight w:val="none"/>
              </w:rPr>
              <w:t>②2019年1月1日至今获得市级及以上招标协会优秀招标代理机构称号证书，得</w:t>
            </w:r>
            <w:r>
              <w:rPr>
                <w:rFonts w:hint="eastAsia"/>
                <w:color w:val="auto"/>
                <w:highlight w:val="none"/>
                <w:lang w:val="en-US" w:eastAsia="zh-CN"/>
              </w:rPr>
              <w:t>2</w:t>
            </w:r>
            <w:r>
              <w:rPr>
                <w:rFonts w:hint="eastAsia"/>
                <w:color w:val="auto"/>
                <w:highlight w:val="none"/>
              </w:rPr>
              <w:t>分；</w:t>
            </w:r>
          </w:p>
          <w:p w14:paraId="4830FBC3">
            <w:pPr>
              <w:rPr>
                <w:rFonts w:hint="default"/>
                <w:color w:val="auto"/>
                <w:highlight w:val="none"/>
                <w:lang w:val="en-US"/>
              </w:rPr>
            </w:pPr>
            <w:r>
              <w:rPr>
                <w:rFonts w:hint="eastAsia"/>
                <w:color w:val="auto"/>
                <w:highlight w:val="none"/>
                <w:lang w:val="en-US" w:eastAsia="zh-CN"/>
              </w:rPr>
              <w:t>③招标代理诚信分排名：企业的诚信综合评价排名以本项目公告发布当天广州市工程招标代理行业协会网站上公布的企业（企业类型：招标代理企业）当日诚信分排名为准。第1名至第10名得5分，第11名至20名得3分，第21名至第30名得1分，第30名以后或未查询到诚信排名的不得分。</w:t>
            </w:r>
          </w:p>
          <w:p w14:paraId="1C78BB1F">
            <w:pPr>
              <w:rPr>
                <w:rFonts w:hint="eastAsia" w:ascii="宋体" w:hAnsi="宋体" w:eastAsia="宋体" w:cs="宋体"/>
                <w:color w:val="auto"/>
                <w:szCs w:val="21"/>
                <w:highlight w:val="none"/>
                <w:lang w:val="en-US" w:eastAsia="zh-CN"/>
              </w:rPr>
            </w:pPr>
            <w:r>
              <w:rPr>
                <w:rFonts w:hint="eastAsia"/>
                <w:color w:val="auto"/>
                <w:highlight w:val="none"/>
              </w:rPr>
              <w:t>注：需提供以上证明文件复印件加盖单位公章，否则不得分</w:t>
            </w:r>
          </w:p>
        </w:tc>
        <w:tc>
          <w:tcPr>
            <w:tcW w:w="511" w:type="dxa"/>
            <w:shd w:val="clear" w:color="auto" w:fill="auto"/>
            <w:vAlign w:val="center"/>
          </w:tcPr>
          <w:p w14:paraId="26385B5D">
            <w:pPr>
              <w:spacing w:line="240" w:lineRule="auto"/>
              <w:rPr>
                <w:rFonts w:hint="eastAsia" w:ascii="宋体" w:hAnsi="宋体" w:eastAsia="宋体" w:cs="宋体"/>
                <w:color w:val="auto"/>
                <w:sz w:val="21"/>
                <w:szCs w:val="21"/>
                <w:highlight w:val="none"/>
              </w:rPr>
            </w:pPr>
          </w:p>
        </w:tc>
      </w:tr>
      <w:tr w14:paraId="5BDE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14:paraId="3C09106E">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3540EA31">
            <w:pPr>
              <w:keepNext w:val="0"/>
              <w:keepLines w:val="0"/>
              <w:widowControl/>
              <w:suppressLineNumbers w:val="0"/>
              <w:spacing w:line="288"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b w:val="0"/>
                <w:bCs w:val="0"/>
                <w:color w:val="auto"/>
                <w:highlight w:val="none"/>
                <w:lang w:val="en-US" w:eastAsia="zh-CN"/>
              </w:rPr>
              <w:t>电</w:t>
            </w:r>
            <w:r>
              <w:rPr>
                <w:rFonts w:hint="eastAsia"/>
                <w:b w:val="0"/>
                <w:bCs w:val="0"/>
                <w:color w:val="auto"/>
                <w:highlight w:val="none"/>
                <w:lang w:eastAsia="zh-CN"/>
              </w:rPr>
              <w:t>子平台配置</w:t>
            </w:r>
          </w:p>
        </w:tc>
        <w:tc>
          <w:tcPr>
            <w:tcW w:w="709" w:type="dxa"/>
            <w:shd w:val="clear" w:color="auto" w:fill="auto"/>
            <w:vAlign w:val="center"/>
          </w:tcPr>
          <w:p w14:paraId="19D44BBD">
            <w:pPr>
              <w:keepNext w:val="0"/>
              <w:keepLines w:val="0"/>
              <w:widowControl/>
              <w:suppressLineNumbers w:val="0"/>
              <w:spacing w:line="240" w:lineRule="auto"/>
              <w:jc w:val="center"/>
              <w:textAlignment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9797" w:type="dxa"/>
            <w:shd w:val="clear" w:color="auto" w:fill="auto"/>
            <w:vAlign w:val="center"/>
          </w:tcPr>
          <w:p w14:paraId="624BCDC0">
            <w:pPr>
              <w:rPr>
                <w:rFonts w:hint="eastAsia"/>
                <w:color w:val="auto"/>
                <w:highlight w:val="none"/>
                <w:lang w:eastAsia="zh-CN"/>
              </w:rPr>
            </w:pPr>
            <w:r>
              <w:rPr>
                <w:rFonts w:hint="eastAsia"/>
                <w:color w:val="auto"/>
                <w:highlight w:val="none"/>
              </w:rPr>
              <w:t>①</w:t>
            </w:r>
            <w:r>
              <w:rPr>
                <w:rFonts w:hint="eastAsia"/>
                <w:color w:val="auto"/>
                <w:highlight w:val="none"/>
                <w:lang w:eastAsia="zh-CN"/>
              </w:rPr>
              <w:t>具备自有的二星级及以上的电子招标投标系统交易平台，符合“EBS 实施规则”和“EBS 认证技术规范”，具备有符合《电子招标投标系统检测认证管理办法（试行）》规定的认证机构颁发的认证证书（且证书上加盖《电子招标投标系统检测认证管理办法（试行）》规定的认证标志），二星级得</w:t>
            </w:r>
            <w:r>
              <w:rPr>
                <w:rFonts w:hint="eastAsia"/>
                <w:color w:val="auto"/>
                <w:highlight w:val="none"/>
                <w:lang w:val="en-US" w:eastAsia="zh-CN"/>
              </w:rPr>
              <w:t>1.5</w:t>
            </w:r>
            <w:r>
              <w:rPr>
                <w:rFonts w:hint="eastAsia"/>
                <w:color w:val="auto"/>
                <w:highlight w:val="none"/>
                <w:lang w:eastAsia="zh-CN"/>
              </w:rPr>
              <w:t>分，三星级得</w:t>
            </w:r>
            <w:r>
              <w:rPr>
                <w:rFonts w:hint="eastAsia"/>
                <w:color w:val="auto"/>
                <w:highlight w:val="none"/>
                <w:lang w:val="en-US" w:eastAsia="zh-CN"/>
              </w:rPr>
              <w:t>3</w:t>
            </w:r>
            <w:r>
              <w:rPr>
                <w:rFonts w:hint="eastAsia"/>
                <w:color w:val="auto"/>
                <w:highlight w:val="none"/>
                <w:lang w:eastAsia="zh-CN"/>
              </w:rPr>
              <w:t xml:space="preserve">分，其他不得分。 </w:t>
            </w:r>
          </w:p>
          <w:p w14:paraId="7CA4F73F">
            <w:pPr>
              <w:rPr>
                <w:rFonts w:hint="eastAsia"/>
                <w:color w:val="auto"/>
                <w:highlight w:val="none"/>
                <w:lang w:eastAsia="zh-CN"/>
              </w:rPr>
            </w:pPr>
            <w:r>
              <w:rPr>
                <w:rFonts w:hint="eastAsia"/>
                <w:color w:val="auto"/>
                <w:highlight w:val="none"/>
              </w:rPr>
              <w:t>②</w:t>
            </w:r>
            <w:r>
              <w:rPr>
                <w:rFonts w:hint="eastAsia"/>
                <w:color w:val="auto"/>
                <w:highlight w:val="none"/>
                <w:lang w:eastAsia="zh-CN"/>
              </w:rPr>
              <w:t>交易平台能与中国招标投标公共服务平台及广州国企阳光采购服务平台成功对接的</w:t>
            </w:r>
            <w:r>
              <w:rPr>
                <w:rFonts w:hint="eastAsia"/>
                <w:color w:val="auto"/>
                <w:highlight w:val="none"/>
                <w:lang w:val="en-US" w:eastAsia="zh-CN"/>
              </w:rPr>
              <w:t>提供截图</w:t>
            </w:r>
            <w:r>
              <w:rPr>
                <w:rFonts w:hint="eastAsia"/>
                <w:color w:val="auto"/>
                <w:highlight w:val="none"/>
                <w:lang w:eastAsia="zh-CN"/>
              </w:rPr>
              <w:t>，得</w:t>
            </w:r>
            <w:r>
              <w:rPr>
                <w:rFonts w:hint="eastAsia"/>
                <w:color w:val="auto"/>
                <w:highlight w:val="none"/>
                <w:lang w:val="en-US" w:eastAsia="zh-CN"/>
              </w:rPr>
              <w:t>2</w:t>
            </w:r>
            <w:r>
              <w:rPr>
                <w:rFonts w:hint="eastAsia"/>
                <w:color w:val="auto"/>
                <w:highlight w:val="none"/>
                <w:lang w:eastAsia="zh-CN"/>
              </w:rPr>
              <w:t>分；</w:t>
            </w:r>
          </w:p>
          <w:p w14:paraId="15FA4C09">
            <w:pPr>
              <w:rPr>
                <w:rFonts w:hint="eastAsia" w:ascii="宋体" w:hAnsi="宋体" w:eastAsia="宋体" w:cs="宋体"/>
                <w:color w:val="auto"/>
                <w:kern w:val="2"/>
                <w:sz w:val="21"/>
                <w:szCs w:val="21"/>
                <w:highlight w:val="none"/>
                <w:lang w:val="en-US" w:eastAsia="zh-CN" w:bidi="ar-SA"/>
              </w:rPr>
            </w:pPr>
            <w:r>
              <w:rPr>
                <w:rFonts w:hint="eastAsia"/>
                <w:color w:val="auto"/>
                <w:highlight w:val="none"/>
                <w:lang w:eastAsia="zh-CN"/>
              </w:rPr>
              <w:t>注：提供</w:t>
            </w:r>
            <w:r>
              <w:rPr>
                <w:rFonts w:hint="eastAsia"/>
                <w:color w:val="auto"/>
                <w:highlight w:val="none"/>
              </w:rPr>
              <w:t>以上证明文件复印件</w:t>
            </w:r>
            <w:r>
              <w:rPr>
                <w:rFonts w:hint="eastAsia"/>
                <w:color w:val="auto"/>
                <w:highlight w:val="none"/>
                <w:lang w:eastAsia="zh-CN"/>
              </w:rPr>
              <w:t>，证书须能体现电子招标投标系统交易平台所有人为投标人。</w:t>
            </w:r>
          </w:p>
        </w:tc>
        <w:tc>
          <w:tcPr>
            <w:tcW w:w="511" w:type="dxa"/>
            <w:shd w:val="clear" w:color="auto" w:fill="auto"/>
            <w:vAlign w:val="center"/>
          </w:tcPr>
          <w:p w14:paraId="5AB75523">
            <w:pPr>
              <w:spacing w:line="240" w:lineRule="auto"/>
              <w:rPr>
                <w:rFonts w:hint="eastAsia" w:ascii="宋体" w:hAnsi="宋体" w:eastAsia="宋体" w:cs="宋体"/>
                <w:color w:val="auto"/>
                <w:sz w:val="21"/>
                <w:szCs w:val="21"/>
                <w:highlight w:val="none"/>
              </w:rPr>
            </w:pPr>
          </w:p>
        </w:tc>
      </w:tr>
      <w:tr w14:paraId="1903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14:paraId="3E1D7DB4">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6254707F">
            <w:pPr>
              <w:keepNext w:val="0"/>
              <w:keepLines w:val="0"/>
              <w:widowControl/>
              <w:suppressLineNumbers w:val="0"/>
              <w:spacing w:line="240" w:lineRule="auto"/>
              <w:jc w:val="center"/>
              <w:textAlignment w:val="center"/>
              <w:rPr>
                <w:rFonts w:hint="eastAsia" w:ascii="宋体" w:hAnsi="宋体" w:eastAsia="宋体" w:cs="宋体"/>
                <w:color w:val="auto"/>
                <w:sz w:val="21"/>
                <w:szCs w:val="21"/>
                <w:highlight w:val="none"/>
              </w:rPr>
            </w:pPr>
            <w:r>
              <w:rPr>
                <w:rFonts w:hint="eastAsia"/>
                <w:color w:val="auto"/>
                <w:highlight w:val="none"/>
                <w:lang w:val="en-US" w:eastAsia="zh-CN"/>
              </w:rPr>
              <w:t>服务资源配套情况</w:t>
            </w:r>
          </w:p>
        </w:tc>
        <w:tc>
          <w:tcPr>
            <w:tcW w:w="709" w:type="dxa"/>
            <w:shd w:val="clear" w:color="auto" w:fill="auto"/>
            <w:vAlign w:val="center"/>
          </w:tcPr>
          <w:p w14:paraId="194CF954">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6</w:t>
            </w:r>
          </w:p>
        </w:tc>
        <w:tc>
          <w:tcPr>
            <w:tcW w:w="9797" w:type="dxa"/>
            <w:shd w:val="clear" w:color="auto" w:fill="auto"/>
            <w:vAlign w:val="center"/>
          </w:tcPr>
          <w:p w14:paraId="365167BD">
            <w:pPr>
              <w:rPr>
                <w:rFonts w:hint="default"/>
                <w:color w:val="auto"/>
                <w:highlight w:val="none"/>
                <w:lang w:val="en-US" w:eastAsia="zh-CN"/>
              </w:rPr>
            </w:pPr>
            <w:r>
              <w:rPr>
                <w:rFonts w:hint="eastAsia"/>
                <w:color w:val="auto"/>
                <w:highlight w:val="none"/>
                <w:lang w:val="en-US" w:eastAsia="zh-CN"/>
              </w:rPr>
              <w:t>优</w:t>
            </w:r>
            <w:r>
              <w:rPr>
                <w:rFonts w:hint="default"/>
                <w:color w:val="auto"/>
                <w:highlight w:val="none"/>
                <w:lang w:val="en-US" w:eastAsia="zh-CN"/>
              </w:rPr>
              <w:t>：设有开评标专用会议室及其他服务设施，开评标场所及环境配套资源丰富的，得</w:t>
            </w:r>
            <w:r>
              <w:rPr>
                <w:rFonts w:hint="eastAsia"/>
                <w:color w:val="auto"/>
                <w:highlight w:val="none"/>
                <w:lang w:val="en-US" w:eastAsia="zh-CN"/>
              </w:rPr>
              <w:t>6</w:t>
            </w:r>
            <w:r>
              <w:rPr>
                <w:rFonts w:hint="default"/>
                <w:color w:val="auto"/>
                <w:highlight w:val="none"/>
                <w:lang w:val="en-US" w:eastAsia="zh-CN"/>
              </w:rPr>
              <w:t xml:space="preserve">分； </w:t>
            </w:r>
          </w:p>
          <w:p w14:paraId="27805A1E">
            <w:pPr>
              <w:rPr>
                <w:rFonts w:hint="default"/>
                <w:color w:val="auto"/>
                <w:highlight w:val="none"/>
                <w:lang w:val="en-US" w:eastAsia="zh-CN"/>
              </w:rPr>
            </w:pPr>
            <w:r>
              <w:rPr>
                <w:rFonts w:hint="default"/>
                <w:color w:val="auto"/>
                <w:highlight w:val="none"/>
                <w:lang w:val="en-US" w:eastAsia="zh-CN"/>
              </w:rPr>
              <w:t>良：设有开评标专用会议室及其他服务设施，开评标场所及环境配套资源较好的，得</w:t>
            </w:r>
            <w:r>
              <w:rPr>
                <w:rFonts w:hint="eastAsia"/>
                <w:color w:val="auto"/>
                <w:highlight w:val="none"/>
                <w:lang w:val="en-US" w:eastAsia="zh-CN"/>
              </w:rPr>
              <w:t>4</w:t>
            </w:r>
            <w:r>
              <w:rPr>
                <w:rFonts w:hint="default"/>
                <w:color w:val="auto"/>
                <w:highlight w:val="none"/>
                <w:lang w:val="en-US" w:eastAsia="zh-CN"/>
              </w:rPr>
              <w:t xml:space="preserve">分； </w:t>
            </w:r>
          </w:p>
          <w:p w14:paraId="004D25CD">
            <w:pPr>
              <w:rPr>
                <w:rFonts w:hint="default"/>
                <w:color w:val="auto"/>
                <w:highlight w:val="none"/>
                <w:lang w:val="en-US" w:eastAsia="zh-CN"/>
              </w:rPr>
            </w:pPr>
            <w:r>
              <w:rPr>
                <w:rFonts w:hint="default"/>
                <w:color w:val="auto"/>
                <w:highlight w:val="none"/>
                <w:lang w:val="en-US" w:eastAsia="zh-CN"/>
              </w:rPr>
              <w:t>中：设有开评标专用会议室及其他服务设施，开评标场所及环境配套资源一般的，得</w:t>
            </w:r>
            <w:r>
              <w:rPr>
                <w:rFonts w:hint="eastAsia"/>
                <w:color w:val="auto"/>
                <w:highlight w:val="none"/>
                <w:lang w:val="en-US" w:eastAsia="zh-CN"/>
              </w:rPr>
              <w:t>2</w:t>
            </w:r>
            <w:r>
              <w:rPr>
                <w:rFonts w:hint="default"/>
                <w:color w:val="auto"/>
                <w:highlight w:val="none"/>
                <w:lang w:val="en-US" w:eastAsia="zh-CN"/>
              </w:rPr>
              <w:t xml:space="preserve">分； </w:t>
            </w:r>
          </w:p>
          <w:p w14:paraId="47632A2F">
            <w:pPr>
              <w:rPr>
                <w:rFonts w:hint="eastAsia" w:ascii="宋体" w:hAnsi="宋体" w:eastAsia="宋体" w:cs="宋体"/>
                <w:color w:val="auto"/>
                <w:sz w:val="21"/>
                <w:szCs w:val="21"/>
                <w:highlight w:val="none"/>
                <w:lang w:val="en-US" w:eastAsia="zh-CN"/>
              </w:rPr>
            </w:pPr>
            <w:r>
              <w:rPr>
                <w:rFonts w:hint="default"/>
                <w:color w:val="auto"/>
                <w:highlight w:val="none"/>
                <w:lang w:val="en-US" w:eastAsia="zh-CN"/>
              </w:rPr>
              <w:t>差：设有开评标专用会议室及其他服务设施，开评标场所及环境配套资源较差的，得</w:t>
            </w:r>
            <w:r>
              <w:rPr>
                <w:rFonts w:hint="eastAsia"/>
                <w:color w:val="auto"/>
                <w:highlight w:val="none"/>
                <w:lang w:val="en-US" w:eastAsia="zh-CN"/>
              </w:rPr>
              <w:t>0</w:t>
            </w:r>
            <w:r>
              <w:rPr>
                <w:rFonts w:hint="default"/>
                <w:color w:val="auto"/>
                <w:highlight w:val="none"/>
                <w:lang w:val="en-US" w:eastAsia="zh-CN"/>
              </w:rPr>
              <w:t>分</w:t>
            </w:r>
            <w:r>
              <w:rPr>
                <w:rFonts w:hint="eastAsia"/>
                <w:color w:val="auto"/>
                <w:highlight w:val="none"/>
                <w:lang w:val="en-US" w:eastAsia="zh-CN"/>
              </w:rPr>
              <w:t>。</w:t>
            </w:r>
          </w:p>
        </w:tc>
        <w:tc>
          <w:tcPr>
            <w:tcW w:w="511" w:type="dxa"/>
            <w:shd w:val="clear" w:color="auto" w:fill="auto"/>
            <w:vAlign w:val="center"/>
          </w:tcPr>
          <w:p w14:paraId="733BC505">
            <w:pPr>
              <w:spacing w:line="240" w:lineRule="auto"/>
              <w:rPr>
                <w:rFonts w:hint="eastAsia" w:ascii="宋体" w:hAnsi="宋体" w:eastAsia="宋体" w:cs="宋体"/>
                <w:color w:val="auto"/>
                <w:sz w:val="21"/>
                <w:szCs w:val="21"/>
                <w:highlight w:val="none"/>
              </w:rPr>
            </w:pPr>
          </w:p>
        </w:tc>
      </w:tr>
      <w:tr w14:paraId="4559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shd w:val="clear" w:color="auto" w:fill="auto"/>
            <w:vAlign w:val="center"/>
          </w:tcPr>
          <w:p w14:paraId="58A86DB1">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14:paraId="1E49669C">
            <w:pPr>
              <w:pStyle w:val="5"/>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14:paraId="76ABDDFB">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14:paraId="03F704E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color w:val="auto"/>
                <w:highlight w:val="none"/>
              </w:rPr>
              <w:t>招标代理服务实施方案</w:t>
            </w:r>
          </w:p>
        </w:tc>
        <w:tc>
          <w:tcPr>
            <w:tcW w:w="709" w:type="dxa"/>
            <w:shd w:val="clear" w:color="auto" w:fill="auto"/>
            <w:vAlign w:val="center"/>
          </w:tcPr>
          <w:p w14:paraId="487B1535">
            <w:pPr>
              <w:keepNext w:val="0"/>
              <w:keepLines w:val="0"/>
              <w:widowControl/>
              <w:suppressLineNumbers w:val="0"/>
              <w:spacing w:line="240" w:lineRule="auto"/>
              <w:jc w:val="center"/>
              <w:textAlignment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9797" w:type="dxa"/>
            <w:shd w:val="clear" w:color="auto" w:fill="auto"/>
            <w:vAlign w:val="center"/>
          </w:tcPr>
          <w:p w14:paraId="76D7EF27">
            <w:pPr>
              <w:rPr>
                <w:rFonts w:hint="eastAsia" w:eastAsia="宋体"/>
                <w:color w:val="auto"/>
                <w:highlight w:val="none"/>
                <w:lang w:val="en-US" w:eastAsia="zh-CN"/>
              </w:rPr>
            </w:pPr>
            <w:r>
              <w:rPr>
                <w:rFonts w:hint="eastAsia"/>
                <w:color w:val="auto"/>
                <w:highlight w:val="none"/>
              </w:rPr>
              <w:t>服务方案：包含但不限于以下方面：①招标代理工作流程及工作要点②服务质量保证③时限保证措施④廉洁从业措施⑤保密措施⑥招标代理服务承诺</w:t>
            </w:r>
            <w:r>
              <w:rPr>
                <w:rFonts w:hint="eastAsia"/>
                <w:color w:val="auto"/>
                <w:highlight w:val="none"/>
                <w:lang w:val="en-US" w:eastAsia="zh-CN"/>
              </w:rPr>
              <w:t>⑦</w:t>
            </w:r>
            <w:r>
              <w:rPr>
                <w:rFonts w:hint="eastAsia"/>
                <w:color w:val="auto"/>
                <w:highlight w:val="none"/>
              </w:rPr>
              <w:t>各项规章管理制度是否健全、完善进行评审，包括内部行政管理制度、业务操作规范等</w:t>
            </w:r>
            <w:r>
              <w:rPr>
                <w:rFonts w:hint="eastAsia"/>
                <w:color w:val="auto"/>
                <w:highlight w:val="none"/>
                <w:lang w:val="en-US" w:eastAsia="zh-CN"/>
              </w:rPr>
              <w:t>⑧</w:t>
            </w:r>
            <w:r>
              <w:rPr>
                <w:rFonts w:hint="eastAsia"/>
                <w:color w:val="auto"/>
                <w:highlight w:val="none"/>
              </w:rPr>
              <w:t>对近两年内招投标相关的法律法规修订、最新政策发文的整理收集情况</w:t>
            </w:r>
            <w:r>
              <w:rPr>
                <w:rFonts w:hint="eastAsia"/>
                <w:color w:val="auto"/>
                <w:highlight w:val="none"/>
                <w:lang w:val="en-US" w:eastAsia="zh-CN"/>
              </w:rPr>
              <w:t>⑨</w:t>
            </w:r>
            <w:r>
              <w:rPr>
                <w:rFonts w:hint="eastAsia"/>
                <w:color w:val="auto"/>
                <w:highlight w:val="none"/>
              </w:rPr>
              <w:t>建立质疑异议情况档案，设定质疑异议预防机制；</w:t>
            </w:r>
          </w:p>
          <w:p w14:paraId="5FEBB222">
            <w:pPr>
              <w:rPr>
                <w:rFonts w:hint="eastAsia"/>
                <w:color w:val="auto"/>
                <w:highlight w:val="none"/>
              </w:rPr>
            </w:pPr>
            <w:r>
              <w:rPr>
                <w:rFonts w:hint="eastAsia"/>
                <w:color w:val="auto"/>
                <w:highlight w:val="none"/>
                <w:lang w:val="en-US" w:eastAsia="zh-CN"/>
              </w:rPr>
              <w:t>1、</w:t>
            </w:r>
            <w:r>
              <w:rPr>
                <w:rFonts w:hint="eastAsia"/>
                <w:color w:val="auto"/>
                <w:highlight w:val="none"/>
              </w:rPr>
              <w:t>以上服务方案详尽、科学合理，能够全面满足服务要求得</w:t>
            </w:r>
            <w:r>
              <w:rPr>
                <w:rFonts w:hint="eastAsia"/>
                <w:color w:val="auto"/>
                <w:highlight w:val="none"/>
                <w:lang w:val="en-US" w:eastAsia="zh-CN"/>
              </w:rPr>
              <w:t>16-20</w:t>
            </w:r>
            <w:r>
              <w:rPr>
                <w:rFonts w:hint="eastAsia"/>
                <w:color w:val="auto"/>
                <w:highlight w:val="none"/>
              </w:rPr>
              <w:t xml:space="preserve">分； </w:t>
            </w:r>
          </w:p>
          <w:p w14:paraId="6C0112F4">
            <w:pPr>
              <w:rPr>
                <w:rFonts w:hint="eastAsia"/>
                <w:color w:val="auto"/>
                <w:highlight w:val="none"/>
              </w:rPr>
            </w:pPr>
            <w:r>
              <w:rPr>
                <w:rFonts w:hint="eastAsia"/>
                <w:color w:val="auto"/>
                <w:highlight w:val="none"/>
                <w:lang w:val="en-US" w:eastAsia="zh-CN"/>
              </w:rPr>
              <w:t>2、</w:t>
            </w:r>
            <w:r>
              <w:rPr>
                <w:rFonts w:hint="eastAsia"/>
                <w:color w:val="auto"/>
                <w:highlight w:val="none"/>
              </w:rPr>
              <w:t>服务方案比较全面、比较合理，比较能满足服务要求得</w:t>
            </w:r>
            <w:r>
              <w:rPr>
                <w:rFonts w:hint="eastAsia"/>
                <w:color w:val="auto"/>
                <w:highlight w:val="none"/>
                <w:lang w:val="en-US" w:eastAsia="zh-CN"/>
              </w:rPr>
              <w:t>11-15</w:t>
            </w:r>
            <w:r>
              <w:rPr>
                <w:rFonts w:hint="eastAsia"/>
                <w:color w:val="auto"/>
                <w:highlight w:val="none"/>
              </w:rPr>
              <w:t xml:space="preserve">分； </w:t>
            </w:r>
          </w:p>
          <w:p w14:paraId="07CB715C">
            <w:pPr>
              <w:rPr>
                <w:rFonts w:hint="eastAsia" w:eastAsia="宋体"/>
                <w:color w:val="auto"/>
                <w:highlight w:val="none"/>
                <w:lang w:val="en-US" w:eastAsia="zh-CN"/>
              </w:rPr>
            </w:pPr>
            <w:r>
              <w:rPr>
                <w:rFonts w:hint="eastAsia"/>
                <w:color w:val="auto"/>
                <w:highlight w:val="none"/>
                <w:lang w:val="en-US" w:eastAsia="zh-CN"/>
              </w:rPr>
              <w:t>3、</w:t>
            </w:r>
            <w:r>
              <w:rPr>
                <w:rFonts w:hint="eastAsia"/>
                <w:color w:val="auto"/>
                <w:highlight w:val="none"/>
              </w:rPr>
              <w:t>服务方案</w:t>
            </w:r>
            <w:r>
              <w:rPr>
                <w:rFonts w:hint="eastAsia"/>
                <w:color w:val="auto"/>
                <w:highlight w:val="none"/>
                <w:lang w:val="en-US" w:eastAsia="zh-CN"/>
              </w:rPr>
              <w:t>有所欠缺</w:t>
            </w:r>
            <w:r>
              <w:rPr>
                <w:rFonts w:hint="eastAsia"/>
                <w:color w:val="auto"/>
                <w:highlight w:val="none"/>
              </w:rPr>
              <w:t>、</w:t>
            </w:r>
            <w:r>
              <w:rPr>
                <w:rFonts w:hint="eastAsia"/>
                <w:color w:val="auto"/>
                <w:highlight w:val="none"/>
                <w:lang w:val="en-US" w:eastAsia="zh-CN"/>
              </w:rPr>
              <w:t>措施</w:t>
            </w:r>
            <w:r>
              <w:rPr>
                <w:rFonts w:hint="eastAsia"/>
                <w:color w:val="auto"/>
                <w:highlight w:val="none"/>
              </w:rPr>
              <w:t>合理，具体操作性较强的得</w:t>
            </w:r>
            <w:r>
              <w:rPr>
                <w:rFonts w:hint="eastAsia"/>
                <w:color w:val="auto"/>
                <w:highlight w:val="none"/>
                <w:lang w:val="en-US" w:eastAsia="zh-CN"/>
              </w:rPr>
              <w:t>6-10</w:t>
            </w:r>
            <w:r>
              <w:rPr>
                <w:rFonts w:hint="eastAsia"/>
                <w:color w:val="auto"/>
                <w:highlight w:val="none"/>
              </w:rPr>
              <w:t>分</w:t>
            </w:r>
            <w:r>
              <w:rPr>
                <w:rFonts w:hint="eastAsia"/>
                <w:color w:val="auto"/>
                <w:highlight w:val="none"/>
                <w:lang w:eastAsia="zh-CN"/>
              </w:rPr>
              <w:t>；</w:t>
            </w:r>
          </w:p>
          <w:p w14:paraId="22B6DCF2">
            <w:pPr>
              <w:rPr>
                <w:rFonts w:hint="eastAsia"/>
                <w:color w:val="auto"/>
                <w:highlight w:val="none"/>
              </w:rPr>
            </w:pPr>
            <w:r>
              <w:rPr>
                <w:rFonts w:hint="eastAsia"/>
                <w:color w:val="auto"/>
                <w:highlight w:val="none"/>
                <w:lang w:val="en-US" w:eastAsia="zh-CN"/>
              </w:rPr>
              <w:t>4、</w:t>
            </w:r>
            <w:r>
              <w:rPr>
                <w:rFonts w:hint="eastAsia"/>
                <w:color w:val="auto"/>
                <w:highlight w:val="none"/>
              </w:rPr>
              <w:t>服务方案一般，基本满足服务要求得</w:t>
            </w:r>
            <w:r>
              <w:rPr>
                <w:rFonts w:hint="eastAsia"/>
                <w:color w:val="auto"/>
                <w:highlight w:val="none"/>
                <w:lang w:val="en-US" w:eastAsia="zh-CN"/>
              </w:rPr>
              <w:t>1-5</w:t>
            </w:r>
            <w:r>
              <w:rPr>
                <w:rFonts w:hint="eastAsia"/>
                <w:color w:val="auto"/>
                <w:highlight w:val="none"/>
              </w:rPr>
              <w:t xml:space="preserve">分； </w:t>
            </w:r>
          </w:p>
          <w:p w14:paraId="001CCB93">
            <w:pPr>
              <w:rPr>
                <w:rFonts w:hint="eastAsia" w:ascii="宋体" w:hAnsi="宋体" w:eastAsia="宋体" w:cs="宋体"/>
                <w:color w:val="auto"/>
                <w:kern w:val="2"/>
                <w:sz w:val="21"/>
                <w:szCs w:val="21"/>
                <w:highlight w:val="none"/>
                <w:lang w:val="en-US" w:eastAsia="zh-CN" w:bidi="ar-SA"/>
              </w:rPr>
            </w:pPr>
            <w:r>
              <w:rPr>
                <w:rFonts w:hint="eastAsia"/>
                <w:color w:val="auto"/>
                <w:highlight w:val="none"/>
                <w:lang w:val="en-US" w:eastAsia="zh-CN"/>
              </w:rPr>
              <w:t>5、</w:t>
            </w:r>
            <w:r>
              <w:rPr>
                <w:rFonts w:hint="eastAsia"/>
                <w:color w:val="auto"/>
                <w:highlight w:val="none"/>
              </w:rPr>
              <w:t xml:space="preserve">无服务方案，不能满足服务要求得0分。 </w:t>
            </w:r>
          </w:p>
        </w:tc>
        <w:tc>
          <w:tcPr>
            <w:tcW w:w="511" w:type="dxa"/>
            <w:shd w:val="clear" w:color="auto" w:fill="auto"/>
            <w:vAlign w:val="center"/>
          </w:tcPr>
          <w:p w14:paraId="71591BB5">
            <w:pPr>
              <w:spacing w:line="240" w:lineRule="auto"/>
              <w:rPr>
                <w:rFonts w:hint="eastAsia" w:ascii="宋体" w:hAnsi="宋体" w:eastAsia="宋体" w:cs="宋体"/>
                <w:color w:val="auto"/>
                <w:sz w:val="21"/>
                <w:szCs w:val="21"/>
                <w:highlight w:val="none"/>
              </w:rPr>
            </w:pPr>
          </w:p>
        </w:tc>
      </w:tr>
      <w:tr w14:paraId="1670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14:paraId="6952E025">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10分</w:t>
            </w:r>
            <w:r>
              <w:rPr>
                <w:rFonts w:hint="eastAsia" w:ascii="宋体" w:hAnsi="宋体" w:eastAsia="宋体" w:cs="宋体"/>
                <w:color w:val="auto"/>
                <w:szCs w:val="21"/>
                <w:highlight w:val="none"/>
                <w:lang w:eastAsia="zh-CN"/>
              </w:rPr>
              <w:t>）</w:t>
            </w:r>
          </w:p>
        </w:tc>
        <w:tc>
          <w:tcPr>
            <w:tcW w:w="1406" w:type="dxa"/>
            <w:shd w:val="clear" w:color="auto" w:fill="auto"/>
            <w:vAlign w:val="center"/>
          </w:tcPr>
          <w:p w14:paraId="73227D45">
            <w:pPr>
              <w:snapToGrid w:val="0"/>
              <w:ind w:left="-2" w:leftChars="-1"/>
              <w:jc w:val="center"/>
              <w:rPr>
                <w:rFonts w:hint="eastAsia" w:ascii="宋体" w:hAnsi="宋体" w:eastAsia="宋体" w:cs="宋体"/>
                <w:color w:val="auto"/>
                <w:szCs w:val="21"/>
                <w:highlight w:val="none"/>
              </w:rPr>
            </w:pPr>
          </w:p>
          <w:p w14:paraId="18BD5CE0">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10分</w:t>
            </w:r>
            <w:r>
              <w:rPr>
                <w:rFonts w:hint="eastAsia" w:ascii="宋体" w:hAnsi="宋体" w:eastAsia="宋体" w:cs="宋体"/>
                <w:color w:val="auto"/>
                <w:szCs w:val="21"/>
                <w:highlight w:val="none"/>
                <w:lang w:eastAsia="zh-CN"/>
              </w:rPr>
              <w:t>）</w:t>
            </w:r>
          </w:p>
        </w:tc>
        <w:tc>
          <w:tcPr>
            <w:tcW w:w="709" w:type="dxa"/>
            <w:shd w:val="clear" w:color="auto" w:fill="auto"/>
            <w:vAlign w:val="center"/>
          </w:tcPr>
          <w:p w14:paraId="5429D323">
            <w:pPr>
              <w:spacing w:line="240" w:lineRule="auto"/>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10</w:t>
            </w:r>
          </w:p>
        </w:tc>
        <w:tc>
          <w:tcPr>
            <w:tcW w:w="9797" w:type="dxa"/>
            <w:shd w:val="clear" w:color="auto" w:fill="auto"/>
          </w:tcPr>
          <w:p w14:paraId="74329F00">
            <w:pPr>
              <w:rPr>
                <w:rFonts w:hint="eastAsia"/>
                <w:color w:val="auto"/>
                <w:highlight w:val="none"/>
                <w:lang w:eastAsia="zh-CN"/>
              </w:rPr>
            </w:pPr>
            <w:r>
              <w:rPr>
                <w:rFonts w:hint="eastAsia"/>
                <w:color w:val="auto"/>
                <w:highlight w:val="none"/>
                <w:lang w:eastAsia="zh-CN"/>
              </w:rPr>
              <w:t>对投标人投标报价（</w:t>
            </w:r>
            <w:r>
              <w:rPr>
                <w:rFonts w:hint="eastAsia" w:asciiTheme="minorHAnsi" w:hAnsiTheme="minorHAnsi" w:eastAsiaTheme="minorEastAsia" w:cstheme="minorBidi"/>
                <w:color w:val="auto"/>
                <w:kern w:val="2"/>
                <w:sz w:val="21"/>
                <w:szCs w:val="24"/>
                <w:highlight w:val="none"/>
                <w:lang w:val="en-US" w:eastAsia="zh-CN" w:bidi="ar-SA"/>
              </w:rPr>
              <w:t>代理费用B、C、D的投标下浮率</w:t>
            </w:r>
            <w:r>
              <w:rPr>
                <w:rFonts w:hint="eastAsia"/>
                <w:color w:val="auto"/>
                <w:highlight w:val="none"/>
                <w:lang w:eastAsia="zh-CN"/>
              </w:rPr>
              <w:t>报价）进行评审，评标基准价为通过资格审查的最高的投标报价；</w:t>
            </w:r>
          </w:p>
          <w:p w14:paraId="1B361BE0">
            <w:pPr>
              <w:rPr>
                <w:rFonts w:hint="eastAsia" w:ascii="宋体" w:hAnsi="宋体" w:eastAsia="宋体" w:cs="宋体"/>
                <w:color w:val="auto"/>
                <w:highlight w:val="none"/>
                <w:lang w:val="en-US" w:eastAsia="zh-CN"/>
              </w:rPr>
            </w:pPr>
            <w:r>
              <w:rPr>
                <w:rFonts w:hint="eastAsia"/>
                <w:color w:val="auto"/>
                <w:highlight w:val="none"/>
                <w:lang w:eastAsia="zh-CN"/>
              </w:rPr>
              <w:t>投标报价得分＝【（1-评标基准价）/（1-投标报价）】×</w:t>
            </w:r>
            <w:r>
              <w:rPr>
                <w:rFonts w:hint="eastAsia"/>
                <w:color w:val="auto"/>
                <w:highlight w:val="none"/>
                <w:lang w:val="en-US" w:eastAsia="zh-CN"/>
              </w:rPr>
              <w:t>1</w:t>
            </w:r>
            <w:r>
              <w:rPr>
                <w:rFonts w:hint="eastAsia"/>
                <w:color w:val="auto"/>
                <w:highlight w:val="none"/>
                <w:lang w:eastAsia="zh-CN"/>
              </w:rPr>
              <w:t>0。注：投标报价得分四舍五入后，小数点后保留两位有效数。</w:t>
            </w:r>
          </w:p>
        </w:tc>
        <w:tc>
          <w:tcPr>
            <w:tcW w:w="511" w:type="dxa"/>
            <w:shd w:val="clear" w:color="auto" w:fill="auto"/>
            <w:vAlign w:val="center"/>
          </w:tcPr>
          <w:p w14:paraId="1338383D">
            <w:pPr>
              <w:spacing w:line="240" w:lineRule="auto"/>
              <w:rPr>
                <w:rFonts w:hint="eastAsia" w:ascii="宋体" w:hAnsi="宋体" w:eastAsia="宋体" w:cs="宋体"/>
                <w:color w:val="auto"/>
                <w:sz w:val="21"/>
                <w:szCs w:val="21"/>
                <w:highlight w:val="none"/>
              </w:rPr>
            </w:pPr>
          </w:p>
        </w:tc>
      </w:tr>
      <w:tr w14:paraId="24C2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14:paraId="78C1051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14:paraId="0115206A">
            <w:pPr>
              <w:spacing w:line="24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14:paraId="340200FA">
            <w:pPr>
              <w:spacing w:line="240" w:lineRule="auto"/>
              <w:ind w:left="-2" w:leftChars="-1"/>
              <w:rPr>
                <w:rFonts w:hint="eastAsia" w:ascii="宋体" w:hAnsi="宋体" w:eastAsia="宋体" w:cs="宋体"/>
                <w:color w:val="auto"/>
                <w:sz w:val="21"/>
                <w:szCs w:val="21"/>
                <w:highlight w:val="none"/>
              </w:rPr>
            </w:pPr>
          </w:p>
        </w:tc>
        <w:tc>
          <w:tcPr>
            <w:tcW w:w="511" w:type="dxa"/>
            <w:shd w:val="clear" w:color="auto" w:fill="auto"/>
            <w:vAlign w:val="center"/>
          </w:tcPr>
          <w:p w14:paraId="1AE88015">
            <w:pPr>
              <w:spacing w:line="240" w:lineRule="auto"/>
              <w:ind w:left="-2" w:leftChars="-1"/>
              <w:rPr>
                <w:rFonts w:hint="eastAsia" w:ascii="宋体" w:hAnsi="宋体" w:eastAsia="宋体" w:cs="宋体"/>
                <w:color w:val="auto"/>
                <w:sz w:val="21"/>
                <w:szCs w:val="21"/>
                <w:highlight w:val="none"/>
              </w:rPr>
            </w:pPr>
          </w:p>
        </w:tc>
      </w:tr>
    </w:tbl>
    <w:p w14:paraId="5B7A3DDA">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14:paraId="00A590B5">
      <w:pPr>
        <w:spacing w:line="320" w:lineRule="exact"/>
        <w:ind w:firstLine="420" w:firstLineChars="200"/>
        <w:jc w:val="left"/>
        <w:rPr>
          <w:rFonts w:hint="eastAsia"/>
          <w:color w:val="auto"/>
          <w:highlight w:val="none"/>
        </w:rPr>
      </w:pPr>
      <w:r>
        <w:rPr>
          <w:rFonts w:hint="eastAsia" w:ascii="宋体" w:hAnsi="宋体" w:cs="宋体"/>
          <w:color w:val="auto"/>
          <w:szCs w:val="21"/>
          <w:highlight w:val="none"/>
        </w:rPr>
        <w:t>说明：</w:t>
      </w:r>
      <w:r>
        <w:rPr>
          <w:rFonts w:hint="eastAsia"/>
          <w:color w:val="auto"/>
          <w:highlight w:val="none"/>
        </w:rPr>
        <w:t>评委对各</w:t>
      </w:r>
      <w:r>
        <w:rPr>
          <w:rFonts w:hint="eastAsia"/>
          <w:color w:val="auto"/>
          <w:highlight w:val="none"/>
          <w:lang w:val="en-US" w:eastAsia="zh-CN"/>
        </w:rPr>
        <w:t>投标</w:t>
      </w:r>
      <w:r>
        <w:rPr>
          <w:rFonts w:hint="eastAsia"/>
          <w:color w:val="auto"/>
          <w:highlight w:val="none"/>
          <w:lang w:eastAsia="zh-CN"/>
        </w:rPr>
        <w:t>文件</w:t>
      </w:r>
      <w:r>
        <w:rPr>
          <w:rFonts w:hint="eastAsia"/>
          <w:color w:val="auto"/>
          <w:highlight w:val="none"/>
        </w:rPr>
        <w:t>进行比较后，根据评分标准进行相应地评分，评委评出各有效</w:t>
      </w:r>
      <w:r>
        <w:rPr>
          <w:rFonts w:hint="eastAsia"/>
          <w:color w:val="auto"/>
          <w:highlight w:val="none"/>
          <w:lang w:val="en-US" w:eastAsia="zh-CN"/>
        </w:rPr>
        <w:t>投标</w:t>
      </w:r>
      <w:r>
        <w:rPr>
          <w:rFonts w:hint="eastAsia"/>
          <w:color w:val="auto"/>
          <w:highlight w:val="none"/>
          <w:lang w:eastAsia="zh-CN"/>
        </w:rPr>
        <w:t>文件</w:t>
      </w:r>
      <w:r>
        <w:rPr>
          <w:rFonts w:hint="eastAsia"/>
          <w:color w:val="auto"/>
          <w:highlight w:val="none"/>
        </w:rPr>
        <w:t>的得分取算术平均值作为该</w:t>
      </w:r>
      <w:r>
        <w:rPr>
          <w:rFonts w:hint="eastAsia"/>
          <w:color w:val="auto"/>
          <w:highlight w:val="none"/>
          <w:lang w:eastAsia="zh-CN"/>
        </w:rPr>
        <w:t>投标人</w:t>
      </w:r>
      <w:r>
        <w:rPr>
          <w:rFonts w:hint="eastAsia"/>
          <w:color w:val="auto"/>
          <w:highlight w:val="none"/>
        </w:rPr>
        <w:t>的最终得分值。</w:t>
      </w:r>
    </w:p>
    <w:p w14:paraId="685D1F21">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pgBorders>
            <w:top w:val="none" w:sz="0" w:space="0"/>
            <w:left w:val="none" w:sz="0" w:space="0"/>
            <w:bottom w:val="none" w:sz="0" w:space="0"/>
            <w:right w:val="none" w:sz="0" w:space="0"/>
          </w:pgBorders>
          <w:cols w:space="425" w:num="1"/>
          <w:docGrid w:linePitch="312" w:charSpace="0"/>
        </w:sectPr>
      </w:pPr>
      <w:r>
        <w:rPr>
          <w:rFonts w:hint="eastAsia" w:ascii="宋体" w:hAnsi="宋体" w:cs="宋体"/>
          <w:color w:val="auto"/>
          <w:szCs w:val="21"/>
          <w:highlight w:val="none"/>
          <w:lang w:val="en-US" w:eastAsia="zh-CN"/>
        </w:rPr>
        <w:t xml:space="preserve">    </w:t>
      </w:r>
    </w:p>
    <w:p w14:paraId="1E274254">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14:paraId="4363A932">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1FBC938C">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广州南沙建设维护管理有限公司</w:t>
      </w:r>
      <w:r>
        <w:rPr>
          <w:rFonts w:hint="eastAsia" w:ascii="宋体" w:hAnsi="宋体" w:eastAsia="宋体"/>
          <w:color w:val="auto"/>
          <w:sz w:val="24"/>
          <w:szCs w:val="24"/>
          <w:highlight w:val="none"/>
          <w:u w:val="single"/>
        </w:rPr>
        <w:t xml:space="preserve"> </w:t>
      </w:r>
    </w:p>
    <w:p w14:paraId="53DDDE4B">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南沙湾先行启动区国际科创融合发展综合开发项目一黄山鲁生态保护区基础设施提升工程(首期)招标代理</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14:paraId="1888D1CB">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7E9954A">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1354780D">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4FC9C5A3">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031B3F23">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2E4CA29F">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73E7569D">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245D2221">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103D06A5">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77D06ACD">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352CB818">
      <w:pPr>
        <w:pStyle w:val="9"/>
        <w:rPr>
          <w:rFonts w:hint="default"/>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37A7E">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13AE61">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5213AE61">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AB74F">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377019">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0377019">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7A7B36A8"/>
    <w:multiLevelType w:val="singleLevel"/>
    <w:tmpl w:val="7A7B36A8"/>
    <w:lvl w:ilvl="0" w:tentative="0">
      <w:start w:val="3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3E14A1"/>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EF7D38"/>
    <w:rsid w:val="00F15754"/>
    <w:rsid w:val="00F358B9"/>
    <w:rsid w:val="00F52D3A"/>
    <w:rsid w:val="00F5751A"/>
    <w:rsid w:val="00F72550"/>
    <w:rsid w:val="00F90CF2"/>
    <w:rsid w:val="00FC3484"/>
    <w:rsid w:val="00FF33A0"/>
    <w:rsid w:val="00FF76D9"/>
    <w:rsid w:val="01E200EE"/>
    <w:rsid w:val="0248052C"/>
    <w:rsid w:val="025A13E2"/>
    <w:rsid w:val="0284231A"/>
    <w:rsid w:val="02E9680F"/>
    <w:rsid w:val="02F7533D"/>
    <w:rsid w:val="030457ED"/>
    <w:rsid w:val="033C70A7"/>
    <w:rsid w:val="03562994"/>
    <w:rsid w:val="03CB6D70"/>
    <w:rsid w:val="04364A4F"/>
    <w:rsid w:val="04376975"/>
    <w:rsid w:val="044C08C6"/>
    <w:rsid w:val="04E40895"/>
    <w:rsid w:val="051B7598"/>
    <w:rsid w:val="052E78DA"/>
    <w:rsid w:val="059A4101"/>
    <w:rsid w:val="0769363A"/>
    <w:rsid w:val="07F66A4C"/>
    <w:rsid w:val="081E0E2E"/>
    <w:rsid w:val="083B43B1"/>
    <w:rsid w:val="086A3D60"/>
    <w:rsid w:val="08757A2C"/>
    <w:rsid w:val="08A64347"/>
    <w:rsid w:val="08A9464F"/>
    <w:rsid w:val="08B65C4C"/>
    <w:rsid w:val="08D505E6"/>
    <w:rsid w:val="09062DA7"/>
    <w:rsid w:val="09577D3C"/>
    <w:rsid w:val="09A667E8"/>
    <w:rsid w:val="0A31358E"/>
    <w:rsid w:val="0A621C44"/>
    <w:rsid w:val="0AD6020A"/>
    <w:rsid w:val="0B372B92"/>
    <w:rsid w:val="0BFF40FB"/>
    <w:rsid w:val="0C3C0E50"/>
    <w:rsid w:val="0C855B7E"/>
    <w:rsid w:val="0C87037B"/>
    <w:rsid w:val="0CF74903"/>
    <w:rsid w:val="0E1B10A8"/>
    <w:rsid w:val="0E80564C"/>
    <w:rsid w:val="0EA03B8A"/>
    <w:rsid w:val="0EAC0C18"/>
    <w:rsid w:val="0EB25F9A"/>
    <w:rsid w:val="0EF15A43"/>
    <w:rsid w:val="0F263AB3"/>
    <w:rsid w:val="0F8D0176"/>
    <w:rsid w:val="0FD73768"/>
    <w:rsid w:val="10A4638E"/>
    <w:rsid w:val="10D83B3D"/>
    <w:rsid w:val="11135DC8"/>
    <w:rsid w:val="11537A88"/>
    <w:rsid w:val="11A808AB"/>
    <w:rsid w:val="11D31BC3"/>
    <w:rsid w:val="11F528ED"/>
    <w:rsid w:val="12E31D63"/>
    <w:rsid w:val="12E86716"/>
    <w:rsid w:val="130F5872"/>
    <w:rsid w:val="134A310C"/>
    <w:rsid w:val="13E640E2"/>
    <w:rsid w:val="13E744B7"/>
    <w:rsid w:val="14082F52"/>
    <w:rsid w:val="14085DAD"/>
    <w:rsid w:val="14233C6D"/>
    <w:rsid w:val="14452035"/>
    <w:rsid w:val="1448567A"/>
    <w:rsid w:val="14582F59"/>
    <w:rsid w:val="145B3800"/>
    <w:rsid w:val="15B036FB"/>
    <w:rsid w:val="16007AF5"/>
    <w:rsid w:val="16F94C2D"/>
    <w:rsid w:val="17463991"/>
    <w:rsid w:val="179E3273"/>
    <w:rsid w:val="17E977C8"/>
    <w:rsid w:val="1873680D"/>
    <w:rsid w:val="18E67433"/>
    <w:rsid w:val="18F12637"/>
    <w:rsid w:val="19095239"/>
    <w:rsid w:val="19A846E9"/>
    <w:rsid w:val="19BE3F0C"/>
    <w:rsid w:val="1A6525DA"/>
    <w:rsid w:val="1A6E6489"/>
    <w:rsid w:val="1AB46DAB"/>
    <w:rsid w:val="1B6C2995"/>
    <w:rsid w:val="1BB630ED"/>
    <w:rsid w:val="1BC44893"/>
    <w:rsid w:val="1BE136FF"/>
    <w:rsid w:val="1C05708F"/>
    <w:rsid w:val="1C307374"/>
    <w:rsid w:val="1C9203A6"/>
    <w:rsid w:val="1D0A1E56"/>
    <w:rsid w:val="1E032835"/>
    <w:rsid w:val="1E562810"/>
    <w:rsid w:val="1EBD45C4"/>
    <w:rsid w:val="1F1C5732"/>
    <w:rsid w:val="1F584BD1"/>
    <w:rsid w:val="1FB54E4F"/>
    <w:rsid w:val="1FCF491A"/>
    <w:rsid w:val="205D447F"/>
    <w:rsid w:val="206E043A"/>
    <w:rsid w:val="20AD4C4C"/>
    <w:rsid w:val="20D8387F"/>
    <w:rsid w:val="21424D60"/>
    <w:rsid w:val="215321ED"/>
    <w:rsid w:val="224A02E7"/>
    <w:rsid w:val="227411DF"/>
    <w:rsid w:val="22C2681B"/>
    <w:rsid w:val="234B0F30"/>
    <w:rsid w:val="23EE6B47"/>
    <w:rsid w:val="24856237"/>
    <w:rsid w:val="25053D8A"/>
    <w:rsid w:val="25687B33"/>
    <w:rsid w:val="25791876"/>
    <w:rsid w:val="26236584"/>
    <w:rsid w:val="26826F29"/>
    <w:rsid w:val="26B94C66"/>
    <w:rsid w:val="26FF6942"/>
    <w:rsid w:val="272101A5"/>
    <w:rsid w:val="272B74FA"/>
    <w:rsid w:val="2751149E"/>
    <w:rsid w:val="278C73F8"/>
    <w:rsid w:val="2837076A"/>
    <w:rsid w:val="285C501C"/>
    <w:rsid w:val="2865301D"/>
    <w:rsid w:val="288F0378"/>
    <w:rsid w:val="28AF3D50"/>
    <w:rsid w:val="28C86C87"/>
    <w:rsid w:val="29051210"/>
    <w:rsid w:val="296119D7"/>
    <w:rsid w:val="2A97100B"/>
    <w:rsid w:val="2AC91FB6"/>
    <w:rsid w:val="2B130F12"/>
    <w:rsid w:val="2B401296"/>
    <w:rsid w:val="2B6F150A"/>
    <w:rsid w:val="2BAE6875"/>
    <w:rsid w:val="2BEC17AE"/>
    <w:rsid w:val="2C0B6D4E"/>
    <w:rsid w:val="2C1B0D4A"/>
    <w:rsid w:val="2C5357E2"/>
    <w:rsid w:val="2D0635AD"/>
    <w:rsid w:val="2D691CC1"/>
    <w:rsid w:val="2D907150"/>
    <w:rsid w:val="2DDB1EBF"/>
    <w:rsid w:val="2DE71DA9"/>
    <w:rsid w:val="2DF963B5"/>
    <w:rsid w:val="2E0F213B"/>
    <w:rsid w:val="2E6C5CB5"/>
    <w:rsid w:val="2EC40C57"/>
    <w:rsid w:val="2EE433BF"/>
    <w:rsid w:val="2F184319"/>
    <w:rsid w:val="2F9B6BBA"/>
    <w:rsid w:val="2FB32CDC"/>
    <w:rsid w:val="2FEA73B1"/>
    <w:rsid w:val="30136E93"/>
    <w:rsid w:val="30334755"/>
    <w:rsid w:val="30E6401D"/>
    <w:rsid w:val="30EC6390"/>
    <w:rsid w:val="310E58AF"/>
    <w:rsid w:val="311233CC"/>
    <w:rsid w:val="317258B0"/>
    <w:rsid w:val="31B57180"/>
    <w:rsid w:val="33113670"/>
    <w:rsid w:val="34935BA4"/>
    <w:rsid w:val="34A264CA"/>
    <w:rsid w:val="34E23A39"/>
    <w:rsid w:val="35830B03"/>
    <w:rsid w:val="3700775A"/>
    <w:rsid w:val="370C7AF3"/>
    <w:rsid w:val="37A26BD4"/>
    <w:rsid w:val="37AE7FE3"/>
    <w:rsid w:val="38417D8A"/>
    <w:rsid w:val="390B4D39"/>
    <w:rsid w:val="39690996"/>
    <w:rsid w:val="39731517"/>
    <w:rsid w:val="39F52602"/>
    <w:rsid w:val="39FC703A"/>
    <w:rsid w:val="3A9A304E"/>
    <w:rsid w:val="3AC802EF"/>
    <w:rsid w:val="3B183024"/>
    <w:rsid w:val="3B585B17"/>
    <w:rsid w:val="3B6D4312"/>
    <w:rsid w:val="3BB718A6"/>
    <w:rsid w:val="3BC04127"/>
    <w:rsid w:val="3C88543E"/>
    <w:rsid w:val="3CB7521C"/>
    <w:rsid w:val="3CE76215"/>
    <w:rsid w:val="3CFF0303"/>
    <w:rsid w:val="3D7619F9"/>
    <w:rsid w:val="3D957982"/>
    <w:rsid w:val="3D96007A"/>
    <w:rsid w:val="3F196644"/>
    <w:rsid w:val="3F4915A0"/>
    <w:rsid w:val="3F5F332B"/>
    <w:rsid w:val="3F641BC2"/>
    <w:rsid w:val="3F8502F8"/>
    <w:rsid w:val="3FBE56FE"/>
    <w:rsid w:val="3FD704B2"/>
    <w:rsid w:val="401634DE"/>
    <w:rsid w:val="403B7AF1"/>
    <w:rsid w:val="405854B3"/>
    <w:rsid w:val="408D1DBF"/>
    <w:rsid w:val="409313F9"/>
    <w:rsid w:val="40B7508E"/>
    <w:rsid w:val="40CA2819"/>
    <w:rsid w:val="41EC3A6C"/>
    <w:rsid w:val="42552DB0"/>
    <w:rsid w:val="42A2655E"/>
    <w:rsid w:val="42D16917"/>
    <w:rsid w:val="43420D2F"/>
    <w:rsid w:val="436C5E0D"/>
    <w:rsid w:val="43F36E83"/>
    <w:rsid w:val="44631084"/>
    <w:rsid w:val="446A549B"/>
    <w:rsid w:val="44800368"/>
    <w:rsid w:val="44D85C7F"/>
    <w:rsid w:val="44E811C0"/>
    <w:rsid w:val="45BA434E"/>
    <w:rsid w:val="45E74C1B"/>
    <w:rsid w:val="46871AD6"/>
    <w:rsid w:val="46963997"/>
    <w:rsid w:val="46AA0C82"/>
    <w:rsid w:val="47025D0E"/>
    <w:rsid w:val="4735560E"/>
    <w:rsid w:val="47413F22"/>
    <w:rsid w:val="474F5344"/>
    <w:rsid w:val="4792678F"/>
    <w:rsid w:val="47E03B89"/>
    <w:rsid w:val="481D5A38"/>
    <w:rsid w:val="487975A7"/>
    <w:rsid w:val="48E17BF2"/>
    <w:rsid w:val="48E72086"/>
    <w:rsid w:val="49732ED5"/>
    <w:rsid w:val="499C01CA"/>
    <w:rsid w:val="49EF5898"/>
    <w:rsid w:val="4A1079FD"/>
    <w:rsid w:val="4A1D620C"/>
    <w:rsid w:val="4A572534"/>
    <w:rsid w:val="4AED722D"/>
    <w:rsid w:val="4B3D40BA"/>
    <w:rsid w:val="4B985ABC"/>
    <w:rsid w:val="4BC136D0"/>
    <w:rsid w:val="4BF328A0"/>
    <w:rsid w:val="4C2E17B4"/>
    <w:rsid w:val="4C81677F"/>
    <w:rsid w:val="4D195C1E"/>
    <w:rsid w:val="4D904DD7"/>
    <w:rsid w:val="4D9C287D"/>
    <w:rsid w:val="4D9C5D37"/>
    <w:rsid w:val="4DC04FA6"/>
    <w:rsid w:val="4DC53F66"/>
    <w:rsid w:val="4E2A0E48"/>
    <w:rsid w:val="4F394230"/>
    <w:rsid w:val="4FC91A1A"/>
    <w:rsid w:val="5049448C"/>
    <w:rsid w:val="504E77F9"/>
    <w:rsid w:val="50DB6247"/>
    <w:rsid w:val="51531E87"/>
    <w:rsid w:val="51552F81"/>
    <w:rsid w:val="51716DB3"/>
    <w:rsid w:val="51AB2104"/>
    <w:rsid w:val="51D07D5D"/>
    <w:rsid w:val="522E4DA3"/>
    <w:rsid w:val="525A7F6F"/>
    <w:rsid w:val="52760C06"/>
    <w:rsid w:val="530E35F9"/>
    <w:rsid w:val="53226B3F"/>
    <w:rsid w:val="53427976"/>
    <w:rsid w:val="535B036B"/>
    <w:rsid w:val="537E1A3B"/>
    <w:rsid w:val="53A07C03"/>
    <w:rsid w:val="53A63423"/>
    <w:rsid w:val="53B638D1"/>
    <w:rsid w:val="54386D63"/>
    <w:rsid w:val="54A36172"/>
    <w:rsid w:val="54BC0EE8"/>
    <w:rsid w:val="55880EF7"/>
    <w:rsid w:val="55D41C4B"/>
    <w:rsid w:val="55FA7A9F"/>
    <w:rsid w:val="5702252D"/>
    <w:rsid w:val="572444C0"/>
    <w:rsid w:val="576D49E8"/>
    <w:rsid w:val="57B957CF"/>
    <w:rsid w:val="594E2C0E"/>
    <w:rsid w:val="594F1692"/>
    <w:rsid w:val="59566C52"/>
    <w:rsid w:val="597674DD"/>
    <w:rsid w:val="5A416E84"/>
    <w:rsid w:val="5AAF5CCA"/>
    <w:rsid w:val="5B6E68B8"/>
    <w:rsid w:val="5B6F6839"/>
    <w:rsid w:val="5B8D6C19"/>
    <w:rsid w:val="5BAA698D"/>
    <w:rsid w:val="5BC57A14"/>
    <w:rsid w:val="5BCE61FA"/>
    <w:rsid w:val="5C0D02BB"/>
    <w:rsid w:val="5C1178F0"/>
    <w:rsid w:val="5C9B134E"/>
    <w:rsid w:val="5D5E6B65"/>
    <w:rsid w:val="5DAA1580"/>
    <w:rsid w:val="5DF14932"/>
    <w:rsid w:val="5DFF04E8"/>
    <w:rsid w:val="5E1A6FB5"/>
    <w:rsid w:val="5E7A3CE2"/>
    <w:rsid w:val="5E88357B"/>
    <w:rsid w:val="5E960581"/>
    <w:rsid w:val="5EF7330D"/>
    <w:rsid w:val="5F355496"/>
    <w:rsid w:val="5F8349F8"/>
    <w:rsid w:val="5F865CD7"/>
    <w:rsid w:val="5F925D77"/>
    <w:rsid w:val="5FA171DD"/>
    <w:rsid w:val="5FDC4484"/>
    <w:rsid w:val="60BA0556"/>
    <w:rsid w:val="60F61E20"/>
    <w:rsid w:val="61A7533B"/>
    <w:rsid w:val="61EC57BA"/>
    <w:rsid w:val="621244D5"/>
    <w:rsid w:val="62B2296D"/>
    <w:rsid w:val="62B247EF"/>
    <w:rsid w:val="636147EE"/>
    <w:rsid w:val="63DB6B9E"/>
    <w:rsid w:val="644A7E43"/>
    <w:rsid w:val="65B441A4"/>
    <w:rsid w:val="65D8147F"/>
    <w:rsid w:val="65DD0843"/>
    <w:rsid w:val="66373494"/>
    <w:rsid w:val="66591B82"/>
    <w:rsid w:val="679E438E"/>
    <w:rsid w:val="68550B65"/>
    <w:rsid w:val="6898637C"/>
    <w:rsid w:val="68B16D7B"/>
    <w:rsid w:val="68BA7003"/>
    <w:rsid w:val="691C25EA"/>
    <w:rsid w:val="698555C7"/>
    <w:rsid w:val="6A443530"/>
    <w:rsid w:val="6C281E78"/>
    <w:rsid w:val="6C307E68"/>
    <w:rsid w:val="6C920572"/>
    <w:rsid w:val="6DB227E4"/>
    <w:rsid w:val="6DBE1759"/>
    <w:rsid w:val="6DC31ECB"/>
    <w:rsid w:val="6E2B5F27"/>
    <w:rsid w:val="6E307289"/>
    <w:rsid w:val="6E522AC7"/>
    <w:rsid w:val="6E656845"/>
    <w:rsid w:val="6F471F5D"/>
    <w:rsid w:val="6F891280"/>
    <w:rsid w:val="6F8E74DB"/>
    <w:rsid w:val="6FE80510"/>
    <w:rsid w:val="70271038"/>
    <w:rsid w:val="70727FF1"/>
    <w:rsid w:val="70836CF8"/>
    <w:rsid w:val="70CF07C8"/>
    <w:rsid w:val="710F157A"/>
    <w:rsid w:val="71840FD7"/>
    <w:rsid w:val="718C3480"/>
    <w:rsid w:val="721D56A4"/>
    <w:rsid w:val="72BF7C4E"/>
    <w:rsid w:val="72F3401B"/>
    <w:rsid w:val="731416B4"/>
    <w:rsid w:val="73712518"/>
    <w:rsid w:val="738A0204"/>
    <w:rsid w:val="738E7AB2"/>
    <w:rsid w:val="73EF0074"/>
    <w:rsid w:val="741E060E"/>
    <w:rsid w:val="74393A30"/>
    <w:rsid w:val="74624F7D"/>
    <w:rsid w:val="74B72A06"/>
    <w:rsid w:val="74CA56AC"/>
    <w:rsid w:val="7530273D"/>
    <w:rsid w:val="7546516B"/>
    <w:rsid w:val="755A5818"/>
    <w:rsid w:val="75AF555B"/>
    <w:rsid w:val="75FB489F"/>
    <w:rsid w:val="7623487F"/>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596E9F"/>
    <w:rsid w:val="7A7C35B8"/>
    <w:rsid w:val="7A96669D"/>
    <w:rsid w:val="7AC70013"/>
    <w:rsid w:val="7B672810"/>
    <w:rsid w:val="7B681B66"/>
    <w:rsid w:val="7C1032C9"/>
    <w:rsid w:val="7C561F60"/>
    <w:rsid w:val="7C6B2EC5"/>
    <w:rsid w:val="7C831CEC"/>
    <w:rsid w:val="7D0C3D15"/>
    <w:rsid w:val="7DAD523A"/>
    <w:rsid w:val="7DDF7DDD"/>
    <w:rsid w:val="7E300909"/>
    <w:rsid w:val="7EC62C4C"/>
    <w:rsid w:val="7EC84C80"/>
    <w:rsid w:val="7EF55FF4"/>
    <w:rsid w:val="7F0627ED"/>
    <w:rsid w:val="7FE40AB5"/>
    <w:rsid w:val="7FE900B8"/>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unhideWhenUsed/>
    <w:qFormat/>
    <w:uiPriority w:val="99"/>
    <w:pPr>
      <w:ind w:left="420" w:leftChars="200"/>
    </w:p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next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样式 小四 行距: 1.5 倍行距"/>
    <w:basedOn w:val="1"/>
    <w:qFormat/>
    <w:uiPriority w:val="0"/>
    <w:pPr>
      <w:ind w:firstLine="480"/>
    </w:pPr>
    <w:rPr>
      <w:rFonts w:cs="宋体"/>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0">
    <w:name w:val="font21"/>
    <w:basedOn w:val="1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9820</Words>
  <Characters>10381</Characters>
  <Lines>131</Lines>
  <Paragraphs>37</Paragraphs>
  <TotalTime>0</TotalTime>
  <ScaleCrop>false</ScaleCrop>
  <LinksUpToDate>false</LinksUpToDate>
  <CharactersWithSpaces>10924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广州南沙经发建筑有限公司[广州南沙经发建筑有限公司]</cp:lastModifiedBy>
  <cp:lastPrinted>2020-07-23T07:52:00Z</cp:lastPrinted>
  <dcterms:modified xsi:type="dcterms:W3CDTF">2025-07-17T06:51:30Z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CA8DD5B095A5421BAF22CEBB25CB5A33</vt:lpwstr>
  </property>
  <property fmtid="{D5CDD505-2E9C-101B-9397-08002B2CF9AE}" pid="4" name="KSOTemplateDocerSaveRecord">
    <vt:lpwstr>eyJoZGlkIjoiNWY1ZjliYzFmMGUxYjBmY2U5ZDZlZjE2ZGI3ZDYxMzUiLCJ1c2VySWQiOiI0MzI4Mjc0MDcifQ==</vt:lpwstr>
  </property>
</Properties>
</file>